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color w:val="000000"/>
          <w:sz w:val="36"/>
          <w:szCs w:val="36"/>
          <w:lang w:eastAsia="zh-CN"/>
        </w:rPr>
      </w:pPr>
      <w:bookmarkStart w:id="0" w:name="PO_15528_PM002_1"/>
      <w:r>
        <w:rPr>
          <w:rFonts w:hint="eastAsia" w:ascii="宋体" w:hAnsi="宋体"/>
          <w:color w:val="000000"/>
          <w:sz w:val="36"/>
          <w:szCs w:val="36"/>
          <w:lang w:eastAsia="zh-CN"/>
        </w:rPr>
        <w:t>省市场监督管理局（本级）特种专业技术用车项目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ZZCG2020H-GK-127</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spacing w:line="500" w:lineRule="exact"/>
        <w:ind w:right="-108" w:firstLine="3755" w:firstLineChars="850"/>
        <w:rPr>
          <w:rFonts w:hAnsi="宋体"/>
          <w:b/>
          <w:color w:val="000000"/>
          <w:sz w:val="36"/>
          <w:szCs w:val="36"/>
        </w:rPr>
      </w:pPr>
      <w:r>
        <w:rPr>
          <w:rFonts w:hAnsi="宋体"/>
          <w:b/>
          <w:color w:val="000000"/>
          <w:sz w:val="44"/>
          <w:szCs w:val="44"/>
        </w:rPr>
        <w:br w:type="page"/>
      </w:r>
      <w:r>
        <w:rPr>
          <w:rFonts w:hint="eastAsia" w:hAnsi="宋体"/>
          <w:b/>
          <w:color w:val="000000"/>
          <w:sz w:val="36"/>
          <w:szCs w:val="36"/>
        </w:rPr>
        <w:t>目   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第五章浙江省政府采购合同主要条款指引</w:t>
      </w:r>
      <w:r>
        <w:tab/>
      </w:r>
      <w:r>
        <w:fldChar w:fldCharType="begin"/>
      </w:r>
      <w:r>
        <w:instrText xml:space="preserve"> PAGEREF _Toc496796639 \h </w:instrText>
      </w:r>
      <w:r>
        <w:fldChar w:fldCharType="separate"/>
      </w:r>
      <w:r>
        <w:t>23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ZZCG2020H-GK-127</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7"/>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1851"/>
        <w:gridCol w:w="1256"/>
        <w:gridCol w:w="1275"/>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trPr>
        <w:tc>
          <w:tcPr>
            <w:tcW w:w="1852"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1851"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1256"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1275"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3026"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1852"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851"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省市场监督管理局（本级）特种专业技术用车—改装中型客车</w:t>
            </w:r>
          </w:p>
        </w:tc>
        <w:tc>
          <w:tcPr>
            <w:tcW w:w="1256"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275"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3026"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1693.2</w:t>
            </w:r>
          </w:p>
        </w:tc>
      </w:tr>
    </w:tbl>
    <w:p>
      <w:pPr>
        <w:snapToGrid w:val="0"/>
        <w:spacing w:after="120"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bookmarkStart w:id="5" w:name="PO_416_PM006"/>
      <w:r>
        <w:rPr>
          <w:rFonts w:hint="eastAsia" w:ascii="仿宋" w:hAnsi="仿宋" w:eastAsia="仿宋" w:cs="Arial"/>
          <w:b/>
          <w:bCs/>
          <w:color w:val="000000"/>
          <w:sz w:val="30"/>
          <w:szCs w:val="30"/>
          <w:lang w:eastAsia="zh-CN"/>
        </w:rPr>
        <w:t xml:space="preserve">不允许联合体投标 </w:t>
      </w:r>
      <w:bookmarkEnd w:id="5"/>
      <w:r>
        <w:rPr>
          <w:rFonts w:hint="eastAsia" w:ascii="仿宋" w:hAnsi="仿宋" w:eastAsia="仿宋" w:cs="Arial"/>
          <w:b/>
          <w:bCs/>
          <w:color w:val="000000"/>
          <w:sz w:val="30"/>
          <w:szCs w:val="30"/>
          <w:lang w:eastAsia="zh-CN"/>
        </w:rPr>
        <w:t>。</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color w:val="000000"/>
          <w:kern w:val="0"/>
          <w:sz w:val="30"/>
          <w:szCs w:val="30"/>
        </w:rPr>
        <w:t>[项目采购-报名开始日期]</w:t>
      </w:r>
      <w:r>
        <w:rPr>
          <w:rFonts w:hint="eastAsia" w:ascii="仿宋" w:hAnsi="仿宋" w:eastAsia="仿宋"/>
          <w:color w:val="000000"/>
          <w:kern w:val="0"/>
          <w:sz w:val="30"/>
          <w:szCs w:val="30"/>
        </w:rPr>
        <w:t xml:space="preserve"> 至 </w:t>
      </w:r>
      <w:bookmarkStart w:id="6" w:name="PO_15528_PM009"/>
      <w:r>
        <w:rPr>
          <w:rFonts w:hint="eastAsia" w:ascii="仿宋" w:hAnsi="仿宋" w:eastAsia="仿宋"/>
          <w:color w:val="000000"/>
          <w:kern w:val="0"/>
          <w:sz w:val="30"/>
          <w:szCs w:val="30"/>
          <w:lang w:eastAsia="zh-CN"/>
        </w:rPr>
        <w:t>2</w:t>
      </w:r>
      <w:bookmarkStart w:id="36" w:name="_GoBack"/>
      <w:bookmarkEnd w:id="36"/>
      <w:r>
        <w:rPr>
          <w:rFonts w:hint="eastAsia" w:ascii="仿宋" w:hAnsi="仿宋" w:eastAsia="仿宋"/>
          <w:color w:val="000000"/>
          <w:kern w:val="0"/>
          <w:sz w:val="30"/>
          <w:szCs w:val="30"/>
          <w:lang w:eastAsia="zh-CN"/>
        </w:rPr>
        <w:t>021-01-21 09:00:00</w:t>
      </w:r>
      <w:bookmarkEnd w:id="6"/>
      <w:r>
        <w:rPr>
          <w:rFonts w:hint="eastAsia" w:ascii="仿宋" w:hAnsi="仿宋" w:eastAsia="仿宋"/>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3"/>
          <w:color w:val="auto"/>
          <w:sz w:val="28"/>
          <w:szCs w:val="28"/>
        </w:rPr>
        <w:t>http://zfcg.czt.zj.gov.cn/</w:t>
      </w:r>
      <w:r>
        <w:rPr>
          <w:rStyle w:val="63"/>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六、投标保证金：</w:t>
      </w:r>
      <w:bookmarkStart w:id="7" w:name="PO_15528_PM021"/>
      <w:r>
        <w:rPr>
          <w:rFonts w:hint="eastAsia" w:ascii="仿宋" w:hAnsi="仿宋" w:eastAsia="仿宋"/>
          <w:color w:val="000000"/>
          <w:kern w:val="0"/>
          <w:sz w:val="30"/>
          <w:szCs w:val="30"/>
          <w:lang w:eastAsia="zh-CN"/>
        </w:rPr>
        <w:t xml:space="preserve"> </w:t>
      </w:r>
      <w:bookmarkEnd w:id="7"/>
      <w:r>
        <w:rPr>
          <w:rFonts w:hint="eastAsia" w:ascii="宋体" w:hAnsi="宋体"/>
          <w:b/>
          <w:kern w:val="0"/>
          <w:sz w:val="28"/>
          <w:szCs w:val="28"/>
        </w:rPr>
        <w:t>（空或0元为无需交纳）</w:t>
      </w:r>
      <w:r>
        <w:rPr>
          <w:rFonts w:hint="eastAsia" w:ascii="宋体" w:hAnsi="宋体" w:cs="Arial"/>
          <w:b/>
          <w:bCs/>
          <w:sz w:val="28"/>
          <w:szCs w:val="28"/>
        </w:rPr>
        <w:t>。</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七、投标截止时间、地点和形式</w:t>
      </w:r>
    </w:p>
    <w:p>
      <w:pPr>
        <w:pStyle w:val="33"/>
        <w:adjustRightInd w:val="0"/>
        <w:snapToGrid w:val="0"/>
        <w:spacing w:beforeLines="0" w:afterLines="0" w:line="500" w:lineRule="exact"/>
        <w:ind w:firstLine="565" w:firstLineChars="201"/>
        <w:rPr>
          <w:rFonts w:hAnsi="宋体"/>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2021-01-21 09:00:00</w:t>
      </w:r>
      <w:bookmarkEnd w:id="8"/>
      <w:r>
        <w:rPr>
          <w:rFonts w:hint="eastAsia" w:ascii="仿宋" w:hAnsi="仿宋" w:eastAsia="仿宋" w:cs="Arial"/>
          <w:color w:val="000000"/>
          <w:sz w:val="30"/>
          <w:szCs w:val="30"/>
        </w:rPr>
        <w:t>。</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投标文件收件人：</w:t>
      </w:r>
      <w:r>
        <w:rPr>
          <w:rFonts w:hint="eastAsia" w:hAnsi="宋体"/>
          <w:kern w:val="0"/>
          <w:sz w:val="28"/>
          <w:szCs w:val="28"/>
          <w:lang w:eastAsia="zh-CN"/>
        </w:rPr>
        <w:t>杨连娣</w:t>
      </w:r>
      <w:r>
        <w:rPr>
          <w:rFonts w:hint="eastAsia" w:hAnsi="宋体"/>
          <w:kern w:val="0"/>
          <w:sz w:val="28"/>
          <w:szCs w:val="28"/>
        </w:rPr>
        <w:t>，联系方式：</w:t>
      </w:r>
      <w:r>
        <w:rPr>
          <w:rFonts w:hint="eastAsia" w:hAnsi="宋体"/>
          <w:kern w:val="0"/>
          <w:sz w:val="28"/>
          <w:szCs w:val="28"/>
          <w:lang w:val="en-US" w:eastAsia="zh-CN"/>
        </w:rPr>
        <w:t>0571-88900116</w:t>
      </w:r>
      <w:r>
        <w:rPr>
          <w:rFonts w:hint="eastAsia" w:hAnsi="宋体"/>
          <w:kern w:val="0"/>
          <w:sz w:val="28"/>
          <w:szCs w:val="28"/>
        </w:rPr>
        <w:t>，收件地址：浙江省杭州市下城区环城北路305号耀江发展中心三楼浙江省政府采购中心302会议室。（疫情期间仅接收邮寄方式递交的备份投标文件,因本大楼疫情管控，推荐使用中国邮政速递和顺丰快递。）</w:t>
      </w:r>
    </w:p>
    <w:p>
      <w:pPr>
        <w:pStyle w:val="33"/>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八、开标时间及地点：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9" w:name="PO_15528_PM015_1"/>
      <w:r>
        <w:rPr>
          <w:rFonts w:hint="eastAsia" w:ascii="宋体" w:hAnsi="宋体" w:cs="Arial"/>
          <w:b/>
          <w:sz w:val="28"/>
          <w:szCs w:val="28"/>
          <w:lang w:eastAsia="zh-CN"/>
        </w:rPr>
        <w:t>2021-01-21 09:00:00</w:t>
      </w:r>
      <w:bookmarkEnd w:id="9"/>
      <w:r>
        <w:rPr>
          <w:rFonts w:hint="eastAsia" w:ascii="宋体" w:hAnsi="宋体" w:cs="Arial"/>
          <w:b/>
          <w:sz w:val="28"/>
          <w:szCs w:val="28"/>
        </w:rPr>
        <w:t>时整在</w:t>
      </w:r>
      <w:bookmarkStart w:id="10" w:name="PO_15528_PM016_1"/>
      <w:r>
        <w:rPr>
          <w:rFonts w:hint="eastAsia" w:ascii="宋体" w:hAnsi="宋体" w:cs="Arial"/>
          <w:b/>
          <w:sz w:val="28"/>
          <w:szCs w:val="28"/>
          <w:lang w:eastAsia="zh-CN"/>
        </w:rPr>
        <w:t>杭州市环城北路305号耀江发展中心3A（四楼）05评标室</w:t>
      </w:r>
      <w:bookmarkEnd w:id="10"/>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九、电子交易平台的网络地址和登录方法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rPr>
          <w:sz w:val="28"/>
          <w:szCs w:val="28"/>
        </w:rPr>
        <w:t xml:space="preserve"> </w:t>
      </w:r>
      <w:r>
        <w:fldChar w:fldCharType="begin"/>
      </w:r>
      <w:r>
        <w:instrText xml:space="preserve"> HYPERLINK "http://zfcg.czt.zj.gov.cn/" </w:instrText>
      </w:r>
      <w:r>
        <w:fldChar w:fldCharType="separate"/>
      </w:r>
      <w:r>
        <w:rPr>
          <w:rStyle w:val="63"/>
          <w:color w:val="auto"/>
          <w:sz w:val="28"/>
          <w:szCs w:val="28"/>
        </w:rPr>
        <w:t>http://zfcg.czt.zj.gov.cn/</w:t>
      </w:r>
      <w:r>
        <w:rPr>
          <w:rStyle w:val="63"/>
          <w:color w:val="auto"/>
          <w:sz w:val="28"/>
          <w:szCs w:val="28"/>
        </w:rPr>
        <w:fldChar w:fldCharType="end"/>
      </w:r>
      <w:r>
        <w:rPr>
          <w:rFonts w:hint="eastAsia"/>
          <w:sz w:val="28"/>
          <w:szCs w:val="28"/>
        </w:rPr>
        <w:t xml:space="preserve"> </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十、其他：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FF0000"/>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1" w:name="PO_15528_PM032"/>
            <w:r>
              <w:rPr>
                <w:rFonts w:hint="eastAsia" w:ascii="仿宋" w:hAnsi="仿宋" w:eastAsia="仿宋" w:cs="仿宋"/>
                <w:sz w:val="28"/>
                <w:szCs w:val="28"/>
                <w:lang w:eastAsia="zh-CN"/>
              </w:rPr>
              <w:t>杨连娣</w:t>
            </w:r>
            <w:bookmarkEnd w:id="11"/>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2" w:name="PO_15528_PM033"/>
            <w:r>
              <w:rPr>
                <w:rFonts w:hint="eastAsia" w:ascii="仿宋" w:hAnsi="仿宋" w:eastAsia="仿宋" w:cs="仿宋"/>
                <w:sz w:val="28"/>
                <w:szCs w:val="28"/>
                <w:lang w:eastAsia="zh-CN"/>
              </w:rPr>
              <w:t>0571-88900116</w:t>
            </w:r>
            <w:bookmarkEnd w:id="12"/>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3" w:name="PO_15528_PM034"/>
            <w:r>
              <w:rPr>
                <w:rFonts w:hint="eastAsia" w:ascii="仿宋" w:hAnsi="仿宋" w:eastAsia="仿宋" w:cs="仿宋"/>
                <w:sz w:val="28"/>
                <w:szCs w:val="28"/>
                <w:lang w:eastAsia="zh-CN"/>
              </w:rPr>
              <w:t>0571-88907751</w:t>
            </w:r>
            <w:bookmarkEnd w:id="13"/>
          </w:p>
          <w:p>
            <w:pPr>
              <w:spacing w:line="480" w:lineRule="exact"/>
              <w:jc w:val="center"/>
              <w:rPr>
                <w:rFonts w:ascii="仿宋" w:hAnsi="仿宋" w:eastAsia="仿宋" w:cs="仿宋"/>
                <w:sz w:val="28"/>
                <w:szCs w:val="28"/>
              </w:rPr>
            </w:pP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4" w:name="PO_409_PM001385"/>
            <w:r>
              <w:rPr>
                <w:rFonts w:hint="eastAsia" w:ascii="仿宋" w:hAnsi="仿宋" w:eastAsia="仿宋" w:cs="仿宋"/>
                <w:sz w:val="28"/>
                <w:szCs w:val="28"/>
                <w:lang w:eastAsia="zh-CN"/>
              </w:rPr>
              <w:t>通用业务采购部</w:t>
            </w:r>
            <w:bookmarkEnd w:id="14"/>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金子超</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0571-88907795</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bookmarkStart w:id="15" w:name="PO_TDCUS_ITEM_PRC_TABLE_1_1"/>
            <w:r>
              <w:rPr>
                <w:rFonts w:hint="eastAsia" w:ascii="仿宋_GB2312" w:hAnsi="仿宋" w:eastAsia="仿宋_GB2312"/>
                <w:color w:val="000000"/>
                <w:sz w:val="30"/>
                <w:szCs w:val="30"/>
                <w:vertAlign w:val="baseline"/>
                <w:lang w:eastAsia="zh-CN"/>
              </w:rPr>
              <w:t>采购单位</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浙江省市场监督管理局（本级）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杭州市莫干山路77号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汪莹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0571-89765066</w:t>
            </w:r>
          </w:p>
        </w:tc>
      </w:tr>
    </w:tbl>
    <w:p>
      <w:pPr>
        <w:pStyle w:val="805"/>
        <w:spacing w:before="120" w:after="12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lang w:eastAsia="zh-CN"/>
        </w:rPr>
        <w:t xml:space="preserve"> </w:t>
      </w:r>
      <w:bookmarkEnd w:id="15"/>
    </w:p>
    <w:p>
      <w:pPr>
        <w:pStyle w:val="33"/>
        <w:spacing w:before="120" w:after="120" w:line="360" w:lineRule="auto"/>
        <w:jc w:val="center"/>
        <w:outlineLvl w:val="0"/>
        <w:rPr>
          <w:rFonts w:hAnsi="宋体"/>
          <w:b/>
          <w:color w:val="000000"/>
          <w:sz w:val="36"/>
          <w:szCs w:val="36"/>
        </w:rPr>
      </w:pPr>
      <w:r>
        <w:rPr>
          <w:rFonts w:ascii="仿宋" w:hAnsi="仿宋" w:eastAsia="仿宋"/>
          <w:b/>
          <w:sz w:val="36"/>
          <w:szCs w:val="36"/>
        </w:rPr>
        <w:br w:type="page"/>
      </w:r>
      <w:bookmarkStart w:id="16" w:name="_Toc496796636"/>
      <w:r>
        <w:rPr>
          <w:rFonts w:hint="eastAsia" w:ascii="仿宋" w:hAnsi="仿宋" w:eastAsia="仿宋"/>
          <w:b/>
          <w:sz w:val="36"/>
          <w:szCs w:val="36"/>
        </w:rPr>
        <w:t>第二章  投标人须知</w:t>
      </w:r>
      <w:bookmarkEnd w:id="16"/>
    </w:p>
    <w:p>
      <w:pPr>
        <w:snapToGrid w:val="0"/>
        <w:rPr>
          <w:rFonts w:ascii="宋体" w:hAnsi="宋体"/>
          <w:sz w:val="28"/>
          <w:szCs w:val="28"/>
        </w:rPr>
      </w:pPr>
      <w:r>
        <w:rPr>
          <w:rFonts w:hint="eastAsia" w:ascii="宋体" w:hAnsi="宋体"/>
          <w:sz w:val="28"/>
          <w:szCs w:val="28"/>
        </w:rPr>
        <w:t>前附表</w:t>
      </w:r>
    </w:p>
    <w:tbl>
      <w:tblPr>
        <w:tblStyle w:val="6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小微企业有关政策</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7" w:name="PO_416_PM001386"/>
            <w:r>
              <w:rPr>
                <w:rFonts w:hint="eastAsia" w:ascii="仿宋" w:hAnsi="仿宋" w:eastAsia="仿宋"/>
                <w:sz w:val="24"/>
                <w:szCs w:val="24"/>
                <w:u w:val="single"/>
                <w:lang w:eastAsia="zh-CN"/>
              </w:rPr>
              <w:t>6.0</w:t>
            </w:r>
            <w:bookmarkEnd w:id="17"/>
            <w:r>
              <w:rPr>
                <w:rFonts w:hint="eastAsia" w:ascii="仿宋" w:hAnsi="仿宋" w:eastAsia="仿宋"/>
                <w:sz w:val="24"/>
                <w:szCs w:val="24"/>
              </w:rPr>
              <w:t>%的扣除，取扣除后的价格作为最终投标报价（此最终投标报价仅作为价格分计算）。属于小型和微型企业的，投标文件中投标人必须提供的《中小企业声明函》，并在报价明细表中说明制造商情况。</w:t>
            </w:r>
          </w:p>
          <w:p>
            <w:pPr>
              <w:spacing w:line="500" w:lineRule="exact"/>
              <w:jc w:val="left"/>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500" w:lineRule="exact"/>
              <w:jc w:val="left"/>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500" w:lineRule="exact"/>
              <w:jc w:val="left"/>
              <w:rPr>
                <w:rFonts w:ascii="仿宋" w:hAnsi="仿宋" w:eastAsia="仿宋"/>
                <w:sz w:val="24"/>
                <w:szCs w:val="24"/>
              </w:rPr>
            </w:pPr>
            <w:r>
              <w:rPr>
                <w:rFonts w:hint="eastAsia" w:ascii="仿宋" w:hAnsi="仿宋" w:eastAsia="仿宋"/>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 w:hAnsi="仿宋" w:eastAsia="仿宋"/>
                <w:sz w:val="24"/>
                <w:szCs w:val="24"/>
                <w:lang w:eastAsia="zh-CN"/>
              </w:rPr>
            </w:pPr>
            <w:bookmarkStart w:id="18" w:name="PO_15528_PM042"/>
            <w:r>
              <w:rPr>
                <w:rFonts w:hint="eastAsia" w:ascii="仿宋" w:hAnsi="仿宋" w:eastAsia="仿宋"/>
                <w:sz w:val="24"/>
                <w:szCs w:val="24"/>
                <w:lang w:eastAsia="zh-CN"/>
              </w:rPr>
              <w:t>不允许进口产品</w:t>
            </w:r>
            <w:bookmarkEnd w:id="1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9" w:name="PO_15528_PM044"/>
            <w:r>
              <w:rPr>
                <w:rFonts w:hint="eastAsia" w:ascii="仿宋" w:hAnsi="仿宋" w:eastAsia="仿宋"/>
                <w:sz w:val="24"/>
                <w:szCs w:val="24"/>
                <w:lang w:eastAsia="zh-CN"/>
              </w:rPr>
              <w:t>不允许分包</w:t>
            </w:r>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 w:hAnsi="仿宋" w:eastAsia="仿宋"/>
                <w:sz w:val="24"/>
                <w:szCs w:val="24"/>
                <w:lang w:eastAsia="zh-CN"/>
              </w:rPr>
            </w:pPr>
            <w:bookmarkStart w:id="20" w:name="PO_15528_PM007_1"/>
            <w:r>
              <w:rPr>
                <w:rFonts w:hint="eastAsia" w:ascii="仿宋" w:hAnsi="仿宋" w:eastAsia="仿宋"/>
                <w:sz w:val="24"/>
                <w:szCs w:val="24"/>
                <w:lang w:eastAsia="zh-CN"/>
              </w:rPr>
              <w:t>标项1:不允许联合体投标</w:t>
            </w:r>
            <w:bookmarkEnd w:id="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olor w:val="000000"/>
                <w:sz w:val="28"/>
                <w:szCs w:val="28"/>
                <w:lang w:eastAsia="zh-CN"/>
              </w:rPr>
            </w:pPr>
            <w:bookmarkStart w:id="21" w:name="PO_15528_PM040"/>
            <w:r>
              <w:rPr>
                <w:rFonts w:hint="eastAsia" w:ascii="仿宋" w:hAnsi="仿宋" w:eastAsia="仿宋"/>
                <w:color w:val="000000"/>
                <w:sz w:val="28"/>
                <w:szCs w:val="28"/>
                <w:lang w:eastAsia="zh-CN"/>
              </w:rPr>
              <w:t>不组织现场踏勘</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2" w:name="PO_15528_PM041"/>
            <w:r>
              <w:rPr>
                <w:rFonts w:hint="eastAsia" w:ascii="仿宋" w:hAnsi="仿宋" w:eastAsia="仿宋"/>
                <w:sz w:val="24"/>
                <w:szCs w:val="24"/>
                <w:lang w:eastAsia="zh-CN"/>
              </w:rPr>
              <w:t>不进行演示</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3" w:name="PO_15528_PM043"/>
            <w:r>
              <w:rPr>
                <w:rFonts w:hint="eastAsia" w:ascii="仿宋" w:hAnsi="仿宋" w:eastAsia="仿宋"/>
                <w:sz w:val="24"/>
                <w:szCs w:val="24"/>
                <w:lang w:eastAsia="zh-CN"/>
              </w:rPr>
              <w:t>提供样</w:t>
            </w:r>
            <w:bookmarkEnd w:id="23"/>
            <w:r>
              <w:rPr>
                <w:rFonts w:hint="eastAsia" w:ascii="仿宋" w:hAnsi="仿宋" w:eastAsia="仿宋"/>
                <w:sz w:val="24"/>
                <w:szCs w:val="24"/>
                <w:lang w:eastAsia="zh-CN"/>
              </w:rPr>
              <w:t>车，详见第四章。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3"/>
                <w:rFonts w:hint="eastAsia" w:ascii="仿宋" w:hAnsi="仿宋" w:eastAsia="仿宋"/>
                <w:sz w:val="24"/>
                <w:szCs w:val="24"/>
              </w:rPr>
              <w:t>http://www.zjzfcg.gov.cn</w:t>
            </w:r>
            <w:r>
              <w:rPr>
                <w:rStyle w:val="63"/>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color w:val="00000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3"/>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3"/>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3"/>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3"/>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3"/>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color w:val="000000"/>
          <w:sz w:val="28"/>
          <w:szCs w:val="28"/>
        </w:rPr>
        <w:t>均应当准时在线参加</w:t>
      </w:r>
      <w:r>
        <w:rPr>
          <w:rFonts w:hint="eastAsia" w:hAnsi="宋体"/>
          <w:bCs/>
          <w:sz w:val="28"/>
          <w:szCs w:val="28"/>
        </w:rPr>
        <w:t>，无关人员不得进入开标现场。</w:t>
      </w:r>
      <w:r>
        <w:rPr>
          <w:rFonts w:hint="eastAsia" w:hAnsi="宋体"/>
          <w:b/>
          <w:bCs/>
          <w:color w:val="000000"/>
          <w:sz w:val="28"/>
          <w:szCs w:val="28"/>
        </w:rPr>
        <w:t>投标人如未准时在线参加的</w:t>
      </w:r>
      <w:r>
        <w:rPr>
          <w:rFonts w:hint="eastAsia" w:hAnsi="宋体"/>
          <w:bCs/>
          <w:sz w:val="28"/>
          <w:szCs w:val="28"/>
        </w:rPr>
        <w:t>，事后不得对采购相关人员、开标过程和开标结果提出异议。</w:t>
      </w:r>
    </w:p>
    <w:p>
      <w:pPr>
        <w:pStyle w:val="33"/>
        <w:snapToGrid w:val="0"/>
        <w:spacing w:before="120" w:after="120" w:line="460" w:lineRule="exact"/>
        <w:ind w:firstLine="562" w:firstLineChars="200"/>
        <w:rPr>
          <w:rFonts w:hAnsi="宋体"/>
          <w:b/>
          <w:bCs/>
          <w:color w:val="000000"/>
          <w:sz w:val="28"/>
          <w:szCs w:val="28"/>
        </w:rPr>
      </w:pPr>
      <w:r>
        <w:rPr>
          <w:rFonts w:hint="eastAsia" w:hAnsi="宋体"/>
          <w:b/>
          <w:bCs/>
          <w:color w:val="000000"/>
          <w:sz w:val="28"/>
          <w:szCs w:val="28"/>
        </w:rPr>
        <w:t>1. 落实工作场地、设施，检查录音录像采集设备运行情况，验证电子交易平台是否能正常登录。</w:t>
      </w:r>
    </w:p>
    <w:p>
      <w:pPr>
        <w:pStyle w:val="33"/>
        <w:snapToGrid w:val="0"/>
        <w:spacing w:before="120" w:after="120" w:line="460" w:lineRule="exact"/>
        <w:ind w:firstLine="562" w:firstLineChars="200"/>
        <w:rPr>
          <w:rFonts w:hAnsi="宋体"/>
          <w:b/>
          <w:bCs/>
          <w:color w:val="000000"/>
          <w:sz w:val="28"/>
          <w:szCs w:val="28"/>
        </w:rPr>
      </w:pPr>
      <w:r>
        <w:rPr>
          <w:rFonts w:hint="eastAsia" w:hAnsi="宋体"/>
          <w:b/>
          <w:bCs/>
          <w:color w:val="000000"/>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color w:val="000000"/>
          <w:sz w:val="28"/>
          <w:szCs w:val="28"/>
        </w:rPr>
      </w:pPr>
      <w:r>
        <w:rPr>
          <w:rFonts w:hint="eastAsia" w:hAnsi="宋体"/>
          <w:b/>
          <w:bCs/>
          <w:color w:val="000000"/>
          <w:sz w:val="28"/>
          <w:szCs w:val="28"/>
        </w:rPr>
        <w:t>3.</w:t>
      </w:r>
      <w:r>
        <w:rPr>
          <w:rFonts w:hAnsi="宋体"/>
          <w:b/>
          <w:bCs/>
          <w:color w:val="000000"/>
          <w:sz w:val="28"/>
          <w:szCs w:val="28"/>
        </w:rPr>
        <w:t xml:space="preserve"> </w:t>
      </w:r>
      <w:r>
        <w:rPr>
          <w:rFonts w:hint="eastAsia" w:ascii="宋体" w:hAnsi="宋体"/>
          <w:b/>
          <w:bCs/>
          <w:color w:val="000000"/>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5.</w:t>
      </w:r>
      <w:r>
        <w:rPr>
          <w:rFonts w:hint="eastAsia"/>
        </w:rPr>
        <w:t xml:space="preserve"> </w:t>
      </w:r>
      <w:r>
        <w:rPr>
          <w:rFonts w:hint="eastAsia" w:ascii="宋体" w:hAnsi="宋体"/>
          <w:b/>
          <w:bCs/>
          <w:color w:val="000000"/>
          <w:sz w:val="28"/>
          <w:szCs w:val="28"/>
        </w:rPr>
        <w:t>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6.招标方在电子交易平台开启投标人的报价文件信息，投标人对报价信息进行确认。投标人对报价信息不予确认的不影响后续评标过程。</w:t>
      </w:r>
    </w:p>
    <w:p>
      <w:pPr>
        <w:pStyle w:val="33"/>
        <w:snapToGrid w:val="0"/>
        <w:spacing w:before="120" w:after="120" w:line="460" w:lineRule="exact"/>
        <w:ind w:firstLine="551" w:firstLineChars="196"/>
        <w:rPr>
          <w:rFonts w:hAnsi="宋体"/>
          <w:b/>
          <w:bCs/>
          <w:color w:val="000000"/>
          <w:sz w:val="28"/>
          <w:szCs w:val="28"/>
        </w:rPr>
      </w:pPr>
      <w:r>
        <w:rPr>
          <w:rFonts w:hint="eastAsia" w:hAnsi="宋体"/>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color w:val="000000"/>
          <w:sz w:val="28"/>
          <w:szCs w:val="28"/>
        </w:rPr>
        <w:t>特别说明：政采云公司如对电子化开标及评审程序有调整的，按调整后的程序操作。</w:t>
      </w:r>
    </w:p>
    <w:p>
      <w:pPr>
        <w:pStyle w:val="3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3"/>
        <w:snapToGrid w:val="0"/>
        <w:spacing w:before="120" w:after="120" w:line="460" w:lineRule="exact"/>
        <w:ind w:firstLine="548" w:firstLineChars="196"/>
        <w:rPr>
          <w:rFonts w:ascii="仿宋" w:hAnsi="仿宋" w:eastAsia="仿宋"/>
          <w:b/>
          <w:bCs/>
          <w:sz w:val="28"/>
          <w:szCs w:val="28"/>
        </w:rPr>
      </w:pPr>
      <w:r>
        <w:rPr>
          <w:rFonts w:hint="eastAsia" w:ascii="仿宋" w:hAnsi="仿宋" w:eastAsia="仿宋"/>
          <w:bCs/>
          <w:sz w:val="28"/>
          <w:szCs w:val="28"/>
        </w:rP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pacing w:before="120" w:after="120" w:line="360" w:lineRule="auto"/>
        <w:jc w:val="center"/>
        <w:outlineLvl w:val="0"/>
        <w:rPr>
          <w:rFonts w:ascii="仿宋" w:hAnsi="仿宋" w:eastAsia="仿宋"/>
          <w:b/>
          <w:sz w:val="28"/>
          <w:szCs w:val="28"/>
        </w:rPr>
      </w:pP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int="eastAsia" w:hAnsi="宋体"/>
          <w:b/>
          <w:color w:val="000000"/>
          <w:sz w:val="36"/>
          <w:szCs w:val="36"/>
        </w:rPr>
        <w:t>第三章  评标办法及评分标准</w:t>
      </w:r>
      <w:bookmarkEnd w:id="24"/>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20" w:lineRule="exact"/>
        <w:ind w:firstLine="600" w:firstLineChars="200"/>
        <w:rPr>
          <w:rFonts w:ascii="仿宋" w:hAnsi="仿宋" w:eastAsia="仿宋_GB2312"/>
          <w:b/>
          <w:color w:val="000000"/>
          <w:sz w:val="30"/>
          <w:szCs w:val="30"/>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p>
      <w:pPr>
        <w:spacing w:before="120" w:beforeLines="50" w:after="120" w:afterLines="50" w:line="320" w:lineRule="exact"/>
        <w:ind w:firstLine="602" w:firstLineChars="200"/>
        <w:rPr>
          <w:rFonts w:ascii="仿宋" w:hAnsi="仿宋" w:eastAsia="仿宋_GB2312"/>
          <w:b/>
          <w:color w:val="000000"/>
          <w:sz w:val="30"/>
          <w:szCs w:val="30"/>
        </w:rPr>
      </w:pPr>
    </w:p>
    <w:p>
      <w:pPr>
        <w:spacing w:before="120" w:beforeLines="50" w:after="120" w:afterLines="50" w:line="340" w:lineRule="exact"/>
        <w:rPr>
          <w:rFonts w:hint="eastAsia" w:ascii="仿宋_GB2312" w:hAnsi="宋体" w:eastAsia="仿宋_GB2312"/>
          <w:b/>
          <w:color w:val="000000"/>
          <w:sz w:val="32"/>
          <w:szCs w:val="32"/>
          <w:vertAlign w:val="baseline"/>
          <w:lang w:eastAsia="zh-CN"/>
        </w:rPr>
      </w:pPr>
      <w:bookmarkStart w:id="25" w:name="PO_15528_PM051"/>
      <w:bookmarkStart w:id="26" w:name="_Toc496796639"/>
      <w:r>
        <w:rPr>
          <w:rFonts w:hint="eastAsia" w:ascii="仿宋_GB2312" w:hAnsi="宋体" w:eastAsia="仿宋_GB2312"/>
          <w:b/>
          <w:color w:val="000000"/>
          <w:sz w:val="32"/>
          <w:szCs w:val="32"/>
          <w:lang w:eastAsia="zh-CN"/>
        </w:rPr>
        <w:t xml:space="preserve"> </w:t>
      </w:r>
      <w:bookmarkEnd w:id="25"/>
      <w:bookmarkStart w:id="27" w:name="PO_TDCUS_ITEM_SM_TITLE_1"/>
      <w:r>
        <w:rPr>
          <w:rFonts w:hint="eastAsia" w:ascii="仿宋_GB2312" w:hAnsi="宋体" w:eastAsia="仿宋_GB2312"/>
          <w:b/>
          <w:color w:val="000000"/>
          <w:sz w:val="32"/>
          <w:szCs w:val="32"/>
          <w:lang w:eastAsia="zh-CN"/>
        </w:rPr>
        <w:t>标项1的评分方法</w:t>
      </w:r>
      <w:bookmarkEnd w:id="27"/>
      <w:bookmarkStart w:id="28" w:name="PO_TDCUS_ITEM_SM_TABLE_1"/>
      <w:r>
        <w:rPr>
          <w:rFonts w:hint="eastAsia" w:ascii="仿宋_GB2312" w:hAnsi="宋体" w:eastAsia="仿宋_GB2312"/>
          <w:b/>
          <w:color w:val="000000"/>
          <w:sz w:val="32"/>
          <w:szCs w:val="32"/>
          <w:lang w:eastAsia="zh-CN"/>
        </w:rPr>
        <w:t xml:space="preserve"> </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694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Pr>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评分类型</w:t>
            </w:r>
          </w:p>
        </w:tc>
        <w:tc>
          <w:tcPr>
            <w:tcW w:w="6947" w:type="dxa"/>
          </w:tcPr>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评分标准</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Pr>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报价</w:t>
            </w: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kern w:val="0"/>
                <w:sz w:val="20"/>
                <w:szCs w:val="21"/>
              </w:rPr>
              <w:t>满足招标文件要求且投标报价最低的投标报价为评标基准价，其价格分为满分。其他投标人的价格分统一按照下列公式计算：投标报价得分=（评标基准价/投标报价）*30</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1241"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样车</w:t>
            </w:r>
          </w:p>
        </w:tc>
        <w:tc>
          <w:tcPr>
            <w:tcW w:w="6947"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1、改装设备的优劣 （ 5分）2、安全配置的高低     （2分）</w:t>
            </w:r>
          </w:p>
          <w:p>
            <w:pPr>
              <w:spacing w:beforeLines="50" w:afterLines="50" w:line="340" w:lineRule="exact"/>
              <w:ind w:firstLine="210"/>
              <w:rPr>
                <w:rFonts w:asciiTheme="minorEastAsia" w:hAnsiTheme="minorEastAsia" w:eastAsiaTheme="minorEastAsia"/>
                <w:color w:val="000000"/>
                <w:kern w:val="0"/>
                <w:sz w:val="20"/>
                <w:szCs w:val="21"/>
                <w:highlight w:val="yellow"/>
              </w:rPr>
            </w:pPr>
            <w:r>
              <w:rPr>
                <w:rFonts w:asciiTheme="minorEastAsia" w:hAnsiTheme="minorEastAsia" w:eastAsiaTheme="minorEastAsia"/>
                <w:color w:val="000000"/>
                <w:kern w:val="0"/>
                <w:sz w:val="20"/>
                <w:szCs w:val="21"/>
              </w:rPr>
              <w:t>3、车辆舒适性     （ 2分）4、车辆</w:t>
            </w:r>
            <w:r>
              <w:rPr>
                <w:rFonts w:hint="eastAsia" w:asciiTheme="minorEastAsia" w:hAnsiTheme="minorEastAsia" w:eastAsiaTheme="minorEastAsia"/>
                <w:color w:val="000000"/>
                <w:kern w:val="0"/>
                <w:sz w:val="20"/>
                <w:szCs w:val="21"/>
              </w:rPr>
              <w:t>性能布置合理性</w:t>
            </w:r>
            <w:r>
              <w:rPr>
                <w:rFonts w:asciiTheme="minorEastAsia" w:hAnsiTheme="minorEastAsia" w:eastAsiaTheme="minorEastAsia"/>
                <w:color w:val="000000"/>
                <w:kern w:val="0"/>
                <w:sz w:val="20"/>
                <w:szCs w:val="21"/>
              </w:rPr>
              <w:t xml:space="preserve">   （1分）</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技术</w:t>
            </w:r>
          </w:p>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完全满足得</w:t>
            </w:r>
            <w:r>
              <w:rPr>
                <w:rFonts w:asciiTheme="minorEastAsia" w:hAnsiTheme="minorEastAsia" w:eastAsiaTheme="minorEastAsia"/>
                <w:color w:val="000000"/>
                <w:kern w:val="0"/>
                <w:sz w:val="20"/>
                <w:szCs w:val="21"/>
              </w:rPr>
              <w:t>20分，带●参数每负偏离一项减2分，</w:t>
            </w:r>
          </w:p>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其他每负偏离一项减</w:t>
            </w:r>
            <w:r>
              <w:rPr>
                <w:rFonts w:asciiTheme="minorEastAsia" w:hAnsiTheme="minorEastAsia" w:eastAsiaTheme="minorEastAsia"/>
                <w:color w:val="000000"/>
                <w:kern w:val="0"/>
                <w:sz w:val="20"/>
                <w:szCs w:val="21"/>
              </w:rPr>
              <w:t>1分。若带●负偏离超过4个的按重大偏离处理。</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设备的先进程度和需求的正偏离情况满分</w:t>
            </w:r>
            <w:r>
              <w:rPr>
                <w:rFonts w:asciiTheme="minorEastAsia" w:hAnsiTheme="minorEastAsia" w:eastAsiaTheme="minorEastAsia"/>
                <w:color w:val="000000"/>
                <w:kern w:val="0"/>
                <w:sz w:val="20"/>
                <w:szCs w:val="21"/>
              </w:rPr>
              <w:t>6分，每项有实质性意义的正偏离1-2分，无实质性意义的正偏离不加分。</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产品的品牌因素和市场占有率及该产品近三年成长性</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售后服务承诺、维护响应满足标书要求的得</w:t>
            </w:r>
            <w:r>
              <w:rPr>
                <w:rFonts w:asciiTheme="minorEastAsia" w:hAnsiTheme="minorEastAsia" w:eastAsiaTheme="minorEastAsia"/>
                <w:color w:val="000000"/>
                <w:kern w:val="0"/>
                <w:sz w:val="20"/>
                <w:szCs w:val="21"/>
              </w:rPr>
              <w:t>2分。质保期满足标书要求的前提下，改装部分满</w:t>
            </w:r>
            <w:r>
              <w:rPr>
                <w:rFonts w:hint="eastAsia" w:asciiTheme="minorEastAsia" w:hAnsiTheme="minorEastAsia" w:eastAsiaTheme="minorEastAsia"/>
                <w:color w:val="000000"/>
                <w:kern w:val="0"/>
                <w:sz w:val="20"/>
                <w:szCs w:val="21"/>
              </w:rPr>
              <w:t>两</w:t>
            </w:r>
            <w:r>
              <w:rPr>
                <w:rFonts w:asciiTheme="minorEastAsia" w:hAnsiTheme="minorEastAsia" w:eastAsiaTheme="minorEastAsia"/>
                <w:color w:val="000000"/>
                <w:kern w:val="0"/>
                <w:sz w:val="20"/>
                <w:szCs w:val="21"/>
              </w:rPr>
              <w:t>年后，每增加一年得0.5分，最多得1分；底盘部分满两年后，每增加一年得0.5分，最多得1分。</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培训：根据各投标人针对本项目制定的培训方案详尽（以是否能提供现场培训以及集中培训为主要评分因素）、内容具体可行、相关产品、人员培训经验丰富的得</w:t>
            </w:r>
            <w:r>
              <w:rPr>
                <w:rFonts w:asciiTheme="minorEastAsia" w:hAnsiTheme="minorEastAsia" w:eastAsiaTheme="minorEastAsia"/>
                <w:color w:val="000000"/>
                <w:kern w:val="0"/>
                <w:sz w:val="20"/>
                <w:szCs w:val="21"/>
              </w:rPr>
              <w:t>2分。</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Pr>
          <w:p>
            <w:pPr>
              <w:spacing w:beforeLines="50" w:afterLines="50" w:line="340" w:lineRule="exact"/>
              <w:ind w:firstLine="210"/>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商务资信</w:t>
            </w:r>
          </w:p>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投标人技术力量</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投标人及厂家的服务网点</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特约维修点的维保收取费用报价，工时费优惠率最合理的得</w:t>
            </w:r>
            <w:r>
              <w:rPr>
                <w:rFonts w:asciiTheme="minorEastAsia" w:hAnsiTheme="minorEastAsia" w:eastAsiaTheme="minorEastAsia"/>
                <w:color w:val="000000"/>
                <w:kern w:val="0"/>
                <w:sz w:val="20"/>
                <w:szCs w:val="21"/>
              </w:rPr>
              <w:t>1分，维修材料管理费优惠率最合理的得1分，合理性由评委</w:t>
            </w:r>
            <w:r>
              <w:rPr>
                <w:rFonts w:hint="eastAsia" w:asciiTheme="minorEastAsia" w:hAnsiTheme="minorEastAsia" w:eastAsiaTheme="minorEastAsia"/>
                <w:color w:val="000000"/>
                <w:kern w:val="0"/>
                <w:sz w:val="20"/>
                <w:szCs w:val="21"/>
                <w:lang w:eastAsia="zh-CN"/>
              </w:rPr>
              <w:t>打分</w:t>
            </w:r>
            <w:r>
              <w:rPr>
                <w:rFonts w:asciiTheme="minorEastAsia" w:hAnsiTheme="minorEastAsia" w:eastAsiaTheme="minorEastAsia"/>
                <w:color w:val="000000"/>
                <w:kern w:val="0"/>
                <w:sz w:val="20"/>
                <w:szCs w:val="21"/>
              </w:rPr>
              <w:t>。</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投标人近</w:t>
            </w:r>
            <w:r>
              <w:rPr>
                <w:rFonts w:asciiTheme="minorEastAsia" w:hAnsiTheme="minorEastAsia" w:eastAsiaTheme="minorEastAsia"/>
                <w:color w:val="000000"/>
                <w:kern w:val="0"/>
                <w:sz w:val="20"/>
                <w:szCs w:val="21"/>
              </w:rPr>
              <w:t>3年类似项目的经营业绩及经验（开标时提供合同原件备查）</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Pr>
          <w:p>
            <w:pPr>
              <w:spacing w:beforeLines="50" w:afterLines="50" w:line="340" w:lineRule="exact"/>
              <w:ind w:firstLine="210"/>
              <w:rPr>
                <w:rFonts w:asciiTheme="minorEastAsia" w:hAnsiTheme="minorEastAsia" w:eastAsiaTheme="minorEastAsia"/>
                <w:color w:val="000000"/>
                <w:kern w:val="0"/>
                <w:sz w:val="20"/>
                <w:szCs w:val="21"/>
              </w:rPr>
            </w:pPr>
          </w:p>
        </w:tc>
        <w:tc>
          <w:tcPr>
            <w:tcW w:w="6947" w:type="dxa"/>
          </w:tcPr>
          <w:p>
            <w:pPr>
              <w:spacing w:beforeLines="50" w:afterLines="50" w:line="340" w:lineRule="exact"/>
              <w:rPr>
                <w:rFonts w:asciiTheme="minorEastAsia" w:hAnsiTheme="minorEastAsia" w:eastAsiaTheme="minorEastAsia"/>
                <w:color w:val="000000"/>
                <w:kern w:val="0"/>
                <w:sz w:val="20"/>
                <w:szCs w:val="21"/>
              </w:rPr>
            </w:pPr>
            <w:r>
              <w:rPr>
                <w:rFonts w:hint="eastAsia" w:asciiTheme="minorEastAsia" w:hAnsiTheme="minorEastAsia" w:eastAsiaTheme="minorEastAsia"/>
                <w:color w:val="000000"/>
                <w:kern w:val="0"/>
                <w:sz w:val="20"/>
                <w:szCs w:val="21"/>
              </w:rPr>
              <w:t>投标文件制作质量（编制有序、装订整齐、书面整洁、内容详实）</w:t>
            </w:r>
          </w:p>
        </w:tc>
        <w:tc>
          <w:tcPr>
            <w:tcW w:w="872" w:type="dxa"/>
          </w:tcPr>
          <w:p>
            <w:pPr>
              <w:spacing w:beforeLines="50" w:afterLines="50" w:line="340" w:lineRule="exact"/>
              <w:ind w:firstLine="210"/>
              <w:rPr>
                <w:rFonts w:asciiTheme="minorEastAsia" w:hAnsiTheme="minorEastAsia" w:eastAsiaTheme="minorEastAsia"/>
                <w:color w:val="000000"/>
                <w:kern w:val="0"/>
                <w:sz w:val="20"/>
                <w:szCs w:val="21"/>
              </w:rPr>
            </w:pPr>
            <w:r>
              <w:rPr>
                <w:rFonts w:asciiTheme="minorEastAsia" w:hAnsiTheme="minorEastAsia" w:eastAsiaTheme="minorEastAsia"/>
                <w:color w:val="000000"/>
                <w:kern w:val="0"/>
                <w:sz w:val="20"/>
                <w:szCs w:val="21"/>
              </w:rPr>
              <w:t>0~2</w:t>
            </w:r>
          </w:p>
        </w:tc>
      </w:tr>
    </w:tbl>
    <w:p>
      <w:pPr>
        <w:spacing w:beforeLines="50" w:afterLines="50" w:line="340" w:lineRule="exact"/>
        <w:rPr>
          <w:rFonts w:asciiTheme="minorEastAsia" w:hAnsiTheme="minorEastAsia"/>
          <w:b/>
          <w:color w:val="000000"/>
          <w:szCs w:val="21"/>
        </w:rPr>
      </w:pPr>
      <w:r>
        <w:rPr>
          <w:rFonts w:hint="eastAsia" w:asciiTheme="minorEastAsia" w:hAnsiTheme="minorEastAsia"/>
          <w:b/>
          <w:color w:val="000000"/>
          <w:szCs w:val="21"/>
        </w:rPr>
        <w:t>注：</w:t>
      </w:r>
      <w:r>
        <w:rPr>
          <w:rFonts w:asciiTheme="minorEastAsia" w:hAnsiTheme="minorEastAsia"/>
          <w:b/>
          <w:color w:val="000000"/>
          <w:szCs w:val="21"/>
        </w:rPr>
        <w:t>若未提供样车的，</w:t>
      </w:r>
      <w:r>
        <w:rPr>
          <w:rFonts w:hint="eastAsia" w:asciiTheme="minorEastAsia" w:hAnsiTheme="minorEastAsia"/>
          <w:b/>
          <w:color w:val="000000"/>
          <w:szCs w:val="21"/>
        </w:rPr>
        <w:t>样车得分为0分。</w:t>
      </w:r>
    </w:p>
    <w:p>
      <w:pPr>
        <w:spacing w:before="120" w:beforeLines="50" w:after="120" w:afterLines="50" w:line="340" w:lineRule="exact"/>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lang w:eastAsia="zh-CN"/>
        </w:rPr>
        <w:t xml:space="preserve"> </w:t>
      </w:r>
      <w:bookmarkEnd w:id="28"/>
    </w:p>
    <w:p>
      <w:pPr>
        <w:spacing w:after="240" w:afterLines="100" w:line="340" w:lineRule="exact"/>
        <w:jc w:val="center"/>
        <w:outlineLvl w:val="0"/>
        <w:rPr>
          <w:rFonts w:hAnsi="宋体"/>
          <w:b/>
          <w:color w:val="000000"/>
          <w:sz w:val="36"/>
          <w:szCs w:val="36"/>
        </w:rPr>
      </w:pPr>
      <w:r>
        <w:rPr>
          <w:rFonts w:hAnsi="宋体"/>
          <w:b/>
          <w:color w:val="000000"/>
          <w:sz w:val="36"/>
          <w:szCs w:val="36"/>
        </w:rPr>
        <w:br w:type="page"/>
      </w:r>
      <w:bookmarkStart w:id="29" w:name="_Toc496796638"/>
      <w:r>
        <w:rPr>
          <w:rFonts w:hint="eastAsia" w:hAnsi="宋体"/>
          <w:b/>
          <w:color w:val="000000"/>
          <w:sz w:val="36"/>
          <w:szCs w:val="36"/>
        </w:rPr>
        <w:t>第四章招标需求</w:t>
      </w:r>
      <w:bookmarkEnd w:id="29"/>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p>
    <w:p>
      <w:pPr>
        <w:spacing w:line="360" w:lineRule="auto"/>
        <w:ind w:firstLine="562" w:firstLineChars="200"/>
        <w:rPr>
          <w:rFonts w:ascii="仿宋" w:hAnsi="仿宋" w:eastAsia="仿宋"/>
          <w:b/>
          <w:sz w:val="28"/>
          <w:szCs w:val="28"/>
        </w:rPr>
      </w:pPr>
    </w:p>
    <w:p>
      <w:pPr>
        <w:snapToGrid w:val="0"/>
        <w:spacing w:line="460" w:lineRule="exact"/>
        <w:ind w:firstLine="723" w:firstLineChars="200"/>
        <w:rPr>
          <w:rFonts w:ascii="仿宋" w:hAnsi="仿宋" w:eastAsia="仿宋" w:cs="Arial"/>
          <w:b/>
          <w:bCs/>
          <w:sz w:val="28"/>
          <w:szCs w:val="28"/>
        </w:rPr>
      </w:pPr>
      <w:bookmarkStart w:id="30" w:name="PO_416_PM050"/>
      <w:r>
        <w:rPr>
          <w:rFonts w:hint="eastAsia" w:hAnsi="宋体"/>
          <w:b/>
          <w:color w:val="000000"/>
          <w:sz w:val="36"/>
          <w:szCs w:val="36"/>
          <w:lang w:eastAsia="zh-CN"/>
        </w:rPr>
        <w:t xml:space="preserve"> </w:t>
      </w:r>
      <w:bookmarkEnd w:id="30"/>
      <w:bookmarkStart w:id="31" w:name="PO_TDCUS_ITEM_PB_REQ_TABLE_1_1"/>
      <w:bookmarkEnd w:id="31"/>
      <w:r>
        <w:rPr>
          <w:rFonts w:hint="eastAsia" w:ascii="仿宋" w:hAnsi="仿宋" w:eastAsia="仿宋" w:cs="Arial"/>
          <w:b/>
          <w:bCs/>
          <w:sz w:val="28"/>
          <w:szCs w:val="28"/>
        </w:rPr>
        <w:t>一、项目概述</w:t>
      </w: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（一）项目简介</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特种专业技术用车是根据浙江省财政厅、省工商局等4部门出台的《浙江省市场监管系统特种专业技术用车配置标准》（浙财采监【2018】1号）进行配置。是为了解决公务用车制度改革后，全省市场监管系统一线执法用车的困难问题，有效保障我省市场监管执法工作需要，规范市场秩序，维护放心消费，更好的为浙江市场经济发展保驾护航。特种专业技术用车按照其工作性质和任务属性的不同，分别搭载不同的固定装备，用于现场勘察取证、查扣运输罚没物资或假冒伪劣商品、执法宣传教育、现场移动办公、综合执法力量输送、以及各类产品的抽样任务等。</w:t>
      </w: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（二）项目内容</w:t>
      </w:r>
    </w:p>
    <w:tbl>
      <w:tblPr>
        <w:tblStyle w:val="6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485"/>
        <w:gridCol w:w="1044"/>
        <w:gridCol w:w="846"/>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序序号</w:t>
            </w:r>
          </w:p>
        </w:tc>
        <w:tc>
          <w:tcPr>
            <w:tcW w:w="4485" w:type="dxa"/>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采购内容</w:t>
            </w:r>
          </w:p>
        </w:tc>
        <w:tc>
          <w:tcPr>
            <w:tcW w:w="1044"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数量</w:t>
            </w:r>
          </w:p>
        </w:tc>
        <w:tc>
          <w:tcPr>
            <w:tcW w:w="846"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单位</w:t>
            </w:r>
          </w:p>
        </w:tc>
        <w:tc>
          <w:tcPr>
            <w:tcW w:w="1563"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21</w:t>
            </w:r>
          </w:p>
        </w:tc>
        <w:tc>
          <w:tcPr>
            <w:tcW w:w="4485"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特种专业技术用车—改装中型客车</w:t>
            </w:r>
          </w:p>
        </w:tc>
        <w:tc>
          <w:tcPr>
            <w:tcW w:w="1044"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83</w:t>
            </w:r>
          </w:p>
        </w:tc>
        <w:tc>
          <w:tcPr>
            <w:tcW w:w="846"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辆</w:t>
            </w:r>
          </w:p>
        </w:tc>
        <w:tc>
          <w:tcPr>
            <w:tcW w:w="1563" w:type="dxa"/>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1693.2</w:t>
            </w:r>
          </w:p>
        </w:tc>
      </w:tr>
    </w:tbl>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（注：具体数量以各市、县（市、区）市场监督管理局实际采购数量为准）</w:t>
      </w: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（三）经费支付方式</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浙江省市场监督管理局负责特种专业技术用车（改装皮卡车、改装中型客车）项目的招标，各市、县（市、区）市场监管局负责车辆采购手续办理、合同签订、经费落实和资金支付。</w:t>
      </w:r>
    </w:p>
    <w:p>
      <w:pPr>
        <w:snapToGrid w:val="0"/>
        <w:spacing w:line="460" w:lineRule="exact"/>
        <w:ind w:firstLine="560" w:firstLineChars="200"/>
        <w:rPr>
          <w:rFonts w:ascii="仿宋" w:hAnsi="仿宋" w:eastAsia="仿宋" w:cs="Arial"/>
          <w:sz w:val="28"/>
          <w:szCs w:val="28"/>
        </w:rPr>
      </w:pP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二、车辆技术参数及改造要求（每辆）</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改装车的总体要求：车辆改装布局合理，上装设备设置科学，系统集成操作方便，在空间、动力、外型、承载能力和安全性等方面，能满足作为特种专业技术用车的需要。</w:t>
      </w:r>
    </w:p>
    <w:p>
      <w:pPr>
        <w:snapToGrid w:val="0"/>
        <w:spacing w:line="460" w:lineRule="exact"/>
        <w:ind w:firstLine="560" w:firstLineChars="200"/>
        <w:rPr>
          <w:rFonts w:ascii="仿宋" w:hAnsi="仿宋" w:eastAsia="仿宋" w:cs="Arial"/>
          <w:sz w:val="28"/>
          <w:szCs w:val="28"/>
        </w:rPr>
      </w:pPr>
    </w:p>
    <w:p>
      <w:pPr>
        <w:snapToGrid w:val="0"/>
        <w:spacing w:line="460" w:lineRule="exact"/>
        <w:ind w:firstLine="562" w:firstLineChars="200"/>
        <w:rPr>
          <w:rFonts w:ascii="仿宋" w:hAnsi="仿宋" w:eastAsia="仿宋" w:cs="Arial"/>
          <w:b/>
          <w:sz w:val="28"/>
          <w:szCs w:val="28"/>
        </w:rPr>
      </w:pPr>
      <w:r>
        <w:rPr>
          <w:rFonts w:hint="eastAsia" w:ascii="仿宋" w:hAnsi="仿宋" w:eastAsia="仿宋" w:cs="Arial"/>
          <w:b/>
          <w:sz w:val="28"/>
          <w:szCs w:val="28"/>
        </w:rPr>
        <w:t>（三）投标人所投车辆应具有工信部的目录公告，并负责协助采购人在所在地公安交通管理部门办理特种车上牌手续，并提供改装车辆的合格证。</w:t>
      </w: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标项二：特种专业技术用车—改装中型客车</w:t>
      </w:r>
    </w:p>
    <w:p>
      <w:pPr>
        <w:snapToGrid w:val="0"/>
        <w:spacing w:line="460" w:lineRule="exact"/>
        <w:ind w:firstLine="560" w:firstLineChars="200"/>
        <w:rPr>
          <w:rFonts w:ascii="仿宋" w:hAnsi="仿宋" w:eastAsia="仿宋" w:cs="Arial"/>
          <w:bCs/>
          <w:sz w:val="28"/>
          <w:szCs w:val="28"/>
        </w:rPr>
      </w:pP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特种专业技术用车（改装中型客车）技术参数要求</w:t>
      </w:r>
    </w:p>
    <w:tbl>
      <w:tblPr>
        <w:tblStyle w:val="66"/>
        <w:tblW w:w="8909" w:type="dxa"/>
        <w:jc w:val="center"/>
        <w:tblInd w:w="0" w:type="dxa"/>
        <w:tblLayout w:type="fixed"/>
        <w:tblCellMar>
          <w:top w:w="0" w:type="dxa"/>
          <w:left w:w="0" w:type="dxa"/>
          <w:bottom w:w="0" w:type="dxa"/>
          <w:right w:w="0" w:type="dxa"/>
        </w:tblCellMar>
      </w:tblPr>
      <w:tblGrid>
        <w:gridCol w:w="1329"/>
        <w:gridCol w:w="1241"/>
        <w:gridCol w:w="814"/>
        <w:gridCol w:w="5525"/>
      </w:tblGrid>
      <w:tr>
        <w:tblPrEx>
          <w:tblLayout w:type="fixed"/>
          <w:tblCellMar>
            <w:top w:w="0" w:type="dxa"/>
            <w:left w:w="0" w:type="dxa"/>
            <w:bottom w:w="0" w:type="dxa"/>
            <w:right w:w="0" w:type="dxa"/>
          </w:tblCellMar>
        </w:tblPrEx>
        <w:trPr>
          <w:trHeight w:val="284" w:hRule="atLeast"/>
          <w:jc w:val="center"/>
        </w:trPr>
        <w:tc>
          <w:tcPr>
            <w:tcW w:w="1329" w:type="dxa"/>
            <w:tcBorders>
              <w:top w:val="single" w:color="auto" w:sz="8" w:space="0"/>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序号</w:t>
            </w:r>
          </w:p>
        </w:tc>
        <w:tc>
          <w:tcPr>
            <w:tcW w:w="2055" w:type="dxa"/>
            <w:gridSpan w:val="2"/>
            <w:tcBorders>
              <w:top w:val="single" w:color="auto" w:sz="8" w:space="0"/>
              <w:left w:val="nil"/>
              <w:bottom w:val="single" w:color="auto" w:sz="8" w:space="0"/>
              <w:right w:val="single" w:color="auto" w:sz="8"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技术项目</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技术要求</w:t>
            </w:r>
          </w:p>
        </w:tc>
      </w:tr>
      <w:tr>
        <w:tblPrEx>
          <w:tblLayout w:type="fixed"/>
          <w:tblCellMar>
            <w:top w:w="0" w:type="dxa"/>
            <w:left w:w="0" w:type="dxa"/>
            <w:bottom w:w="0" w:type="dxa"/>
            <w:right w:w="0" w:type="dxa"/>
          </w:tblCellMar>
        </w:tblPrEx>
        <w:trPr>
          <w:trHeight w:val="284" w:hRule="atLeast"/>
          <w:jc w:val="center"/>
        </w:trPr>
        <w:tc>
          <w:tcPr>
            <w:tcW w:w="1329" w:type="dxa"/>
            <w:tcBorders>
              <w:top w:val="single" w:color="auto" w:sz="8" w:space="0"/>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w:t>
            </w:r>
          </w:p>
        </w:tc>
        <w:tc>
          <w:tcPr>
            <w:tcW w:w="2055" w:type="dxa"/>
            <w:gridSpan w:val="2"/>
            <w:tcBorders>
              <w:top w:val="single" w:color="auto" w:sz="8" w:space="0"/>
              <w:left w:val="nil"/>
              <w:bottom w:val="single" w:color="auto" w:sz="8" w:space="0"/>
              <w:right w:val="single" w:color="auto" w:sz="8"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基本要求</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0" w:type="dxa"/>
            <w:bottom w:w="0" w:type="dxa"/>
            <w:right w:w="0" w:type="dxa"/>
          </w:tblCellMar>
        </w:tblPrEx>
        <w:trPr>
          <w:trHeight w:val="284"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发动机功率</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145KW</w:t>
            </w:r>
          </w:p>
        </w:tc>
      </w:tr>
      <w:tr>
        <w:tblPrEx>
          <w:tblLayout w:type="fixed"/>
          <w:tblCellMar>
            <w:top w:w="0" w:type="dxa"/>
            <w:left w:w="0" w:type="dxa"/>
            <w:bottom w:w="0" w:type="dxa"/>
            <w:right w:w="0" w:type="dxa"/>
          </w:tblCellMar>
        </w:tblPrEx>
        <w:trPr>
          <w:trHeight w:val="284"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1.2</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420" w:firstLineChars="200"/>
              <w:rPr>
                <w:rFonts w:ascii="仿宋" w:hAnsi="仿宋" w:eastAsia="仿宋" w:cs="Arial"/>
                <w:sz w:val="28"/>
                <w:szCs w:val="28"/>
              </w:rPr>
            </w:pPr>
            <w:r>
              <w:rPr>
                <w:rFonts w:asciiTheme="minorEastAsia" w:hAnsiTheme="minorEastAsia" w:eastAsiaTheme="minorEastAsia"/>
                <w:color w:val="000000"/>
                <w:szCs w:val="21"/>
              </w:rPr>
              <w:t>●</w:t>
            </w:r>
            <w:r>
              <w:rPr>
                <w:rFonts w:hint="eastAsia" w:ascii="仿宋" w:hAnsi="仿宋" w:eastAsia="仿宋" w:cs="Arial"/>
                <w:sz w:val="28"/>
                <w:szCs w:val="28"/>
              </w:rPr>
              <w:t>排 量</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≧1990ml</w:t>
            </w:r>
          </w:p>
        </w:tc>
      </w:tr>
      <w:tr>
        <w:tblPrEx>
          <w:tblLayout w:type="fixed"/>
          <w:tblCellMar>
            <w:top w:w="0" w:type="dxa"/>
            <w:left w:w="0" w:type="dxa"/>
            <w:bottom w:w="0" w:type="dxa"/>
            <w:right w:w="0" w:type="dxa"/>
          </w:tblCellMar>
        </w:tblPrEx>
        <w:trPr>
          <w:trHeight w:val="284"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1.3</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燃油种类</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汽油</w:t>
            </w:r>
          </w:p>
        </w:tc>
      </w:tr>
      <w:tr>
        <w:tblPrEx>
          <w:tblLayout w:type="fixed"/>
          <w:tblCellMar>
            <w:top w:w="0" w:type="dxa"/>
            <w:left w:w="0" w:type="dxa"/>
            <w:bottom w:w="0" w:type="dxa"/>
            <w:right w:w="0" w:type="dxa"/>
          </w:tblCellMar>
        </w:tblPrEx>
        <w:trPr>
          <w:trHeight w:val="284"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1.4</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轴 距</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2900mm</w:t>
            </w:r>
          </w:p>
        </w:tc>
      </w:tr>
      <w:tr>
        <w:tblPrEx>
          <w:tblLayout w:type="fixed"/>
          <w:tblCellMar>
            <w:top w:w="0" w:type="dxa"/>
            <w:left w:w="0" w:type="dxa"/>
            <w:bottom w:w="0" w:type="dxa"/>
            <w:right w:w="0" w:type="dxa"/>
          </w:tblCellMar>
        </w:tblPrEx>
        <w:trPr>
          <w:trHeight w:val="284"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1.5</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最大扭矩</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300N.m</w:t>
            </w:r>
          </w:p>
        </w:tc>
      </w:tr>
      <w:tr>
        <w:tblPrEx>
          <w:tblLayout w:type="fixed"/>
          <w:tblCellMar>
            <w:top w:w="0" w:type="dxa"/>
            <w:left w:w="0" w:type="dxa"/>
            <w:bottom w:w="0" w:type="dxa"/>
            <w:right w:w="0" w:type="dxa"/>
          </w:tblCellMar>
        </w:tblPrEx>
        <w:trPr>
          <w:trHeight w:val="284"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1.6</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最高时速</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140km/h</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1.7</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420" w:firstLineChars="200"/>
              <w:rPr>
                <w:rFonts w:ascii="仿宋" w:hAnsi="仿宋" w:eastAsia="仿宋" w:cs="Arial"/>
                <w:sz w:val="28"/>
                <w:szCs w:val="28"/>
              </w:rPr>
            </w:pPr>
            <w:r>
              <w:rPr>
                <w:rFonts w:asciiTheme="minorEastAsia" w:hAnsiTheme="minorEastAsia" w:eastAsiaTheme="minorEastAsia"/>
                <w:color w:val="000000"/>
                <w:szCs w:val="21"/>
              </w:rPr>
              <w:t>●</w:t>
            </w:r>
            <w:r>
              <w:rPr>
                <w:rFonts w:hint="eastAsia" w:ascii="仿宋" w:hAnsi="仿宋" w:eastAsia="仿宋" w:cs="Arial"/>
                <w:sz w:val="28"/>
                <w:szCs w:val="28"/>
              </w:rPr>
              <w:t>外观尺寸</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4850＜长≤5500mm  1900＜宽＜2035 mm</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1900＜高＜2200mm</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1.8</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制动系统</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带ABS和EBD（前后盘式，双管路液压真空助力）</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1.9</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安全装置</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正副驾驶安全气囊，按国标全车座位装备安全带，胎压检测系统，导航和倒车影像系统</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1.10</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▲乘座人数</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6人（含驾驶座）</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1.11</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▲排放标准</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符合国Ⅵ排放标准。</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1.12</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420" w:firstLineChars="200"/>
              <w:rPr>
                <w:rFonts w:ascii="仿宋" w:hAnsi="仿宋" w:eastAsia="仿宋" w:cs="Arial"/>
                <w:sz w:val="28"/>
                <w:szCs w:val="28"/>
              </w:rPr>
            </w:pPr>
            <w:r>
              <w:rPr>
                <w:rFonts w:asciiTheme="minorEastAsia" w:hAnsiTheme="minorEastAsia" w:eastAsiaTheme="minorEastAsia"/>
                <w:color w:val="000000"/>
                <w:szCs w:val="21"/>
              </w:rPr>
              <w:t>●</w:t>
            </w:r>
            <w:r>
              <w:rPr>
                <w:rFonts w:hint="eastAsia" w:ascii="仿宋" w:hAnsi="仿宋" w:eastAsia="仿宋" w:cs="Arial"/>
                <w:sz w:val="28"/>
                <w:szCs w:val="28"/>
              </w:rPr>
              <w:t>变速器</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自动变速（自动档）</w:t>
            </w:r>
          </w:p>
        </w:tc>
      </w:tr>
      <w:tr>
        <w:tblPrEx>
          <w:tblLayout w:type="fixed"/>
          <w:tblCellMar>
            <w:top w:w="0" w:type="dxa"/>
            <w:left w:w="0" w:type="dxa"/>
            <w:bottom w:w="0" w:type="dxa"/>
            <w:right w:w="0" w:type="dxa"/>
          </w:tblCellMar>
        </w:tblPrEx>
        <w:trPr>
          <w:trHeight w:val="449"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1.13</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420" w:firstLineChars="200"/>
              <w:rPr>
                <w:rFonts w:ascii="仿宋" w:hAnsi="仿宋" w:eastAsia="仿宋" w:cs="Arial"/>
                <w:sz w:val="28"/>
                <w:szCs w:val="28"/>
              </w:rPr>
            </w:pPr>
            <w:r>
              <w:rPr>
                <w:rFonts w:asciiTheme="minorEastAsia" w:hAnsiTheme="minorEastAsia" w:eastAsiaTheme="minorEastAsia"/>
                <w:color w:val="000000"/>
                <w:szCs w:val="21"/>
              </w:rPr>
              <w:t>●</w:t>
            </w:r>
            <w:r>
              <w:rPr>
                <w:rFonts w:hint="eastAsia" w:ascii="仿宋" w:hAnsi="仿宋" w:eastAsia="仿宋" w:cs="Arial"/>
                <w:sz w:val="28"/>
                <w:szCs w:val="28"/>
              </w:rPr>
              <w:t>车内空调</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前置、后置空调</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1.14</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▲准驾车型</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蓝牌</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基础装备要求</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2.1</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车身加强</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对车辆的改装不应对底盘、车身结构和安全有关的部件做任何改动。合理布置全车配重，保证前后桥载荷、左右轮承载均保持平衡，车身制造工艺先进性。</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2.2</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灭火器</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≥1Kg装量磷酸铵盐干粉灭火器1个：磷酸二氢铵含量50%、磷酸铵含量25%,内储氮气压力1.0WPa，使用温度:-20℃-+55℃。</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2.3</w:t>
            </w:r>
          </w:p>
        </w:tc>
        <w:tc>
          <w:tcPr>
            <w:tcW w:w="2055" w:type="dxa"/>
            <w:gridSpan w:val="2"/>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安全锤</w:t>
            </w:r>
          </w:p>
        </w:tc>
        <w:tc>
          <w:tcPr>
            <w:tcW w:w="5525" w:type="dxa"/>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红色、带可隔断保险带及报警功能,驾驶舱内B座左、右及后门上各安装1 把。</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4"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2.4 </w:t>
            </w:r>
          </w:p>
        </w:tc>
        <w:tc>
          <w:tcPr>
            <w:tcW w:w="2055" w:type="dxa"/>
            <w:gridSpan w:val="2"/>
            <w:tcBorders>
              <w:top w:val="nil"/>
              <w:left w:val="nil"/>
              <w:bottom w:val="single" w:color="auto" w:sz="4"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车窗膜</w:t>
            </w:r>
          </w:p>
        </w:tc>
        <w:tc>
          <w:tcPr>
            <w:tcW w:w="5525" w:type="dxa"/>
            <w:tcBorders>
              <w:top w:val="single" w:color="auto" w:sz="8" w:space="0"/>
              <w:left w:val="nil"/>
              <w:bottom w:val="single" w:color="auto" w:sz="4"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整车玻璃贴遮阳膜，除前挡、前门三角窗、安装显示屏处外，均贴深色太阳膜，太阳膜用国内市占率领先同档次品牌膜。</w:t>
            </w:r>
          </w:p>
        </w:tc>
      </w:tr>
      <w:tr>
        <w:tblPrEx>
          <w:tblLayout w:type="fixed"/>
          <w:tblCellMar>
            <w:top w:w="0" w:type="dxa"/>
            <w:left w:w="0" w:type="dxa"/>
            <w:bottom w:w="0" w:type="dxa"/>
            <w:right w:w="0" w:type="dxa"/>
          </w:tblCellMar>
        </w:tblPrEx>
        <w:trPr>
          <w:trHeight w:val="385" w:hRule="atLeast"/>
          <w:jc w:val="center"/>
        </w:trPr>
        <w:tc>
          <w:tcPr>
            <w:tcW w:w="1329"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2.5 </w:t>
            </w:r>
          </w:p>
        </w:tc>
        <w:tc>
          <w:tcPr>
            <w:tcW w:w="2055" w:type="dxa"/>
            <w:gridSpan w:val="2"/>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车身外观标识喷涂</w:t>
            </w:r>
          </w:p>
        </w:tc>
        <w:tc>
          <w:tcPr>
            <w:tcW w:w="55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车身为白色烤漆，市场监管等字样、徽标喷涂于左右车身两侧中部；车身最下方整周（沿轮胎高度以下）均喷涂蓝色烤漆。车身外字体及图案具有防水、耐日晒。车身标识有夜间反光警示功能。</w:t>
            </w:r>
          </w:p>
        </w:tc>
      </w:tr>
      <w:tr>
        <w:tblPrEx>
          <w:tblLayout w:type="fixed"/>
          <w:tblCellMar>
            <w:top w:w="0" w:type="dxa"/>
            <w:left w:w="0" w:type="dxa"/>
            <w:bottom w:w="0" w:type="dxa"/>
            <w:right w:w="0" w:type="dxa"/>
          </w:tblCellMar>
        </w:tblPrEx>
        <w:trPr>
          <w:trHeight w:val="385" w:hRule="atLeast"/>
          <w:jc w:val="center"/>
        </w:trPr>
        <w:tc>
          <w:tcPr>
            <w:tcW w:w="1329" w:type="dxa"/>
            <w:tcBorders>
              <w:top w:val="single" w:color="auto" w:sz="4" w:space="0"/>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w:t>
            </w:r>
          </w:p>
        </w:tc>
        <w:tc>
          <w:tcPr>
            <w:tcW w:w="7580" w:type="dxa"/>
            <w:gridSpan w:val="3"/>
            <w:tcBorders>
              <w:top w:val="single" w:color="auto" w:sz="4"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供电及照明系统要求</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3.1</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车辆供电系统</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1.车辆自身标配12V电力供应。</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2.另配专用车载逆变器（国内市占率领先同档次品牌），逆变器电源输出要求：</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（1）输出额定功率1000W，输出电压220V，输出频率50Hz；</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xml:space="preserve">（2）有短路、过载、低压、过压保护功能；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（3）逆变电源应具备超低的静态节能功耗：1000W一体化电源静态功耗只有15W，节能模式低至4.5W；</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（4）工频纯正弦波电源，带载能力强，可靠性高，满足感性负载设备用电；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（5）逆变电源应有CE认证，E-Mark 认证等安全认证证书</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3.配置1节65AH蓄电池组（国内市占率领先同档次品牌）。</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3.2</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外接电源供电系统</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根据车辆负载均衡设计，要具有防水防触电防漏电自动保护装置。外接220V电源供电：</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1.配有绕线盘，要求长度≥30米，3*2.5mm²（带漏电保护装置）；</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2.外接电源防水插座≥1个（黑色），16A，电压：220-240v， 防护等级：IP44；</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3.此供电系统需满足国家标准GB/T11918-2001;GB/T11919-2001）应用。</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3.3</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供电端口设计</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1.工作台应有≥3个弹出式插座，应具备要求：</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（1）电流：10A 电压：220-250v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（2）尺寸：120*120*55mm，防水防漏电短路保护器；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（3）产品执行标准GB16915.1 GB1002 GB2099.1 GB16915.2。</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（4）操作台插座≥2个，右边插座≥1个。</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2.电器控制面板集成各类电器开关，嵌入工作柜整体设计合理美观，应具备防水防漏电短路保护器。</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3.4</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整车综合布线</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1.车内布线整齐、合理、安全、可靠。车厢底部走线槽全部密封，在地板穿线孔采用过线护套，并涂胶密封，确保车底的热气、水、尘土不进入线槽或波纹管进入车内。</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2.走线槽要有可扩展的空间。走线槽需方便开启和闭合，便于线缆维护。电源线及各种信号线槽分开，避免电磁干扰。</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3.接线头和线缆部分有标识，并与说明书线束原理图与线束图相对应，便于检修。</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4.车内电源电缆走线采用明线暗装方式，所有互连电缆均经专用的走线槽，在外部看不到明线，电缆按类别分开走线。</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5.所有导线和电缆要留有适当的余量，以便操作维修，布线中并行的导线除有明确的规定外不允许绞合。</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3.5</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asciiTheme="minorEastAsia" w:hAnsiTheme="minorEastAsia" w:eastAsiaTheme="minorEastAsia"/>
                <w:color w:val="000000"/>
                <w:szCs w:val="21"/>
              </w:rPr>
              <w:t>●</w:t>
            </w:r>
            <w:r>
              <w:rPr>
                <w:rFonts w:hint="eastAsia" w:ascii="仿宋" w:hAnsi="仿宋" w:eastAsia="仿宋" w:cs="Arial"/>
                <w:sz w:val="28"/>
                <w:szCs w:val="28"/>
              </w:rPr>
              <w:t>供电要求</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1.车辆启动时，可输出220V/50Hz,可供车载设备使用，并能形成不间断供电。停止（熄火）怠速状态时，可输出220V/50Hz,可供车载设备使用，可保持不间断电源≥2小时。</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2.在220V电源输出端按置漏电及短路保护器。</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3.6</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车内照明</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1.照明LED灯≥4只，12V，外观美观，光线柔和；</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w:t>
            </w:r>
          </w:p>
        </w:tc>
        <w:tc>
          <w:tcPr>
            <w:tcW w:w="7580" w:type="dxa"/>
            <w:gridSpan w:val="3"/>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车载监控系统要求</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4.1</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车载硬盘录像机</w:t>
            </w:r>
          </w:p>
          <w:p>
            <w:pPr>
              <w:snapToGrid w:val="0"/>
              <w:spacing w:line="460" w:lineRule="exact"/>
              <w:rPr>
                <w:rFonts w:ascii="仿宋" w:hAnsi="仿宋" w:eastAsia="仿宋" w:cs="Arial"/>
                <w:sz w:val="28"/>
                <w:szCs w:val="28"/>
              </w:rPr>
            </w:pP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1.支持4路1080P视频输入、POE供电；</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2.无风扇设计、全铝机身、专业减震技术；</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3.支持3G/4G、WiFi 、GPS/北斗等；</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4.支持双码流、支持动态码率编码技术，适应无线网络带宽变化；</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5.支持报警联动录像预录功能；</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6.支持6~36V宽电压输入；</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7.内置UPS，确保异常断电不丢录像；</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8.通过ISO7637-2汽车电磁兼容标准测试；</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9.标准工业机箱尺寸，适合机车前装；</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10.内含1T硬盘。</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 质量保修期3年。</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4.2</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高清摄像头</w:t>
            </w:r>
          </w:p>
          <w:p>
            <w:pPr>
              <w:snapToGrid w:val="0"/>
              <w:spacing w:line="460" w:lineRule="exact"/>
              <w:rPr>
                <w:rFonts w:ascii="仿宋" w:hAnsi="仿宋" w:eastAsia="仿宋" w:cs="Arial"/>
                <w:sz w:val="28"/>
                <w:szCs w:val="28"/>
              </w:rPr>
            </w:pP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1.采用高性能两百万像素1/2.8英寸CMOS图像传感器，低照度效果好，图像清晰度高。</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2.可输出200万；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3.支持H.265编码，压缩比高，超低码流</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4.支持走廊模式，宽动态，3D降噪，强光抑制，背光补偿，数字水印，适用不同监控环境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5.支持ROI，SVC，SMART H.264/H.265，灵活编码，适用不同带宽和存储环境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6.最大红外监控距离20米</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7.内置MIC</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8.支持DC12V/POE供电方式,方便工程安装</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9.支持IP67，IK10防护等级</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10.配置2只（前后各1只）。</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11. 质量保修期3年。</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4.3</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显示屏</w:t>
            </w:r>
          </w:p>
          <w:p>
            <w:pPr>
              <w:snapToGrid w:val="0"/>
              <w:spacing w:line="460" w:lineRule="exact"/>
              <w:rPr>
                <w:rFonts w:ascii="仿宋" w:hAnsi="仿宋" w:eastAsia="仿宋" w:cs="Arial"/>
                <w:sz w:val="28"/>
                <w:szCs w:val="28"/>
              </w:rPr>
            </w:pP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1.屏幕尺寸：≥7.0英寸</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2.液晶屏：TFT液晶屏</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3.液晶屏比例：16:9</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4.解析度：800(H)×3RGB×234(V)</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5.对比度：300:1</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6.亮度：250cd/㎡</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7.使用电源：DC+12V</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8. 质量保修期3年。</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4"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w:t>
            </w:r>
          </w:p>
        </w:tc>
        <w:tc>
          <w:tcPr>
            <w:tcW w:w="7580" w:type="dxa"/>
            <w:gridSpan w:val="3"/>
            <w:tcBorders>
              <w:top w:val="nil"/>
              <w:left w:val="nil"/>
              <w:bottom w:val="single" w:color="auto" w:sz="4"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车内改装要求</w:t>
            </w:r>
          </w:p>
        </w:tc>
      </w:tr>
      <w:tr>
        <w:tblPrEx>
          <w:tblLayout w:type="fixed"/>
          <w:tblCellMar>
            <w:top w:w="0" w:type="dxa"/>
            <w:left w:w="0" w:type="dxa"/>
            <w:bottom w:w="0" w:type="dxa"/>
            <w:right w:w="0" w:type="dxa"/>
          </w:tblCellMar>
        </w:tblPrEx>
        <w:trPr>
          <w:trHeight w:val="1808" w:hRule="atLeast"/>
          <w:jc w:val="center"/>
        </w:trPr>
        <w:tc>
          <w:tcPr>
            <w:tcW w:w="1329"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5.1</w:t>
            </w:r>
          </w:p>
        </w:tc>
        <w:tc>
          <w:tcPr>
            <w:tcW w:w="124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安装车载冰箱</w:t>
            </w:r>
          </w:p>
          <w:p>
            <w:pPr>
              <w:snapToGrid w:val="0"/>
              <w:spacing w:line="460" w:lineRule="exact"/>
              <w:rPr>
                <w:rFonts w:ascii="仿宋" w:hAnsi="仿宋" w:eastAsia="仿宋" w:cs="Arial"/>
                <w:sz w:val="28"/>
                <w:szCs w:val="28"/>
              </w:rPr>
            </w:pPr>
          </w:p>
        </w:tc>
        <w:tc>
          <w:tcPr>
            <w:tcW w:w="6339" w:type="dxa"/>
            <w:gridSpan w:val="2"/>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 容积≥50L；</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 能效等级：1级；</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 耗电量（kwh/24h）≤0.28；</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 运作噪音dB（A）≤40；</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 质量保修期3年；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 具有抗震防护；</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7.冰箱可锁。</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5.2</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区域划分</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车内根据实际使用空间合理划分为驾驶乘坐区和工作区：</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驾驶乘坐座位合理布局，增设一个移动圆凳，要有可固定装置；左侧设置工作台，材质要能防水、阻燃、耐腐蚀。</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5.3</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工作台</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 台面宽≥600 mm，长度根据投标车型内部尺寸合理设定，高度以人体座式可进行工作操作为原则；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 车载冰箱、电器控制面板、蓄电池、逆变器、车载硬盘录像机等集成设计，整体嵌入工作柜内，整体要合理美观；</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3.工作台采用PVC发泡板材，板厚15mm；所用材料要求防水、可灭菌消毒、阻燃、防滑、耐腐蚀、环保；符合汽车内饰材料燃烧要求、防霉等级为0级、吸水率≤1.0%，需提供相应检测报告。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4.配有防震垫，工作时可提高避震性能。</w:t>
            </w:r>
          </w:p>
        </w:tc>
      </w:tr>
      <w:tr>
        <w:tblPrEx>
          <w:tblLayout w:type="fixed"/>
          <w:tblCellMar>
            <w:top w:w="0" w:type="dxa"/>
            <w:left w:w="0" w:type="dxa"/>
            <w:bottom w:w="0" w:type="dxa"/>
            <w:right w:w="0" w:type="dxa"/>
          </w:tblCellMar>
        </w:tblPrEx>
        <w:trPr>
          <w:trHeight w:val="385" w:hRule="atLeast"/>
          <w:jc w:val="center"/>
        </w:trPr>
        <w:tc>
          <w:tcPr>
            <w:tcW w:w="1329" w:type="dxa"/>
            <w:tcBorders>
              <w:top w:val="nil"/>
              <w:left w:val="single" w:color="auto" w:sz="8" w:space="0"/>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5.4</w:t>
            </w:r>
          </w:p>
        </w:tc>
        <w:tc>
          <w:tcPr>
            <w:tcW w:w="1241" w:type="dxa"/>
            <w:tcBorders>
              <w:top w:val="nil"/>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工作内饰要求</w:t>
            </w:r>
          </w:p>
        </w:tc>
        <w:tc>
          <w:tcPr>
            <w:tcW w:w="6339" w:type="dxa"/>
            <w:gridSpan w:val="2"/>
            <w:tcBorders>
              <w:top w:val="single" w:color="auto" w:sz="8" w:space="0"/>
              <w:left w:val="nil"/>
              <w:bottom w:val="single" w:color="auto" w:sz="8" w:space="0"/>
              <w:right w:val="single" w:color="auto" w:sz="8" w:space="0"/>
            </w:tcBorders>
            <w:tcMar>
              <w:top w:w="10" w:type="dxa"/>
              <w:left w:w="10" w:type="dxa"/>
              <w:bottom w:w="0" w:type="dxa"/>
              <w:right w:w="10" w:type="dxa"/>
            </w:tcMar>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内铺设防滑、耐酸碱腐蚀、防霉、耐磨、易清洗，环保，PVC塑胶地板总成</w:t>
            </w:r>
          </w:p>
        </w:tc>
      </w:tr>
    </w:tbl>
    <w:p>
      <w:pPr>
        <w:snapToGrid w:val="0"/>
        <w:spacing w:line="460" w:lineRule="exact"/>
        <w:ind w:firstLine="560" w:firstLineChars="200"/>
        <w:rPr>
          <w:rFonts w:ascii="仿宋" w:hAnsi="仿宋" w:eastAsia="仿宋" w:cs="Arial"/>
          <w:sz w:val="28"/>
          <w:szCs w:val="28"/>
        </w:rPr>
      </w:pPr>
    </w:p>
    <w:p>
      <w:pPr>
        <w:snapToGrid w:val="0"/>
        <w:spacing w:line="460" w:lineRule="exact"/>
        <w:ind w:firstLine="560" w:firstLineChars="200"/>
        <w:rPr>
          <w:rFonts w:ascii="仿宋" w:hAnsi="仿宋" w:eastAsia="仿宋" w:cs="Arial"/>
          <w:sz w:val="28"/>
          <w:szCs w:val="28"/>
        </w:rPr>
      </w:pPr>
    </w:p>
    <w:p>
      <w:r>
        <w:drawing>
          <wp:inline distT="0" distB="0" distL="0" distR="0">
            <wp:extent cx="5667375" cy="3629025"/>
            <wp:effectExtent l="0" t="0" r="9525" b="9525"/>
            <wp:docPr id="11" name="图片 11" descr="wps83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ps83C9"/>
                    <pic:cNvPicPr>
                      <a:picLocks noChangeAspect="1" noChangeArrowheads="1"/>
                    </pic:cNvPicPr>
                  </pic:nvPicPr>
                  <pic:blipFill>
                    <a:blip r:embed="rId10"/>
                    <a:srcRect/>
                    <a:stretch>
                      <a:fillRect/>
                    </a:stretch>
                  </pic:blipFill>
                  <pic:spPr>
                    <a:xfrm>
                      <a:off x="0" y="0"/>
                      <a:ext cx="5667375" cy="3629025"/>
                    </a:xfrm>
                    <a:prstGeom prst="rect">
                      <a:avLst/>
                    </a:prstGeom>
                    <a:noFill/>
                    <a:ln w="9525">
                      <a:noFill/>
                      <a:miter lim="800000"/>
                      <a:headEnd/>
                      <a:tailEnd/>
                    </a:ln>
                  </pic:spPr>
                </pic:pic>
              </a:graphicData>
            </a:graphic>
          </wp:inline>
        </w:drawing>
      </w:r>
    </w:p>
    <w:p/>
    <w:p/>
    <w:p>
      <w:r>
        <w:drawing>
          <wp:inline distT="0" distB="0" distL="0" distR="0">
            <wp:extent cx="5248275" cy="4038600"/>
            <wp:effectExtent l="0" t="0" r="9525" b="0"/>
            <wp:docPr id="12" name="图片 12" descr="wps8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ps83CA"/>
                    <pic:cNvPicPr>
                      <a:picLocks noChangeAspect="1" noChangeArrowheads="1"/>
                    </pic:cNvPicPr>
                  </pic:nvPicPr>
                  <pic:blipFill>
                    <a:blip r:embed="rId11"/>
                    <a:srcRect/>
                    <a:stretch>
                      <a:fillRect/>
                    </a:stretch>
                  </pic:blipFill>
                  <pic:spPr>
                    <a:xfrm>
                      <a:off x="0" y="0"/>
                      <a:ext cx="5248275" cy="4038600"/>
                    </a:xfrm>
                    <a:prstGeom prst="rect">
                      <a:avLst/>
                    </a:prstGeom>
                    <a:noFill/>
                    <a:ln w="9525">
                      <a:noFill/>
                      <a:miter lim="800000"/>
                      <a:headEnd/>
                      <a:tailEnd/>
                    </a:ln>
                  </pic:spPr>
                </pic:pic>
              </a:graphicData>
            </a:graphic>
          </wp:inline>
        </w:drawing>
      </w:r>
    </w:p>
    <w:p>
      <w:pPr>
        <w:rPr>
          <w:rFonts w:ascii="仿宋" w:hAnsi="仿宋" w:eastAsia="仿宋"/>
          <w:b/>
          <w:sz w:val="24"/>
          <w:szCs w:val="24"/>
        </w:rPr>
      </w:pPr>
      <w:r>
        <w:rPr>
          <w:rFonts w:hint="eastAsia" w:ascii="仿宋" w:hAnsi="仿宋" w:eastAsia="仿宋"/>
          <w:b/>
          <w:sz w:val="24"/>
          <w:szCs w:val="24"/>
        </w:rPr>
        <w:t>徽章暂时按现有的标准，待国家市场监管总局规范文件出台后，相应调整，最终以国家市场监管总局规范文件为准。</w:t>
      </w:r>
    </w:p>
    <w:p>
      <w:pPr>
        <w:snapToGrid w:val="0"/>
        <w:spacing w:line="460" w:lineRule="exact"/>
        <w:ind w:firstLine="560" w:firstLineChars="200"/>
        <w:rPr>
          <w:rFonts w:ascii="仿宋" w:hAnsi="仿宋" w:eastAsia="仿宋" w:cs="Arial"/>
          <w:sz w:val="28"/>
          <w:szCs w:val="28"/>
        </w:rPr>
      </w:pP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三、技术文件要求</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投标人所投车辆必须为工业和信息化部（原国家发改委）《车辆生产企业及产品公告目录》内网站上打印出来的公告批次为准，并提供所投车辆的证明文件（详细数据以中国汽车网打印出来的技术参数表（全部页）为准并请投标人提供）；所投车辆（底盘与发动机型号必须与公告一致）具有合法上牌手续的车辆，由中标人负责协助办理车辆上牌手续。</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2、投标车型及其基本车型（车辆底盘）需通过国家强制型产品CCC认证（须提供原件或复印件，如提供复印件时，须加盖投标人公章）。</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3、符合国Ⅵ排放标准的证明。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4、投标车型应严格执行最新的《机动车运安全技术条件》及相关标准要求。</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5、投标人投标时，须提供国家工业和信息化部指定检测机构出具的投标车型的测试报告，并提供投标车型的公告页及参数备案表（须提供原件或复印件，如提供复印件时，须加盖投标人公章）。</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6、投标车型必须是列入国家汽车公告目录的合格产品，并提供合格证。</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7、投标人在投标时，须提交详细改装设计方案说明，包括但不限于：总体布置图、相关产品图片、设计说明等。</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8、投标人所投车型需符合国家安全和环保法律法规的要求，所有车辆需是全新的（包括所有零部件、专用工具等），表面无划伤、无碰撞，各项技术指标完全符合国家标准及产品出厂标准。</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▲9、投标人须承诺：若本项目中标，样车经采购人确认后方可投产(须提供承诺书并加盖单位公章）。</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10、投标人应提供所投产品底盘生产厂家出具的售后服务承诺。</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注： 提供证明相关配置的有关文件和资料，如技术白皮书、说明书、检测报告、产品彩页等。</w:t>
      </w:r>
    </w:p>
    <w:p>
      <w:pPr>
        <w:snapToGrid w:val="0"/>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四、商务要求</w:t>
      </w:r>
    </w:p>
    <w:tbl>
      <w:tblPr>
        <w:tblStyle w:val="66"/>
        <w:tblW w:w="8222" w:type="dxa"/>
        <w:tblInd w:w="250" w:type="dxa"/>
        <w:tblLayout w:type="fixed"/>
        <w:tblCellMar>
          <w:top w:w="0" w:type="dxa"/>
          <w:left w:w="108" w:type="dxa"/>
          <w:bottom w:w="0" w:type="dxa"/>
          <w:right w:w="108" w:type="dxa"/>
        </w:tblCellMar>
      </w:tblPr>
      <w:tblGrid>
        <w:gridCol w:w="1843"/>
        <w:gridCol w:w="6379"/>
      </w:tblGrid>
      <w:tr>
        <w:tblPrEx>
          <w:tblLayout w:type="fixed"/>
          <w:tblCellMar>
            <w:top w:w="0" w:type="dxa"/>
            <w:left w:w="108" w:type="dxa"/>
            <w:bottom w:w="0" w:type="dxa"/>
            <w:right w:w="108" w:type="dxa"/>
          </w:tblCellMar>
        </w:tblPrEx>
        <w:trPr>
          <w:trHeight w:val="902" w:hRule="atLeast"/>
        </w:trPr>
        <w:tc>
          <w:tcPr>
            <w:tcW w:w="1843" w:type="dxa"/>
            <w:vMerge w:val="restart"/>
            <w:tcBorders>
              <w:top w:val="single" w:color="auto" w:sz="4" w:space="0"/>
              <w:left w:val="single" w:color="auto" w:sz="4" w:space="0"/>
              <w:bottom w:val="nil"/>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售后服务</w:t>
            </w: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投标人应按照本采购项目特点提供长期良好的售后服务，并在投标文件中提供详细具体的售后服务承诺条款及保证。</w:t>
            </w:r>
          </w:p>
        </w:tc>
      </w:tr>
      <w:tr>
        <w:tblPrEx>
          <w:tblLayout w:type="fixed"/>
          <w:tblCellMar>
            <w:top w:w="0" w:type="dxa"/>
            <w:left w:w="108" w:type="dxa"/>
            <w:bottom w:w="0" w:type="dxa"/>
            <w:right w:w="108" w:type="dxa"/>
          </w:tblCellMar>
        </w:tblPrEx>
        <w:trPr>
          <w:trHeight w:val="995" w:hRule="atLeast"/>
        </w:trPr>
        <w:tc>
          <w:tcPr>
            <w:tcW w:w="1843" w:type="dxa"/>
            <w:vMerge w:val="continue"/>
            <w:tcBorders>
              <w:top w:val="single" w:color="auto" w:sz="4" w:space="0"/>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b/>
                <w:color w:val="FF0000"/>
                <w:sz w:val="28"/>
                <w:szCs w:val="28"/>
              </w:rPr>
            </w:pPr>
            <w:r>
              <w:rPr>
                <w:rFonts w:hint="eastAsia" w:ascii="仿宋" w:hAnsi="仿宋" w:eastAsia="仿宋"/>
                <w:b/>
                <w:sz w:val="28"/>
                <w:szCs w:val="28"/>
              </w:rPr>
              <w:t>▲投标人应提供所投产品底盘生产厂家能够提供改装车整车售后服务承诺(或投标人承诺中标后提供)。</w:t>
            </w:r>
          </w:p>
        </w:tc>
      </w:tr>
      <w:tr>
        <w:tblPrEx>
          <w:tblLayout w:type="fixed"/>
          <w:tblCellMar>
            <w:top w:w="0" w:type="dxa"/>
            <w:left w:w="108" w:type="dxa"/>
            <w:bottom w:w="0" w:type="dxa"/>
            <w:right w:w="108" w:type="dxa"/>
          </w:tblCellMar>
        </w:tblPrEx>
        <w:trPr>
          <w:trHeight w:val="550" w:hRule="atLeast"/>
        </w:trPr>
        <w:tc>
          <w:tcPr>
            <w:tcW w:w="1843" w:type="dxa"/>
            <w:vMerge w:val="continue"/>
            <w:tcBorders>
              <w:top w:val="single" w:color="auto" w:sz="4" w:space="0"/>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改装设备售后及维修：有厂家工程师负责安装、培训以及售后服务。质量保修期3年。</w:t>
            </w:r>
          </w:p>
        </w:tc>
      </w:tr>
      <w:tr>
        <w:tblPrEx>
          <w:tblLayout w:type="fixed"/>
          <w:tblCellMar>
            <w:top w:w="0" w:type="dxa"/>
            <w:left w:w="108" w:type="dxa"/>
            <w:bottom w:w="0" w:type="dxa"/>
            <w:right w:w="108" w:type="dxa"/>
          </w:tblCellMar>
        </w:tblPrEx>
        <w:trPr>
          <w:trHeight w:val="902" w:hRule="atLeast"/>
        </w:trPr>
        <w:tc>
          <w:tcPr>
            <w:tcW w:w="1843" w:type="dxa"/>
            <w:vMerge w:val="continue"/>
            <w:tcBorders>
              <w:top w:val="single" w:color="auto" w:sz="4" w:space="0"/>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投标时需提供车辆底盘生产厂家在浙江省内的售后服务网点地址及联系方式。</w:t>
            </w:r>
          </w:p>
        </w:tc>
      </w:tr>
      <w:tr>
        <w:tblPrEx>
          <w:tblLayout w:type="fixed"/>
          <w:tblCellMar>
            <w:top w:w="0" w:type="dxa"/>
            <w:left w:w="108" w:type="dxa"/>
            <w:bottom w:w="0" w:type="dxa"/>
            <w:right w:w="108" w:type="dxa"/>
          </w:tblCellMar>
        </w:tblPrEx>
        <w:trPr>
          <w:trHeight w:val="1558" w:hRule="atLeast"/>
        </w:trPr>
        <w:tc>
          <w:tcPr>
            <w:tcW w:w="1843" w:type="dxa"/>
            <w:vMerge w:val="continue"/>
            <w:tcBorders>
              <w:top w:val="single" w:color="auto" w:sz="4" w:space="0"/>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nil"/>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具有良好的售后维修保障体系：中标人提供24小时全天候服务，在浙江省内设有常驻售后服务机构及配件库，如设备发生故障，从接到通知时起，维修响应不超过12小时，到达现场时间不超过12小时。</w:t>
            </w:r>
          </w:p>
        </w:tc>
      </w:tr>
      <w:tr>
        <w:tblPrEx>
          <w:tblLayout w:type="fixed"/>
          <w:tblCellMar>
            <w:top w:w="0" w:type="dxa"/>
            <w:left w:w="108" w:type="dxa"/>
            <w:bottom w:w="0" w:type="dxa"/>
            <w:right w:w="108" w:type="dxa"/>
          </w:tblCellMar>
        </w:tblPrEx>
        <w:trPr>
          <w:trHeight w:val="902" w:hRule="atLeast"/>
        </w:trPr>
        <w:tc>
          <w:tcPr>
            <w:tcW w:w="1843" w:type="dxa"/>
            <w:vMerge w:val="continue"/>
            <w:tcBorders>
              <w:top w:val="single" w:color="auto" w:sz="4" w:space="0"/>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投标人报价应包括货物采购、运输、安装、调试、相关部门验收及保修期内的维护保养等所有费用，以及投标人认为必要的其他货物、材料、工程、服务；投标人应自行增加货物正常、合法、安全运行及使用所必需但招标文件没有包含的所有货物、版权、专利等一切费用，如果投标人在中标并签署合同后，在供货、安装、调试、培训等工作中出现货物的任何遗漏，均由中标人免费提供，采购人将不再支付任何费用。</w:t>
            </w:r>
          </w:p>
        </w:tc>
      </w:tr>
      <w:tr>
        <w:tblPrEx>
          <w:tblLayout w:type="fixed"/>
          <w:tblCellMar>
            <w:top w:w="0" w:type="dxa"/>
            <w:left w:w="108" w:type="dxa"/>
            <w:bottom w:w="0" w:type="dxa"/>
            <w:right w:w="108" w:type="dxa"/>
          </w:tblCellMar>
        </w:tblPrEx>
        <w:trPr>
          <w:trHeight w:val="902" w:hRule="atLeast"/>
        </w:trPr>
        <w:tc>
          <w:tcPr>
            <w:tcW w:w="1843" w:type="dxa"/>
            <w:vMerge w:val="restart"/>
            <w:tcBorders>
              <w:top w:val="single" w:color="auto" w:sz="4" w:space="0"/>
              <w:left w:val="single" w:color="auto" w:sz="4" w:space="0"/>
              <w:bottom w:val="nil"/>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质量保证</w:t>
            </w: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b/>
                <w:color w:val="FF0000"/>
                <w:sz w:val="28"/>
                <w:szCs w:val="28"/>
              </w:rPr>
            </w:pPr>
            <w:r>
              <w:rPr>
                <w:rFonts w:hint="eastAsia" w:ascii="仿宋" w:hAnsi="仿宋" w:eastAsia="仿宋" w:cs="仿宋_GB2312"/>
                <w:b/>
                <w:sz w:val="28"/>
                <w:szCs w:val="28"/>
                <w:lang w:val="zh-CN"/>
              </w:rPr>
              <w:t>改装车质保期：质保期为两年。质</w:t>
            </w:r>
            <w:r>
              <w:rPr>
                <w:rFonts w:hint="eastAsia" w:ascii="仿宋" w:hAnsi="仿宋" w:eastAsia="仿宋"/>
                <w:b/>
                <w:sz w:val="28"/>
                <w:szCs w:val="28"/>
              </w:rPr>
              <w:t>保期内每年不少于两次免费保养。保修自采购人验收合格之日起计算。</w:t>
            </w:r>
          </w:p>
        </w:tc>
      </w:tr>
      <w:tr>
        <w:tblPrEx>
          <w:tblLayout w:type="fixed"/>
          <w:tblCellMar>
            <w:top w:w="0" w:type="dxa"/>
            <w:left w:w="108" w:type="dxa"/>
            <w:bottom w:w="0" w:type="dxa"/>
            <w:right w:w="108" w:type="dxa"/>
          </w:tblCellMar>
        </w:tblPrEx>
        <w:trPr>
          <w:trHeight w:val="902" w:hRule="atLeast"/>
        </w:trPr>
        <w:tc>
          <w:tcPr>
            <w:tcW w:w="1843" w:type="dxa"/>
            <w:vMerge w:val="continue"/>
            <w:tcBorders>
              <w:top w:val="nil"/>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质保期内，因设计、制造或材料不良、零部件选用不当而发生故障（非人为因素），造成产品不能正常使用，应无偿维修更换。由于产品本身质量问题引起的故障，解除故障时所发生的一切费用均由中标人承担（不包括易损件）。</w:t>
            </w:r>
          </w:p>
        </w:tc>
      </w:tr>
      <w:tr>
        <w:tblPrEx>
          <w:tblLayout w:type="fixed"/>
          <w:tblCellMar>
            <w:top w:w="0" w:type="dxa"/>
            <w:left w:w="108" w:type="dxa"/>
            <w:bottom w:w="0" w:type="dxa"/>
            <w:right w:w="108" w:type="dxa"/>
          </w:tblCellMar>
        </w:tblPrEx>
        <w:trPr>
          <w:trHeight w:val="902" w:hRule="atLeast"/>
        </w:trPr>
        <w:tc>
          <w:tcPr>
            <w:tcW w:w="1843" w:type="dxa"/>
            <w:vMerge w:val="continue"/>
            <w:tcBorders>
              <w:top w:val="nil"/>
              <w:left w:val="single" w:color="auto" w:sz="4" w:space="0"/>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质量保证期过后，将提供终身服务，维修保养所产生工时费按成本价收取的优惠率和维修材料管理费收取的优惠率的承诺。</w:t>
            </w:r>
          </w:p>
        </w:tc>
      </w:tr>
      <w:tr>
        <w:tblPrEx>
          <w:tblLayout w:type="fixed"/>
          <w:tblCellMar>
            <w:top w:w="0" w:type="dxa"/>
            <w:left w:w="108" w:type="dxa"/>
            <w:bottom w:w="0" w:type="dxa"/>
            <w:right w:w="108" w:type="dxa"/>
          </w:tblCellMar>
        </w:tblPrEx>
        <w:trPr>
          <w:trHeight w:val="902"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付款条件</w:t>
            </w: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货款由全省各市、县（市、区）市场监管局进行支付，车辆到货并经验收合格后15个工作日内，一次性全额支付，中标人应提供等额的正式发票。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tc>
      </w:tr>
      <w:tr>
        <w:tblPrEx>
          <w:tblLayout w:type="fixed"/>
          <w:tblCellMar>
            <w:top w:w="0" w:type="dxa"/>
            <w:left w:w="108" w:type="dxa"/>
            <w:bottom w:w="0" w:type="dxa"/>
            <w:right w:w="108" w:type="dxa"/>
          </w:tblCellMar>
        </w:tblPrEx>
        <w:trPr>
          <w:trHeight w:val="902"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▲供货时间及地点</w:t>
            </w: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交货时间：样车确认及合同签订后55天内供货。</w:t>
            </w:r>
          </w:p>
          <w:p>
            <w:pPr>
              <w:snapToGrid w:val="0"/>
              <w:spacing w:line="460" w:lineRule="exact"/>
              <w:rPr>
                <w:rFonts w:ascii="仿宋" w:hAnsi="仿宋" w:eastAsia="仿宋" w:cs="Arial"/>
                <w:sz w:val="28"/>
                <w:szCs w:val="28"/>
              </w:rPr>
            </w:pPr>
            <w:r>
              <w:rPr>
                <w:rFonts w:hint="eastAsia" w:ascii="仿宋" w:hAnsi="仿宋" w:eastAsia="仿宋" w:cs="Arial"/>
                <w:sz w:val="28"/>
                <w:szCs w:val="28"/>
              </w:rPr>
              <w:t>交货地点：采购人指定地点。</w:t>
            </w:r>
          </w:p>
        </w:tc>
      </w:tr>
      <w:tr>
        <w:tblPrEx>
          <w:tblLayout w:type="fixed"/>
          <w:tblCellMar>
            <w:top w:w="0" w:type="dxa"/>
            <w:left w:w="108" w:type="dxa"/>
            <w:bottom w:w="0" w:type="dxa"/>
            <w:right w:w="108" w:type="dxa"/>
          </w:tblCellMar>
        </w:tblPrEx>
        <w:trPr>
          <w:trHeight w:val="902"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 w:hAnsi="仿宋" w:eastAsia="仿宋" w:cs="Arial"/>
                <w:sz w:val="28"/>
                <w:szCs w:val="28"/>
              </w:rPr>
            </w:pPr>
            <w:r>
              <w:rPr>
                <w:rFonts w:hint="eastAsia" w:ascii="仿宋" w:hAnsi="仿宋" w:eastAsia="仿宋" w:cs="Arial"/>
                <w:sz w:val="28"/>
                <w:szCs w:val="28"/>
              </w:rPr>
              <w:t>样车要求</w:t>
            </w:r>
          </w:p>
        </w:tc>
        <w:tc>
          <w:tcPr>
            <w:tcW w:w="6379"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 w:hAnsi="仿宋" w:eastAsia="仿宋"/>
                <w:b/>
                <w:sz w:val="24"/>
                <w:szCs w:val="24"/>
              </w:rPr>
            </w:pPr>
            <w:r>
              <w:rPr>
                <w:rFonts w:hint="eastAsia" w:ascii="仿宋" w:hAnsi="仿宋" w:eastAsia="仿宋"/>
                <w:b/>
                <w:sz w:val="24"/>
                <w:szCs w:val="24"/>
              </w:rPr>
              <w:t>需要提供样车1辆，提供样车的供应商应在</w:t>
            </w:r>
            <w:r>
              <w:rPr>
                <w:rFonts w:hint="eastAsia" w:ascii="仿宋" w:hAnsi="仿宋" w:eastAsia="仿宋"/>
                <w:b/>
                <w:sz w:val="24"/>
                <w:szCs w:val="24"/>
                <w:lang w:eastAsia="zh-CN"/>
              </w:rPr>
              <w:t>投标截止</w:t>
            </w:r>
            <w:r>
              <w:rPr>
                <w:rFonts w:hint="eastAsia" w:ascii="仿宋" w:hAnsi="仿宋" w:eastAsia="仿宋"/>
                <w:b/>
                <w:sz w:val="24"/>
                <w:szCs w:val="24"/>
              </w:rPr>
              <w:t>前将样车停放在杭州市下城区环城北路305号耀江发展中心地面底车场指定位置，具体停放位置听从现场物业保安安排，供专家现场评审，逾期拒收。请提前到达，确保车位充足。</w:t>
            </w:r>
          </w:p>
          <w:p>
            <w:pPr>
              <w:snapToGrid w:val="0"/>
              <w:spacing w:line="460" w:lineRule="exact"/>
              <w:rPr>
                <w:rFonts w:ascii="仿宋" w:hAnsi="仿宋" w:eastAsia="仿宋"/>
                <w:b/>
                <w:sz w:val="24"/>
                <w:szCs w:val="24"/>
              </w:rPr>
            </w:pPr>
            <w:r>
              <w:rPr>
                <w:rFonts w:hint="eastAsia" w:ascii="仿宋" w:hAnsi="仿宋" w:eastAsia="仿宋"/>
                <w:b/>
                <w:sz w:val="24"/>
                <w:szCs w:val="24"/>
              </w:rPr>
              <w:t>开标当天，评标结束请供应商将样车停至采购人指定场地封存，未中标供应商等中标公告结束无异议后自行开回。</w:t>
            </w:r>
          </w:p>
        </w:tc>
      </w:tr>
    </w:tbl>
    <w:p>
      <w:pPr>
        <w:snapToGrid w:val="0"/>
        <w:spacing w:line="460" w:lineRule="exact"/>
        <w:ind w:firstLine="560" w:firstLineChars="200"/>
        <w:rPr>
          <w:rFonts w:ascii="仿宋" w:hAnsi="仿宋" w:eastAsia="仿宋" w:cs="Arial"/>
          <w:sz w:val="28"/>
          <w:szCs w:val="28"/>
        </w:rPr>
      </w:pPr>
    </w:p>
    <w:p>
      <w:pPr>
        <w:snapToGrid w:val="0"/>
        <w:spacing w:line="460" w:lineRule="exact"/>
        <w:rPr>
          <w:rFonts w:ascii="仿宋" w:hAnsi="仿宋" w:eastAsia="仿宋" w:cs="Arial"/>
          <w:b/>
          <w:bCs/>
          <w:sz w:val="28"/>
          <w:szCs w:val="28"/>
        </w:rPr>
      </w:pPr>
      <w:r>
        <w:rPr>
          <w:rFonts w:hint="eastAsia" w:ascii="仿宋" w:hAnsi="仿宋" w:eastAsia="仿宋" w:cs="Arial"/>
          <w:b/>
          <w:bCs/>
          <w:sz w:val="28"/>
          <w:szCs w:val="28"/>
        </w:rPr>
        <w:t>五、各市、县（市、区）市场监管系统特种专业技术用车项目情况表</w:t>
      </w:r>
    </w:p>
    <w:tbl>
      <w:tblPr>
        <w:tblStyle w:val="66"/>
        <w:tblW w:w="9781" w:type="dxa"/>
        <w:tblInd w:w="-601" w:type="dxa"/>
        <w:tblLayout w:type="fixed"/>
        <w:tblCellMar>
          <w:top w:w="0" w:type="dxa"/>
          <w:left w:w="108" w:type="dxa"/>
          <w:bottom w:w="0" w:type="dxa"/>
          <w:right w:w="108" w:type="dxa"/>
        </w:tblCellMar>
      </w:tblPr>
      <w:tblGrid>
        <w:gridCol w:w="993"/>
        <w:gridCol w:w="3969"/>
        <w:gridCol w:w="1276"/>
        <w:gridCol w:w="3543"/>
      </w:tblGrid>
      <w:tr>
        <w:tblPrEx>
          <w:tblLayout w:type="fixed"/>
          <w:tblCellMar>
            <w:top w:w="0" w:type="dxa"/>
            <w:left w:w="108" w:type="dxa"/>
            <w:bottom w:w="0" w:type="dxa"/>
            <w:right w:w="108" w:type="dxa"/>
          </w:tblCellMar>
        </w:tblPrEx>
        <w:trPr>
          <w:trHeight w:val="460" w:hRule="atLeast"/>
        </w:trPr>
        <w:tc>
          <w:tcPr>
            <w:tcW w:w="993" w:type="dxa"/>
            <w:vMerge w:val="restart"/>
            <w:tcBorders>
              <w:top w:val="single" w:color="auto" w:sz="4" w:space="0"/>
              <w:left w:val="single" w:color="auto" w:sz="4" w:space="0"/>
              <w:bottom w:val="single" w:color="000000"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序号</w:t>
            </w:r>
          </w:p>
        </w:tc>
        <w:tc>
          <w:tcPr>
            <w:tcW w:w="3969" w:type="dxa"/>
            <w:vMerge w:val="restart"/>
            <w:tcBorders>
              <w:top w:val="single" w:color="auto" w:sz="4" w:space="0"/>
              <w:left w:val="nil"/>
              <w:bottom w:val="single" w:color="000000" w:sz="4" w:space="0"/>
              <w:right w:val="nil"/>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名    称</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序号</w:t>
            </w:r>
          </w:p>
        </w:tc>
        <w:tc>
          <w:tcPr>
            <w:tcW w:w="3543" w:type="dxa"/>
            <w:vMerge w:val="restart"/>
            <w:tcBorders>
              <w:top w:val="single" w:color="auto" w:sz="4" w:space="0"/>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名   称</w:t>
            </w:r>
          </w:p>
        </w:tc>
      </w:tr>
      <w:tr>
        <w:tblPrEx>
          <w:tblLayout w:type="fixed"/>
          <w:tblCellMar>
            <w:top w:w="0" w:type="dxa"/>
            <w:left w:w="108" w:type="dxa"/>
            <w:bottom w:w="0" w:type="dxa"/>
            <w:right w:w="108" w:type="dxa"/>
          </w:tblCellMar>
        </w:tblPrEx>
        <w:trPr>
          <w:trHeight w:val="460"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3969" w:type="dxa"/>
            <w:vMerge w:val="continue"/>
            <w:tcBorders>
              <w:top w:val="single" w:color="auto" w:sz="4" w:space="0"/>
              <w:left w:val="nil"/>
              <w:bottom w:val="single" w:color="000000" w:sz="4" w:space="0"/>
              <w:right w:val="nil"/>
            </w:tcBorders>
            <w:vAlign w:val="center"/>
          </w:tcPr>
          <w:p>
            <w:pPr>
              <w:snapToGrid w:val="0"/>
              <w:spacing w:line="460" w:lineRule="exact"/>
              <w:ind w:firstLine="560" w:firstLineChars="200"/>
              <w:rPr>
                <w:rFonts w:ascii="仿宋" w:hAnsi="仿宋" w:eastAsia="仿宋" w:cs="Arial"/>
                <w:sz w:val="28"/>
                <w:szCs w:val="28"/>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c>
          <w:tcPr>
            <w:tcW w:w="3543" w:type="dxa"/>
            <w:vMerge w:val="continue"/>
            <w:tcBorders>
              <w:top w:val="single" w:color="auto" w:sz="4" w:space="0"/>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w:t>
            </w:r>
          </w:p>
        </w:tc>
        <w:tc>
          <w:tcPr>
            <w:tcW w:w="3969" w:type="dxa"/>
            <w:tcBorders>
              <w:top w:val="nil"/>
              <w:left w:val="nil"/>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杭州</w:t>
            </w:r>
          </w:p>
        </w:tc>
        <w:tc>
          <w:tcPr>
            <w:tcW w:w="1276" w:type="dxa"/>
            <w:tcBorders>
              <w:top w:val="nil"/>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　</w:t>
            </w:r>
          </w:p>
        </w:tc>
        <w:tc>
          <w:tcPr>
            <w:tcW w:w="3543" w:type="dxa"/>
            <w:tcBorders>
              <w:top w:val="single" w:color="auto" w:sz="4" w:space="0"/>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金华</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1</w:t>
            </w:r>
          </w:p>
        </w:tc>
        <w:tc>
          <w:tcPr>
            <w:tcW w:w="3969" w:type="dxa"/>
            <w:tcBorders>
              <w:top w:val="single" w:color="auto" w:sz="4" w:space="0"/>
              <w:left w:val="nil"/>
              <w:bottom w:val="nil"/>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杭州市市场监管局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31</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义乌市市场监管局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2</w:t>
            </w:r>
          </w:p>
        </w:tc>
        <w:tc>
          <w:tcPr>
            <w:tcW w:w="3969" w:type="dxa"/>
            <w:tcBorders>
              <w:top w:val="single" w:color="auto" w:sz="4" w:space="0"/>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江干区市场监管局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32</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东阳市市场监管局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3</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拱墅区市场监管局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33</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浦江县市场监管局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4</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高新（滨江）区市场监管局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34</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永康市市场监管局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5</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桐庐市市场监管局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35</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磐安县市场监管局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6</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钱塘新区市场监管局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衢州</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温州</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36</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衢州市市场监管局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7</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温州市市场监管局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37</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衢江区市场监管局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8</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龙湾区市场监管局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38</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柯城区市场监管局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r>
              <w:rPr>
                <w:rFonts w:hint="eastAsia" w:ascii="仿宋" w:hAnsi="仿宋" w:eastAsia="仿宋" w:cs="Arial"/>
                <w:sz w:val="28"/>
                <w:szCs w:val="28"/>
              </w:rPr>
              <w:t>9</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瓯海区市场监管局</w:t>
            </w:r>
          </w:p>
        </w:tc>
        <w:tc>
          <w:tcPr>
            <w:tcW w:w="1276" w:type="dxa"/>
            <w:tcBorders>
              <w:top w:val="nil"/>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39</w:t>
            </w:r>
          </w:p>
        </w:tc>
        <w:tc>
          <w:tcPr>
            <w:tcW w:w="3543" w:type="dxa"/>
            <w:tcBorders>
              <w:top w:val="nil"/>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常山县市场监管局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10</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鹿城区市场监管局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40</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开化县市场监管局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11</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乐清市市场监管局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41</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江山市市场监管局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12</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洞头县市场监管局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42</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龙游县市场监管局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13</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泰顺县市场监管局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台州</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14</w:t>
            </w:r>
          </w:p>
        </w:tc>
        <w:tc>
          <w:tcPr>
            <w:tcW w:w="3969"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文成县市场监管局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43</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黄岩区市场监管局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15</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龙港市市场监管局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44</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路桥区市场监管局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16</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苍南县市场监管局</w:t>
            </w:r>
          </w:p>
        </w:tc>
        <w:tc>
          <w:tcPr>
            <w:tcW w:w="1276" w:type="dxa"/>
            <w:tcBorders>
              <w:top w:val="nil"/>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45</w:t>
            </w:r>
          </w:p>
        </w:tc>
        <w:tc>
          <w:tcPr>
            <w:tcW w:w="3543" w:type="dxa"/>
            <w:tcBorders>
              <w:top w:val="nil"/>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临海市市场监管局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17</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永嘉县市场监管局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46</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天台县市场监管局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18</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瑞安市市场监管局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47</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仙居县市场监管局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19</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平阳市市场监管局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48</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三门县市场监管局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绍兴</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丽水</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20</w:t>
            </w:r>
          </w:p>
        </w:tc>
        <w:tc>
          <w:tcPr>
            <w:tcW w:w="3969"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越城区市场监管局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49</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龙泉市市场监管局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21</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上虞区市场监管局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50</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青田县市场监管局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22</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新昌县市场监管局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51</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松阳县市场监管局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23</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柯桥区市场监管局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52</w:t>
            </w:r>
          </w:p>
        </w:tc>
        <w:tc>
          <w:tcPr>
            <w:tcW w:w="3543" w:type="dxa"/>
            <w:tcBorders>
              <w:top w:val="nil"/>
              <w:left w:val="nil"/>
              <w:bottom w:val="nil"/>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景宁县市场监督局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24</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嵊州市市场监管局</w:t>
            </w:r>
          </w:p>
        </w:tc>
        <w:tc>
          <w:tcPr>
            <w:tcW w:w="1276" w:type="dxa"/>
            <w:tcBorders>
              <w:top w:val="nil"/>
              <w:left w:val="nil"/>
              <w:bottom w:val="single" w:color="auto" w:sz="4" w:space="0"/>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53</w:t>
            </w:r>
          </w:p>
        </w:tc>
        <w:tc>
          <w:tcPr>
            <w:tcW w:w="3543" w:type="dxa"/>
            <w:tcBorders>
              <w:top w:val="single" w:color="auto" w:sz="4" w:space="0"/>
              <w:left w:val="nil"/>
              <w:bottom w:val="nil"/>
              <w:right w:val="single" w:color="auto" w:sz="4" w:space="0"/>
            </w:tcBorders>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缙云县市场监管局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嘉兴</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single" w:color="auto" w:sz="4" w:space="0"/>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舟山</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25</w:t>
            </w:r>
          </w:p>
        </w:tc>
        <w:tc>
          <w:tcPr>
            <w:tcW w:w="3969"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嘉善县市场监管局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54</w:t>
            </w: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舟山市市场监管局</w:t>
            </w: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ind w:firstLine="560" w:firstLineChars="200"/>
              <w:jc w:val="center"/>
              <w:rPr>
                <w:rFonts w:ascii="仿宋" w:hAnsi="仿宋" w:eastAsia="仿宋" w:cs="Arial"/>
                <w:sz w:val="28"/>
                <w:szCs w:val="28"/>
              </w:rPr>
            </w:pP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湖州</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26</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湖州市市场监管局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27</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安吉县市场监管局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28</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吴兴区市场监管局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29</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长兴县市场监管局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p>
        </w:tc>
      </w:tr>
      <w:tr>
        <w:tblPrEx>
          <w:tblLayout w:type="fixed"/>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jc w:val="center"/>
              <w:rPr>
                <w:rFonts w:ascii="仿宋" w:hAnsi="仿宋" w:eastAsia="仿宋" w:cs="Arial"/>
                <w:sz w:val="28"/>
                <w:szCs w:val="28"/>
              </w:rPr>
            </w:pPr>
            <w:r>
              <w:rPr>
                <w:rFonts w:hint="eastAsia" w:ascii="仿宋" w:hAnsi="仿宋" w:eastAsia="仿宋" w:cs="Arial"/>
                <w:sz w:val="28"/>
                <w:szCs w:val="28"/>
              </w:rPr>
              <w:t>30</w:t>
            </w:r>
          </w:p>
        </w:tc>
        <w:tc>
          <w:tcPr>
            <w:tcW w:w="3969"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德清县市场监管局</w:t>
            </w:r>
          </w:p>
        </w:tc>
        <w:tc>
          <w:tcPr>
            <w:tcW w:w="1276" w:type="dxa"/>
            <w:tcBorders>
              <w:top w:val="nil"/>
              <w:left w:val="nil"/>
              <w:bottom w:val="single" w:color="auto" w:sz="4" w:space="0"/>
              <w:right w:val="single" w:color="auto" w:sz="4" w:space="0"/>
            </w:tcBorders>
            <w:shd w:val="clear" w:color="auto" w:fill="auto"/>
            <w:vAlign w:val="center"/>
          </w:tcPr>
          <w:p>
            <w:pPr>
              <w:snapToGrid w:val="0"/>
              <w:spacing w:line="460" w:lineRule="exact"/>
              <w:ind w:firstLine="560" w:firstLineChars="200"/>
              <w:rPr>
                <w:rFonts w:ascii="仿宋" w:hAnsi="仿宋" w:eastAsia="仿宋" w:cs="Arial"/>
                <w:sz w:val="28"/>
                <w:szCs w:val="28"/>
              </w:rPr>
            </w:pPr>
          </w:p>
        </w:tc>
        <w:tc>
          <w:tcPr>
            <w:tcW w:w="3543" w:type="dxa"/>
            <w:tcBorders>
              <w:top w:val="nil"/>
              <w:left w:val="nil"/>
              <w:bottom w:val="single" w:color="auto" w:sz="4" w:space="0"/>
              <w:right w:val="single" w:color="auto" w:sz="4" w:space="0"/>
            </w:tcBorders>
            <w:shd w:val="clear" w:color="auto" w:fill="FFFFFF"/>
            <w:vAlign w:val="center"/>
          </w:tcPr>
          <w:p>
            <w:pPr>
              <w:snapToGrid w:val="0"/>
              <w:spacing w:line="460" w:lineRule="exact"/>
              <w:ind w:firstLine="560" w:firstLineChars="200"/>
              <w:rPr>
                <w:rFonts w:ascii="仿宋" w:hAnsi="仿宋" w:eastAsia="仿宋" w:cs="Arial"/>
                <w:sz w:val="28"/>
                <w:szCs w:val="28"/>
              </w:rPr>
            </w:pPr>
          </w:p>
        </w:tc>
      </w:tr>
    </w:tbl>
    <w:p>
      <w:pPr>
        <w:pStyle w:val="33"/>
        <w:spacing w:before="120" w:after="120" w:line="360" w:lineRule="auto"/>
        <w:rPr>
          <w:rFonts w:hint="eastAsia" w:hAnsi="宋体" w:eastAsia="宋体"/>
          <w:b/>
          <w:color w:val="000000"/>
          <w:sz w:val="36"/>
          <w:szCs w:val="36"/>
          <w:lang w:eastAsia="zh-CN"/>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ascii="仿宋" w:hAnsi="仿宋" w:eastAsia="仿宋"/>
          <w:b/>
          <w:sz w:val="36"/>
          <w:szCs w:val="36"/>
        </w:rPr>
      </w:pPr>
    </w:p>
    <w:p>
      <w:pPr>
        <w:pStyle w:val="33"/>
        <w:spacing w:before="120" w:after="120" w:line="360" w:lineRule="auto"/>
        <w:ind w:firstLine="723" w:firstLineChars="200"/>
        <w:rPr>
          <w:rFonts w:ascii="仿宋" w:hAnsi="仿宋" w:eastAsia="仿宋"/>
          <w:b/>
          <w:sz w:val="36"/>
          <w:szCs w:val="36"/>
        </w:rPr>
      </w:pPr>
      <w:r>
        <w:rPr>
          <w:rFonts w:hint="eastAsia" w:ascii="仿宋" w:hAnsi="仿宋" w:eastAsia="仿宋"/>
          <w:b/>
          <w:sz w:val="36"/>
          <w:szCs w:val="36"/>
        </w:rPr>
        <w:t>第五章  浙江省政府采购合同主要条款指引</w:t>
      </w:r>
      <w:bookmarkEnd w:id="26"/>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2" w:name="_Toc496796640"/>
      <w:r>
        <w:rPr>
          <w:rFonts w:hint="eastAsia" w:hAnsi="宋体"/>
          <w:b/>
          <w:color w:val="000000"/>
          <w:sz w:val="36"/>
          <w:szCs w:val="36"/>
        </w:rPr>
        <w:t>第六章  投标文件格式附件</w:t>
      </w:r>
      <w:bookmarkEnd w:id="32"/>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3" w:name="PO_15528_PM001_2"/>
      <w:r>
        <w:rPr>
          <w:rFonts w:hint="eastAsia" w:ascii="仿宋" w:hAnsi="仿宋" w:eastAsia="仿宋"/>
          <w:sz w:val="36"/>
          <w:szCs w:val="36"/>
          <w:lang w:eastAsia="zh-CN"/>
        </w:rPr>
        <w:t>ZZCG2020H-GK-127</w:t>
      </w:r>
      <w:bookmarkEnd w:id="33"/>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pacing w:line="600" w:lineRule="exact"/>
        <w:ind w:right="532" w:firstLine="720" w:firstLineChars="200"/>
        <w:rPr>
          <w:rFonts w:ascii="仿宋" w:hAnsi="仿宋" w:eastAsia="仿宋"/>
          <w:sz w:val="36"/>
          <w:szCs w:val="36"/>
        </w:rPr>
      </w:pP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4" w:name="PO_15528_PM001_3"/>
      <w:r>
        <w:rPr>
          <w:rFonts w:hint="eastAsia" w:ascii="仿宋" w:hAnsi="仿宋" w:eastAsia="仿宋"/>
          <w:sz w:val="30"/>
          <w:szCs w:val="30"/>
          <w:u w:val="single"/>
          <w:lang w:eastAsia="zh-CN"/>
        </w:rPr>
        <w:t>ZZCG2020H-GK-127</w:t>
      </w:r>
      <w:bookmarkEnd w:id="34"/>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ind w:right="600" w:firstLine="2700" w:firstLineChars="90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授权代表签名：           职务：            联系方式：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邮箱：                   传真：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授权代表身份证号码：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法定代表人签名（或签名章）：            职务：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联系方式：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ascii="仿宋" w:hAnsi="仿宋" w:eastAsia="仿宋"/>
          <w:sz w:val="30"/>
          <w:szCs w:val="30"/>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5" w:name="PO_15528_PM001_4"/>
      <w:r>
        <w:rPr>
          <w:rFonts w:hint="eastAsia" w:ascii="仿宋" w:hAnsi="仿宋" w:eastAsia="仿宋"/>
          <w:sz w:val="36"/>
          <w:szCs w:val="36"/>
          <w:lang w:eastAsia="zh-CN"/>
        </w:rPr>
        <w:t>ZZCG2020H-GK-127</w:t>
      </w:r>
      <w:bookmarkEnd w:id="35"/>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6"/>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7</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50</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3EE0048"/>
    <w:rsid w:val="0B894205"/>
    <w:rsid w:val="10B90EFD"/>
    <w:rsid w:val="17AD7DC6"/>
    <w:rsid w:val="1B0F5F7D"/>
    <w:rsid w:val="2E6A153F"/>
    <w:rsid w:val="3567613D"/>
    <w:rsid w:val="36B55F0A"/>
    <w:rsid w:val="3B8B67C3"/>
    <w:rsid w:val="3CB26326"/>
    <w:rsid w:val="3D232759"/>
    <w:rsid w:val="41853F2C"/>
    <w:rsid w:val="65777969"/>
    <w:rsid w:val="710F3A90"/>
    <w:rsid w:val="75D51C75"/>
    <w:rsid w:val="792738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iPriority="99" w:semiHidden="0" w:name="Normal Indent"/>
    <w:lsdException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semiHidden="0" w:name="page number"/>
    <w:lsdException w:uiPriority="99" w:name="endnote reference"/>
    <w:lsdException w:uiPriority="99" w:semiHidden="0" w:name="endnote text"/>
    <w:lsdException w:uiPriority="99" w:semiHidden="0" w:name="table of authorities"/>
    <w:lsdException w:uiPriority="99" w:name="macro"/>
    <w:lsdException w:uiPriority="99" w:name="toa heading"/>
    <w:lsdException w:uiPriority="99" w:semiHidden="0" w:name="List"/>
    <w:lsdException w:qFormat="1"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name="List Bullet 3"/>
    <w:lsdException w:qFormat="1" w:uiPriority="99" w:semiHidden="0" w:name="List Bullet 4"/>
    <w:lsdException w:uiPriority="99" w:semiHidden="0"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semiHidden="0" w:name="Date"/>
    <w:lsdException w:qFormat="1" w:uiPriority="99" w:semiHidden="0" w:name="Body Text First Indent"/>
    <w:lsdException w:uiPriority="99" w:semiHidden="0" w:name="Body Text First Indent 2"/>
    <w:lsdException w:uiPriority="99" w:name="Note Heading"/>
    <w:lsdException w:uiPriority="99" w:semiHidden="0" w:name="Body Text 2"/>
    <w:lsdException w:uiPriority="99" w:semiHidden="0" w:name="Body Text 3"/>
    <w:lsdException w:qFormat="1" w:uiPriority="99" w:semiHidden="0" w:name="Body Text Indent 2"/>
    <w:lsdException w:uiPriority="99" w:semiHidden="0"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qFormat="1" w:uiPriority="99"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1"/>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unhideWhenUsed/>
    <w:uiPriority w:val="1"/>
  </w:style>
  <w:style w:type="table" w:default="1" w:styleId="66">
    <w:name w:val="Normal Table"/>
    <w:unhideWhenUsed/>
    <w:uiPriority w:val="99"/>
    <w:tblPr>
      <w:tblLayout w:type="fixed"/>
      <w:tblCellMar>
        <w:top w:w="0" w:type="dxa"/>
        <w:left w:w="108" w:type="dxa"/>
        <w:bottom w:w="0" w:type="dxa"/>
        <w:right w:w="108" w:type="dxa"/>
      </w:tblCellMar>
    </w:tblPr>
  </w:style>
  <w:style w:type="paragraph" w:styleId="11">
    <w:name w:val="List 3"/>
    <w:basedOn w:val="1"/>
    <w:unhideWhenUsed/>
    <w:uiPriority w:val="99"/>
    <w:pPr>
      <w:ind w:left="100" w:leftChars="400" w:hanging="200" w:hangingChars="200"/>
    </w:pPr>
    <w:rPr>
      <w:rFonts w:ascii="Times New Roman" w:hAnsi="Times New Roman"/>
      <w:szCs w:val="20"/>
    </w:rPr>
  </w:style>
  <w:style w:type="paragraph" w:styleId="12">
    <w:name w:val="annotation subject"/>
    <w:basedOn w:val="13"/>
    <w:next w:val="13"/>
    <w:unhideWhenUsed/>
    <w:uiPriority w:val="99"/>
    <w:rPr>
      <w:b/>
      <w:bCs/>
    </w:rPr>
  </w:style>
  <w:style w:type="paragraph" w:styleId="13">
    <w:name w:val="annotation text"/>
    <w:basedOn w:val="1"/>
    <w:link w:val="205"/>
    <w:unhideWhenUsed/>
    <w:uiPriority w:val="99"/>
    <w:pPr>
      <w:jc w:val="left"/>
    </w:pPr>
  </w:style>
  <w:style w:type="paragraph" w:styleId="14">
    <w:name w:val="toc 7"/>
    <w:basedOn w:val="1"/>
    <w:next w:val="1"/>
    <w:unhideWhenUsed/>
    <w:uiPriority w:val="39"/>
    <w:pPr>
      <w:ind w:left="1260"/>
      <w:jc w:val="left"/>
    </w:pPr>
    <w:rPr>
      <w:rFonts w:ascii="Times New Roman" w:hAnsi="Times New Roman"/>
      <w:sz w:val="18"/>
      <w:szCs w:val="18"/>
    </w:rPr>
  </w:style>
  <w:style w:type="paragraph" w:styleId="15">
    <w:name w:val="Body Text First Indent"/>
    <w:basedOn w:val="16"/>
    <w:link w:val="195"/>
    <w:unhideWhenUsed/>
    <w:qFormat/>
    <w:uiPriority w:val="99"/>
    <w:pPr>
      <w:ind w:firstLine="420" w:firstLineChars="100"/>
    </w:pPr>
    <w:rPr>
      <w:sz w:val="21"/>
      <w:szCs w:val="22"/>
    </w:rPr>
  </w:style>
  <w:style w:type="paragraph" w:styleId="16">
    <w:name w:val="Body Text"/>
    <w:basedOn w:val="1"/>
    <w:link w:val="193"/>
    <w:unhideWhenUsed/>
    <w:uiPriority w:val="99"/>
    <w:pPr>
      <w:spacing w:after="120"/>
    </w:pPr>
    <w:rPr>
      <w:sz w:val="28"/>
      <w:szCs w:val="24"/>
    </w:rPr>
  </w:style>
  <w:style w:type="paragraph" w:styleId="17">
    <w:name w:val="List Number 2"/>
    <w:basedOn w:val="1"/>
    <w:unhideWhenUsed/>
    <w:uiPriority w:val="99"/>
    <w:pPr>
      <w:tabs>
        <w:tab w:val="left" w:pos="432"/>
        <w:tab w:val="left" w:pos="567"/>
      </w:tabs>
      <w:ind w:left="432" w:hanging="432"/>
    </w:pPr>
    <w:rPr>
      <w:rFonts w:ascii="Times New Roman" w:hAnsi="Times New Roman"/>
      <w:sz w:val="28"/>
      <w:szCs w:val="20"/>
    </w:rPr>
  </w:style>
  <w:style w:type="paragraph" w:styleId="18">
    <w:name w:val="table of authorities"/>
    <w:basedOn w:val="1"/>
    <w:next w:val="1"/>
    <w:unhideWhenUsed/>
    <w:uiPriority w:val="99"/>
    <w:pPr>
      <w:numPr>
        <w:ilvl w:val="0"/>
        <w:numId w:val="1"/>
      </w:numPr>
      <w:ind w:left="200" w:leftChars="200"/>
    </w:pPr>
    <w:rPr>
      <w:rFonts w:ascii="Times New Roman" w:hAnsi="Times New Roman"/>
      <w:sz w:val="18"/>
      <w:szCs w:val="24"/>
    </w:rPr>
  </w:style>
  <w:style w:type="paragraph" w:styleId="19">
    <w:name w:val="List Bullet 4"/>
    <w:basedOn w:val="1"/>
    <w:unhideWhenUsed/>
    <w:qFormat/>
    <w:uiPriority w:val="99"/>
    <w:pPr>
      <w:numPr>
        <w:ilvl w:val="0"/>
        <w:numId w:val="2"/>
      </w:numPr>
    </w:pPr>
    <w:rPr>
      <w:rFonts w:ascii="Times New Roman" w:hAnsi="Times New Roman"/>
      <w:szCs w:val="24"/>
    </w:rPr>
  </w:style>
  <w:style w:type="paragraph" w:styleId="20">
    <w:name w:val="List Number"/>
    <w:basedOn w:val="1"/>
    <w:unhideWhenUsed/>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unhideWhenUsed/>
    <w:qFormat/>
    <w:uiPriority w:val="99"/>
    <w:pPr>
      <w:ind w:firstLine="420"/>
    </w:pPr>
    <w:rPr>
      <w:szCs w:val="20"/>
    </w:rPr>
  </w:style>
  <w:style w:type="paragraph" w:styleId="22">
    <w:name w:val="caption"/>
    <w:basedOn w:val="1"/>
    <w:next w:val="1"/>
    <w:link w:val="72"/>
    <w:unhideWhenUsed/>
    <w:qFormat/>
    <w:uiPriority w:val="35"/>
    <w:pPr>
      <w:spacing w:before="152" w:after="160"/>
    </w:pPr>
    <w:rPr>
      <w:rFonts w:ascii="Arial" w:hAnsi="Arial" w:eastAsia="黑体"/>
      <w:sz w:val="20"/>
      <w:szCs w:val="20"/>
    </w:rPr>
  </w:style>
  <w:style w:type="paragraph" w:styleId="23">
    <w:name w:val="List Bullet"/>
    <w:basedOn w:val="1"/>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unhideWhenUsed/>
    <w:qFormat/>
    <w:uiPriority w:val="99"/>
    <w:rPr>
      <w:rFonts w:ascii="宋体"/>
      <w:sz w:val="18"/>
      <w:szCs w:val="18"/>
    </w:rPr>
  </w:style>
  <w:style w:type="paragraph" w:styleId="25">
    <w:name w:val="Salutation"/>
    <w:basedOn w:val="1"/>
    <w:next w:val="1"/>
    <w:link w:val="96"/>
    <w:unhideWhenUsed/>
    <w:uiPriority w:val="99"/>
    <w:rPr>
      <w:rFonts w:ascii="宋体" w:hAnsi="Times New Roman"/>
      <w:b/>
      <w:sz w:val="28"/>
      <w:szCs w:val="20"/>
    </w:rPr>
  </w:style>
  <w:style w:type="paragraph" w:styleId="26">
    <w:name w:val="Body Text 3"/>
    <w:basedOn w:val="1"/>
    <w:link w:val="218"/>
    <w:unhideWhenUsed/>
    <w:uiPriority w:val="99"/>
    <w:pPr>
      <w:snapToGrid w:val="0"/>
      <w:spacing w:before="50" w:after="50"/>
    </w:pPr>
    <w:rPr>
      <w:rFonts w:ascii="Times New Roman" w:hAnsi="宋体" w:eastAsia="仿宋_GB2312"/>
      <w:b/>
      <w:bCs/>
      <w:sz w:val="24"/>
      <w:szCs w:val="20"/>
    </w:rPr>
  </w:style>
  <w:style w:type="paragraph" w:styleId="27">
    <w:name w:val="Body Text Indent"/>
    <w:basedOn w:val="1"/>
    <w:link w:val="226"/>
    <w:unhideWhenUsed/>
    <w:uiPriority w:val="99"/>
    <w:pPr>
      <w:spacing w:line="200" w:lineRule="exact"/>
      <w:ind w:firstLine="301"/>
    </w:pPr>
    <w:rPr>
      <w:rFonts w:ascii="宋体" w:hAnsi="Courier New"/>
      <w:spacing w:val="-4"/>
      <w:sz w:val="18"/>
      <w:szCs w:val="20"/>
    </w:rPr>
  </w:style>
  <w:style w:type="paragraph" w:styleId="28">
    <w:name w:val="List Number 3"/>
    <w:basedOn w:val="1"/>
    <w:unhideWhenUsed/>
    <w:uiPriority w:val="99"/>
    <w:pPr>
      <w:numPr>
        <w:ilvl w:val="0"/>
        <w:numId w:val="3"/>
      </w:numPr>
    </w:pPr>
    <w:rPr>
      <w:rFonts w:ascii="Times New Roman" w:hAnsi="Times New Roman"/>
      <w:szCs w:val="24"/>
    </w:rPr>
  </w:style>
  <w:style w:type="paragraph" w:styleId="29">
    <w:name w:val="List 2"/>
    <w:basedOn w:val="1"/>
    <w:unhideWhenUsed/>
    <w:uiPriority w:val="99"/>
    <w:pPr>
      <w:ind w:left="100" w:leftChars="200" w:hanging="200" w:hangingChars="200"/>
    </w:pPr>
    <w:rPr>
      <w:rFonts w:ascii="Times New Roman" w:hAnsi="Times New Roman"/>
      <w:sz w:val="28"/>
      <w:szCs w:val="24"/>
    </w:rPr>
  </w:style>
  <w:style w:type="paragraph" w:styleId="30">
    <w:name w:val="List Bullet 2"/>
    <w:basedOn w:val="1"/>
    <w:unhideWhenUsed/>
    <w:uiPriority w:val="99"/>
    <w:pPr>
      <w:tabs>
        <w:tab w:val="left" w:pos="780"/>
      </w:tabs>
      <w:ind w:left="780" w:leftChars="200" w:hanging="360" w:hangingChars="200"/>
    </w:pPr>
    <w:rPr>
      <w:rFonts w:ascii="Times New Roman" w:hAnsi="Times New Roman"/>
      <w:szCs w:val="24"/>
    </w:rPr>
  </w:style>
  <w:style w:type="paragraph" w:styleId="31">
    <w:name w:val="toc 5"/>
    <w:basedOn w:val="1"/>
    <w:next w:val="1"/>
    <w:unhideWhenUsed/>
    <w:uiPriority w:val="39"/>
    <w:pPr>
      <w:spacing w:afterLines="50"/>
      <w:ind w:left="840"/>
      <w:jc w:val="left"/>
    </w:pPr>
    <w:rPr>
      <w:rFonts w:ascii="Times New Roman" w:hAnsi="Times New Roman"/>
      <w:snapToGrid w:val="0"/>
      <w:kern w:val="0"/>
      <w:sz w:val="18"/>
      <w:szCs w:val="18"/>
    </w:rPr>
  </w:style>
  <w:style w:type="paragraph" w:styleId="32">
    <w:name w:val="toc 3"/>
    <w:basedOn w:val="1"/>
    <w:next w:val="1"/>
    <w:unhideWhenUsed/>
    <w:uiPriority w:val="39"/>
    <w:pPr>
      <w:ind w:left="840" w:leftChars="400"/>
    </w:pPr>
  </w:style>
  <w:style w:type="paragraph" w:styleId="33">
    <w:name w:val="Plain Text"/>
    <w:basedOn w:val="1"/>
    <w:link w:val="375"/>
    <w:unhideWhenUsed/>
    <w:uiPriority w:val="99"/>
    <w:pPr>
      <w:spacing w:beforeLines="50" w:afterLines="50" w:line="400" w:lineRule="exact"/>
    </w:pPr>
    <w:rPr>
      <w:rFonts w:ascii="宋体" w:hAnsi="Courier New"/>
      <w:sz w:val="24"/>
      <w:szCs w:val="24"/>
    </w:rPr>
  </w:style>
  <w:style w:type="paragraph" w:styleId="34">
    <w:name w:val="List Bullet 5"/>
    <w:basedOn w:val="1"/>
    <w:unhideWhenUsed/>
    <w:uiPriority w:val="99"/>
    <w:pPr>
      <w:numPr>
        <w:ilvl w:val="0"/>
        <w:numId w:val="4"/>
      </w:numPr>
    </w:pPr>
    <w:rPr>
      <w:rFonts w:ascii="Times New Roman" w:hAnsi="Times New Roman"/>
      <w:szCs w:val="24"/>
    </w:rPr>
  </w:style>
  <w:style w:type="paragraph" w:styleId="35">
    <w:name w:val="toc 8"/>
    <w:basedOn w:val="1"/>
    <w:next w:val="1"/>
    <w:unhideWhenUsed/>
    <w:uiPriority w:val="39"/>
    <w:pPr>
      <w:spacing w:afterLines="50"/>
      <w:ind w:left="1470"/>
      <w:jc w:val="left"/>
    </w:pPr>
    <w:rPr>
      <w:rFonts w:ascii="Times New Roman" w:hAnsi="Times New Roman"/>
      <w:snapToGrid w:val="0"/>
      <w:kern w:val="0"/>
      <w:sz w:val="18"/>
      <w:szCs w:val="18"/>
    </w:rPr>
  </w:style>
  <w:style w:type="paragraph" w:styleId="36">
    <w:name w:val="Date"/>
    <w:basedOn w:val="1"/>
    <w:next w:val="1"/>
    <w:link w:val="377"/>
    <w:unhideWhenUsed/>
    <w:uiPriority w:val="99"/>
    <w:pPr>
      <w:ind w:left="2500" w:leftChars="2500"/>
    </w:pPr>
    <w:rPr>
      <w:rFonts w:eastAsia="楷体_GB2312"/>
      <w:sz w:val="32"/>
      <w:szCs w:val="20"/>
    </w:rPr>
  </w:style>
  <w:style w:type="paragraph" w:styleId="37">
    <w:name w:val="Body Text Indent 2"/>
    <w:basedOn w:val="1"/>
    <w:link w:val="262"/>
    <w:unhideWhenUsed/>
    <w:qFormat/>
    <w:uiPriority w:val="99"/>
    <w:pPr>
      <w:snapToGrid w:val="0"/>
      <w:ind w:firstLine="542" w:firstLineChars="225"/>
    </w:pPr>
    <w:rPr>
      <w:rFonts w:ascii="仿宋_GB2312" w:hAnsi="宋体"/>
      <w:b/>
      <w:bCs/>
      <w:color w:val="000000"/>
      <w:sz w:val="24"/>
      <w:szCs w:val="24"/>
    </w:rPr>
  </w:style>
  <w:style w:type="paragraph" w:styleId="38">
    <w:name w:val="endnote text"/>
    <w:basedOn w:val="1"/>
    <w:link w:val="163"/>
    <w:unhideWhenUsed/>
    <w:uiPriority w:val="99"/>
    <w:pPr>
      <w:numPr>
        <w:ilvl w:val="0"/>
        <w:numId w:val="5"/>
      </w:numPr>
      <w:snapToGrid w:val="0"/>
      <w:spacing w:afterLines="50"/>
      <w:jc w:val="left"/>
    </w:pPr>
    <w:rPr>
      <w:rFonts w:ascii="宋体"/>
      <w:snapToGrid w:val="0"/>
      <w:kern w:val="0"/>
      <w:szCs w:val="20"/>
    </w:rPr>
  </w:style>
  <w:style w:type="paragraph" w:styleId="39">
    <w:name w:val="Balloon Text"/>
    <w:basedOn w:val="1"/>
    <w:link w:val="892"/>
    <w:unhideWhenUsed/>
    <w:uiPriority w:val="99"/>
    <w:rPr>
      <w:sz w:val="18"/>
      <w:szCs w:val="18"/>
    </w:rPr>
  </w:style>
  <w:style w:type="paragraph" w:styleId="40">
    <w:name w:val="footer"/>
    <w:basedOn w:val="1"/>
    <w:link w:val="264"/>
    <w:unhideWhenUsed/>
    <w:uiPriority w:val="99"/>
    <w:pPr>
      <w:tabs>
        <w:tab w:val="center" w:pos="4153"/>
        <w:tab w:val="right" w:pos="8306"/>
      </w:tabs>
      <w:snapToGrid w:val="0"/>
      <w:jc w:val="left"/>
    </w:pPr>
    <w:rPr>
      <w:sz w:val="18"/>
      <w:szCs w:val="18"/>
    </w:rPr>
  </w:style>
  <w:style w:type="paragraph" w:styleId="41">
    <w:name w:val="Body Text First Indent 2"/>
    <w:basedOn w:val="27"/>
    <w:unhideWhenUsed/>
    <w:uiPriority w:val="99"/>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82"/>
    <w:unhideWhenUsed/>
    <w:uiPriority w:val="99"/>
    <w:pPr>
      <w:pBdr>
        <w:bottom w:val="single" w:color="auto" w:sz="6" w:space="1"/>
      </w:pBdr>
      <w:tabs>
        <w:tab w:val="center" w:pos="4153"/>
        <w:tab w:val="right" w:pos="8306"/>
      </w:tabs>
      <w:snapToGrid w:val="0"/>
      <w:jc w:val="center"/>
    </w:pPr>
    <w:rPr>
      <w:sz w:val="18"/>
      <w:szCs w:val="18"/>
    </w:rPr>
  </w:style>
  <w:style w:type="paragraph" w:styleId="43">
    <w:name w:val="toc 1"/>
    <w:basedOn w:val="1"/>
    <w:next w:val="1"/>
    <w:unhideWhenUsed/>
    <w:qFormat/>
    <w:uiPriority w:val="39"/>
    <w:pPr>
      <w:spacing w:before="240" w:after="240"/>
    </w:pPr>
    <w:rPr>
      <w:rFonts w:ascii="Times New Roman" w:hAnsi="Times New Roman" w:eastAsia="仿宋"/>
      <w:sz w:val="36"/>
      <w:szCs w:val="24"/>
    </w:rPr>
  </w:style>
  <w:style w:type="paragraph" w:styleId="44">
    <w:name w:val="toc 4"/>
    <w:basedOn w:val="1"/>
    <w:next w:val="1"/>
    <w:unhideWhenUsed/>
    <w:qFormat/>
    <w:uiPriority w:val="39"/>
    <w:pPr>
      <w:ind w:left="1260" w:leftChars="600"/>
    </w:pPr>
  </w:style>
  <w:style w:type="paragraph" w:styleId="45">
    <w:name w:val="Subtitle"/>
    <w:basedOn w:val="1"/>
    <w:link w:val="362"/>
    <w:qFormat/>
    <w:uiPriority w:val="11"/>
    <w:pPr>
      <w:spacing w:afterLines="50"/>
      <w:jc w:val="center"/>
    </w:pPr>
    <w:rPr>
      <w:rFonts w:ascii="Times New Roman" w:hAnsi="Times New Roman" w:eastAsia="Times New Roman"/>
      <w:sz w:val="18"/>
      <w:szCs w:val="18"/>
    </w:rPr>
  </w:style>
  <w:style w:type="paragraph" w:styleId="46">
    <w:name w:val="List"/>
    <w:basedOn w:val="1"/>
    <w:unhideWhenUsed/>
    <w:uiPriority w:val="99"/>
    <w:pPr>
      <w:ind w:left="200" w:hanging="200" w:hangingChars="200"/>
    </w:pPr>
    <w:rPr>
      <w:rFonts w:ascii="Times New Roman" w:hAnsi="Times New Roman"/>
      <w:sz w:val="28"/>
      <w:szCs w:val="24"/>
    </w:rPr>
  </w:style>
  <w:style w:type="paragraph" w:styleId="47">
    <w:name w:val="footnote text"/>
    <w:basedOn w:val="1"/>
    <w:link w:val="158"/>
    <w:unhideWhenUsed/>
    <w:uiPriority w:val="99"/>
    <w:pPr>
      <w:snapToGrid w:val="0"/>
      <w:jc w:val="left"/>
    </w:pPr>
    <w:rPr>
      <w:sz w:val="18"/>
      <w:szCs w:val="18"/>
    </w:rPr>
  </w:style>
  <w:style w:type="paragraph" w:styleId="48">
    <w:name w:val="toc 6"/>
    <w:basedOn w:val="1"/>
    <w:next w:val="1"/>
    <w:unhideWhenUsed/>
    <w:uiPriority w:val="39"/>
    <w:pPr>
      <w:ind w:left="1050"/>
      <w:jc w:val="left"/>
    </w:pPr>
    <w:rPr>
      <w:rFonts w:ascii="Times New Roman" w:hAnsi="Times New Roman"/>
      <w:sz w:val="18"/>
      <w:szCs w:val="18"/>
    </w:rPr>
  </w:style>
  <w:style w:type="paragraph" w:styleId="49">
    <w:name w:val="Body Text Indent 3"/>
    <w:basedOn w:val="1"/>
    <w:link w:val="296"/>
    <w:unhideWhenUsed/>
    <w:uiPriority w:val="99"/>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unhideWhenUsed/>
    <w:uiPriority w:val="99"/>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unhideWhenUsed/>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unhideWhenUsed/>
    <w:uiPriority w:val="39"/>
    <w:pPr>
      <w:ind w:left="1680"/>
      <w:jc w:val="left"/>
    </w:pPr>
    <w:rPr>
      <w:rFonts w:ascii="Times New Roman" w:hAnsi="Times New Roman"/>
      <w:sz w:val="18"/>
      <w:szCs w:val="18"/>
    </w:rPr>
  </w:style>
  <w:style w:type="paragraph" w:styleId="53">
    <w:name w:val="Body Text 2"/>
    <w:basedOn w:val="1"/>
    <w:link w:val="378"/>
    <w:unhideWhenUsed/>
    <w:uiPriority w:val="99"/>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unhideWhenUsed/>
    <w:uiPriority w:val="99"/>
    <w:rPr>
      <w:rFonts w:ascii="Courier New" w:hAnsi="Courier New"/>
      <w:sz w:val="20"/>
      <w:szCs w:val="20"/>
    </w:rPr>
  </w:style>
  <w:style w:type="paragraph" w:styleId="55">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unhideWhenUsed/>
    <w:uiPriority w:val="99"/>
    <w:rPr>
      <w:rFonts w:ascii="Times New Roman" w:hAnsi="Times New Roman"/>
      <w:szCs w:val="20"/>
    </w:rPr>
  </w:style>
  <w:style w:type="paragraph" w:styleId="57">
    <w:name w:val="Title"/>
    <w:basedOn w:val="1"/>
    <w:link w:val="171"/>
    <w:qFormat/>
    <w:uiPriority w:val="10"/>
    <w:pPr>
      <w:spacing w:before="240" w:after="60"/>
      <w:jc w:val="center"/>
      <w:outlineLvl w:val="0"/>
    </w:pPr>
    <w:rPr>
      <w:rFonts w:ascii="Arial" w:hAnsi="Arial"/>
      <w:b/>
      <w:bCs/>
      <w:sz w:val="32"/>
      <w:szCs w:val="32"/>
    </w:rPr>
  </w:style>
  <w:style w:type="character" w:styleId="59">
    <w:name w:val="Strong"/>
    <w:qFormat/>
    <w:uiPriority w:val="22"/>
    <w:rPr>
      <w:b/>
      <w:bCs/>
    </w:rPr>
  </w:style>
  <w:style w:type="character" w:styleId="60">
    <w:name w:val="page number"/>
    <w:basedOn w:val="58"/>
    <w:unhideWhenUsed/>
    <w:uiPriority w:val="99"/>
  </w:style>
  <w:style w:type="character" w:styleId="61">
    <w:name w:val="FollowedHyperlink"/>
    <w:unhideWhenUsed/>
    <w:uiPriority w:val="99"/>
    <w:rPr>
      <w:color w:val="800080"/>
      <w:u w:val="single"/>
    </w:rPr>
  </w:style>
  <w:style w:type="character" w:styleId="62">
    <w:name w:val="Emphasis"/>
    <w:qFormat/>
    <w:uiPriority w:val="20"/>
    <w:rPr>
      <w:color w:val="CC0033"/>
    </w:rPr>
  </w:style>
  <w:style w:type="character" w:styleId="63">
    <w:name w:val="Hyperlink"/>
    <w:unhideWhenUsed/>
    <w:uiPriority w:val="99"/>
    <w:rPr>
      <w:color w:val="0000FF"/>
      <w:u w:val="single"/>
    </w:rPr>
  </w:style>
  <w:style w:type="character" w:styleId="64">
    <w:name w:val="annotation reference"/>
    <w:unhideWhenUsed/>
    <w:qFormat/>
    <w:uiPriority w:val="99"/>
    <w:rPr>
      <w:sz w:val="21"/>
      <w:szCs w:val="21"/>
    </w:rPr>
  </w:style>
  <w:style w:type="character" w:styleId="65">
    <w:name w:val="footnote reference"/>
    <w:unhideWhenUsed/>
    <w:qFormat/>
    <w:uiPriority w:val="99"/>
    <w:rPr>
      <w:vertAlign w:val="superscript"/>
    </w:rPr>
  </w:style>
  <w:style w:type="table" w:styleId="67">
    <w:name w:val="Table Grid"/>
    <w:basedOn w:val="6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8">
    <w:name w:val="Table Simple 1"/>
    <w:basedOn w:val="66"/>
    <w:unhideWhenUsed/>
    <w:qFormat/>
    <w:uiPriority w:val="99"/>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unhideWhenUsed/>
    <w:qFormat/>
    <w:uiPriority w:val="99"/>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字符"/>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字符"/>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9"/>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字符"/>
    <w:link w:val="25"/>
    <w:qFormat/>
    <w:uiPriority w:val="0"/>
    <w:rPr>
      <w:rFonts w:ascii="宋体" w:hAnsi="Times New Roman"/>
      <w:b/>
      <w:kern w:val="2"/>
      <w:sz w:val="28"/>
    </w:rPr>
  </w:style>
  <w:style w:type="character" w:customStyle="1" w:styleId="97">
    <w:name w:val="文档结构图 字符"/>
    <w:link w:val="24"/>
    <w:qFormat/>
    <w:uiPriority w:val="99"/>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字符"/>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字符"/>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字符"/>
    <w:link w:val="8"/>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字符"/>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字符"/>
    <w:link w:val="155"/>
    <w:qFormat/>
    <w:uiPriority w:val="34"/>
    <w:rPr>
      <w:kern w:val="2"/>
      <w:sz w:val="21"/>
      <w:szCs w:val="22"/>
    </w:rPr>
  </w:style>
  <w:style w:type="paragraph" w:customStyle="1" w:styleId="155">
    <w:name w:val="List Paragraph"/>
    <w:basedOn w:val="1"/>
    <w:link w:val="154"/>
    <w:qFormat/>
    <w:uiPriority w:val="34"/>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字符"/>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字符"/>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字符"/>
    <w:link w:val="57"/>
    <w:qFormat/>
    <w:uiPriority w:val="0"/>
    <w:rPr>
      <w:rFonts w:ascii="Arial" w:hAnsi="Arial" w:cs="Arial"/>
      <w:b/>
      <w:bCs/>
      <w:kern w:val="2"/>
      <w:sz w:val="32"/>
      <w:szCs w:val="32"/>
    </w:rPr>
  </w:style>
  <w:style w:type="character" w:customStyle="1" w:styleId="172">
    <w:name w:val="标题 5 字符"/>
    <w:link w:val="6"/>
    <w:qFormat/>
    <w:uiPriority w:val="9"/>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qFormat/>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字符"/>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字符"/>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字符"/>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字符"/>
    <w:link w:val="13"/>
    <w:qFormat/>
    <w:uiPriority w:val="0"/>
    <w:rPr>
      <w:kern w:val="2"/>
      <w:sz w:val="21"/>
      <w:szCs w:val="22"/>
    </w:rPr>
  </w:style>
  <w:style w:type="character" w:customStyle="1" w:styleId="206">
    <w:name w:val="批注主题 Char"/>
    <w:link w:val="207"/>
    <w:qFormat/>
    <w:uiPriority w:val="99"/>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字符"/>
    <w:link w:val="3"/>
    <w:qFormat/>
    <w:uiPriority w:val="0"/>
    <w:rPr>
      <w:rFonts w:ascii="Arial" w:hAnsi="Arial" w:eastAsia="黑体"/>
      <w:b/>
      <w:bCs/>
      <w:kern w:val="2"/>
      <w:sz w:val="32"/>
      <w:szCs w:val="32"/>
      <w:lang w:val="en-US" w:eastAsia="zh-CN" w:bidi="ar-SA"/>
    </w:rPr>
  </w:style>
  <w:style w:type="character" w:customStyle="1" w:styleId="213">
    <w:name w:val="z-窗体底端 字符"/>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字符"/>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字符"/>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字符1"/>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1"/>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字符"/>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字符"/>
    <w:link w:val="5"/>
    <w:qFormat/>
    <w:uiPriority w:val="9"/>
    <w:rPr>
      <w:rFonts w:ascii="Arial" w:hAnsi="Arial" w:eastAsia="黑体"/>
      <w:b/>
      <w:bCs/>
      <w:kern w:val="2"/>
      <w:sz w:val="28"/>
      <w:szCs w:val="28"/>
      <w:lang w:val="en-US" w:eastAsia="zh-CN" w:bidi="ar-SA"/>
    </w:rPr>
  </w:style>
  <w:style w:type="character" w:customStyle="1" w:styleId="252">
    <w:name w:val="Char Char51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字符"/>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basedOn w:val="58"/>
    <w:link w:val="40"/>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字符"/>
    <w:link w:val="39"/>
    <w:qFormat/>
    <w:uiPriority w:val="99"/>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字符"/>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1"/>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customStyle="1"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qFormat/>
    <w:uiPriority w:val="0"/>
  </w:style>
  <w:style w:type="character" w:customStyle="1" w:styleId="324">
    <w:name w:val="Char Char121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qFormat/>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qFormat/>
    <w:uiPriority w:val="0"/>
    <w:rPr>
      <w:rFonts w:ascii="Times New Roman" w:hAnsi="Times New Roman"/>
      <w:kern w:val="2"/>
      <w:sz w:val="24"/>
    </w:rPr>
  </w:style>
  <w:style w:type="paragraph" w:customStyle="1" w:styleId="340">
    <w:name w:val="正文段落"/>
    <w:basedOn w:val="1"/>
    <w:link w:val="339"/>
    <w:qFormat/>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1"/>
    <w:qFormat/>
    <w:uiPriority w:val="0"/>
    <w:rPr>
      <w:rFonts w:eastAsia="宋体"/>
      <w:b/>
      <w:kern w:val="2"/>
      <w:sz w:val="32"/>
      <w:lang w:bidi="ar-SA"/>
    </w:rPr>
  </w:style>
  <w:style w:type="character" w:customStyle="1" w:styleId="353">
    <w:name w:val="Char Char91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字符"/>
    <w:link w:val="4"/>
    <w:qFormat/>
    <w:uiPriority w:val="0"/>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字符"/>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字符"/>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字符"/>
    <w:link w:val="42"/>
    <w:qFormat/>
    <w:uiPriority w:val="0"/>
    <w:rPr>
      <w:kern w:val="2"/>
      <w:sz w:val="18"/>
      <w:szCs w:val="18"/>
    </w:rPr>
  </w:style>
  <w:style w:type="character" w:customStyle="1" w:styleId="375">
    <w:name w:val="纯文本 字符"/>
    <w:link w:val="33"/>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字符"/>
    <w:link w:val="36"/>
    <w:qFormat/>
    <w:uiPriority w:val="0"/>
    <w:rPr>
      <w:rFonts w:eastAsia="楷体_GB2312"/>
      <w:kern w:val="2"/>
      <w:sz w:val="32"/>
      <w:lang w:val="en-US" w:eastAsia="zh-CN" w:bidi="ar-SA"/>
    </w:rPr>
  </w:style>
  <w:style w:type="character" w:customStyle="1" w:styleId="378">
    <w:name w:val="正文文本 2 字符"/>
    <w:link w:val="53"/>
    <w:qFormat/>
    <w:uiPriority w:val="99"/>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basedOn w:val="58"/>
    <w:link w:val="42"/>
    <w:qFormat/>
    <w:uiPriority w:val="99"/>
    <w:rPr>
      <w:kern w:val="2"/>
      <w:sz w:val="18"/>
      <w:szCs w:val="18"/>
      <w:lang w:bidi="ar-SA"/>
    </w:rPr>
  </w:style>
  <w:style w:type="character" w:customStyle="1" w:styleId="383">
    <w:name w:val="正文 首行缩进:  2 字符 Char"/>
    <w:link w:val="384"/>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customStyle="1"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qFormat/>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0"/>
    <w:pPr>
      <w:widowControl/>
      <w:spacing w:before="360" w:after="360"/>
      <w:jc w:val="center"/>
    </w:pPr>
    <w:rPr>
      <w:rFonts w:ascii="宋体" w:hAnsi="宋体" w:cs="宋体"/>
      <w:kern w:val="0"/>
      <w:sz w:val="24"/>
      <w:szCs w:val="24"/>
    </w:rPr>
  </w:style>
  <w:style w:type="paragraph" w:customStyle="1" w:styleId="505">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qFormat/>
    <w:uiPriority w:val="0"/>
    <w:rPr>
      <w:rFonts w:ascii="仿宋_GB2312" w:hAnsi="Times New Roman" w:eastAsia="仿宋_GB2312"/>
      <w:b/>
      <w:sz w:val="32"/>
      <w:szCs w:val="32"/>
    </w:rPr>
  </w:style>
  <w:style w:type="paragraph" w:customStyle="1" w:styleId="518">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qFormat/>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qFormat/>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qFormat/>
    <w:uiPriority w:val="0"/>
    <w:pPr>
      <w:spacing w:before="0" w:after="0" w:line="240" w:lineRule="auto"/>
    </w:pPr>
    <w:rPr>
      <w:rFonts w:ascii="宋体" w:hAnsi="宋体" w:eastAsia="宋体"/>
      <w:sz w:val="21"/>
    </w:rPr>
  </w:style>
  <w:style w:type="paragraph" w:customStyle="1" w:styleId="5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qFormat/>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0"/>
    <w:rPr>
      <w:rFonts w:ascii="Times New Roman" w:hAnsi="Times New Roman"/>
      <w:szCs w:val="24"/>
    </w:rPr>
  </w:style>
  <w:style w:type="paragraph" w:customStyle="1" w:styleId="582">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0"/>
    <w:rPr>
      <w:rFonts w:ascii="Tahoma" w:hAnsi="Tahoma"/>
      <w:sz w:val="24"/>
      <w:szCs w:val="20"/>
    </w:rPr>
  </w:style>
  <w:style w:type="paragraph" w:customStyle="1" w:styleId="58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qFormat/>
    <w:uiPriority w:val="0"/>
    <w:pPr>
      <w:spacing w:line="360" w:lineRule="atLeast"/>
    </w:pPr>
    <w:rPr>
      <w:rFonts w:ascii="Times New Roman" w:hAnsi="Times New Roman"/>
      <w:sz w:val="24"/>
      <w:szCs w:val="20"/>
    </w:rPr>
  </w:style>
  <w:style w:type="paragraph" w:customStyle="1" w:styleId="613">
    <w:name w:val="Char Char1 Char1"/>
    <w:basedOn w:val="1"/>
    <w:qFormat/>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6">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qFormat/>
    <w:uiPriority w:val="0"/>
    <w:pPr>
      <w:keepLines/>
      <w:spacing w:afterLines="50"/>
      <w:jc w:val="left"/>
    </w:pPr>
    <w:rPr>
      <w:rFonts w:ascii="宋体" w:hAnsi="Times New Roman"/>
      <w:snapToGrid w:val="0"/>
      <w:kern w:val="0"/>
      <w:szCs w:val="20"/>
    </w:rPr>
  </w:style>
  <w:style w:type="paragraph" w:customStyle="1" w:styleId="619">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1"/>
    <w:basedOn w:val="1"/>
    <w:qFormat/>
    <w:uiPriority w:val="0"/>
  </w:style>
  <w:style w:type="paragraph" w:customStyle="1" w:styleId="623">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qFormat/>
    <w:uiPriority w:val="0"/>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1"/>
    <w:basedOn w:val="1"/>
    <w:qFormat/>
    <w:uiPriority w:val="0"/>
    <w:rPr>
      <w:rFonts w:ascii="仿宋_GB2312" w:hAnsi="Times New Roman" w:eastAsia="仿宋_GB2312"/>
      <w:b/>
      <w:sz w:val="32"/>
      <w:szCs w:val="32"/>
    </w:rPr>
  </w:style>
  <w:style w:type="paragraph" w:customStyle="1" w:styleId="649">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qFormat/>
    <w:uiPriority w:val="0"/>
    <w:pPr>
      <w:suppressLineNumbers/>
      <w:suppressAutoHyphens/>
    </w:pPr>
    <w:rPr>
      <w:kern w:val="1"/>
      <w:sz w:val="21"/>
      <w:lang w:eastAsia="ar-SA"/>
    </w:rPr>
  </w:style>
  <w:style w:type="paragraph" w:customStyle="1" w:styleId="660">
    <w:name w:val="样式　标题4"/>
    <w:basedOn w:val="642"/>
    <w:next w:val="1"/>
    <w:qFormat/>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qFormat/>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qFormat/>
    <w:uiPriority w:val="0"/>
    <w:pPr>
      <w:pBdr>
        <w:bottom w:val="single" w:color="auto" w:sz="4" w:space="1"/>
      </w:pBdr>
    </w:pPr>
    <w:rPr>
      <w:rFonts w:ascii="Times New Roman" w:hAnsi="Times New Roman"/>
      <w:szCs w:val="24"/>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1"/>
    <w:basedOn w:val="1"/>
    <w:qFormat/>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1"/>
    <w:basedOn w:val="1"/>
    <w:qFormat/>
    <w:uiPriority w:val="0"/>
    <w:pPr>
      <w:ind w:firstLine="420" w:firstLineChars="200"/>
    </w:pPr>
  </w:style>
  <w:style w:type="paragraph" w:customStyle="1" w:styleId="710">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99"/>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1"/>
    <w:basedOn w:val="1"/>
    <w:qFormat/>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qFormat/>
    <w:uiPriority w:val="0"/>
    <w:pPr>
      <w:spacing w:line="360" w:lineRule="auto"/>
      <w:ind w:firstLine="200" w:firstLineChars="200"/>
    </w:pPr>
    <w:rPr>
      <w:rFonts w:ascii="宋体" w:hAnsi="Times New Roman"/>
      <w:sz w:val="24"/>
      <w:szCs w:val="24"/>
    </w:rPr>
  </w:style>
  <w:style w:type="paragraph" w:customStyle="1" w:styleId="7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59"/>
    <w:qFormat/>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1"/>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1">
    <w:name w:val="CM12"/>
    <w:basedOn w:val="673"/>
    <w:next w:val="673"/>
    <w:qFormat/>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qFormat/>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列表段落 字符"/>
    <w:link w:val="810"/>
    <w:qFormat/>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正 文 Char"/>
    <w:link w:val="812"/>
    <w:qFormat/>
    <w:locked/>
    <w:uiPriority w:val="0"/>
    <w:rPr>
      <w:sz w:val="24"/>
      <w:szCs w:val="24"/>
    </w:rPr>
  </w:style>
  <w:style w:type="paragraph" w:customStyle="1" w:styleId="812">
    <w:name w:val="正 文"/>
    <w:basedOn w:val="1"/>
    <w:link w:val="811"/>
    <w:qFormat/>
    <w:uiPriority w:val="0"/>
    <w:pPr>
      <w:spacing w:line="360" w:lineRule="auto"/>
      <w:ind w:firstLine="420"/>
    </w:pPr>
    <w:rPr>
      <w:kern w:val="0"/>
      <w:sz w:val="24"/>
      <w:szCs w:val="24"/>
    </w:rPr>
  </w:style>
  <w:style w:type="character" w:customStyle="1" w:styleId="813">
    <w:name w:val="font01"/>
    <w:qFormat/>
    <w:uiPriority w:val="0"/>
    <w:rPr>
      <w:rFonts w:hint="eastAsia" w:ascii="微软雅黑" w:hAnsi="微软雅黑" w:eastAsia="微软雅黑" w:cs="微软雅黑"/>
      <w:b/>
      <w:color w:val="000000"/>
      <w:sz w:val="24"/>
      <w:szCs w:val="24"/>
      <w:u w:val="none"/>
    </w:rPr>
  </w:style>
  <w:style w:type="character" w:customStyle="1" w:styleId="814">
    <w:name w:val="font21"/>
    <w:qFormat/>
    <w:uiPriority w:val="0"/>
    <w:rPr>
      <w:rFonts w:hint="eastAsia" w:ascii="微软雅黑" w:hAnsi="微软雅黑" w:eastAsia="微软雅黑" w:cs="微软雅黑"/>
      <w:color w:val="000000"/>
      <w:sz w:val="16"/>
      <w:szCs w:val="16"/>
      <w:u w:val="none"/>
    </w:rPr>
  </w:style>
  <w:style w:type="character" w:customStyle="1" w:styleId="815">
    <w:name w:val="font51"/>
    <w:qFormat/>
    <w:uiPriority w:val="0"/>
    <w:rPr>
      <w:rFonts w:hint="eastAsia" w:ascii="微软雅黑" w:hAnsi="微软雅黑" w:eastAsia="微软雅黑" w:cs="微软雅黑"/>
      <w:b/>
      <w:color w:val="000000"/>
      <w:sz w:val="16"/>
      <w:szCs w:val="16"/>
      <w:u w:val="none"/>
    </w:rPr>
  </w:style>
  <w:style w:type="character" w:customStyle="1" w:styleId="816">
    <w:name w:val="font31"/>
    <w:qFormat/>
    <w:uiPriority w:val="0"/>
    <w:rPr>
      <w:rFonts w:hint="eastAsia" w:ascii="微软雅黑" w:hAnsi="微软雅黑" w:eastAsia="微软雅黑" w:cs="微软雅黑"/>
      <w:b/>
      <w:color w:val="000000"/>
      <w:sz w:val="16"/>
      <w:szCs w:val="16"/>
      <w:u w:val="none"/>
    </w:rPr>
  </w:style>
  <w:style w:type="character" w:customStyle="1" w:styleId="817">
    <w:name w:val="font41"/>
    <w:qFormat/>
    <w:uiPriority w:val="0"/>
    <w:rPr>
      <w:rFonts w:hint="eastAsia" w:ascii="微软雅黑" w:hAnsi="微软雅黑" w:eastAsia="微软雅黑" w:cs="微软雅黑"/>
      <w:color w:val="000000"/>
      <w:sz w:val="16"/>
      <w:szCs w:val="16"/>
      <w:u w:val="none"/>
    </w:rPr>
  </w:style>
  <w:style w:type="character" w:customStyle="1" w:styleId="818">
    <w:name w:val="页脚 字符"/>
    <w:qFormat/>
    <w:uiPriority w:val="99"/>
  </w:style>
  <w:style w:type="paragraph" w:customStyle="1" w:styleId="819">
    <w:name w:val="正文360首行缩进"/>
    <w:basedOn w:val="1"/>
    <w:link w:val="851"/>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0">
    <w:name w:val="列出段落111"/>
    <w:basedOn w:val="1"/>
    <w:qFormat/>
    <w:uiPriority w:val="34"/>
    <w:pPr>
      <w:ind w:firstLine="420" w:firstLineChars="200"/>
    </w:pPr>
    <w:rPr>
      <w:rFonts w:ascii="等线" w:hAnsi="等线" w:eastAsia="等线"/>
    </w:rPr>
  </w:style>
  <w:style w:type="paragraph" w:customStyle="1" w:styleId="821">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2">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3">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4">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1">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2">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5">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7">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8">
    <w:name w:val="修订1"/>
    <w:unhideWhenUsed/>
    <w:qFormat/>
    <w:uiPriority w:val="99"/>
    <w:rPr>
      <w:rFonts w:ascii="等线" w:hAnsi="等线" w:eastAsia="等线" w:cs="Times New Roman"/>
      <w:kern w:val="2"/>
      <w:sz w:val="21"/>
      <w:szCs w:val="22"/>
      <w:lang w:val="en-US" w:eastAsia="zh-CN" w:bidi="ar-SA"/>
    </w:rPr>
  </w:style>
  <w:style w:type="paragraph" w:customStyle="1" w:styleId="849">
    <w:name w:val="List Paragraph2"/>
    <w:basedOn w:val="1"/>
    <w:qFormat/>
    <w:uiPriority w:val="0"/>
    <w:pPr>
      <w:spacing w:line="360" w:lineRule="auto"/>
      <w:ind w:firstLine="420" w:firstLineChars="200"/>
    </w:pPr>
    <w:rPr>
      <w:rFonts w:ascii="Times New Roman" w:hAnsi="Times New Roman"/>
      <w:szCs w:val="21"/>
    </w:rPr>
  </w:style>
  <w:style w:type="paragraph" w:customStyle="1" w:styleId="850">
    <w:name w:val="列表段落1"/>
    <w:basedOn w:val="1"/>
    <w:qFormat/>
    <w:uiPriority w:val="34"/>
    <w:pPr>
      <w:ind w:firstLine="420" w:firstLineChars="200"/>
    </w:pPr>
    <w:rPr>
      <w:rFonts w:ascii="Cambria" w:hAnsi="Cambria"/>
      <w:sz w:val="24"/>
      <w:szCs w:val="24"/>
    </w:rPr>
  </w:style>
  <w:style w:type="character" w:customStyle="1" w:styleId="851">
    <w:name w:val="正文360首行缩进 Char"/>
    <w:basedOn w:val="58"/>
    <w:link w:val="819"/>
    <w:qFormat/>
    <w:uiPriority w:val="0"/>
    <w:rPr>
      <w:rFonts w:ascii="Times New Roman" w:hAnsi="Times New Roman"/>
      <w:kern w:val="2"/>
      <w:sz w:val="24"/>
    </w:rPr>
  </w:style>
  <w:style w:type="paragraph" w:customStyle="1" w:styleId="852">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3">
    <w:name w:val="书籍标题1"/>
    <w:qFormat/>
    <w:uiPriority w:val="33"/>
    <w:rPr>
      <w:b/>
      <w:bCs/>
      <w:smallCaps/>
      <w:spacing w:val="5"/>
    </w:rPr>
  </w:style>
  <w:style w:type="paragraph" w:customStyle="1" w:styleId="854">
    <w:name w:val="z-窗体底端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5">
    <w:name w:val="明显参考1"/>
    <w:qFormat/>
    <w:uiPriority w:val="0"/>
    <w:rPr>
      <w:b/>
      <w:sz w:val="24"/>
      <w:u w:val="single"/>
    </w:rPr>
  </w:style>
  <w:style w:type="character" w:customStyle="1" w:styleId="856">
    <w:name w:val="Char Char142"/>
    <w:qFormat/>
    <w:locked/>
    <w:uiPriority w:val="0"/>
    <w:rPr>
      <w:rFonts w:ascii="楷体_GB2312" w:eastAsia="楷体_GB2312"/>
      <w:kern w:val="2"/>
      <w:sz w:val="32"/>
      <w:lang w:val="en-US" w:eastAsia="zh-CN" w:bidi="ar-SA"/>
    </w:rPr>
  </w:style>
  <w:style w:type="paragraph" w:customStyle="1" w:styleId="857">
    <w:name w:val="z-窗体顶端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8">
    <w:name w:val="Char Char51"/>
    <w:qFormat/>
    <w:uiPriority w:val="0"/>
    <w:rPr>
      <w:rFonts w:ascii="Calibri" w:hAnsi="Calibri" w:eastAsia="宋体"/>
      <w:sz w:val="18"/>
      <w:szCs w:val="18"/>
      <w:lang w:bidi="ar-SA"/>
    </w:rPr>
  </w:style>
  <w:style w:type="character" w:customStyle="1" w:styleId="859">
    <w:name w:val="Char Char61"/>
    <w:qFormat/>
    <w:uiPriority w:val="0"/>
    <w:rPr>
      <w:rFonts w:ascii="Calibri" w:hAnsi="Calibri" w:eastAsia="宋体"/>
      <w:b/>
      <w:bCs/>
      <w:kern w:val="2"/>
      <w:sz w:val="28"/>
      <w:szCs w:val="28"/>
      <w:lang w:bidi="ar-SA"/>
    </w:rPr>
  </w:style>
  <w:style w:type="character" w:customStyle="1" w:styleId="860">
    <w:name w:val="Char Char81"/>
    <w:qFormat/>
    <w:uiPriority w:val="0"/>
    <w:rPr>
      <w:rFonts w:ascii="Arial" w:hAnsi="Arial" w:eastAsia="黑体"/>
      <w:b/>
      <w:bCs/>
      <w:kern w:val="2"/>
      <w:sz w:val="32"/>
      <w:szCs w:val="32"/>
      <w:lang w:val="en-US" w:eastAsia="zh-CN" w:bidi="ar-SA"/>
    </w:rPr>
  </w:style>
  <w:style w:type="character" w:customStyle="1" w:styleId="861">
    <w:name w:val="Char Char22"/>
    <w:qFormat/>
    <w:uiPriority w:val="0"/>
    <w:rPr>
      <w:rFonts w:ascii="宋体" w:hAnsi="Courier New" w:eastAsia="宋体"/>
      <w:sz w:val="21"/>
      <w:lang w:val="en-US" w:eastAsia="zh-CN" w:bidi="ar-SA"/>
    </w:rPr>
  </w:style>
  <w:style w:type="character" w:customStyle="1" w:styleId="862">
    <w:name w:val="占位符文本1"/>
    <w:qFormat/>
    <w:uiPriority w:val="0"/>
    <w:rPr>
      <w:color w:val="808080"/>
    </w:rPr>
  </w:style>
  <w:style w:type="character" w:customStyle="1" w:styleId="863">
    <w:name w:val="Char Char121"/>
    <w:qFormat/>
    <w:uiPriority w:val="0"/>
    <w:rPr>
      <w:rFonts w:ascii="宋体" w:hAnsi="Courier New" w:eastAsia="宋体" w:cs="Times New Roman"/>
      <w:spacing w:val="-4"/>
      <w:sz w:val="18"/>
      <w:szCs w:val="20"/>
    </w:rPr>
  </w:style>
  <w:style w:type="character" w:customStyle="1" w:styleId="864">
    <w:name w:val="不明显参考1"/>
    <w:qFormat/>
    <w:uiPriority w:val="31"/>
    <w:rPr>
      <w:smallCaps/>
      <w:color w:val="C0504D"/>
      <w:u w:val="single"/>
    </w:rPr>
  </w:style>
  <w:style w:type="character" w:customStyle="1" w:styleId="865">
    <w:name w:val="Char Char31"/>
    <w:qFormat/>
    <w:uiPriority w:val="0"/>
    <w:rPr>
      <w:rFonts w:ascii="Arial" w:hAnsi="Arial" w:eastAsia="黑体"/>
      <w:b/>
      <w:kern w:val="2"/>
      <w:sz w:val="32"/>
      <w:lang w:val="en-US" w:eastAsia="zh-CN" w:bidi="ar-SA"/>
    </w:rPr>
  </w:style>
  <w:style w:type="character" w:customStyle="1" w:styleId="866">
    <w:name w:val="Char Char71"/>
    <w:qFormat/>
    <w:uiPriority w:val="0"/>
    <w:rPr>
      <w:rFonts w:eastAsia="宋体"/>
      <w:b/>
      <w:kern w:val="2"/>
      <w:sz w:val="32"/>
      <w:lang w:bidi="ar-SA"/>
    </w:rPr>
  </w:style>
  <w:style w:type="character" w:customStyle="1" w:styleId="867">
    <w:name w:val="Char Char91"/>
    <w:qFormat/>
    <w:uiPriority w:val="0"/>
    <w:rPr>
      <w:rFonts w:eastAsia="宋体"/>
      <w:b/>
      <w:kern w:val="44"/>
      <w:sz w:val="44"/>
      <w:lang w:bidi="ar-SA"/>
    </w:rPr>
  </w:style>
  <w:style w:type="character" w:customStyle="1" w:styleId="868">
    <w:name w:val="Char Char131"/>
    <w:qFormat/>
    <w:uiPriority w:val="0"/>
    <w:rPr>
      <w:rFonts w:ascii="Calibri" w:hAnsi="Calibri" w:eastAsia="宋体" w:cs="Times New Roman"/>
      <w:sz w:val="18"/>
      <w:szCs w:val="18"/>
    </w:rPr>
  </w:style>
  <w:style w:type="character" w:customStyle="1" w:styleId="869">
    <w:name w:val="Char Char41"/>
    <w:qFormat/>
    <w:uiPriority w:val="0"/>
    <w:rPr>
      <w:rFonts w:ascii="Calibri" w:hAnsi="Calibri" w:eastAsia="宋体"/>
      <w:sz w:val="18"/>
      <w:szCs w:val="18"/>
      <w:lang w:bidi="ar-SA"/>
    </w:rPr>
  </w:style>
  <w:style w:type="paragraph" w:customStyle="1" w:styleId="870">
    <w:name w:val="批注主题11"/>
    <w:basedOn w:val="13"/>
    <w:next w:val="13"/>
    <w:qFormat/>
    <w:uiPriority w:val="0"/>
    <w:rPr>
      <w:b/>
      <w:bCs/>
      <w:kern w:val="0"/>
      <w:sz w:val="20"/>
      <w:szCs w:val="20"/>
    </w:rPr>
  </w:style>
  <w:style w:type="paragraph" w:customStyle="1" w:styleId="871">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2">
    <w:name w:val="Char Char1 Char11"/>
    <w:basedOn w:val="1"/>
    <w:qFormat/>
    <w:uiPriority w:val="0"/>
    <w:rPr>
      <w:rFonts w:ascii="仿宋_GB2312" w:hAnsi="Times New Roman" w:eastAsia="仿宋_GB2312"/>
      <w:b/>
      <w:sz w:val="32"/>
      <w:szCs w:val="32"/>
    </w:rPr>
  </w:style>
  <w:style w:type="paragraph" w:customStyle="1" w:styleId="873">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4">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6">
    <w:name w:val="Char Char Char11"/>
    <w:basedOn w:val="1"/>
    <w:qFormat/>
    <w:uiPriority w:val="0"/>
  </w:style>
  <w:style w:type="paragraph" w:customStyle="1" w:styleId="877">
    <w:name w:val="Char111"/>
    <w:basedOn w:val="1"/>
    <w:qFormat/>
    <w:uiPriority w:val="0"/>
    <w:rPr>
      <w:rFonts w:ascii="仿宋_GB2312" w:hAnsi="Times New Roman" w:eastAsia="仿宋_GB2312"/>
      <w:b/>
      <w:sz w:val="32"/>
      <w:szCs w:val="32"/>
    </w:rPr>
  </w:style>
  <w:style w:type="paragraph" w:customStyle="1" w:styleId="878">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9">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0">
    <w:name w:val="无间隔11"/>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881">
    <w:name w:val="Char31"/>
    <w:basedOn w:val="1"/>
    <w:qFormat/>
    <w:uiPriority w:val="0"/>
    <w:rPr>
      <w:rFonts w:ascii="仿宋_GB2312" w:hAnsi="Times New Roman" w:eastAsia="仿宋_GB2312"/>
      <w:b/>
      <w:sz w:val="32"/>
      <w:szCs w:val="32"/>
    </w:rPr>
  </w:style>
  <w:style w:type="paragraph" w:customStyle="1" w:styleId="882">
    <w:name w:val="正文文本缩进11"/>
    <w:basedOn w:val="1"/>
    <w:qFormat/>
    <w:uiPriority w:val="0"/>
    <w:pPr>
      <w:spacing w:after="120"/>
      <w:ind w:left="420" w:leftChars="200"/>
    </w:pPr>
    <w:rPr>
      <w:rFonts w:cs="黑体"/>
    </w:rPr>
  </w:style>
  <w:style w:type="paragraph" w:customStyle="1" w:styleId="883">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4">
    <w:name w:val="Char Char Char Char Char Char Char Char1"/>
    <w:basedOn w:val="1"/>
    <w:qFormat/>
    <w:uiPriority w:val="0"/>
    <w:rPr>
      <w:rFonts w:ascii="仿宋_GB2312" w:hAnsi="Times New Roman" w:eastAsia="仿宋_GB2312"/>
      <w:b/>
      <w:sz w:val="32"/>
      <w:szCs w:val="32"/>
    </w:rPr>
  </w:style>
  <w:style w:type="paragraph" w:customStyle="1" w:styleId="885">
    <w:name w:val="列出段落12"/>
    <w:basedOn w:val="1"/>
    <w:qFormat/>
    <w:uiPriority w:val="0"/>
    <w:pPr>
      <w:ind w:firstLine="420" w:firstLineChars="200"/>
    </w:pPr>
  </w:style>
  <w:style w:type="paragraph" w:customStyle="1" w:styleId="886">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7">
    <w:name w:val="Char1 Char Char Char2"/>
    <w:basedOn w:val="1"/>
    <w:qFormat/>
    <w:uiPriority w:val="0"/>
    <w:rPr>
      <w:rFonts w:ascii="Tahoma" w:hAnsi="Tahoma"/>
      <w:sz w:val="24"/>
      <w:szCs w:val="20"/>
    </w:rPr>
  </w:style>
  <w:style w:type="paragraph" w:customStyle="1" w:styleId="88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89">
    <w:name w:val="Char Char10"/>
    <w:basedOn w:val="1"/>
    <w:qFormat/>
    <w:uiPriority w:val="0"/>
    <w:rPr>
      <w:rFonts w:ascii="Tahoma" w:hAnsi="Tahoma"/>
      <w:sz w:val="24"/>
      <w:szCs w:val="20"/>
    </w:rPr>
  </w:style>
  <w:style w:type="paragraph" w:customStyle="1" w:styleId="890">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1">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2">
    <w:name w:val="批注框文本 Char"/>
    <w:basedOn w:val="58"/>
    <w:link w:val="39"/>
    <w:semiHidden/>
    <w:qFormat/>
    <w:uiPriority w:val="99"/>
    <w:rPr>
      <w:rFonts w:asciiTheme="minorHAnsi" w:hAnsiTheme="minorHAnsi" w:eastAsiaTheme="minorEastAsia" w:cstheme="minorBidi"/>
      <w:kern w:val="2"/>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583EC-EFE4-4AAC-85D6-1091A8556A47}">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63</Pages>
  <Words>22776</Words>
  <Characters>24477</Characters>
  <Lines>66</Lines>
  <Paragraphs>18</Paragraphs>
  <ScaleCrop>false</ScaleCrop>
  <LinksUpToDate>false</LinksUpToDate>
  <CharactersWithSpaces>25683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2020-09-03T01:41:00Z</dcterms:created>
  <dc:creator>汪莹</dc:creator>
  <cp:lastModifiedBy>yld</cp:lastModifiedBy>
  <cp:lastPrinted>2020-09-25T07:40:00Z</cp:lastPrinted>
  <dcterms:modified xsi:type="dcterms:W3CDTF">2020-12-30T11:41:25Z</dcterms:modified>
  <dc:title>浙江省政府采购中心关于浙江省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