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43A49">
      <w:pPr>
        <w:spacing w:before="240" w:beforeLines="100" w:line="360" w:lineRule="auto"/>
        <w:jc w:val="center"/>
        <w:rPr>
          <w:rFonts w:ascii="宋体" w:hAnsi="宋体"/>
          <w:b/>
          <w:bCs/>
          <w:color w:val="000000" w:themeColor="text1"/>
          <w:sz w:val="48"/>
          <w:szCs w:val="48"/>
          <w14:textFill>
            <w14:solidFill>
              <w14:schemeClr w14:val="tx1"/>
            </w14:solidFill>
          </w14:textFill>
        </w:rPr>
      </w:pPr>
      <w:bookmarkStart w:id="0" w:name="PO_15528_PM002_1"/>
      <w:bookmarkStart w:id="48" w:name="_GoBack"/>
      <w:bookmarkEnd w:id="48"/>
      <w:r>
        <w:rPr>
          <w:rFonts w:hint="eastAsia" w:ascii="宋体" w:hAnsi="宋体"/>
          <w:b/>
          <w:bCs/>
          <w:color w:val="000000" w:themeColor="text1"/>
          <w:sz w:val="48"/>
          <w:szCs w:val="48"/>
          <w14:textFill>
            <w14:solidFill>
              <w14:schemeClr w14:val="tx1"/>
            </w14:solidFill>
          </w14:textFill>
        </w:rPr>
        <w:t>浙江外国语学院图书馆机房建设项目</w:t>
      </w:r>
      <w:bookmarkEnd w:id="0"/>
    </w:p>
    <w:p w14:paraId="29D943D7">
      <w:pPr>
        <w:spacing w:before="240" w:beforeLines="100" w:line="360" w:lineRule="auto"/>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bookmarkStart w:id="1" w:name="PO_15528_PM001"/>
      <w:r>
        <w:rPr>
          <w:rFonts w:hint="eastAsia" w:ascii="宋体" w:hAnsi="宋体"/>
          <w:color w:val="000000" w:themeColor="text1"/>
          <w:sz w:val="36"/>
          <w:szCs w:val="36"/>
          <w14:textFill>
            <w14:solidFill>
              <w14:schemeClr w14:val="tx1"/>
            </w14:solidFill>
          </w14:textFill>
        </w:rPr>
        <w:t>ZZCG2024X-GK-150</w:t>
      </w:r>
      <w:bookmarkEnd w:id="1"/>
    </w:p>
    <w:p w14:paraId="44161CB0">
      <w:pPr>
        <w:spacing w:before="240" w:beforeLines="100" w:line="360" w:lineRule="auto"/>
        <w:jc w:val="center"/>
        <w:rPr>
          <w:rFonts w:ascii="宋体" w:hAnsi="宋体"/>
          <w:color w:val="000000" w:themeColor="text1"/>
          <w:sz w:val="36"/>
          <w:szCs w:val="36"/>
          <w14:textFill>
            <w14:solidFill>
              <w14:schemeClr w14:val="tx1"/>
            </w14:solidFill>
          </w14:textFill>
        </w:rPr>
      </w:pPr>
    </w:p>
    <w:p w14:paraId="461A1FD2">
      <w:pPr>
        <w:spacing w:before="240" w:beforeLines="100" w:after="100" w:afterAutospacing="1" w:line="800" w:lineRule="exact"/>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公</w:t>
      </w:r>
    </w:p>
    <w:p w14:paraId="16D0FCB1">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开</w:t>
      </w:r>
    </w:p>
    <w:p w14:paraId="06428598">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 xml:space="preserve">招 </w:t>
      </w:r>
    </w:p>
    <w:p w14:paraId="264BEA1D">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标</w:t>
      </w:r>
    </w:p>
    <w:p w14:paraId="18463E92">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文</w:t>
      </w:r>
    </w:p>
    <w:p w14:paraId="4DDD1E8B">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件</w:t>
      </w:r>
    </w:p>
    <w:p w14:paraId="4428722B">
      <w:pPr>
        <w:ind w:right="-110"/>
        <w:rPr>
          <w:rFonts w:ascii="宋体" w:hAnsi="宋体"/>
          <w:color w:val="000000" w:themeColor="text1"/>
          <w:sz w:val="32"/>
          <w:szCs w:val="32"/>
          <w14:textFill>
            <w14:solidFill>
              <w14:schemeClr w14:val="tx1"/>
            </w14:solidFill>
          </w14:textFill>
        </w:rPr>
      </w:pPr>
    </w:p>
    <w:p w14:paraId="3A46CD42">
      <w:pPr>
        <w:spacing w:line="500" w:lineRule="exact"/>
        <w:ind w:right="532"/>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浙 江 省 政 府 采 购 中 心</w:t>
      </w:r>
    </w:p>
    <w:p w14:paraId="420BEF71">
      <w:pPr>
        <w:spacing w:line="500" w:lineRule="exact"/>
        <w:ind w:right="532"/>
        <w:jc w:val="center"/>
        <w:rPr>
          <w:rFonts w:ascii="宋体" w:hAnsi="宋体"/>
          <w:color w:val="000000" w:themeColor="text1"/>
          <w:sz w:val="36"/>
          <w:szCs w:val="36"/>
          <w14:textFill>
            <w14:solidFill>
              <w14:schemeClr w14:val="tx1"/>
            </w14:solidFill>
          </w14:textFill>
        </w:rPr>
      </w:pPr>
    </w:p>
    <w:p w14:paraId="2F988EEA">
      <w:pPr>
        <w:wordWrap w:val="0"/>
        <w:spacing w:line="500" w:lineRule="exact"/>
        <w:ind w:right="-108"/>
        <w:jc w:val="center"/>
        <w:rPr>
          <w:rFonts w:hAnsi="宋体"/>
          <w:b/>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址：杭州市西湖区宝石一路3号</w:t>
      </w:r>
    </w:p>
    <w:p w14:paraId="7E65B5FB">
      <w:pPr>
        <w:spacing w:line="500" w:lineRule="exact"/>
        <w:ind w:right="-108" w:firstLine="3072" w:firstLineChars="850"/>
        <w:rPr>
          <w:rFonts w:hAnsi="宋体"/>
          <w:b/>
          <w:color w:val="000000" w:themeColor="text1"/>
          <w:sz w:val="36"/>
          <w:szCs w:val="36"/>
          <w14:textFill>
            <w14:solidFill>
              <w14:schemeClr w14:val="tx1"/>
            </w14:solidFill>
          </w14:textFill>
        </w:rPr>
      </w:pPr>
    </w:p>
    <w:p w14:paraId="608EAC7B">
      <w:pPr>
        <w:spacing w:line="500" w:lineRule="exact"/>
        <w:ind w:right="-108" w:firstLine="3072" w:firstLineChars="850"/>
        <w:rPr>
          <w:rFonts w:hAnsi="宋体"/>
          <w:b/>
          <w:color w:val="000000" w:themeColor="text1"/>
          <w:sz w:val="36"/>
          <w:szCs w:val="36"/>
          <w14:textFill>
            <w14:solidFill>
              <w14:schemeClr w14:val="tx1"/>
            </w14:solidFill>
          </w14:textFill>
        </w:rPr>
      </w:pPr>
    </w:p>
    <w:p w14:paraId="2C06AD24">
      <w:pPr>
        <w:spacing w:line="500" w:lineRule="exact"/>
        <w:ind w:right="-108" w:firstLine="3072" w:firstLineChars="850"/>
        <w:rPr>
          <w:rFonts w:hAnsi="宋体"/>
          <w:b/>
          <w:color w:val="000000" w:themeColor="text1"/>
          <w:sz w:val="36"/>
          <w:szCs w:val="36"/>
          <w14:textFill>
            <w14:solidFill>
              <w14:schemeClr w14:val="tx1"/>
            </w14:solidFill>
          </w14:textFill>
        </w:rPr>
      </w:pPr>
    </w:p>
    <w:p w14:paraId="2CC8B03D">
      <w:pPr>
        <w:spacing w:line="500" w:lineRule="exact"/>
        <w:ind w:right="-108" w:firstLine="3072" w:firstLineChars="850"/>
        <w:rPr>
          <w:rFonts w:hAnsi="宋体"/>
          <w:b/>
          <w:color w:val="000000" w:themeColor="text1"/>
          <w:sz w:val="36"/>
          <w:szCs w:val="36"/>
          <w14:textFill>
            <w14:solidFill>
              <w14:schemeClr w14:val="tx1"/>
            </w14:solidFill>
          </w14:textFill>
        </w:rPr>
      </w:pPr>
    </w:p>
    <w:p w14:paraId="58C72BFC">
      <w:pPr>
        <w:spacing w:line="500" w:lineRule="exact"/>
        <w:ind w:right="-108" w:firstLine="3072" w:firstLineChars="850"/>
        <w:rPr>
          <w:rFonts w:hAnsi="宋体"/>
          <w:b/>
          <w:color w:val="000000" w:themeColor="text1"/>
          <w:sz w:val="36"/>
          <w:szCs w:val="36"/>
          <w14:textFill>
            <w14:solidFill>
              <w14:schemeClr w14:val="tx1"/>
            </w14:solidFill>
          </w14:textFill>
        </w:rPr>
      </w:pPr>
    </w:p>
    <w:p w14:paraId="4829DCEF">
      <w:pPr>
        <w:spacing w:line="500" w:lineRule="exact"/>
        <w:ind w:right="-108"/>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目</w:t>
      </w:r>
      <w:r>
        <w:rPr>
          <w:rFonts w:hAnsi="宋体"/>
          <w:b/>
          <w:color w:val="000000" w:themeColor="text1"/>
          <w:sz w:val="36"/>
          <w:szCs w:val="36"/>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录</w:t>
      </w:r>
    </w:p>
    <w:p w14:paraId="3D1601A0">
      <w:pPr>
        <w:pStyle w:val="31"/>
        <w:spacing w:before="120" w:after="120" w:line="360" w:lineRule="auto"/>
        <w:jc w:val="center"/>
        <w:rPr>
          <w:rFonts w:hAnsi="宋体" w:eastAsia="仿宋_GB2312"/>
          <w:color w:val="000000" w:themeColor="text1"/>
          <w:sz w:val="32"/>
          <w:szCs w:val="32"/>
          <w14:textFill>
            <w14:solidFill>
              <w14:schemeClr w14:val="tx1"/>
            </w14:solidFill>
          </w14:textFill>
        </w:rPr>
      </w:pPr>
    </w:p>
    <w:p w14:paraId="5564A828">
      <w:pPr>
        <w:pStyle w:val="40"/>
        <w:tabs>
          <w:tab w:val="right" w:leader="dot" w:pos="8312"/>
        </w:tabs>
      </w:pPr>
      <w:r>
        <w:rPr>
          <w:rFonts w:hint="eastAsia" w:ascii="宋体" w:hAnsi="宋体" w:eastAsia="仿宋_GB2312"/>
          <w:color w:val="000000" w:themeColor="text1"/>
          <w:sz w:val="30"/>
          <w:szCs w:val="30"/>
          <w14:textFill>
            <w14:solidFill>
              <w14:schemeClr w14:val="tx1"/>
            </w14:solidFill>
          </w14:textFill>
        </w:rPr>
        <w:fldChar w:fldCharType="begin"/>
      </w:r>
      <w:r>
        <w:rPr>
          <w:rFonts w:hint="eastAsia" w:ascii="宋体" w:hAnsi="宋体" w:eastAsia="仿宋_GB2312"/>
          <w:color w:val="000000" w:themeColor="text1"/>
          <w:sz w:val="30"/>
          <w:szCs w:val="30"/>
          <w14:textFill>
            <w14:solidFill>
              <w14:schemeClr w14:val="tx1"/>
            </w14:solidFill>
          </w14:textFill>
        </w:rPr>
        <w:instrText xml:space="preserve"> TOC \o "1-1" \h \z \u </w:instrText>
      </w:r>
      <w:r>
        <w:rPr>
          <w:rFonts w:hint="eastAsia" w:ascii="宋体" w:hAnsi="宋体" w:eastAsia="仿宋_GB2312"/>
          <w:color w:val="000000" w:themeColor="text1"/>
          <w:sz w:val="30"/>
          <w:szCs w:val="30"/>
          <w14:textFill>
            <w14:solidFill>
              <w14:schemeClr w14:val="tx1"/>
            </w14:solidFill>
          </w14:textFill>
        </w:rPr>
        <w:fldChar w:fldCharType="separate"/>
      </w:r>
      <w:r>
        <w:fldChar w:fldCharType="begin"/>
      </w:r>
      <w:r>
        <w:instrText xml:space="preserve"> HYPERLINK \l "_Toc2371" </w:instrText>
      </w:r>
      <w:r>
        <w:fldChar w:fldCharType="separate"/>
      </w:r>
      <w:r>
        <w:rPr>
          <w:rFonts w:hint="eastAsia" w:hAnsi="宋体"/>
          <w:szCs w:val="36"/>
        </w:rPr>
        <w:t>第一章公开招标采购公告</w:t>
      </w:r>
      <w:r>
        <w:tab/>
      </w:r>
      <w:r>
        <w:fldChar w:fldCharType="begin"/>
      </w:r>
      <w:r>
        <w:instrText xml:space="preserve"> PAGEREF _Toc2371 \h </w:instrText>
      </w:r>
      <w:r>
        <w:fldChar w:fldCharType="separate"/>
      </w:r>
      <w:r>
        <w:t>3</w:t>
      </w:r>
      <w:r>
        <w:fldChar w:fldCharType="end"/>
      </w:r>
      <w:r>
        <w:fldChar w:fldCharType="end"/>
      </w:r>
    </w:p>
    <w:p w14:paraId="0CAFE2E2">
      <w:pPr>
        <w:pStyle w:val="40"/>
        <w:tabs>
          <w:tab w:val="right" w:leader="dot" w:pos="8312"/>
        </w:tabs>
      </w:pPr>
      <w:r>
        <w:fldChar w:fldCharType="begin"/>
      </w:r>
      <w:r>
        <w:instrText xml:space="preserve"> HYPERLINK \l "_Toc29498" </w:instrText>
      </w:r>
      <w:r>
        <w:fldChar w:fldCharType="separate"/>
      </w:r>
      <w:r>
        <w:rPr>
          <w:rFonts w:hint="eastAsia" w:ascii="仿宋" w:hAnsi="仿宋"/>
          <w:szCs w:val="36"/>
        </w:rPr>
        <w:t>第二章投标人须知</w:t>
      </w:r>
      <w:r>
        <w:tab/>
      </w:r>
      <w:r>
        <w:fldChar w:fldCharType="begin"/>
      </w:r>
      <w:r>
        <w:instrText xml:space="preserve"> PAGEREF _Toc29498 \h </w:instrText>
      </w:r>
      <w:r>
        <w:fldChar w:fldCharType="separate"/>
      </w:r>
      <w:r>
        <w:t>7</w:t>
      </w:r>
      <w:r>
        <w:fldChar w:fldCharType="end"/>
      </w:r>
      <w:r>
        <w:fldChar w:fldCharType="end"/>
      </w:r>
    </w:p>
    <w:p w14:paraId="0DA8702F">
      <w:pPr>
        <w:pStyle w:val="40"/>
        <w:tabs>
          <w:tab w:val="right" w:leader="dot" w:pos="8312"/>
        </w:tabs>
      </w:pPr>
      <w:r>
        <w:fldChar w:fldCharType="begin"/>
      </w:r>
      <w:r>
        <w:instrText xml:space="preserve"> HYPERLINK \l "_Toc2834" </w:instrText>
      </w:r>
      <w:r>
        <w:fldChar w:fldCharType="separate"/>
      </w:r>
      <w:r>
        <w:rPr>
          <w:rFonts w:hint="eastAsia" w:hAnsi="宋体"/>
          <w:szCs w:val="36"/>
        </w:rPr>
        <w:t>第三章评标办法及评分标准</w:t>
      </w:r>
      <w:r>
        <w:tab/>
      </w:r>
      <w:r>
        <w:fldChar w:fldCharType="begin"/>
      </w:r>
      <w:r>
        <w:instrText xml:space="preserve"> PAGEREF _Toc2834 \h </w:instrText>
      </w:r>
      <w:r>
        <w:fldChar w:fldCharType="separate"/>
      </w:r>
      <w:r>
        <w:t>27</w:t>
      </w:r>
      <w:r>
        <w:fldChar w:fldCharType="end"/>
      </w:r>
      <w:r>
        <w:fldChar w:fldCharType="end"/>
      </w:r>
    </w:p>
    <w:p w14:paraId="3C625F3E">
      <w:pPr>
        <w:pStyle w:val="40"/>
        <w:tabs>
          <w:tab w:val="right" w:leader="dot" w:pos="8312"/>
        </w:tabs>
      </w:pPr>
      <w:r>
        <w:fldChar w:fldCharType="begin"/>
      </w:r>
      <w:r>
        <w:instrText xml:space="preserve"> HYPERLINK \l "_Toc24960" </w:instrText>
      </w:r>
      <w:r>
        <w:fldChar w:fldCharType="separate"/>
      </w:r>
      <w:r>
        <w:rPr>
          <w:rFonts w:hint="eastAsia" w:hAnsi="宋体"/>
          <w:szCs w:val="36"/>
        </w:rPr>
        <w:t>第四章招标需求</w:t>
      </w:r>
      <w:r>
        <w:tab/>
      </w:r>
      <w:r>
        <w:fldChar w:fldCharType="begin"/>
      </w:r>
      <w:r>
        <w:instrText xml:space="preserve"> PAGEREF _Toc24960 \h </w:instrText>
      </w:r>
      <w:r>
        <w:fldChar w:fldCharType="separate"/>
      </w:r>
      <w:r>
        <w:t>29</w:t>
      </w:r>
      <w:r>
        <w:fldChar w:fldCharType="end"/>
      </w:r>
      <w:r>
        <w:fldChar w:fldCharType="end"/>
      </w:r>
    </w:p>
    <w:p w14:paraId="154931BE">
      <w:pPr>
        <w:pStyle w:val="40"/>
        <w:tabs>
          <w:tab w:val="right" w:leader="dot" w:pos="8312"/>
        </w:tabs>
      </w:pPr>
      <w:r>
        <w:fldChar w:fldCharType="begin"/>
      </w:r>
      <w:r>
        <w:instrText xml:space="preserve"> HYPERLINK \l "_Toc26308" </w:instrText>
      </w:r>
      <w:r>
        <w:fldChar w:fldCharType="separate"/>
      </w:r>
      <w:r>
        <w:rPr>
          <w:rFonts w:hint="eastAsia" w:hAnsi="宋体"/>
          <w:szCs w:val="36"/>
        </w:rPr>
        <w:t>第五章浙江省政府采购合同主要条款指引</w:t>
      </w:r>
      <w:r>
        <w:tab/>
      </w:r>
      <w:r>
        <w:fldChar w:fldCharType="begin"/>
      </w:r>
      <w:r>
        <w:instrText xml:space="preserve"> PAGEREF _Toc26308 \h </w:instrText>
      </w:r>
      <w:r>
        <w:fldChar w:fldCharType="separate"/>
      </w:r>
      <w:r>
        <w:t>31</w:t>
      </w:r>
      <w:r>
        <w:fldChar w:fldCharType="end"/>
      </w:r>
      <w:r>
        <w:fldChar w:fldCharType="end"/>
      </w:r>
    </w:p>
    <w:p w14:paraId="373DB306">
      <w:pPr>
        <w:pStyle w:val="40"/>
        <w:tabs>
          <w:tab w:val="right" w:leader="dot" w:pos="8312"/>
        </w:tabs>
      </w:pPr>
      <w:r>
        <w:fldChar w:fldCharType="begin"/>
      </w:r>
      <w:r>
        <w:instrText xml:space="preserve"> HYPERLINK \l "_Toc22013" </w:instrText>
      </w:r>
      <w:r>
        <w:fldChar w:fldCharType="separate"/>
      </w:r>
      <w:r>
        <w:rPr>
          <w:rFonts w:hint="eastAsia" w:hAnsi="宋体"/>
          <w:szCs w:val="36"/>
        </w:rPr>
        <w:t>第六章投标文件格式附件</w:t>
      </w:r>
      <w:r>
        <w:tab/>
      </w:r>
      <w:r>
        <w:fldChar w:fldCharType="begin"/>
      </w:r>
      <w:r>
        <w:instrText xml:space="preserve"> PAGEREF _Toc22013 \h </w:instrText>
      </w:r>
      <w:r>
        <w:fldChar w:fldCharType="separate"/>
      </w:r>
      <w:r>
        <w:t>36</w:t>
      </w:r>
      <w:r>
        <w:fldChar w:fldCharType="end"/>
      </w:r>
      <w:r>
        <w:fldChar w:fldCharType="end"/>
      </w:r>
    </w:p>
    <w:p w14:paraId="23F97091">
      <w:pPr>
        <w:spacing w:before="120" w:beforeLines="50" w:line="480" w:lineRule="exact"/>
        <w:ind w:left="165"/>
        <w:rPr>
          <w:rFonts w:ascii="宋体" w:hAnsi="宋体" w:eastAsia="仿宋_GB2312"/>
          <w:color w:val="000000" w:themeColor="text1"/>
          <w:sz w:val="30"/>
          <w:szCs w:val="30"/>
          <w14:textFill>
            <w14:solidFill>
              <w14:schemeClr w14:val="tx1"/>
            </w14:solidFill>
          </w14:textFill>
        </w:rPr>
      </w:pPr>
      <w:r>
        <w:rPr>
          <w:rFonts w:hint="eastAsia" w:ascii="宋体" w:hAnsi="宋体" w:eastAsia="仿宋_GB2312"/>
          <w:color w:val="000000" w:themeColor="text1"/>
          <w:szCs w:val="30"/>
          <w14:textFill>
            <w14:solidFill>
              <w14:schemeClr w14:val="tx1"/>
            </w14:solidFill>
          </w14:textFill>
        </w:rPr>
        <w:fldChar w:fldCharType="end"/>
      </w:r>
    </w:p>
    <w:p w14:paraId="23DBE119">
      <w:pPr>
        <w:pStyle w:val="31"/>
        <w:spacing w:before="120" w:after="120" w:line="360" w:lineRule="auto"/>
        <w:ind w:firstLine="640"/>
        <w:jc w:val="center"/>
        <w:outlineLvl w:val="0"/>
        <w:rPr>
          <w:rFonts w:hAnsi="宋体"/>
          <w:b/>
          <w:color w:val="000000" w:themeColor="text1"/>
          <w:sz w:val="36"/>
          <w:szCs w:val="36"/>
          <w14:textFill>
            <w14:solidFill>
              <w14:schemeClr w14:val="tx1"/>
            </w14:solidFill>
          </w14:textFill>
        </w:rPr>
      </w:pPr>
      <w:r>
        <w:rPr>
          <w:rFonts w:hint="eastAsia" w:hAnsi="宋体" w:eastAsia="仿宋_GB2312"/>
          <w:color w:val="000000" w:themeColor="text1"/>
          <w:kern w:val="0"/>
          <w:sz w:val="32"/>
          <w:szCs w:val="32"/>
          <w14:textFill>
            <w14:solidFill>
              <w14:schemeClr w14:val="tx1"/>
            </w14:solidFill>
          </w14:textFill>
        </w:rPr>
        <w:br w:type="page"/>
      </w:r>
      <w:bookmarkStart w:id="2" w:name="_Toc2371"/>
      <w:r>
        <w:rPr>
          <w:rFonts w:hint="eastAsia" w:hAnsi="宋体"/>
          <w:b/>
          <w:color w:val="000000" w:themeColor="text1"/>
          <w:sz w:val="36"/>
          <w:szCs w:val="36"/>
          <w14:textFill>
            <w14:solidFill>
              <w14:schemeClr w14:val="tx1"/>
            </w14:solidFill>
          </w14:textFill>
        </w:rPr>
        <w:t>第一章 公开招标采购公告</w:t>
      </w:r>
      <w:bookmarkEnd w:id="2"/>
    </w:p>
    <w:p w14:paraId="078E62FE">
      <w:pPr>
        <w:pStyle w:val="397"/>
        <w:widowControl w:val="0"/>
        <w:spacing w:after="120" w:line="460" w:lineRule="exact"/>
        <w:ind w:firstLine="56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themeColor="text1"/>
          <w:sz w:val="30"/>
          <w:szCs w:val="30"/>
          <w14:textFill>
            <w14:solidFill>
              <w14:schemeClr w14:val="tx1"/>
            </w14:solidFill>
          </w14:textFill>
        </w:rPr>
        <w:t>：</w:t>
      </w:r>
    </w:p>
    <w:p w14:paraId="3BDC2766">
      <w:pPr>
        <w:snapToGrid w:val="0"/>
        <w:spacing w:line="460" w:lineRule="exact"/>
        <w:ind w:firstLine="600" w:firstLineChars="200"/>
        <w:rPr>
          <w:rFonts w:ascii="仿宋" w:hAnsi="仿宋" w:eastAsia="仿宋" w:cs="Arial"/>
          <w:color w:val="000000" w:themeColor="text1"/>
          <w:sz w:val="30"/>
          <w:szCs w:val="30"/>
          <w14:textFill>
            <w14:solidFill>
              <w14:schemeClr w14:val="tx1"/>
            </w14:solidFill>
          </w14:textFill>
        </w:rPr>
      </w:pPr>
      <w:r>
        <w:rPr>
          <w:rFonts w:hint="eastAsia" w:ascii="仿宋" w:hAnsi="仿宋" w:eastAsia="仿宋" w:cs="Arial"/>
          <w:color w:val="000000" w:themeColor="text1"/>
          <w:sz w:val="30"/>
          <w:szCs w:val="30"/>
          <w14:textFill>
            <w14:solidFill>
              <w14:schemeClr w14:val="tx1"/>
            </w14:solidFill>
          </w14:textFill>
        </w:rPr>
        <w:t>一、</w:t>
      </w:r>
      <w:r>
        <w:rPr>
          <w:rFonts w:hint="eastAsia" w:ascii="仿宋" w:hAnsi="仿宋" w:eastAsia="仿宋" w:cs="Arial"/>
          <w:b/>
          <w:bCs/>
          <w:color w:val="000000" w:themeColor="text1"/>
          <w:sz w:val="30"/>
          <w:szCs w:val="30"/>
          <w14:textFill>
            <w14:solidFill>
              <w14:schemeClr w14:val="tx1"/>
            </w14:solidFill>
          </w14:textFill>
        </w:rPr>
        <w:t>项目编号：</w:t>
      </w:r>
      <w:bookmarkStart w:id="3" w:name="PO_15528_PM001_1"/>
      <w:r>
        <w:rPr>
          <w:rFonts w:hint="eastAsia" w:ascii="仿宋" w:hAnsi="仿宋" w:eastAsia="仿宋" w:cs="Arial"/>
          <w:b/>
          <w:bCs/>
          <w:color w:val="000000" w:themeColor="text1"/>
          <w:sz w:val="30"/>
          <w:szCs w:val="30"/>
          <w14:textFill>
            <w14:solidFill>
              <w14:schemeClr w14:val="tx1"/>
            </w14:solidFill>
          </w14:textFill>
        </w:rPr>
        <w:t>ZZCG2024X-GK-150</w:t>
      </w:r>
      <w:bookmarkEnd w:id="3"/>
    </w:p>
    <w:p w14:paraId="6B6D6A90">
      <w:pPr>
        <w:snapToGrid w:val="0"/>
        <w:spacing w:after="120" w:afterLines="50"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二、</w:t>
      </w:r>
      <w:r>
        <w:rPr>
          <w:rFonts w:hint="eastAsia" w:ascii="仿宋" w:hAnsi="仿宋" w:eastAsia="仿宋" w:cs="Arial"/>
          <w:b/>
          <w:color w:val="000000" w:themeColor="text1"/>
          <w:sz w:val="28"/>
          <w:szCs w:val="28"/>
          <w14:textFill>
            <w14:solidFill>
              <w14:schemeClr w14:val="tx1"/>
            </w14:solidFill>
          </w14:textFill>
        </w:rPr>
        <w:t>公告期限：5个工作日</w:t>
      </w:r>
    </w:p>
    <w:p w14:paraId="0E15FC2E">
      <w:pPr>
        <w:snapToGrid w:val="0"/>
        <w:spacing w:after="120" w:afterLines="50" w:line="460" w:lineRule="exact"/>
        <w:ind w:firstLine="60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三、</w:t>
      </w:r>
      <w:r>
        <w:rPr>
          <w:rFonts w:hint="eastAsia" w:ascii="仿宋" w:hAnsi="仿宋" w:eastAsia="仿宋" w:cs="Arial"/>
          <w:b/>
          <w:color w:val="000000" w:themeColor="text1"/>
          <w:sz w:val="28"/>
          <w:szCs w:val="28"/>
          <w14:textFill>
            <w14:solidFill>
              <w14:schemeClr w14:val="tx1"/>
            </w14:solidFill>
          </w14:textFill>
        </w:rPr>
        <w:t>采购项目内容、数量及预算</w:t>
      </w:r>
      <w:bookmarkStart w:id="4" w:name="PO_15528_PM004"/>
      <w:r>
        <w:rPr>
          <w:rFonts w:hint="eastAsia" w:ascii="仿宋" w:hAnsi="仿宋" w:eastAsia="仿宋" w:cs="Arial"/>
          <w:b/>
          <w:color w:val="000000" w:themeColor="text1"/>
          <w:sz w:val="28"/>
          <w:szCs w:val="28"/>
          <w14:textFill>
            <w14:solidFill>
              <w14:schemeClr w14:val="tx1"/>
            </w14:solidFill>
          </w14:textFill>
        </w:rPr>
        <w:t xml:space="preserve"> </w:t>
      </w:r>
    </w:p>
    <w:tbl>
      <w:tblPr>
        <w:tblStyle w:val="60"/>
        <w:tblW w:w="8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567"/>
        <w:gridCol w:w="871"/>
        <w:gridCol w:w="871"/>
        <w:gridCol w:w="1409"/>
        <w:gridCol w:w="1906"/>
      </w:tblGrid>
      <w:tr w14:paraId="7B09E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14:paraId="780711FE">
            <w:pPr>
              <w:snapToGrid w:val="0"/>
              <w:spacing w:after="120"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标项序号</w:t>
            </w:r>
          </w:p>
        </w:tc>
        <w:tc>
          <w:tcPr>
            <w:tcW w:w="2567" w:type="dxa"/>
          </w:tcPr>
          <w:p w14:paraId="7DBE0ADA">
            <w:pPr>
              <w:snapToGrid w:val="0"/>
              <w:spacing w:after="120"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标项名称</w:t>
            </w:r>
          </w:p>
        </w:tc>
        <w:tc>
          <w:tcPr>
            <w:tcW w:w="871" w:type="dxa"/>
          </w:tcPr>
          <w:p w14:paraId="5D0E5347">
            <w:pPr>
              <w:snapToGrid w:val="0"/>
              <w:spacing w:after="120"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数量</w:t>
            </w:r>
          </w:p>
        </w:tc>
        <w:tc>
          <w:tcPr>
            <w:tcW w:w="871" w:type="dxa"/>
          </w:tcPr>
          <w:p w14:paraId="361F454F">
            <w:pPr>
              <w:snapToGrid w:val="0"/>
              <w:spacing w:after="120"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单位</w:t>
            </w:r>
          </w:p>
        </w:tc>
        <w:tc>
          <w:tcPr>
            <w:tcW w:w="1409" w:type="dxa"/>
          </w:tcPr>
          <w:p w14:paraId="1B6ABAD3">
            <w:pPr>
              <w:snapToGrid w:val="0"/>
              <w:spacing w:after="120"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预算金额(万元)</w:t>
            </w:r>
          </w:p>
        </w:tc>
        <w:tc>
          <w:tcPr>
            <w:tcW w:w="1906" w:type="dxa"/>
          </w:tcPr>
          <w:p w14:paraId="1EEBA511">
            <w:pPr>
              <w:snapToGrid w:val="0"/>
              <w:spacing w:after="120"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简要规格描述或标项基本概况介绍</w:t>
            </w:r>
          </w:p>
        </w:tc>
      </w:tr>
      <w:tr w14:paraId="4FA87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14:paraId="34D342CA">
            <w:pPr>
              <w:snapToGrid w:val="0"/>
              <w:spacing w:after="120"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1</w:t>
            </w:r>
          </w:p>
        </w:tc>
        <w:tc>
          <w:tcPr>
            <w:tcW w:w="2567" w:type="dxa"/>
          </w:tcPr>
          <w:p w14:paraId="647F1235">
            <w:pPr>
              <w:snapToGrid w:val="0"/>
              <w:spacing w:after="120"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浙江外国语学院图书馆机房建设项目</w:t>
            </w:r>
          </w:p>
        </w:tc>
        <w:tc>
          <w:tcPr>
            <w:tcW w:w="871" w:type="dxa"/>
          </w:tcPr>
          <w:p w14:paraId="15D8BA9C">
            <w:pPr>
              <w:snapToGrid w:val="0"/>
              <w:spacing w:after="120"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1</w:t>
            </w:r>
          </w:p>
        </w:tc>
        <w:tc>
          <w:tcPr>
            <w:tcW w:w="871" w:type="dxa"/>
          </w:tcPr>
          <w:p w14:paraId="2E72405D">
            <w:pPr>
              <w:snapToGrid w:val="0"/>
              <w:spacing w:after="120"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批</w:t>
            </w:r>
          </w:p>
        </w:tc>
        <w:tc>
          <w:tcPr>
            <w:tcW w:w="1409" w:type="dxa"/>
          </w:tcPr>
          <w:p w14:paraId="09B1D8F5">
            <w:pPr>
              <w:snapToGrid w:val="0"/>
              <w:spacing w:after="120"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197.5</w:t>
            </w:r>
          </w:p>
        </w:tc>
        <w:tc>
          <w:tcPr>
            <w:tcW w:w="1906" w:type="dxa"/>
          </w:tcPr>
          <w:p w14:paraId="0DAB2674">
            <w:pPr>
              <w:snapToGrid w:val="0"/>
              <w:spacing w:after="120"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详见采购文件</w:t>
            </w:r>
          </w:p>
        </w:tc>
      </w:tr>
    </w:tbl>
    <w:p w14:paraId="752329D9">
      <w:pPr>
        <w:snapToGrid w:val="0"/>
        <w:spacing w:after="120" w:afterLines="50" w:line="460" w:lineRule="exact"/>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 xml:space="preserve"> </w:t>
      </w:r>
      <w:bookmarkEnd w:id="4"/>
    </w:p>
    <w:p w14:paraId="004AE6D0">
      <w:pPr>
        <w:snapToGrid w:val="0"/>
        <w:spacing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四、合格投标人的资格要求</w:t>
      </w:r>
    </w:p>
    <w:p w14:paraId="4BC20010">
      <w:pPr>
        <w:snapToGrid w:val="0"/>
        <w:spacing w:line="460" w:lineRule="exact"/>
        <w:ind w:firstLine="560" w:firstLineChars="200"/>
        <w:rPr>
          <w:rFonts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符合《中华人民共和国政府采购法》第二十二条规定,且未被</w:t>
      </w:r>
      <w:r>
        <w:rPr>
          <w:rFonts w:hint="eastAsia" w:ascii="仿宋" w:hAnsi="仿宋" w:eastAsia="仿宋"/>
          <w:color w:val="000000" w:themeColor="text1"/>
          <w:sz w:val="28"/>
          <w:szCs w:val="28"/>
          <w14:textFill>
            <w14:solidFill>
              <w14:schemeClr w14:val="tx1"/>
            </w14:solidFill>
          </w14:textFill>
        </w:rPr>
        <w:t>“信用中国”（www.creditchina.gov.cn）、中国政府采购网（www.ccgp.gov.cn）列入失信被执行人、重大税收违法案件当事人名单、政府采购严重违法失信行为记录名单。</w:t>
      </w:r>
    </w:p>
    <w:p w14:paraId="62820EFD">
      <w:pPr>
        <w:snapToGrid w:val="0"/>
        <w:spacing w:line="500" w:lineRule="exact"/>
        <w:ind w:firstLine="60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投标人的特定条件：无</w:t>
      </w:r>
    </w:p>
    <w:p w14:paraId="57C7356F">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仿宋"/>
          <w:b/>
          <w:bCs/>
          <w:color w:val="000000" w:themeColor="text1"/>
          <w:kern w:val="0"/>
          <w:sz w:val="28"/>
          <w:szCs w:val="28"/>
          <w:lang w:val="zh-CN"/>
          <w14:textFill>
            <w14:solidFill>
              <w14:schemeClr w14:val="tx1"/>
            </w14:solidFill>
          </w14:textFill>
        </w:rPr>
        <w:t>五、获取采购文件</w:t>
      </w:r>
    </w:p>
    <w:p w14:paraId="5588EA6F">
      <w:pPr>
        <w:snapToGrid w:val="0"/>
        <w:spacing w:line="50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1.获取时间：</w:t>
      </w:r>
      <w:r>
        <w:rPr>
          <w:rFonts w:hint="eastAsia" w:ascii="仿宋" w:hAnsi="仿宋" w:eastAsia="仿宋"/>
          <w:color w:val="000000" w:themeColor="text1"/>
          <w:kern w:val="0"/>
          <w:sz w:val="30"/>
          <w:szCs w:val="30"/>
          <w14:textFill>
            <w14:solidFill>
              <w14:schemeClr w14:val="tx1"/>
            </w14:solidFill>
          </w14:textFill>
        </w:rPr>
        <w:t xml:space="preserve">[项目采购-报名开始日期] 至 </w:t>
      </w:r>
      <w:bookmarkStart w:id="5" w:name="PO_15528_PM009"/>
      <w:r>
        <w:rPr>
          <w:rFonts w:hint="eastAsia" w:ascii="仿宋" w:hAnsi="仿宋" w:eastAsia="仿宋"/>
          <w:color w:val="000000" w:themeColor="text1"/>
          <w:kern w:val="0"/>
          <w:sz w:val="30"/>
          <w:szCs w:val="30"/>
          <w:lang w:eastAsia="zh-CN"/>
          <w14:textFill>
            <w14:solidFill>
              <w14:schemeClr w14:val="tx1"/>
            </w14:solidFill>
          </w14:textFill>
        </w:rPr>
        <w:t>2024-11-25 09:30:00</w:t>
      </w:r>
      <w:bookmarkEnd w:id="5"/>
      <w:r>
        <w:rPr>
          <w:rFonts w:hint="eastAsia" w:ascii="宋体" w:hAnsi="宋体"/>
          <w:color w:val="000000" w:themeColor="text1"/>
          <w:kern w:val="0"/>
          <w:sz w:val="28"/>
          <w:szCs w:val="28"/>
          <w14:textFill>
            <w14:solidFill>
              <w14:schemeClr w14:val="tx1"/>
            </w14:solidFill>
          </w14:textFill>
        </w:rPr>
        <w:t>。</w:t>
      </w:r>
    </w:p>
    <w:p w14:paraId="1B547A93">
      <w:pPr>
        <w:autoSpaceDE w:val="0"/>
        <w:autoSpaceDN w:val="0"/>
        <w:adjustRightInd w:val="0"/>
        <w:snapToGrid w:val="0"/>
        <w:spacing w:line="500" w:lineRule="exact"/>
        <w:ind w:firstLine="60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2.获取方式：本项目招标文件实行网上获取。供应商登录浙江政府采购网（</w:t>
      </w:r>
      <w:r>
        <w:fldChar w:fldCharType="begin"/>
      </w:r>
      <w:r>
        <w:instrText xml:space="preserve"> HYPERLINK "http://zfcg.czt.zj.gov.cn/" </w:instrText>
      </w:r>
      <w: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r>
        <w:rPr>
          <w:rFonts w:hint="eastAsia" w:ascii="宋体" w:hAnsi="宋体" w:cs="仿宋"/>
          <w:color w:val="000000" w:themeColor="text1"/>
          <w:kern w:val="0"/>
          <w:sz w:val="28"/>
          <w:szCs w:val="28"/>
          <w:lang w:val="zh-CN"/>
          <w14:textFill>
            <w14:solidFill>
              <w14:schemeClr w14:val="tx1"/>
            </w14:solidFill>
          </w14:textFill>
        </w:rPr>
        <w:t>）进入政采云系统“项目采购”模块“获取采购文件”菜单，进行网上获取招标文件。</w:t>
      </w:r>
    </w:p>
    <w:p w14:paraId="659A2504">
      <w:pPr>
        <w:autoSpaceDE w:val="0"/>
        <w:autoSpaceDN w:val="0"/>
        <w:adjustRightInd w:val="0"/>
        <w:snapToGrid w:val="0"/>
        <w:spacing w:line="500" w:lineRule="exact"/>
        <w:ind w:firstLine="56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3.招标文件免费获取。</w:t>
      </w:r>
    </w:p>
    <w:p w14:paraId="5213F755">
      <w:pPr>
        <w:snapToGrid w:val="0"/>
        <w:spacing w:line="500" w:lineRule="exact"/>
        <w:ind w:firstLine="562" w:firstLineChars="200"/>
        <w:rPr>
          <w:rFonts w:ascii="宋体" w:hAnsi="宋体"/>
          <w:b/>
          <w:color w:val="000000" w:themeColor="text1"/>
          <w:kern w:val="0"/>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六、投标截止时间、地点和形式</w:t>
      </w:r>
    </w:p>
    <w:p w14:paraId="38392647">
      <w:pPr>
        <w:pStyle w:val="31"/>
        <w:adjustRightInd w:val="0"/>
        <w:snapToGrid w:val="0"/>
        <w:spacing w:before="120" w:after="120" w:line="500" w:lineRule="exact"/>
        <w:ind w:firstLine="565" w:firstLineChars="201"/>
        <w:rPr>
          <w:rFonts w:hAnsi="宋体"/>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投标截止时间：</w:t>
      </w:r>
      <w:bookmarkStart w:id="6" w:name="PO_15528_PM015"/>
      <w:r>
        <w:rPr>
          <w:rFonts w:hint="eastAsia" w:ascii="仿宋" w:hAnsi="仿宋" w:eastAsia="仿宋" w:cs="Arial"/>
          <w:color w:val="000000" w:themeColor="text1"/>
          <w:sz w:val="30"/>
          <w:szCs w:val="30"/>
          <w:lang w:eastAsia="zh-CN"/>
          <w14:textFill>
            <w14:solidFill>
              <w14:schemeClr w14:val="tx1"/>
            </w14:solidFill>
          </w14:textFill>
        </w:rPr>
        <w:t>2024-11-25 09:30:00</w:t>
      </w:r>
      <w:bookmarkEnd w:id="6"/>
      <w:r>
        <w:rPr>
          <w:rFonts w:hint="eastAsia" w:hAnsi="宋体"/>
          <w:b/>
          <w:color w:val="000000" w:themeColor="text1"/>
          <w:kern w:val="0"/>
          <w:sz w:val="28"/>
          <w:szCs w:val="28"/>
          <w14:textFill>
            <w14:solidFill>
              <w14:schemeClr w14:val="tx1"/>
            </w14:solidFill>
          </w14:textFill>
        </w:rPr>
        <w:t>。</w:t>
      </w:r>
    </w:p>
    <w:p w14:paraId="1606FE6C">
      <w:pPr>
        <w:pStyle w:val="31"/>
        <w:adjustRightInd w:val="0"/>
        <w:snapToGrid w:val="0"/>
        <w:spacing w:before="120" w:after="120" w:line="500" w:lineRule="exact"/>
        <w:ind w:firstLine="562" w:firstLineChars="201"/>
        <w:rPr>
          <w:rFonts w:hAnsi="宋体"/>
          <w:color w:val="000000" w:themeColor="text1"/>
          <w:kern w:val="0"/>
          <w:sz w:val="28"/>
          <w:szCs w:val="28"/>
          <w14:textFill>
            <w14:solidFill>
              <w14:schemeClr w14:val="tx1"/>
            </w14:solidFill>
          </w14:textFill>
        </w:rPr>
      </w:pPr>
      <w:r>
        <w:rPr>
          <w:rFonts w:hint="eastAsia" w:hAnsi="宋体"/>
          <w:color w:val="000000" w:themeColor="text1"/>
          <w:kern w:val="0"/>
          <w:sz w:val="28"/>
          <w:szCs w:val="28"/>
          <w14:textFill>
            <w14:solidFill>
              <w14:schemeClr w14:val="tx1"/>
            </w14:solidFill>
          </w14:textFill>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14:paraId="6872211D">
      <w:pPr>
        <w:pStyle w:val="31"/>
        <w:adjustRightInd w:val="0"/>
        <w:snapToGrid w:val="0"/>
        <w:spacing w:before="120" w:after="120" w:line="500" w:lineRule="exact"/>
        <w:ind w:firstLine="562" w:firstLineChars="201"/>
        <w:rPr>
          <w:rFonts w:hAnsi="宋体"/>
          <w:color w:val="000000" w:themeColor="text1"/>
          <w:kern w:val="0"/>
          <w:sz w:val="28"/>
          <w:szCs w:val="28"/>
          <w14:textFill>
            <w14:solidFill>
              <w14:schemeClr w14:val="tx1"/>
            </w14:solidFill>
          </w14:textFill>
        </w:rPr>
      </w:pPr>
      <w:r>
        <w:rPr>
          <w:rFonts w:hint="eastAsia" w:hAnsi="宋体"/>
          <w:color w:val="000000" w:themeColor="text1"/>
          <w:kern w:val="0"/>
          <w:sz w:val="28"/>
          <w:szCs w:val="28"/>
          <w14:textFill>
            <w14:solidFill>
              <w14:schemeClr w14:val="tx1"/>
            </w14:solidFill>
          </w14:textFill>
        </w:rPr>
        <w:t>如认为需要，投标人可以选择递交备份投标文件，采用数据电文形式，以 U 盘或 DVD 光盘形式存储，并在投标截止时间前，通过邮寄或直接递交的方式，送达指定地点，逾期送达或未密封将被拒收。</w:t>
      </w:r>
    </w:p>
    <w:p w14:paraId="58FE98FC">
      <w:pPr>
        <w:pStyle w:val="31"/>
        <w:adjustRightInd w:val="0"/>
        <w:snapToGrid w:val="0"/>
        <w:spacing w:before="120" w:after="120" w:line="500" w:lineRule="exact"/>
        <w:ind w:firstLine="562" w:firstLineChars="201"/>
        <w:rPr>
          <w:rFonts w:hAnsi="宋体"/>
          <w:color w:val="000000" w:themeColor="text1"/>
          <w:kern w:val="0"/>
          <w:sz w:val="28"/>
          <w:szCs w:val="28"/>
          <w14:textFill>
            <w14:solidFill>
              <w14:schemeClr w14:val="tx1"/>
            </w14:solidFill>
          </w14:textFill>
        </w:rPr>
      </w:pPr>
      <w:r>
        <w:rPr>
          <w:rFonts w:hint="eastAsia" w:hAnsi="宋体"/>
          <w:color w:val="000000" w:themeColor="text1"/>
          <w:kern w:val="0"/>
          <w:sz w:val="28"/>
          <w:szCs w:val="28"/>
          <w14:textFill>
            <w14:solidFill>
              <w14:schemeClr w14:val="tx1"/>
            </w14:solidFill>
          </w14:textFill>
        </w:rPr>
        <w:t>备份文件收件人：陶老师，联系方式：0571-88901836（仅限备份文件接收），收件地址 浙江省杭州市西湖区宝石一路3号浙江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p>
    <w:p w14:paraId="4101E4EC">
      <w:pPr>
        <w:pStyle w:val="31"/>
        <w:adjustRightInd w:val="0"/>
        <w:snapToGrid w:val="0"/>
        <w:spacing w:before="120" w:after="120" w:line="500" w:lineRule="exact"/>
        <w:ind w:firstLine="565" w:firstLineChars="201"/>
        <w:rPr>
          <w:rFonts w:hAnsi="宋体"/>
          <w:b/>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本项目拒绝接受纸质投标文件。</w:t>
      </w:r>
    </w:p>
    <w:p w14:paraId="2AD810FB">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七、开标时间及地点：</w:t>
      </w:r>
    </w:p>
    <w:p w14:paraId="58DABE7F">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本次招标将于</w:t>
      </w:r>
      <w:bookmarkStart w:id="7" w:name="PO_15528_PM015_1"/>
      <w:r>
        <w:rPr>
          <w:rFonts w:hint="eastAsia" w:ascii="宋体" w:hAnsi="宋体" w:cs="Arial"/>
          <w:b/>
          <w:color w:val="000000" w:themeColor="text1"/>
          <w:sz w:val="28"/>
          <w:szCs w:val="28"/>
          <w:lang w:eastAsia="zh-CN"/>
          <w14:textFill>
            <w14:solidFill>
              <w14:schemeClr w14:val="tx1"/>
            </w14:solidFill>
          </w14:textFill>
        </w:rPr>
        <w:t>2024-11-25 09:30:00</w:t>
      </w:r>
      <w:bookmarkEnd w:id="7"/>
      <w:r>
        <w:rPr>
          <w:rFonts w:hint="eastAsia" w:ascii="宋体" w:hAnsi="宋体" w:cs="Arial"/>
          <w:b/>
          <w:color w:val="000000" w:themeColor="text1"/>
          <w:sz w:val="28"/>
          <w:szCs w:val="28"/>
          <w14:textFill>
            <w14:solidFill>
              <w14:schemeClr w14:val="tx1"/>
            </w14:solidFill>
          </w14:textFill>
        </w:rPr>
        <w:t>时整在</w:t>
      </w:r>
      <w:bookmarkStart w:id="8" w:name="PO_15528_PM016_1"/>
      <w:r>
        <w:rPr>
          <w:rFonts w:hint="eastAsia" w:ascii="宋体" w:hAnsi="宋体" w:cs="Arial"/>
          <w:b/>
          <w:color w:val="000000" w:themeColor="text1"/>
          <w:sz w:val="28"/>
          <w:szCs w:val="28"/>
          <w:lang w:eastAsia="zh-CN"/>
          <w14:textFill>
            <w14:solidFill>
              <w14:schemeClr w14:val="tx1"/>
            </w14:solidFill>
          </w14:textFill>
        </w:rPr>
        <w:t>西湖区浙江省杭州市西湖区宝石一路3号203开标室</w:t>
      </w:r>
      <w:bookmarkEnd w:id="8"/>
      <w:r>
        <w:rPr>
          <w:rFonts w:hint="eastAsia" w:ascii="宋体" w:hAnsi="宋体" w:cs="Arial"/>
          <w:b/>
          <w:color w:val="000000" w:themeColor="text1"/>
          <w:sz w:val="28"/>
          <w:szCs w:val="28"/>
          <w14:textFill>
            <w14:solidFill>
              <w14:schemeClr w14:val="tx1"/>
            </w14:solidFill>
          </w14:textFill>
        </w:rPr>
        <w:t>开标。</w:t>
      </w:r>
    </w:p>
    <w:p w14:paraId="3B09740D">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本项目实行“不见面开评标”，投标人无须派人员到现场出席开标会议。</w:t>
      </w:r>
    </w:p>
    <w:tbl>
      <w:tblPr>
        <w:tblStyle w:val="99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3442"/>
        <w:gridCol w:w="3443"/>
      </w:tblGrid>
      <w:tr w14:paraId="3C4EC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3" w:type="dxa"/>
            <w:vMerge w:val="restart"/>
            <w:tcBorders>
              <w:top w:val="single" w:color="auto" w:sz="4" w:space="0"/>
              <w:left w:val="single" w:color="auto" w:sz="4" w:space="0"/>
              <w:bottom w:val="single" w:color="auto" w:sz="4" w:space="0"/>
              <w:right w:val="single" w:color="auto" w:sz="4" w:space="0"/>
            </w:tcBorders>
            <w:vAlign w:val="center"/>
          </w:tcPr>
          <w:p w14:paraId="4B983A44">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开评标现场咨询电话</w:t>
            </w:r>
          </w:p>
        </w:tc>
        <w:tc>
          <w:tcPr>
            <w:tcW w:w="3442" w:type="dxa"/>
            <w:tcBorders>
              <w:top w:val="single" w:color="auto" w:sz="4" w:space="0"/>
              <w:left w:val="single" w:color="auto" w:sz="4" w:space="0"/>
              <w:bottom w:val="single" w:color="auto" w:sz="4" w:space="0"/>
              <w:right w:val="single" w:color="auto" w:sz="4" w:space="0"/>
            </w:tcBorders>
            <w:vAlign w:val="center"/>
          </w:tcPr>
          <w:p w14:paraId="4FB5ADF5">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203开标室：</w:t>
            </w:r>
          </w:p>
          <w:p w14:paraId="3105F173">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0571-88901816</w:t>
            </w:r>
          </w:p>
        </w:tc>
        <w:tc>
          <w:tcPr>
            <w:tcW w:w="3443" w:type="dxa"/>
            <w:tcBorders>
              <w:top w:val="single" w:color="auto" w:sz="4" w:space="0"/>
              <w:left w:val="single" w:color="auto" w:sz="4" w:space="0"/>
              <w:bottom w:val="single" w:color="auto" w:sz="4" w:space="0"/>
              <w:right w:val="single" w:color="auto" w:sz="4" w:space="0"/>
            </w:tcBorders>
            <w:vAlign w:val="center"/>
          </w:tcPr>
          <w:p w14:paraId="27B0700A">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301会议室：</w:t>
            </w:r>
          </w:p>
          <w:p w14:paraId="0985DE6E">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0571-88907719</w:t>
            </w:r>
          </w:p>
        </w:tc>
      </w:tr>
      <w:tr w14:paraId="2A2EC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3" w:type="dxa"/>
            <w:vMerge w:val="continue"/>
            <w:tcBorders>
              <w:top w:val="single" w:color="auto" w:sz="4" w:space="0"/>
              <w:left w:val="single" w:color="auto" w:sz="4" w:space="0"/>
              <w:bottom w:val="single" w:color="auto" w:sz="4" w:space="0"/>
              <w:right w:val="single" w:color="auto" w:sz="4" w:space="0"/>
            </w:tcBorders>
            <w:vAlign w:val="center"/>
          </w:tcPr>
          <w:p w14:paraId="1542C03E">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3442" w:type="dxa"/>
            <w:tcBorders>
              <w:top w:val="single" w:color="auto" w:sz="4" w:space="0"/>
              <w:left w:val="single" w:color="auto" w:sz="4" w:space="0"/>
              <w:bottom w:val="single" w:color="auto" w:sz="4" w:space="0"/>
              <w:right w:val="single" w:color="auto" w:sz="4" w:space="0"/>
            </w:tcBorders>
            <w:vAlign w:val="center"/>
          </w:tcPr>
          <w:p w14:paraId="3B6AC238">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302会议室：</w:t>
            </w:r>
          </w:p>
          <w:p w14:paraId="6C8A57CE">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0571-88907720</w:t>
            </w:r>
          </w:p>
        </w:tc>
        <w:tc>
          <w:tcPr>
            <w:tcW w:w="3443" w:type="dxa"/>
            <w:tcBorders>
              <w:top w:val="single" w:color="auto" w:sz="4" w:space="0"/>
              <w:left w:val="single" w:color="auto" w:sz="4" w:space="0"/>
              <w:bottom w:val="single" w:color="auto" w:sz="4" w:space="0"/>
              <w:right w:val="single" w:color="auto" w:sz="4" w:space="0"/>
            </w:tcBorders>
            <w:vAlign w:val="center"/>
          </w:tcPr>
          <w:p w14:paraId="6511E106">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303会议室：</w:t>
            </w:r>
          </w:p>
          <w:p w14:paraId="08126EF7">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0571-88901873</w:t>
            </w:r>
          </w:p>
        </w:tc>
      </w:tr>
      <w:tr w14:paraId="5BF5F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3" w:type="dxa"/>
            <w:vMerge w:val="continue"/>
            <w:tcBorders>
              <w:top w:val="single" w:color="auto" w:sz="4" w:space="0"/>
              <w:left w:val="single" w:color="auto" w:sz="4" w:space="0"/>
              <w:bottom w:val="single" w:color="auto" w:sz="4" w:space="0"/>
              <w:right w:val="single" w:color="auto" w:sz="4" w:space="0"/>
            </w:tcBorders>
            <w:vAlign w:val="center"/>
          </w:tcPr>
          <w:p w14:paraId="06307C38">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3442" w:type="dxa"/>
            <w:tcBorders>
              <w:top w:val="single" w:color="auto" w:sz="4" w:space="0"/>
              <w:left w:val="single" w:color="auto" w:sz="4" w:space="0"/>
              <w:bottom w:val="single" w:color="auto" w:sz="4" w:space="0"/>
              <w:right w:val="single" w:color="auto" w:sz="4" w:space="0"/>
            </w:tcBorders>
            <w:vAlign w:val="center"/>
          </w:tcPr>
          <w:p w14:paraId="585BB6C2">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306会议室：</w:t>
            </w:r>
          </w:p>
          <w:p w14:paraId="5080E1B5">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0571-88907751</w:t>
            </w:r>
          </w:p>
        </w:tc>
        <w:tc>
          <w:tcPr>
            <w:tcW w:w="3443" w:type="dxa"/>
            <w:tcBorders>
              <w:top w:val="single" w:color="auto" w:sz="4" w:space="0"/>
              <w:left w:val="single" w:color="auto" w:sz="4" w:space="0"/>
              <w:bottom w:val="single" w:color="auto" w:sz="4" w:space="0"/>
              <w:right w:val="single" w:color="auto" w:sz="4" w:space="0"/>
            </w:tcBorders>
            <w:vAlign w:val="center"/>
          </w:tcPr>
          <w:p w14:paraId="29B6A285">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201会议室：</w:t>
            </w:r>
          </w:p>
          <w:p w14:paraId="574064AA">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0571-88907792</w:t>
            </w:r>
          </w:p>
        </w:tc>
      </w:tr>
    </w:tbl>
    <w:p w14:paraId="2DA0ABC0">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八、电子交易平台的网络地址和登录方法</w:t>
      </w:r>
    </w:p>
    <w:p w14:paraId="45D40329">
      <w:pPr>
        <w:snapToGrid w:val="0"/>
        <w:spacing w:line="500" w:lineRule="exact"/>
        <w:ind w:firstLine="562" w:firstLineChars="200"/>
        <w:rPr>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（一）网络地址：</w:t>
      </w:r>
      <w:r>
        <w:rPr>
          <w:rFonts w:hint="eastAsia" w:ascii="宋体" w:hAnsi="宋体" w:cs="仿宋"/>
          <w:color w:val="000000" w:themeColor="text1"/>
          <w:sz w:val="28"/>
          <w:szCs w:val="28"/>
          <w14:textFill>
            <w14:solidFill>
              <w14:schemeClr w14:val="tx1"/>
            </w14:solidFill>
          </w14:textFill>
        </w:rPr>
        <w:t xml:space="preserve">浙江政府采购网 </w:t>
      </w:r>
      <w:r>
        <w:fldChar w:fldCharType="begin"/>
      </w:r>
      <w:r>
        <w:instrText xml:space="preserve"> HYPERLINK "http://zfcg.czt.zj.gov.cn/" </w:instrText>
      </w:r>
      <w: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p>
    <w:p w14:paraId="71DB23A6">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（二）登录方法：</w:t>
      </w:r>
      <w:r>
        <w:rPr>
          <w:rFonts w:hint="eastAsia" w:ascii="宋体" w:hAnsi="宋体" w:cs="Arial"/>
          <w:color w:val="000000" w:themeColor="text1"/>
          <w:sz w:val="28"/>
          <w:szCs w:val="28"/>
          <w14:textFill>
            <w14:solidFill>
              <w14:schemeClr w14:val="tx1"/>
            </w14:solidFill>
          </w14:textFill>
        </w:rPr>
        <w:t>投标人须先完成供应商注册并申请CA，再下载客户端编制、加密电子投标文件，最后应在浙江政府采购网政采云用户登录窗口登录，完成电子投标文件传输递交（具体详见第二章 投标人须知前附表）。</w:t>
      </w:r>
    </w:p>
    <w:p w14:paraId="415330BC">
      <w:pPr>
        <w:snapToGrid w:val="0"/>
        <w:spacing w:line="500" w:lineRule="exact"/>
        <w:ind w:left="562"/>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九、其他：</w:t>
      </w:r>
    </w:p>
    <w:p w14:paraId="435E2E45">
      <w:pPr>
        <w:snapToGrid w:val="0"/>
        <w:spacing w:line="44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（一）本项目采用“电子交易/不见面开评标”，供应商可进入电子卖场服务中心采云学院</w:t>
      </w:r>
    </w:p>
    <w:p w14:paraId="4DF99103">
      <w:pPr>
        <w:snapToGrid w:val="0"/>
        <w:spacing w:line="440" w:lineRule="exact"/>
        <w:ind w:firstLine="562" w:firstLineChars="200"/>
        <w:rPr>
          <w:rFonts w:ascii="仿宋" w:hAnsi="仿宋" w:eastAsia="仿宋"/>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（https://edu.zcygov.cn/live?utm=a0018.2ef5001f.0.0.1939d340e5db11ea867fb57c149ddb61）自行提前学习</w:t>
      </w:r>
      <w:r>
        <w:rPr>
          <w:rFonts w:hint="eastAsia" w:ascii="宋体" w:hAnsi="宋体" w:cs="Arial"/>
          <w:color w:val="000000" w:themeColor="text1"/>
          <w:sz w:val="28"/>
          <w:szCs w:val="28"/>
          <w14:textFill>
            <w14:solidFill>
              <w14:schemeClr w14:val="tx1"/>
            </w14:solidFill>
          </w14:textFill>
        </w:rPr>
        <w:t>。</w:t>
      </w:r>
    </w:p>
    <w:p w14:paraId="11EDB71F">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十、业务咨询</w:t>
      </w:r>
    </w:p>
    <w:tbl>
      <w:tblPr>
        <w:tblStyle w:val="59"/>
        <w:tblpPr w:leftFromText="180" w:rightFromText="180" w:vertAnchor="text" w:horzAnchor="page" w:tblpX="1337" w:tblpY="223"/>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4"/>
        <w:gridCol w:w="2089"/>
        <w:gridCol w:w="2066"/>
        <w:gridCol w:w="2645"/>
      </w:tblGrid>
      <w:tr w14:paraId="46521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27030ECA">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机 构</w:t>
            </w:r>
          </w:p>
        </w:tc>
        <w:tc>
          <w:tcPr>
            <w:tcW w:w="8114" w:type="dxa"/>
            <w:gridSpan w:val="4"/>
            <w:tcBorders>
              <w:top w:val="single" w:color="auto" w:sz="4" w:space="0"/>
              <w:left w:val="single" w:color="auto" w:sz="4" w:space="0"/>
              <w:bottom w:val="single" w:color="auto" w:sz="4" w:space="0"/>
              <w:right w:val="single" w:color="auto" w:sz="4" w:space="0"/>
            </w:tcBorders>
          </w:tcPr>
          <w:p w14:paraId="62C3AAC6">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浙江省政府采购中心</w:t>
            </w:r>
          </w:p>
        </w:tc>
      </w:tr>
      <w:tr w14:paraId="6F27C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59564BD2">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地 址</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4A513586">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浙江省杭州市西湖区宝石一路3号</w:t>
            </w:r>
          </w:p>
        </w:tc>
      </w:tr>
      <w:tr w14:paraId="671C4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6B0C1B6A">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网 站</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31E30FD7">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浙江政府采购网</w:t>
            </w:r>
            <w:r>
              <w:rPr>
                <w:rFonts w:hint="eastAsia" w:ascii="仿宋_GB2312" w:hAnsi="Segoe UI" w:eastAsia="仿宋_GB2312" w:cs="Segoe UI"/>
                <w:color w:val="000000" w:themeColor="text1"/>
                <w:sz w:val="29"/>
                <w:szCs w:val="29"/>
                <w14:textFill>
                  <w14:solidFill>
                    <w14:schemeClr w14:val="tx1"/>
                  </w14:solidFill>
                </w14:textFill>
              </w:rPr>
              <w:t>ht</w:t>
            </w:r>
            <w:r>
              <w:rPr>
                <w:rFonts w:hint="eastAsia" w:ascii="仿宋" w:hAnsi="仿宋" w:eastAsia="仿宋" w:cs="仿宋"/>
                <w:color w:val="000000" w:themeColor="text1"/>
                <w:sz w:val="28"/>
                <w:szCs w:val="28"/>
                <w14:textFill>
                  <w14:solidFill>
                    <w14:schemeClr w14:val="tx1"/>
                  </w14:solidFill>
                </w14:textFill>
              </w:rPr>
              <w:t>tp://zfcg.czt.zj.gov.cn/（文件下载、公告查询）</w:t>
            </w:r>
          </w:p>
        </w:tc>
      </w:tr>
      <w:tr w14:paraId="6B067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20EA2702">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咨询事项</w:t>
            </w:r>
          </w:p>
        </w:tc>
        <w:tc>
          <w:tcPr>
            <w:tcW w:w="1314" w:type="dxa"/>
            <w:tcBorders>
              <w:top w:val="single" w:color="auto" w:sz="4" w:space="0"/>
              <w:left w:val="single" w:color="auto" w:sz="4" w:space="0"/>
              <w:bottom w:val="single" w:color="auto" w:sz="4" w:space="0"/>
              <w:right w:val="single" w:color="auto" w:sz="4" w:space="0"/>
            </w:tcBorders>
          </w:tcPr>
          <w:p w14:paraId="434A5519">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联系人</w:t>
            </w:r>
          </w:p>
        </w:tc>
        <w:tc>
          <w:tcPr>
            <w:tcW w:w="2089" w:type="dxa"/>
            <w:tcBorders>
              <w:top w:val="single" w:color="auto" w:sz="4" w:space="0"/>
              <w:left w:val="single" w:color="auto" w:sz="4" w:space="0"/>
              <w:bottom w:val="single" w:color="auto" w:sz="4" w:space="0"/>
              <w:right w:val="single" w:color="auto" w:sz="4" w:space="0"/>
            </w:tcBorders>
          </w:tcPr>
          <w:p w14:paraId="5E966FC5">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联系方式</w:t>
            </w:r>
          </w:p>
        </w:tc>
        <w:tc>
          <w:tcPr>
            <w:tcW w:w="2066" w:type="dxa"/>
            <w:tcBorders>
              <w:top w:val="single" w:color="auto" w:sz="4" w:space="0"/>
              <w:left w:val="single" w:color="auto" w:sz="4" w:space="0"/>
              <w:bottom w:val="single" w:color="auto" w:sz="4" w:space="0"/>
              <w:right w:val="single" w:color="auto" w:sz="4" w:space="0"/>
            </w:tcBorders>
          </w:tcPr>
          <w:p w14:paraId="39A0FBA1">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传真</w:t>
            </w:r>
          </w:p>
        </w:tc>
        <w:tc>
          <w:tcPr>
            <w:tcW w:w="2645" w:type="dxa"/>
            <w:tcBorders>
              <w:top w:val="single" w:color="auto" w:sz="4" w:space="0"/>
              <w:left w:val="single" w:color="auto" w:sz="4" w:space="0"/>
              <w:bottom w:val="single" w:color="auto" w:sz="4" w:space="0"/>
              <w:right w:val="single" w:color="auto" w:sz="4" w:space="0"/>
            </w:tcBorders>
          </w:tcPr>
          <w:p w14:paraId="3910ECC6">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备注</w:t>
            </w:r>
          </w:p>
        </w:tc>
      </w:tr>
      <w:tr w14:paraId="7812A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49BE4240">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项目联系人</w:t>
            </w:r>
          </w:p>
          <w:p w14:paraId="48F8B340">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（A岗）</w:t>
            </w:r>
          </w:p>
        </w:tc>
        <w:tc>
          <w:tcPr>
            <w:tcW w:w="1314" w:type="dxa"/>
            <w:tcBorders>
              <w:top w:val="single" w:color="auto" w:sz="4" w:space="0"/>
              <w:left w:val="single" w:color="auto" w:sz="4" w:space="0"/>
              <w:bottom w:val="single" w:color="auto" w:sz="4" w:space="0"/>
              <w:right w:val="single" w:color="auto" w:sz="4" w:space="0"/>
            </w:tcBorders>
            <w:vAlign w:val="center"/>
          </w:tcPr>
          <w:p w14:paraId="1006384A">
            <w:pPr>
              <w:spacing w:line="480" w:lineRule="exact"/>
              <w:jc w:val="center"/>
              <w:rPr>
                <w:rFonts w:ascii="仿宋" w:hAnsi="仿宋" w:eastAsia="仿宋" w:cs="仿宋"/>
                <w:color w:val="000000" w:themeColor="text1"/>
                <w:sz w:val="28"/>
                <w:szCs w:val="28"/>
                <w14:textFill>
                  <w14:solidFill>
                    <w14:schemeClr w14:val="tx1"/>
                  </w14:solidFill>
                </w14:textFill>
              </w:rPr>
            </w:pPr>
            <w:bookmarkStart w:id="9" w:name="PO_15528_PM032"/>
            <w:r>
              <w:rPr>
                <w:rFonts w:hint="eastAsia" w:ascii="仿宋" w:hAnsi="仿宋" w:eastAsia="仿宋" w:cs="仿宋"/>
                <w:color w:val="000000" w:themeColor="text1"/>
                <w:sz w:val="28"/>
                <w:szCs w:val="28"/>
                <w14:textFill>
                  <w14:solidFill>
                    <w14:schemeClr w14:val="tx1"/>
                  </w14:solidFill>
                </w14:textFill>
              </w:rPr>
              <w:t>柯泓</w:t>
            </w:r>
            <w:bookmarkEnd w:id="9"/>
          </w:p>
        </w:tc>
        <w:tc>
          <w:tcPr>
            <w:tcW w:w="2089" w:type="dxa"/>
            <w:tcBorders>
              <w:top w:val="single" w:color="auto" w:sz="4" w:space="0"/>
              <w:left w:val="single" w:color="auto" w:sz="4" w:space="0"/>
              <w:bottom w:val="single" w:color="auto" w:sz="4" w:space="0"/>
              <w:right w:val="single" w:color="auto" w:sz="4" w:space="0"/>
            </w:tcBorders>
            <w:vAlign w:val="center"/>
          </w:tcPr>
          <w:p w14:paraId="79988DD2">
            <w:pPr>
              <w:spacing w:line="480" w:lineRule="exact"/>
              <w:jc w:val="center"/>
              <w:rPr>
                <w:rFonts w:ascii="仿宋" w:hAnsi="仿宋" w:eastAsia="仿宋" w:cs="仿宋"/>
                <w:color w:val="000000" w:themeColor="text1"/>
                <w:sz w:val="28"/>
                <w:szCs w:val="28"/>
                <w14:textFill>
                  <w14:solidFill>
                    <w14:schemeClr w14:val="tx1"/>
                  </w14:solidFill>
                </w14:textFill>
              </w:rPr>
            </w:pPr>
            <w:bookmarkStart w:id="10" w:name="PO_15528_PM033"/>
            <w:r>
              <w:rPr>
                <w:rFonts w:hint="eastAsia" w:ascii="仿宋" w:hAnsi="仿宋" w:eastAsia="仿宋" w:cs="仿宋"/>
                <w:color w:val="000000" w:themeColor="text1"/>
                <w:sz w:val="28"/>
                <w:szCs w:val="28"/>
                <w14:textFill>
                  <w14:solidFill>
                    <w14:schemeClr w14:val="tx1"/>
                  </w14:solidFill>
                </w14:textFill>
              </w:rPr>
              <w:t>0571-88901833</w:t>
            </w:r>
            <w:bookmarkEnd w:id="10"/>
          </w:p>
        </w:tc>
        <w:tc>
          <w:tcPr>
            <w:tcW w:w="2066" w:type="dxa"/>
            <w:tcBorders>
              <w:top w:val="single" w:color="auto" w:sz="4" w:space="0"/>
              <w:left w:val="single" w:color="auto" w:sz="4" w:space="0"/>
              <w:bottom w:val="single" w:color="auto" w:sz="4" w:space="0"/>
              <w:right w:val="single" w:color="auto" w:sz="4" w:space="0"/>
            </w:tcBorders>
            <w:vAlign w:val="center"/>
          </w:tcPr>
          <w:p w14:paraId="5563DD57">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5" w:type="dxa"/>
            <w:vMerge w:val="restart"/>
            <w:tcBorders>
              <w:top w:val="single" w:color="auto" w:sz="4" w:space="0"/>
              <w:left w:val="single" w:color="auto" w:sz="4" w:space="0"/>
              <w:bottom w:val="single" w:color="auto" w:sz="4" w:space="0"/>
              <w:right w:val="single" w:color="auto" w:sz="4" w:space="0"/>
            </w:tcBorders>
          </w:tcPr>
          <w:p w14:paraId="4EB214BE">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w:t>
            </w:r>
            <w:bookmarkStart w:id="11" w:name="PO_409_PM001385"/>
            <w:r>
              <w:rPr>
                <w:rFonts w:hint="eastAsia" w:ascii="仿宋" w:hAnsi="仿宋" w:eastAsia="仿宋" w:cs="仿宋"/>
                <w:color w:val="000000" w:themeColor="text1"/>
                <w:sz w:val="28"/>
                <w:szCs w:val="28"/>
                <w14:textFill>
                  <w14:solidFill>
                    <w14:schemeClr w14:val="tx1"/>
                  </w14:solidFill>
                </w14:textFill>
              </w:rPr>
              <w:t>采购二部</w:t>
            </w:r>
            <w:bookmarkEnd w:id="11"/>
          </w:p>
        </w:tc>
      </w:tr>
      <w:tr w14:paraId="28456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6" w:type="dxa"/>
            <w:tcBorders>
              <w:top w:val="single" w:color="auto" w:sz="4" w:space="0"/>
              <w:left w:val="single" w:color="auto" w:sz="4" w:space="0"/>
              <w:bottom w:val="single" w:color="auto" w:sz="4" w:space="0"/>
              <w:right w:val="single" w:color="auto" w:sz="4" w:space="0"/>
            </w:tcBorders>
            <w:vAlign w:val="center"/>
          </w:tcPr>
          <w:p w14:paraId="2B55401C">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项目协办人</w:t>
            </w:r>
          </w:p>
          <w:p w14:paraId="2D66CE4E">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（B岗）</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2FA6D285">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商女士</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14:paraId="13D95753">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0571-88907706</w:t>
            </w:r>
          </w:p>
        </w:tc>
        <w:tc>
          <w:tcPr>
            <w:tcW w:w="2066" w:type="dxa"/>
            <w:tcBorders>
              <w:top w:val="single" w:color="auto" w:sz="4" w:space="0"/>
              <w:left w:val="single" w:color="auto" w:sz="4" w:space="0"/>
              <w:bottom w:val="single" w:color="auto" w:sz="4" w:space="0"/>
              <w:right w:val="single" w:color="auto" w:sz="4" w:space="0"/>
            </w:tcBorders>
            <w:vAlign w:val="center"/>
          </w:tcPr>
          <w:p w14:paraId="5AF78D95">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724737DB">
            <w:pPr>
              <w:widowControl/>
              <w:jc w:val="left"/>
              <w:rPr>
                <w:rFonts w:ascii="仿宋" w:hAnsi="仿宋" w:eastAsia="仿宋" w:cs="仿宋"/>
                <w:color w:val="000000" w:themeColor="text1"/>
                <w:sz w:val="28"/>
                <w:szCs w:val="28"/>
                <w14:textFill>
                  <w14:solidFill>
                    <w14:schemeClr w14:val="tx1"/>
                  </w14:solidFill>
                </w14:textFill>
              </w:rPr>
            </w:pPr>
          </w:p>
        </w:tc>
      </w:tr>
      <w:tr w14:paraId="7E140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0DB8CE8C">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部门负责人</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7AA95AB0">
            <w:pPr>
              <w:spacing w:line="3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邵女士</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14:paraId="718101E9">
            <w:pPr>
              <w:spacing w:line="380" w:lineRule="exact"/>
              <w:jc w:val="center"/>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0571-8890</w:t>
            </w:r>
            <w:r>
              <w:rPr>
                <w:rFonts w:hint="eastAsia" w:ascii="仿宋" w:hAnsi="仿宋" w:eastAsia="仿宋" w:cs="仿宋"/>
                <w:color w:val="000000" w:themeColor="text1"/>
                <w:sz w:val="28"/>
                <w:szCs w:val="28"/>
                <w14:textFill>
                  <w14:solidFill>
                    <w14:schemeClr w14:val="tx1"/>
                  </w14:solidFill>
                </w14:textFill>
              </w:rPr>
              <w:t>7750</w:t>
            </w:r>
          </w:p>
        </w:tc>
        <w:tc>
          <w:tcPr>
            <w:tcW w:w="2066" w:type="dxa"/>
            <w:tcBorders>
              <w:top w:val="single" w:color="auto" w:sz="4" w:space="0"/>
              <w:left w:val="single" w:color="auto" w:sz="4" w:space="0"/>
              <w:bottom w:val="single" w:color="auto" w:sz="4" w:space="0"/>
              <w:right w:val="single" w:color="auto" w:sz="4" w:space="0"/>
            </w:tcBorders>
            <w:vAlign w:val="center"/>
          </w:tcPr>
          <w:p w14:paraId="48908C09">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491DF4AE">
            <w:pPr>
              <w:widowControl/>
              <w:jc w:val="left"/>
              <w:rPr>
                <w:rFonts w:ascii="仿宋" w:hAnsi="仿宋" w:eastAsia="仿宋" w:cs="仿宋"/>
                <w:color w:val="000000" w:themeColor="text1"/>
                <w:sz w:val="28"/>
                <w:szCs w:val="28"/>
                <w14:textFill>
                  <w14:solidFill>
                    <w14:schemeClr w14:val="tx1"/>
                  </w14:solidFill>
                </w14:textFill>
              </w:rPr>
            </w:pPr>
          </w:p>
        </w:tc>
      </w:tr>
      <w:tr w14:paraId="5BCC1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5789CBD4">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14:paraId="35DE2754">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张女士</w:t>
            </w:r>
          </w:p>
        </w:tc>
        <w:tc>
          <w:tcPr>
            <w:tcW w:w="2089" w:type="dxa"/>
            <w:tcBorders>
              <w:top w:val="single" w:color="auto" w:sz="4" w:space="0"/>
              <w:left w:val="single" w:color="auto" w:sz="4" w:space="0"/>
              <w:bottom w:val="single" w:color="auto" w:sz="4" w:space="0"/>
              <w:right w:val="single" w:color="auto" w:sz="4" w:space="0"/>
            </w:tcBorders>
            <w:vAlign w:val="center"/>
          </w:tcPr>
          <w:p w14:paraId="2851EB62">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0571-8890</w:t>
            </w:r>
            <w:r>
              <w:rPr>
                <w:rFonts w:ascii="仿宋" w:hAnsi="仿宋" w:eastAsia="仿宋" w:cs="仿宋"/>
                <w:color w:val="000000" w:themeColor="text1"/>
                <w:sz w:val="28"/>
                <w:szCs w:val="28"/>
                <w14:textFill>
                  <w14:solidFill>
                    <w14:schemeClr w14:val="tx1"/>
                  </w14:solidFill>
                </w14:textFill>
              </w:rPr>
              <w:t>7711</w:t>
            </w:r>
          </w:p>
        </w:tc>
        <w:tc>
          <w:tcPr>
            <w:tcW w:w="2066" w:type="dxa"/>
            <w:tcBorders>
              <w:top w:val="single" w:color="auto" w:sz="4" w:space="0"/>
              <w:left w:val="single" w:color="auto" w:sz="4" w:space="0"/>
              <w:bottom w:val="single" w:color="auto" w:sz="4" w:space="0"/>
              <w:right w:val="single" w:color="auto" w:sz="4" w:space="0"/>
            </w:tcBorders>
            <w:vAlign w:val="center"/>
          </w:tcPr>
          <w:p w14:paraId="5CD6B06D">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5" w:type="dxa"/>
            <w:tcBorders>
              <w:top w:val="single" w:color="auto" w:sz="4" w:space="0"/>
              <w:left w:val="single" w:color="auto" w:sz="4" w:space="0"/>
              <w:bottom w:val="single" w:color="auto" w:sz="4" w:space="0"/>
              <w:right w:val="single" w:color="auto" w:sz="4" w:space="0"/>
            </w:tcBorders>
            <w:vAlign w:val="center"/>
          </w:tcPr>
          <w:p w14:paraId="641B931D">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四楼（采购监督部）</w:t>
            </w:r>
          </w:p>
        </w:tc>
      </w:tr>
      <w:tr w14:paraId="32409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vAlign w:val="center"/>
          </w:tcPr>
          <w:p w14:paraId="49DD5787">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14:paraId="3E1B452A">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客  服</w:t>
            </w:r>
          </w:p>
        </w:tc>
        <w:tc>
          <w:tcPr>
            <w:tcW w:w="2089" w:type="dxa"/>
            <w:tcBorders>
              <w:top w:val="single" w:color="auto" w:sz="4" w:space="0"/>
              <w:left w:val="single" w:color="auto" w:sz="4" w:space="0"/>
              <w:bottom w:val="single" w:color="auto" w:sz="4" w:space="0"/>
              <w:right w:val="single" w:color="auto" w:sz="4" w:space="0"/>
            </w:tcBorders>
            <w:vAlign w:val="center"/>
          </w:tcPr>
          <w:p w14:paraId="5F054B69">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95763</w:t>
            </w:r>
          </w:p>
        </w:tc>
        <w:tc>
          <w:tcPr>
            <w:tcW w:w="2066" w:type="dxa"/>
            <w:tcBorders>
              <w:top w:val="single" w:color="auto" w:sz="4" w:space="0"/>
              <w:left w:val="single" w:color="auto" w:sz="4" w:space="0"/>
              <w:bottom w:val="single" w:color="auto" w:sz="4" w:space="0"/>
              <w:right w:val="single" w:color="auto" w:sz="4" w:space="0"/>
            </w:tcBorders>
            <w:vAlign w:val="center"/>
          </w:tcPr>
          <w:p w14:paraId="0394DA3D">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5" w:type="dxa"/>
            <w:tcBorders>
              <w:top w:val="single" w:color="auto" w:sz="4" w:space="0"/>
              <w:left w:val="single" w:color="auto" w:sz="4" w:space="0"/>
              <w:bottom w:val="single" w:color="auto" w:sz="4" w:space="0"/>
              <w:right w:val="single" w:color="auto" w:sz="4" w:space="0"/>
            </w:tcBorders>
            <w:vAlign w:val="center"/>
          </w:tcPr>
          <w:p w14:paraId="371E3738">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注册、账号、系统操作等</w:t>
            </w:r>
          </w:p>
        </w:tc>
      </w:tr>
    </w:tbl>
    <w:p w14:paraId="2432455F">
      <w:pPr>
        <w:snapToGrid w:val="0"/>
        <w:spacing w:line="440" w:lineRule="exact"/>
        <w:rPr>
          <w:rFonts w:ascii="仿宋" w:hAnsi="仿宋" w:eastAsia="仿宋" w:cs="Arial"/>
          <w:b/>
          <w:bCs/>
          <w:color w:val="000000" w:themeColor="text1"/>
          <w:sz w:val="30"/>
          <w:szCs w:val="30"/>
          <w14:textFill>
            <w14:solidFill>
              <w14:schemeClr w14:val="tx1"/>
            </w14:solidFill>
          </w14:textFill>
        </w:rPr>
      </w:pPr>
    </w:p>
    <w:p w14:paraId="584E87F9">
      <w:pPr>
        <w:snapToGrid w:val="0"/>
        <w:spacing w:line="360" w:lineRule="auto"/>
        <w:ind w:firstLine="602" w:firstLineChars="200"/>
        <w:rPr>
          <w:rFonts w:ascii="仿宋_GB2312" w:hAnsi="仿宋" w:eastAsia="仿宋_GB2312"/>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十一、采购需求咨询</w:t>
      </w:r>
      <w:bookmarkStart w:id="12" w:name="PO_TDCUS_ITEM_PRC_TABLE_1_1_2"/>
      <w:r>
        <w:rPr>
          <w:rFonts w:hint="eastAsia" w:ascii="仿宋_GB2312" w:hAnsi="仿宋" w:eastAsia="仿宋_GB2312"/>
          <w:color w:val="000000" w:themeColor="text1"/>
          <w:sz w:val="30"/>
          <w:szCs w:val="30"/>
          <w14:textFill>
            <w14:solidFill>
              <w14:schemeClr w14:val="tx1"/>
            </w14:solidFill>
          </w14:textFill>
        </w:rPr>
        <w:t xml:space="preserve"> </w:t>
      </w:r>
    </w:p>
    <w:tbl>
      <w:tblPr>
        <w:tblStyle w:val="6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14:paraId="4FAD5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41A2E8A4">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采购单位</w:t>
            </w:r>
          </w:p>
        </w:tc>
        <w:tc>
          <w:tcPr>
            <w:tcW w:w="4264" w:type="dxa"/>
          </w:tcPr>
          <w:p w14:paraId="23D56B57">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浙江外国语学院</w:t>
            </w:r>
          </w:p>
        </w:tc>
      </w:tr>
      <w:tr w14:paraId="75B3F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3DDF19C0">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地址</w:t>
            </w:r>
          </w:p>
        </w:tc>
        <w:tc>
          <w:tcPr>
            <w:tcW w:w="4264" w:type="dxa"/>
          </w:tcPr>
          <w:p w14:paraId="15A966BE">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浙江省杭州市西湖区留和路299号</w:t>
            </w:r>
          </w:p>
        </w:tc>
      </w:tr>
      <w:tr w14:paraId="1EDFA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3ACC4462">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咨询事项</w:t>
            </w:r>
          </w:p>
        </w:tc>
        <w:tc>
          <w:tcPr>
            <w:tcW w:w="4264" w:type="dxa"/>
          </w:tcPr>
          <w:p w14:paraId="2F786BE2">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lang w:val="en-US" w:eastAsia="zh-CN"/>
                <w14:textFill>
                  <w14:solidFill>
                    <w14:schemeClr w14:val="tx1"/>
                  </w14:solidFill>
                </w14:textFill>
              </w:rPr>
              <w:t>评分标准、</w:t>
            </w:r>
            <w:r>
              <w:rPr>
                <w:rFonts w:hint="eastAsia" w:ascii="仿宋_GB2312" w:hAnsi="仿宋" w:eastAsia="仿宋_GB2312"/>
                <w:color w:val="000000" w:themeColor="text1"/>
                <w:sz w:val="30"/>
                <w:szCs w:val="30"/>
                <w14:textFill>
                  <w14:solidFill>
                    <w14:schemeClr w14:val="tx1"/>
                  </w14:solidFill>
                </w14:textFill>
              </w:rPr>
              <w:t>采购需求等</w:t>
            </w:r>
          </w:p>
        </w:tc>
      </w:tr>
      <w:tr w14:paraId="77B85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038DDED3">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联系人</w:t>
            </w:r>
          </w:p>
        </w:tc>
        <w:tc>
          <w:tcPr>
            <w:tcW w:w="4264" w:type="dxa"/>
          </w:tcPr>
          <w:p w14:paraId="39456A30">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王老师</w:t>
            </w:r>
          </w:p>
        </w:tc>
      </w:tr>
      <w:tr w14:paraId="5AC18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462D5B54">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联系方式</w:t>
            </w:r>
          </w:p>
        </w:tc>
        <w:tc>
          <w:tcPr>
            <w:tcW w:w="4264" w:type="dxa"/>
          </w:tcPr>
          <w:p w14:paraId="0FECE4E0">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0571-88213060</w:t>
            </w:r>
          </w:p>
        </w:tc>
      </w:tr>
      <w:tr w14:paraId="04D41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shd w:val="clear" w:color="auto" w:fill="auto"/>
          </w:tcPr>
          <w:p w14:paraId="0E868890">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采购人质疑联系人</w:t>
            </w:r>
          </w:p>
        </w:tc>
        <w:tc>
          <w:tcPr>
            <w:tcW w:w="4264" w:type="dxa"/>
            <w:shd w:val="clear" w:color="auto" w:fill="auto"/>
          </w:tcPr>
          <w:p w14:paraId="40FA0FAE">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吴老师</w:t>
            </w:r>
          </w:p>
        </w:tc>
      </w:tr>
      <w:tr w14:paraId="1E44F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shd w:val="clear" w:color="auto" w:fill="auto"/>
          </w:tcPr>
          <w:p w14:paraId="6CC101F3">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采购人质疑联系电话</w:t>
            </w:r>
          </w:p>
        </w:tc>
        <w:tc>
          <w:tcPr>
            <w:tcW w:w="4264" w:type="dxa"/>
            <w:shd w:val="clear" w:color="auto" w:fill="auto"/>
          </w:tcPr>
          <w:p w14:paraId="46FD4E4A">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15356171397</w:t>
            </w:r>
          </w:p>
        </w:tc>
      </w:tr>
    </w:tbl>
    <w:p w14:paraId="752614E6">
      <w:pPr>
        <w:snapToGrid w:val="0"/>
        <w:spacing w:line="440" w:lineRule="exact"/>
        <w:ind w:firstLine="600" w:firstLineChars="200"/>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 xml:space="preserve"> </w:t>
      </w:r>
      <w:bookmarkEnd w:id="12"/>
    </w:p>
    <w:p w14:paraId="5E6891DB">
      <w:pPr>
        <w:snapToGrid w:val="0"/>
        <w:spacing w:line="360" w:lineRule="auto"/>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十二、同级政府采购监督管理部门</w:t>
      </w:r>
    </w:p>
    <w:p w14:paraId="7C5D5818">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名    称：浙江省财政厅政府采购监管处、浙江省政府采购行政裁决服务中心（杭州）</w:t>
      </w:r>
    </w:p>
    <w:p w14:paraId="6E1B3D5C">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地   址：杭州市上城区四季青街道新业路市民之家G03办公室</w:t>
      </w:r>
    </w:p>
    <w:p w14:paraId="443EB3C3">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传   真：/</w:t>
      </w:r>
    </w:p>
    <w:p w14:paraId="3BE02ECB">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联系人 ：朱女士、王女士</w:t>
      </w:r>
    </w:p>
    <w:p w14:paraId="6E06BCA8">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监督投诉电话：0571-85252453</w:t>
      </w:r>
    </w:p>
    <w:p w14:paraId="36E4938D">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预算金额未达100万元的采购项目，由采购人处理采购争议。</w:t>
      </w:r>
    </w:p>
    <w:p w14:paraId="346F96C0">
      <w:pPr>
        <w:pStyle w:val="31"/>
        <w:tabs>
          <w:tab w:val="left" w:pos="220"/>
        </w:tabs>
        <w:spacing w:before="120" w:after="120" w:line="360" w:lineRule="auto"/>
        <w:outlineLvl w:val="0"/>
        <w:rPr>
          <w:rFonts w:hAnsi="宋体" w:cs="仿宋"/>
          <w:color w:val="000000" w:themeColor="text1"/>
          <w:sz w:val="28"/>
          <w:szCs w:val="28"/>
          <w14:textFill>
            <w14:solidFill>
              <w14:schemeClr w14:val="tx1"/>
            </w14:solidFill>
          </w14:textFill>
        </w:rPr>
      </w:pPr>
    </w:p>
    <w:p w14:paraId="24CC2BDA">
      <w:pPr>
        <w:pStyle w:val="31"/>
        <w:spacing w:before="120" w:after="120" w:line="360" w:lineRule="auto"/>
        <w:jc w:val="center"/>
        <w:outlineLvl w:val="0"/>
        <w:rPr>
          <w:rFonts w:hAnsi="宋体"/>
          <w:b/>
          <w:color w:val="000000" w:themeColor="text1"/>
          <w:sz w:val="36"/>
          <w:szCs w:val="36"/>
          <w14:textFill>
            <w14:solidFill>
              <w14:schemeClr w14:val="tx1"/>
            </w14:solidFill>
          </w14:textFill>
        </w:rPr>
      </w:pPr>
      <w:r>
        <w:rPr>
          <w:rFonts w:hint="eastAsia"/>
          <w:color w:val="000000" w:themeColor="text1"/>
          <w14:textFill>
            <w14:solidFill>
              <w14:schemeClr w14:val="tx1"/>
            </w14:solidFill>
          </w14:textFill>
        </w:rPr>
        <w:br w:type="page"/>
      </w:r>
      <w:bookmarkStart w:id="13" w:name="_Toc496796636"/>
      <w:bookmarkStart w:id="14" w:name="_Toc29498"/>
      <w:r>
        <w:rPr>
          <w:rFonts w:hint="eastAsia" w:ascii="仿宋" w:hAnsi="仿宋" w:eastAsia="仿宋"/>
          <w:b/>
          <w:color w:val="000000" w:themeColor="text1"/>
          <w:sz w:val="36"/>
          <w:szCs w:val="36"/>
          <w14:textFill>
            <w14:solidFill>
              <w14:schemeClr w14:val="tx1"/>
            </w14:solidFill>
          </w14:textFill>
        </w:rPr>
        <w:t>第二章</w:t>
      </w:r>
      <w:bookmarkStart w:id="15" w:name="投标人须知"/>
      <w:r>
        <w:rPr>
          <w:rFonts w:hint="eastAsia" w:ascii="仿宋" w:hAnsi="仿宋" w:eastAsia="仿宋"/>
          <w:b/>
          <w:color w:val="000000" w:themeColor="text1"/>
          <w:sz w:val="36"/>
          <w:szCs w:val="36"/>
          <w14:textFill>
            <w14:solidFill>
              <w14:schemeClr w14:val="tx1"/>
            </w14:solidFill>
          </w14:textFill>
        </w:rPr>
        <w:t xml:space="preserve"> 投标人须知</w:t>
      </w:r>
      <w:bookmarkEnd w:id="13"/>
      <w:bookmarkEnd w:id="14"/>
      <w:bookmarkEnd w:id="15"/>
    </w:p>
    <w:p w14:paraId="00A4AD4C">
      <w:pPr>
        <w:snapToGrid w:val="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前附表</w:t>
      </w:r>
    </w:p>
    <w:tbl>
      <w:tblPr>
        <w:tblStyle w:val="59"/>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6"/>
        <w:gridCol w:w="1296"/>
        <w:gridCol w:w="7368"/>
      </w:tblGrid>
      <w:tr w14:paraId="0005FA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796" w:type="dxa"/>
            <w:tcBorders>
              <w:top w:val="single" w:color="auto" w:sz="4" w:space="0"/>
              <w:left w:val="single" w:color="auto" w:sz="4" w:space="0"/>
              <w:bottom w:val="single" w:color="auto" w:sz="4" w:space="0"/>
              <w:right w:val="single" w:color="auto" w:sz="4" w:space="0"/>
            </w:tcBorders>
            <w:vAlign w:val="center"/>
          </w:tcPr>
          <w:p w14:paraId="18850A61">
            <w:pPr>
              <w:snapToGrid w:val="0"/>
              <w:spacing w:line="460" w:lineRule="exact"/>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序号</w:t>
            </w:r>
          </w:p>
        </w:tc>
        <w:tc>
          <w:tcPr>
            <w:tcW w:w="1296" w:type="dxa"/>
            <w:tcBorders>
              <w:top w:val="single" w:color="auto" w:sz="4" w:space="0"/>
              <w:left w:val="single" w:color="auto" w:sz="4" w:space="0"/>
              <w:bottom w:val="single" w:color="auto" w:sz="4" w:space="0"/>
              <w:right w:val="single" w:color="auto" w:sz="4" w:space="0"/>
            </w:tcBorders>
            <w:vAlign w:val="center"/>
          </w:tcPr>
          <w:p w14:paraId="410EDC4F">
            <w:pPr>
              <w:snapToGrid w:val="0"/>
              <w:spacing w:line="460" w:lineRule="exact"/>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内容</w:t>
            </w:r>
          </w:p>
        </w:tc>
        <w:tc>
          <w:tcPr>
            <w:tcW w:w="7368" w:type="dxa"/>
            <w:tcBorders>
              <w:top w:val="single" w:color="auto" w:sz="4" w:space="0"/>
              <w:left w:val="single" w:color="auto" w:sz="4" w:space="0"/>
              <w:bottom w:val="single" w:color="auto" w:sz="4" w:space="0"/>
              <w:right w:val="single" w:color="auto" w:sz="4" w:space="0"/>
            </w:tcBorders>
            <w:vAlign w:val="center"/>
          </w:tcPr>
          <w:p w14:paraId="617F757E">
            <w:pPr>
              <w:snapToGrid w:val="0"/>
              <w:spacing w:line="460" w:lineRule="exact"/>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要求</w:t>
            </w:r>
          </w:p>
        </w:tc>
      </w:tr>
      <w:tr w14:paraId="5BA5D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796" w:type="dxa"/>
            <w:tcBorders>
              <w:top w:val="single" w:color="auto" w:sz="4" w:space="0"/>
              <w:left w:val="single" w:color="auto" w:sz="4" w:space="0"/>
              <w:bottom w:val="single" w:color="auto" w:sz="4" w:space="0"/>
              <w:right w:val="single" w:color="auto" w:sz="4" w:space="0"/>
            </w:tcBorders>
            <w:vAlign w:val="center"/>
          </w:tcPr>
          <w:p w14:paraId="4D4527FB">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296" w:type="dxa"/>
            <w:tcBorders>
              <w:top w:val="single" w:color="auto" w:sz="4" w:space="0"/>
              <w:left w:val="single" w:color="auto" w:sz="4" w:space="0"/>
              <w:bottom w:val="single" w:color="auto" w:sz="4" w:space="0"/>
              <w:right w:val="single" w:color="auto" w:sz="4" w:space="0"/>
            </w:tcBorders>
            <w:vAlign w:val="center"/>
          </w:tcPr>
          <w:p w14:paraId="7F317876">
            <w:pPr>
              <w:snapToGrid w:val="0"/>
              <w:spacing w:line="460" w:lineRule="exact"/>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项目名称及数量</w:t>
            </w:r>
          </w:p>
        </w:tc>
        <w:tc>
          <w:tcPr>
            <w:tcW w:w="7368" w:type="dxa"/>
            <w:tcBorders>
              <w:top w:val="single" w:color="auto" w:sz="4" w:space="0"/>
              <w:left w:val="single" w:color="auto" w:sz="4" w:space="0"/>
              <w:bottom w:val="single" w:color="auto" w:sz="4" w:space="0"/>
              <w:right w:val="single" w:color="auto" w:sz="4" w:space="0"/>
            </w:tcBorders>
            <w:vAlign w:val="center"/>
          </w:tcPr>
          <w:p w14:paraId="1AFDCA41">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详见《公开招标采购公告》三</w:t>
            </w:r>
          </w:p>
        </w:tc>
      </w:tr>
      <w:tr w14:paraId="01B6D4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796" w:type="dxa"/>
            <w:tcBorders>
              <w:top w:val="single" w:color="auto" w:sz="4" w:space="0"/>
              <w:left w:val="single" w:color="auto" w:sz="4" w:space="0"/>
              <w:bottom w:val="single" w:color="auto" w:sz="4" w:space="0"/>
              <w:right w:val="single" w:color="auto" w:sz="4" w:space="0"/>
            </w:tcBorders>
            <w:vAlign w:val="center"/>
          </w:tcPr>
          <w:p w14:paraId="31B43249">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1296" w:type="dxa"/>
            <w:tcBorders>
              <w:top w:val="single" w:color="auto" w:sz="4" w:space="0"/>
              <w:left w:val="single" w:color="auto" w:sz="4" w:space="0"/>
              <w:bottom w:val="single" w:color="auto" w:sz="4" w:space="0"/>
              <w:right w:val="single" w:color="auto" w:sz="4" w:space="0"/>
            </w:tcBorders>
            <w:vAlign w:val="center"/>
          </w:tcPr>
          <w:p w14:paraId="1994D1E3">
            <w:pPr>
              <w:snapToGrid w:val="0"/>
              <w:spacing w:line="460" w:lineRule="exact"/>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信用记录</w:t>
            </w:r>
          </w:p>
        </w:tc>
        <w:tc>
          <w:tcPr>
            <w:tcW w:w="7368" w:type="dxa"/>
            <w:tcBorders>
              <w:top w:val="single" w:color="auto" w:sz="4" w:space="0"/>
              <w:left w:val="single" w:color="auto" w:sz="4" w:space="0"/>
              <w:bottom w:val="single" w:color="auto" w:sz="4" w:space="0"/>
              <w:right w:val="single" w:color="auto" w:sz="4" w:space="0"/>
            </w:tcBorders>
            <w:vAlign w:val="center"/>
          </w:tcPr>
          <w:p w14:paraId="1C1C5266">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4E6121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796" w:type="dxa"/>
            <w:tcBorders>
              <w:top w:val="single" w:color="auto" w:sz="4" w:space="0"/>
              <w:left w:val="single" w:color="auto" w:sz="4" w:space="0"/>
              <w:bottom w:val="single" w:color="auto" w:sz="4" w:space="0"/>
              <w:right w:val="single" w:color="auto" w:sz="4" w:space="0"/>
            </w:tcBorders>
            <w:vAlign w:val="center"/>
          </w:tcPr>
          <w:p w14:paraId="2FC728CA">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1296" w:type="dxa"/>
            <w:tcBorders>
              <w:top w:val="single" w:color="auto" w:sz="4" w:space="0"/>
              <w:left w:val="single" w:color="auto" w:sz="4" w:space="0"/>
              <w:bottom w:val="single" w:color="auto" w:sz="4" w:space="0"/>
              <w:right w:val="single" w:color="auto" w:sz="4" w:space="0"/>
            </w:tcBorders>
            <w:vAlign w:val="center"/>
          </w:tcPr>
          <w:p w14:paraId="270C55A5">
            <w:pPr>
              <w:snapToGrid w:val="0"/>
              <w:spacing w:line="460" w:lineRule="exact"/>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中小企业预留份额情况</w:t>
            </w:r>
          </w:p>
        </w:tc>
        <w:tc>
          <w:tcPr>
            <w:tcW w:w="7368" w:type="dxa"/>
            <w:tcBorders>
              <w:top w:val="single" w:color="auto" w:sz="4" w:space="0"/>
              <w:left w:val="single" w:color="auto" w:sz="4" w:space="0"/>
              <w:bottom w:val="single" w:color="auto" w:sz="4" w:space="0"/>
              <w:right w:val="single" w:color="auto" w:sz="4" w:space="0"/>
            </w:tcBorders>
            <w:vAlign w:val="center"/>
          </w:tcPr>
          <w:p w14:paraId="530EDA17">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根据《政府采购促进中小企业发展管理办法》财库〔2020〕46号，《关于进一步加大政府采购支持中小企业力度的通知》财库〔2022〕19号文件的规定，本项目不属于预留份额专门面向中小企业采购的项目。</w:t>
            </w:r>
          </w:p>
        </w:tc>
      </w:tr>
      <w:tr w14:paraId="56FCAC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796" w:type="dxa"/>
            <w:tcBorders>
              <w:top w:val="single" w:color="auto" w:sz="4" w:space="0"/>
              <w:left w:val="single" w:color="auto" w:sz="4" w:space="0"/>
              <w:bottom w:val="single" w:color="auto" w:sz="4" w:space="0"/>
              <w:right w:val="single" w:color="auto" w:sz="4" w:space="0"/>
            </w:tcBorders>
            <w:vAlign w:val="center"/>
          </w:tcPr>
          <w:p w14:paraId="10AB70C3">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p>
        </w:tc>
        <w:tc>
          <w:tcPr>
            <w:tcW w:w="1296" w:type="dxa"/>
            <w:tcBorders>
              <w:top w:val="single" w:color="auto" w:sz="4" w:space="0"/>
              <w:left w:val="single" w:color="auto" w:sz="4" w:space="0"/>
              <w:bottom w:val="single" w:color="auto" w:sz="4" w:space="0"/>
              <w:right w:val="single" w:color="auto" w:sz="4" w:space="0"/>
            </w:tcBorders>
            <w:vAlign w:val="center"/>
          </w:tcPr>
          <w:p w14:paraId="1BE393E4">
            <w:pPr>
              <w:snapToGrid w:val="0"/>
              <w:spacing w:line="460" w:lineRule="exact"/>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中小企业优惠措施</w:t>
            </w:r>
          </w:p>
        </w:tc>
        <w:tc>
          <w:tcPr>
            <w:tcW w:w="7368" w:type="dxa"/>
            <w:tcBorders>
              <w:top w:val="single" w:color="auto" w:sz="4" w:space="0"/>
              <w:left w:val="single" w:color="auto" w:sz="4" w:space="0"/>
              <w:bottom w:val="single" w:color="auto" w:sz="4" w:space="0"/>
              <w:right w:val="single" w:color="auto" w:sz="4" w:space="0"/>
            </w:tcBorders>
            <w:vAlign w:val="center"/>
          </w:tcPr>
          <w:p w14:paraId="192B2387">
            <w:pPr>
              <w:pStyle w:val="182"/>
              <w:numPr>
                <w:ilvl w:val="0"/>
                <w:numId w:val="30"/>
              </w:numPr>
              <w:snapToGrid w:val="0"/>
              <w:spacing w:line="460" w:lineRule="exact"/>
              <w:ind w:firstLineChars="0"/>
              <w:rPr>
                <w:rFonts w:ascii="仿宋" w:hAnsi="仿宋" w:eastAsia="仿宋"/>
                <w:b/>
                <w:color w:val="000000" w:themeColor="text1"/>
                <w:sz w:val="24"/>
                <w:szCs w:val="24"/>
                <w:u w:val="single"/>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项目属性（货物类）</w:t>
            </w:r>
          </w:p>
          <w:p w14:paraId="7926E65B">
            <w:pPr>
              <w:pStyle w:val="182"/>
              <w:numPr>
                <w:ilvl w:val="0"/>
                <w:numId w:val="30"/>
              </w:numPr>
              <w:snapToGrid w:val="0"/>
              <w:spacing w:line="460" w:lineRule="exact"/>
              <w:ind w:firstLineChars="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中小企业划分标准所属行业（具体根据《中小企业划型标准规定》执行）</w:t>
            </w:r>
          </w:p>
          <w:p w14:paraId="5A106E73">
            <w:pPr>
              <w:snapToGrid w:val="0"/>
              <w:spacing w:line="460" w:lineRule="exact"/>
              <w:ind w:left="6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采购标的：详见采购清单，所属行业：工业</w:t>
            </w:r>
          </w:p>
          <w:p w14:paraId="1FAB078B">
            <w:pPr>
              <w:snapToGrid w:val="0"/>
              <w:spacing w:line="460" w:lineRule="exact"/>
              <w:ind w:firstLine="602" w:firstLineChars="250"/>
              <w:rPr>
                <w:rFonts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3.根据财库〔2020〕46号，〔</w:t>
            </w:r>
            <w:r>
              <w:rPr>
                <w:rFonts w:ascii="仿宋" w:hAnsi="仿宋" w:eastAsia="仿宋"/>
                <w:b/>
                <w:color w:val="000000" w:themeColor="text1"/>
                <w:sz w:val="24"/>
                <w:szCs w:val="24"/>
                <w14:textFill>
                  <w14:solidFill>
                    <w14:schemeClr w14:val="tx1"/>
                  </w14:solidFill>
                </w14:textFill>
              </w:rPr>
              <w:t>2022〕19</w:t>
            </w:r>
            <w:r>
              <w:rPr>
                <w:rFonts w:hint="eastAsia" w:ascii="仿宋" w:hAnsi="仿宋" w:eastAsia="仿宋"/>
                <w:b/>
                <w:color w:val="000000" w:themeColor="text1"/>
                <w:sz w:val="24"/>
                <w:szCs w:val="24"/>
                <w14:textFill>
                  <w14:solidFill>
                    <w14:schemeClr w14:val="tx1"/>
                  </w14:solidFill>
                </w14:textFill>
              </w:rPr>
              <w:t>号的相关规定，在评审时对符合本办法规定的小微企业报价给予</w:t>
            </w:r>
            <w:r>
              <w:rPr>
                <w:rFonts w:hint="eastAsia" w:ascii="仿宋" w:hAnsi="仿宋" w:eastAsia="仿宋"/>
                <w:b/>
                <w:color w:val="000000" w:themeColor="text1"/>
                <w:sz w:val="24"/>
                <w:szCs w:val="24"/>
                <w:u w:val="single"/>
                <w14:textFill>
                  <w14:solidFill>
                    <w14:schemeClr w14:val="tx1"/>
                  </w14:solidFill>
                </w14:textFill>
              </w:rPr>
              <w:t xml:space="preserve">  10%  </w:t>
            </w:r>
            <w:r>
              <w:rPr>
                <w:rFonts w:hint="eastAsia" w:ascii="仿宋" w:hAnsi="仿宋" w:eastAsia="仿宋"/>
                <w:b/>
                <w:color w:val="000000" w:themeColor="text1"/>
                <w:sz w:val="24"/>
                <w:szCs w:val="24"/>
                <w14:textFill>
                  <w14:solidFill>
                    <w14:schemeClr w14:val="tx1"/>
                  </w14:solidFill>
                </w14:textFill>
              </w:rPr>
              <w:t>的扣除，取扣除后的价格作为最终投标报价（此最终投标报价仅作为价格分计算）。中小企业参加政府采购活动，应当出具本办法规定的《中小企业声明函》，否则不得享受相关中小企业扶持政策。</w:t>
            </w:r>
          </w:p>
          <w:p w14:paraId="6A6907BC">
            <w:pPr>
              <w:snapToGrid w:val="0"/>
              <w:spacing w:line="460" w:lineRule="exact"/>
              <w:ind w:firstLine="602" w:firstLineChars="250"/>
              <w:rPr>
                <w:rFonts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b/>
                <w:color w:val="000000" w:themeColor="text1"/>
                <w:sz w:val="24"/>
                <w:szCs w:val="24"/>
                <w:u w:val="single"/>
                <w14:textFill>
                  <w14:solidFill>
                    <w14:schemeClr w14:val="tx1"/>
                  </w14:solidFill>
                </w14:textFill>
              </w:rPr>
              <w:t xml:space="preserve">  4%  </w:t>
            </w:r>
            <w:r>
              <w:rPr>
                <w:rFonts w:hint="eastAsia" w:ascii="仿宋" w:hAnsi="仿宋" w:eastAsia="仿宋"/>
                <w:b/>
                <w:color w:val="000000" w:themeColor="text1"/>
                <w:sz w:val="24"/>
                <w:szCs w:val="24"/>
                <w14:textFill>
                  <w14:solidFill>
                    <w14:schemeClr w14:val="tx1"/>
                  </w14:solidFill>
                </w14:textFill>
              </w:rPr>
              <w:t>的扣除，用扣除后的价格参加评审。</w:t>
            </w:r>
          </w:p>
          <w:p w14:paraId="266ABCC5">
            <w:pPr>
              <w:snapToGrid w:val="0"/>
              <w:spacing w:line="460" w:lineRule="exact"/>
              <w:ind w:firstLine="602" w:firstLineChars="25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组成联合体或者接受分包 的小微企业与联合体内其他企业、分包企业之间存在直接控 股、管理关系的，不享受价格扣除优惠政策。</w:t>
            </w:r>
          </w:p>
          <w:p w14:paraId="17DCC8EC">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16D8EB0F">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0BE552ED">
            <w:pPr>
              <w:snapToGrid w:val="0"/>
              <w:spacing w:line="460" w:lineRule="exact"/>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(注：未提供以上材料的，均不给予价格扣除）。</w:t>
            </w:r>
          </w:p>
        </w:tc>
      </w:tr>
      <w:tr w14:paraId="244BDE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796" w:type="dxa"/>
            <w:tcBorders>
              <w:top w:val="single" w:color="auto" w:sz="4" w:space="0"/>
              <w:left w:val="single" w:color="auto" w:sz="4" w:space="0"/>
              <w:bottom w:val="single" w:color="auto" w:sz="4" w:space="0"/>
              <w:right w:val="single" w:color="auto" w:sz="4" w:space="0"/>
            </w:tcBorders>
            <w:vAlign w:val="center"/>
          </w:tcPr>
          <w:p w14:paraId="185FF4EA">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p>
        </w:tc>
        <w:tc>
          <w:tcPr>
            <w:tcW w:w="1296" w:type="dxa"/>
            <w:tcBorders>
              <w:top w:val="single" w:color="auto" w:sz="4" w:space="0"/>
              <w:left w:val="single" w:color="auto" w:sz="4" w:space="0"/>
              <w:bottom w:val="single" w:color="auto" w:sz="4" w:space="0"/>
              <w:right w:val="single" w:color="auto" w:sz="4" w:space="0"/>
            </w:tcBorders>
            <w:vAlign w:val="center"/>
          </w:tcPr>
          <w:p w14:paraId="428240B8">
            <w:pPr>
              <w:snapToGrid w:val="0"/>
              <w:spacing w:line="460" w:lineRule="exact"/>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政府采购节能环保产品</w:t>
            </w:r>
          </w:p>
        </w:tc>
        <w:tc>
          <w:tcPr>
            <w:tcW w:w="7368" w:type="dxa"/>
            <w:tcBorders>
              <w:top w:val="single" w:color="auto" w:sz="4" w:space="0"/>
              <w:left w:val="single" w:color="auto" w:sz="4" w:space="0"/>
              <w:bottom w:val="single" w:color="auto" w:sz="4" w:space="0"/>
              <w:right w:val="single" w:color="auto" w:sz="4" w:space="0"/>
            </w:tcBorders>
            <w:vAlign w:val="center"/>
          </w:tcPr>
          <w:p w14:paraId="25D3A431">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76D9672C">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000000" w:themeColor="text1"/>
                <w:sz w:val="24"/>
                <w:szCs w:val="24"/>
                <w14:textFill>
                  <w14:solidFill>
                    <w14:schemeClr w14:val="tx1"/>
                  </w14:solidFill>
                </w14:textFill>
              </w:rPr>
              <w:t>产品属于政府强制采购节能产品品目的，投标人未提供节能产品的，其投标将作无效标处理；本文件“第四章招标需求”另有规定的除外。</w:t>
            </w:r>
          </w:p>
        </w:tc>
      </w:tr>
      <w:tr w14:paraId="66A3B9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796" w:type="dxa"/>
            <w:tcBorders>
              <w:top w:val="single" w:color="auto" w:sz="4" w:space="0"/>
              <w:left w:val="single" w:color="auto" w:sz="4" w:space="0"/>
              <w:bottom w:val="single" w:color="auto" w:sz="4" w:space="0"/>
              <w:right w:val="single" w:color="auto" w:sz="4" w:space="0"/>
            </w:tcBorders>
            <w:vAlign w:val="center"/>
          </w:tcPr>
          <w:p w14:paraId="1828A305">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w:t>
            </w:r>
          </w:p>
        </w:tc>
        <w:tc>
          <w:tcPr>
            <w:tcW w:w="1296" w:type="dxa"/>
            <w:tcBorders>
              <w:top w:val="single" w:color="auto" w:sz="4" w:space="0"/>
              <w:left w:val="single" w:color="auto" w:sz="4" w:space="0"/>
              <w:bottom w:val="single" w:color="auto" w:sz="4" w:space="0"/>
              <w:right w:val="single" w:color="auto" w:sz="4" w:space="0"/>
            </w:tcBorders>
            <w:vAlign w:val="center"/>
          </w:tcPr>
          <w:p w14:paraId="5E764C3A">
            <w:pPr>
              <w:snapToGrid w:val="0"/>
              <w:spacing w:line="460" w:lineRule="exact"/>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促进绿色发展有关政策</w:t>
            </w:r>
          </w:p>
        </w:tc>
        <w:tc>
          <w:tcPr>
            <w:tcW w:w="7368" w:type="dxa"/>
            <w:tcBorders>
              <w:top w:val="single" w:color="auto" w:sz="4" w:space="0"/>
              <w:left w:val="single" w:color="auto" w:sz="4" w:space="0"/>
              <w:bottom w:val="single" w:color="auto" w:sz="4" w:space="0"/>
              <w:right w:val="single" w:color="auto" w:sz="4" w:space="0"/>
            </w:tcBorders>
            <w:vAlign w:val="center"/>
          </w:tcPr>
          <w:p w14:paraId="29FBE61F">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人参与政府采购活动中，涉及商品包装和快递包装的，其包装要参考财政部办公厅、生态环境部办公厅、国家邮政局办公室印发的《商品包装政府采购需求标准（试行）》、《快递包装政府采购需求标准（试行）》（财办库〔2020〕123号文件）。提倡供应商优先采购绿色包装产品、绿色物流配送服务以及循环利用产品。</w:t>
            </w:r>
          </w:p>
        </w:tc>
      </w:tr>
      <w:tr w14:paraId="626CB3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796" w:type="dxa"/>
            <w:tcBorders>
              <w:top w:val="single" w:color="auto" w:sz="4" w:space="0"/>
              <w:left w:val="single" w:color="auto" w:sz="4" w:space="0"/>
              <w:bottom w:val="single" w:color="auto" w:sz="4" w:space="0"/>
              <w:right w:val="single" w:color="auto" w:sz="4" w:space="0"/>
            </w:tcBorders>
            <w:vAlign w:val="center"/>
          </w:tcPr>
          <w:p w14:paraId="64BC4E14">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w:t>
            </w:r>
          </w:p>
        </w:tc>
        <w:tc>
          <w:tcPr>
            <w:tcW w:w="1296" w:type="dxa"/>
            <w:tcBorders>
              <w:top w:val="single" w:color="auto" w:sz="4" w:space="0"/>
              <w:left w:val="single" w:color="auto" w:sz="4" w:space="0"/>
              <w:bottom w:val="single" w:color="auto" w:sz="4" w:space="0"/>
              <w:right w:val="single" w:color="auto" w:sz="4" w:space="0"/>
            </w:tcBorders>
            <w:vAlign w:val="center"/>
          </w:tcPr>
          <w:p w14:paraId="05BCD32D">
            <w:pPr>
              <w:snapToGrid w:val="0"/>
              <w:spacing w:line="460" w:lineRule="exact"/>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首台套政策</w:t>
            </w:r>
          </w:p>
        </w:tc>
        <w:tc>
          <w:tcPr>
            <w:tcW w:w="7368" w:type="dxa"/>
            <w:tcBorders>
              <w:top w:val="single" w:color="auto" w:sz="4" w:space="0"/>
              <w:left w:val="single" w:color="auto" w:sz="4" w:space="0"/>
              <w:bottom w:val="single" w:color="auto" w:sz="4" w:space="0"/>
              <w:right w:val="single" w:color="auto" w:sz="4" w:space="0"/>
            </w:tcBorders>
            <w:vAlign w:val="center"/>
          </w:tcPr>
          <w:p w14:paraId="7BE5CD09">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首台套产品被纳入《首台套产品推广应用指导目录》之日起3年内，视同已具备相应销售业绩，参加政府采购活动时业绩分值为满分。</w:t>
            </w:r>
          </w:p>
        </w:tc>
      </w:tr>
      <w:tr w14:paraId="51B76D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796" w:type="dxa"/>
            <w:tcBorders>
              <w:top w:val="single" w:color="auto" w:sz="4" w:space="0"/>
              <w:left w:val="single" w:color="auto" w:sz="4" w:space="0"/>
              <w:bottom w:val="single" w:color="auto" w:sz="4" w:space="0"/>
              <w:right w:val="single" w:color="auto" w:sz="4" w:space="0"/>
            </w:tcBorders>
            <w:vAlign w:val="center"/>
          </w:tcPr>
          <w:p w14:paraId="25685096">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8</w:t>
            </w:r>
          </w:p>
        </w:tc>
        <w:tc>
          <w:tcPr>
            <w:tcW w:w="1296" w:type="dxa"/>
            <w:tcBorders>
              <w:top w:val="single" w:color="auto" w:sz="4" w:space="0"/>
              <w:left w:val="single" w:color="auto" w:sz="4" w:space="0"/>
              <w:bottom w:val="single" w:color="auto" w:sz="4" w:space="0"/>
              <w:right w:val="single" w:color="auto" w:sz="4" w:space="0"/>
            </w:tcBorders>
            <w:vAlign w:val="center"/>
          </w:tcPr>
          <w:p w14:paraId="1A6EE0C9">
            <w:pPr>
              <w:snapToGrid w:val="0"/>
              <w:spacing w:line="460" w:lineRule="exact"/>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质疑</w:t>
            </w:r>
          </w:p>
        </w:tc>
        <w:tc>
          <w:tcPr>
            <w:tcW w:w="7368" w:type="dxa"/>
            <w:tcBorders>
              <w:top w:val="single" w:color="auto" w:sz="4" w:space="0"/>
              <w:left w:val="single" w:color="auto" w:sz="4" w:space="0"/>
              <w:bottom w:val="single" w:color="auto" w:sz="4" w:space="0"/>
              <w:right w:val="single" w:color="auto" w:sz="4" w:space="0"/>
            </w:tcBorders>
            <w:vAlign w:val="center"/>
          </w:tcPr>
          <w:p w14:paraId="4C875F02">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质疑。</w:t>
            </w:r>
          </w:p>
        </w:tc>
      </w:tr>
      <w:tr w14:paraId="078C9A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796" w:type="dxa"/>
            <w:tcBorders>
              <w:top w:val="single" w:color="auto" w:sz="4" w:space="0"/>
              <w:left w:val="single" w:color="auto" w:sz="4" w:space="0"/>
              <w:bottom w:val="single" w:color="auto" w:sz="4" w:space="0"/>
              <w:right w:val="single" w:color="auto" w:sz="4" w:space="0"/>
            </w:tcBorders>
            <w:vAlign w:val="center"/>
          </w:tcPr>
          <w:p w14:paraId="3A99172F">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9</w:t>
            </w:r>
          </w:p>
        </w:tc>
        <w:tc>
          <w:tcPr>
            <w:tcW w:w="1296" w:type="dxa"/>
            <w:tcBorders>
              <w:top w:val="single" w:color="auto" w:sz="4" w:space="0"/>
              <w:left w:val="single" w:color="auto" w:sz="4" w:space="0"/>
              <w:bottom w:val="single" w:color="auto" w:sz="4" w:space="0"/>
              <w:right w:val="single" w:color="auto" w:sz="4" w:space="0"/>
            </w:tcBorders>
            <w:vAlign w:val="center"/>
          </w:tcPr>
          <w:p w14:paraId="5535552D">
            <w:pPr>
              <w:snapToGrid w:val="0"/>
              <w:spacing w:line="460" w:lineRule="exact"/>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是否允许采购进口产品</w:t>
            </w:r>
          </w:p>
        </w:tc>
        <w:tc>
          <w:tcPr>
            <w:tcW w:w="7368" w:type="dxa"/>
            <w:tcBorders>
              <w:top w:val="single" w:color="auto" w:sz="4" w:space="0"/>
              <w:left w:val="single" w:color="auto" w:sz="4" w:space="0"/>
              <w:bottom w:val="single" w:color="auto" w:sz="4" w:space="0"/>
              <w:right w:val="single" w:color="auto" w:sz="4" w:space="0"/>
            </w:tcBorders>
            <w:vAlign w:val="center"/>
          </w:tcPr>
          <w:p w14:paraId="4A9210F9">
            <w:pPr>
              <w:snapToGrid w:val="0"/>
              <w:spacing w:line="460" w:lineRule="exact"/>
              <w:rPr>
                <w:rFonts w:ascii="仿宋_GB2312" w:hAnsi="仿宋" w:eastAsia="仿宋_GB2312"/>
                <w:bCs/>
                <w:color w:val="000000" w:themeColor="text1"/>
                <w:sz w:val="24"/>
                <w14:textFill>
                  <w14:solidFill>
                    <w14:schemeClr w14:val="tx1"/>
                  </w14:solidFill>
                </w14:textFill>
              </w:rPr>
            </w:pPr>
            <w:bookmarkStart w:id="16" w:name="PO_15528_PM042"/>
            <w:r>
              <w:rPr>
                <w:rFonts w:hint="eastAsia" w:ascii="仿宋_GB2312" w:hAnsi="仿宋" w:eastAsia="仿宋_GB2312"/>
                <w:bCs/>
                <w:color w:val="000000" w:themeColor="text1"/>
                <w:sz w:val="24"/>
                <w14:textFill>
                  <w14:solidFill>
                    <w14:schemeClr w14:val="tx1"/>
                  </w14:solidFill>
                </w14:textFill>
              </w:rPr>
              <w:t>不允许进口产品</w:t>
            </w:r>
            <w:bookmarkEnd w:id="16"/>
            <w:r>
              <w:rPr>
                <w:rFonts w:hint="eastAsia" w:ascii="仿宋_GB2312" w:hAnsi="仿宋" w:eastAsia="仿宋_GB2312"/>
                <w:bCs/>
                <w:color w:val="000000" w:themeColor="text1"/>
                <w:sz w:val="24"/>
                <w14:textFill>
                  <w14:solidFill>
                    <w14:schemeClr w14:val="tx1"/>
                  </w14:solidFill>
                </w14:textFill>
              </w:rPr>
              <w:t>。如是，优先采购向我国企业转让技术、与我国企业签订消化吸收再创新方案的供应商的进口产品。</w:t>
            </w:r>
          </w:p>
        </w:tc>
      </w:tr>
      <w:tr w14:paraId="307EAF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796" w:type="dxa"/>
            <w:tcBorders>
              <w:top w:val="single" w:color="auto" w:sz="4" w:space="0"/>
              <w:left w:val="single" w:color="auto" w:sz="4" w:space="0"/>
              <w:bottom w:val="single" w:color="auto" w:sz="4" w:space="0"/>
              <w:right w:val="single" w:color="auto" w:sz="4" w:space="0"/>
            </w:tcBorders>
            <w:vAlign w:val="center"/>
          </w:tcPr>
          <w:p w14:paraId="3004E301">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10</w:t>
            </w:r>
          </w:p>
        </w:tc>
        <w:tc>
          <w:tcPr>
            <w:tcW w:w="1296" w:type="dxa"/>
            <w:tcBorders>
              <w:top w:val="single" w:color="auto" w:sz="4" w:space="0"/>
              <w:left w:val="single" w:color="auto" w:sz="4" w:space="0"/>
              <w:bottom w:val="single" w:color="auto" w:sz="4" w:space="0"/>
              <w:right w:val="single" w:color="auto" w:sz="4" w:space="0"/>
            </w:tcBorders>
            <w:vAlign w:val="center"/>
          </w:tcPr>
          <w:p w14:paraId="7F918764">
            <w:pPr>
              <w:snapToGrid w:val="0"/>
              <w:spacing w:line="460" w:lineRule="exact"/>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是否允许转包与分包</w:t>
            </w:r>
          </w:p>
        </w:tc>
        <w:tc>
          <w:tcPr>
            <w:tcW w:w="7368" w:type="dxa"/>
            <w:tcBorders>
              <w:top w:val="single" w:color="auto" w:sz="4" w:space="0"/>
              <w:left w:val="single" w:color="auto" w:sz="4" w:space="0"/>
              <w:bottom w:val="single" w:color="auto" w:sz="4" w:space="0"/>
              <w:right w:val="single" w:color="auto" w:sz="4" w:space="0"/>
            </w:tcBorders>
            <w:vAlign w:val="center"/>
          </w:tcPr>
          <w:p w14:paraId="0578EA7A">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转包：否</w:t>
            </w:r>
          </w:p>
          <w:p w14:paraId="3082FA32">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分包：允许分包；非主体、非关键性工作允许分包。</w:t>
            </w:r>
          </w:p>
          <w:p w14:paraId="3DFE3C9C">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当分包份额占到合同总金额100%时，视为转包。此情况根据《中华人民共和国政府采购法实施条例》（国务院令第658号）文件第七十二条规定，将依照政府采购法第七十七条第一款的规定追究相应法律责任。</w:t>
            </w:r>
          </w:p>
          <w:p w14:paraId="05BDCEFF">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依据政府采购促进中小企业发展管理办法规定享受扶持政策获得政府采购合同的，小微企业不得将合同分包给大中型企业，中型企业不得将合同分包给大型企业。</w:t>
            </w:r>
          </w:p>
        </w:tc>
      </w:tr>
      <w:tr w14:paraId="6C5431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796" w:type="dxa"/>
            <w:tcBorders>
              <w:top w:val="single" w:color="auto" w:sz="4" w:space="0"/>
              <w:left w:val="single" w:color="auto" w:sz="4" w:space="0"/>
              <w:bottom w:val="single" w:color="auto" w:sz="4" w:space="0"/>
              <w:right w:val="single" w:color="auto" w:sz="4" w:space="0"/>
            </w:tcBorders>
            <w:vAlign w:val="center"/>
          </w:tcPr>
          <w:p w14:paraId="4251AA36">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11</w:t>
            </w:r>
          </w:p>
        </w:tc>
        <w:tc>
          <w:tcPr>
            <w:tcW w:w="1296" w:type="dxa"/>
            <w:tcBorders>
              <w:top w:val="single" w:color="auto" w:sz="4" w:space="0"/>
              <w:left w:val="single" w:color="auto" w:sz="4" w:space="0"/>
              <w:bottom w:val="single" w:color="auto" w:sz="4" w:space="0"/>
              <w:right w:val="single" w:color="auto" w:sz="4" w:space="0"/>
            </w:tcBorders>
            <w:vAlign w:val="center"/>
          </w:tcPr>
          <w:p w14:paraId="27E79819">
            <w:pPr>
              <w:snapToGrid w:val="0"/>
              <w:spacing w:line="460" w:lineRule="exact"/>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w:t>
            </w:r>
          </w:p>
        </w:tc>
        <w:tc>
          <w:tcPr>
            <w:tcW w:w="7368" w:type="dxa"/>
            <w:tcBorders>
              <w:top w:val="single" w:color="auto" w:sz="4" w:space="0"/>
              <w:left w:val="single" w:color="auto" w:sz="4" w:space="0"/>
              <w:bottom w:val="single" w:color="auto" w:sz="4" w:space="0"/>
              <w:right w:val="single" w:color="auto" w:sz="4" w:space="0"/>
            </w:tcBorders>
            <w:vAlign w:val="center"/>
          </w:tcPr>
          <w:p w14:paraId="2E2154F8">
            <w:pPr>
              <w:keepNext w:val="0"/>
              <w:keepLines w:val="0"/>
              <w:suppressLineNumbers w:val="0"/>
              <w:snapToGrid w:val="0"/>
              <w:spacing w:before="0" w:beforeAutospacing="0" w:after="0" w:afterAutospacing="0" w:line="460" w:lineRule="exact"/>
              <w:ind w:left="0" w:right="0"/>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允许联合体投标。</w:t>
            </w:r>
          </w:p>
          <w:p w14:paraId="07FF0A85">
            <w:pPr>
              <w:keepNext w:val="0"/>
              <w:keepLines w:val="0"/>
              <w:suppressLineNumbers w:val="0"/>
              <w:snapToGrid w:val="0"/>
              <w:spacing w:before="0" w:beforeAutospacing="0" w:after="0" w:afterAutospacing="0" w:line="460" w:lineRule="exact"/>
              <w:ind w:left="0" w:right="0"/>
              <w:rPr>
                <w:rFonts w:hint="eastAsia" w:ascii="仿宋_GB2312" w:hAnsi="仿宋" w:eastAsia="仿宋_GB2312" w:cs="Times New Roman"/>
                <w:bCs/>
                <w:color w:val="000000" w:themeColor="text1"/>
                <w:sz w:val="24"/>
                <w:lang w:eastAsia="zh-CN"/>
                <w14:textFill>
                  <w14:solidFill>
                    <w14:schemeClr w14:val="tx1"/>
                  </w14:solidFill>
                </w14:textFill>
              </w:rPr>
            </w:pPr>
            <w:r>
              <w:rPr>
                <w:rFonts w:hint="eastAsia" w:ascii="仿宋_GB2312" w:hAnsi="仿宋" w:eastAsia="仿宋_GB2312" w:cs="Times New Roman"/>
                <w:bCs/>
                <w:color w:val="000000" w:themeColor="text1"/>
                <w:sz w:val="24"/>
                <w:lang w:eastAsia="zh-CN"/>
                <w14:textFill>
                  <w14:solidFill>
                    <w14:schemeClr w14:val="tx1"/>
                  </w14:solidFill>
                </w14:textFill>
              </w:rPr>
              <w:t>1.业绩证明材料</w:t>
            </w:r>
          </w:p>
          <w:p w14:paraId="1620EC9E">
            <w:pPr>
              <w:keepNext w:val="0"/>
              <w:keepLines w:val="0"/>
              <w:suppressLineNumbers w:val="0"/>
              <w:snapToGrid w:val="0"/>
              <w:spacing w:before="0" w:beforeAutospacing="0" w:after="0" w:afterAutospacing="0" w:line="460" w:lineRule="exact"/>
              <w:ind w:left="0" w:right="0"/>
              <w:rPr>
                <w:rFonts w:hint="eastAsia" w:ascii="仿宋_GB2312" w:hAnsi="仿宋" w:eastAsia="仿宋_GB2312" w:cs="Times New Roman"/>
                <w:bCs/>
                <w:color w:val="000000" w:themeColor="text1"/>
                <w:sz w:val="24"/>
                <w:lang w:eastAsia="zh-CN"/>
                <w14:textFill>
                  <w14:solidFill>
                    <w14:schemeClr w14:val="tx1"/>
                  </w14:solidFill>
                </w14:textFill>
              </w:rPr>
            </w:pPr>
            <w:r>
              <w:rPr>
                <w:rFonts w:hint="eastAsia" w:ascii="仿宋_GB2312" w:hAnsi="仿宋" w:eastAsia="仿宋_GB2312" w:cs="Times New Roman"/>
                <w:bCs/>
                <w:color w:val="000000" w:themeColor="text1"/>
                <w:sz w:val="24"/>
                <w:lang w:eastAsia="zh-CN"/>
                <w14:textFill>
                  <w14:solidFill>
                    <w14:schemeClr w14:val="tx1"/>
                  </w14:solidFill>
                </w14:textFill>
              </w:rPr>
              <w:t>联合体投标的，按联合体协议约定的分工内容出具相应的业绩证明材料。承担相同工作的各方或工作内容存在部分相同的，业绩数量以主办人为准。</w:t>
            </w:r>
          </w:p>
          <w:p w14:paraId="1C3C3C3C">
            <w:pPr>
              <w:keepNext w:val="0"/>
              <w:keepLines w:val="0"/>
              <w:suppressLineNumbers w:val="0"/>
              <w:snapToGrid w:val="0"/>
              <w:spacing w:before="0" w:beforeAutospacing="0" w:after="0" w:afterAutospacing="0" w:line="460" w:lineRule="exact"/>
              <w:ind w:left="0" w:right="0"/>
              <w:rPr>
                <w:rFonts w:hint="eastAsia" w:ascii="仿宋_GB2312" w:hAnsi="仿宋" w:eastAsia="仿宋_GB2312" w:cs="Times New Roman"/>
                <w:bCs/>
                <w:color w:val="000000" w:themeColor="text1"/>
                <w:sz w:val="24"/>
                <w:lang w:eastAsia="zh-CN"/>
                <w14:textFill>
                  <w14:solidFill>
                    <w14:schemeClr w14:val="tx1"/>
                  </w14:solidFill>
                </w14:textFill>
              </w:rPr>
            </w:pPr>
            <w:r>
              <w:rPr>
                <w:rFonts w:hint="eastAsia" w:ascii="仿宋_GB2312" w:hAnsi="仿宋" w:eastAsia="仿宋_GB2312" w:cs="Times New Roman"/>
                <w:bCs/>
                <w:color w:val="000000" w:themeColor="text1"/>
                <w:sz w:val="24"/>
                <w:lang w:eastAsia="zh-CN"/>
                <w14:textFill>
                  <w14:solidFill>
                    <w14:schemeClr w14:val="tx1"/>
                  </w14:solidFill>
                </w14:textFill>
              </w:rPr>
              <w:t>2.其他证明材料</w:t>
            </w:r>
          </w:p>
          <w:p w14:paraId="7FF5F16A">
            <w:pPr>
              <w:snapToGrid w:val="0"/>
              <w:spacing w:line="460" w:lineRule="exact"/>
            </w:pPr>
            <w:r>
              <w:rPr>
                <w:rFonts w:hint="eastAsia" w:ascii="仿宋_GB2312" w:hAnsi="仿宋" w:eastAsia="仿宋_GB2312" w:cs="Times New Roman"/>
                <w:bCs/>
                <w:color w:val="000000" w:themeColor="text1"/>
                <w:sz w:val="24"/>
                <w:lang w:eastAsia="zh-CN"/>
                <w14:textFill>
                  <w14:solidFill>
                    <w14:schemeClr w14:val="tx1"/>
                  </w14:solidFill>
                </w14:textFill>
              </w:rPr>
              <w:t>联合体投标的，需按招标文件第三章评标标准要求提供证明文件的，证明材料以主办人为准。</w:t>
            </w:r>
          </w:p>
        </w:tc>
      </w:tr>
      <w:tr w14:paraId="0A640C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796" w:type="dxa"/>
            <w:tcBorders>
              <w:top w:val="single" w:color="auto" w:sz="4" w:space="0"/>
              <w:left w:val="single" w:color="auto" w:sz="4" w:space="0"/>
              <w:bottom w:val="single" w:color="auto" w:sz="4" w:space="0"/>
              <w:right w:val="single" w:color="auto" w:sz="4" w:space="0"/>
            </w:tcBorders>
            <w:vAlign w:val="center"/>
          </w:tcPr>
          <w:p w14:paraId="032765EF">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2</w:t>
            </w:r>
          </w:p>
        </w:tc>
        <w:tc>
          <w:tcPr>
            <w:tcW w:w="1296" w:type="dxa"/>
            <w:tcBorders>
              <w:top w:val="single" w:color="auto" w:sz="4" w:space="0"/>
              <w:left w:val="single" w:color="auto" w:sz="4" w:space="0"/>
              <w:bottom w:val="single" w:color="auto" w:sz="4" w:space="0"/>
              <w:right w:val="single" w:color="auto" w:sz="4" w:space="0"/>
            </w:tcBorders>
            <w:vAlign w:val="center"/>
          </w:tcPr>
          <w:p w14:paraId="37D68544">
            <w:pPr>
              <w:snapToGrid w:val="0"/>
              <w:spacing w:line="460" w:lineRule="exact"/>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是否现场踏勘</w:t>
            </w:r>
          </w:p>
        </w:tc>
        <w:tc>
          <w:tcPr>
            <w:tcW w:w="7368" w:type="dxa"/>
            <w:tcBorders>
              <w:top w:val="single" w:color="auto" w:sz="4" w:space="0"/>
              <w:left w:val="single" w:color="auto" w:sz="4" w:space="0"/>
              <w:bottom w:val="single" w:color="auto" w:sz="4" w:space="0"/>
              <w:right w:val="single" w:color="auto" w:sz="4" w:space="0"/>
            </w:tcBorders>
            <w:vAlign w:val="center"/>
          </w:tcPr>
          <w:p w14:paraId="0C4C5823">
            <w:pPr>
              <w:snapToGrid w:val="0"/>
              <w:spacing w:line="460" w:lineRule="exact"/>
              <w:rPr>
                <w:rFonts w:ascii="仿宋_GB2312" w:hAnsi="仿宋" w:eastAsia="仿宋_GB2312"/>
                <w:bCs/>
                <w:color w:val="000000" w:themeColor="text1"/>
                <w:sz w:val="24"/>
                <w14:textFill>
                  <w14:solidFill>
                    <w14:schemeClr w14:val="tx1"/>
                  </w14:solidFill>
                </w14:textFill>
              </w:rPr>
            </w:pPr>
            <w:bookmarkStart w:id="17" w:name="PO_15528_PM040"/>
            <w:r>
              <w:rPr>
                <w:rFonts w:hint="eastAsia" w:ascii="仿宋_GB2312" w:hAnsi="仿宋" w:eastAsia="仿宋_GB2312"/>
                <w:bCs/>
                <w:color w:val="000000" w:themeColor="text1"/>
                <w:sz w:val="24"/>
                <w14:textFill>
                  <w14:solidFill>
                    <w14:schemeClr w14:val="tx1"/>
                  </w14:solidFill>
                </w14:textFill>
              </w:rPr>
              <w:t>不组织现场踏勘</w:t>
            </w:r>
            <w:bookmarkEnd w:id="17"/>
            <w:r>
              <w:rPr>
                <w:rFonts w:hint="eastAsia" w:ascii="仿宋_GB2312" w:hAnsi="仿宋" w:eastAsia="仿宋_GB2312"/>
                <w:bCs/>
                <w:color w:val="000000" w:themeColor="text1"/>
                <w:sz w:val="24"/>
                <w14:textFill>
                  <w14:solidFill>
                    <w14:schemeClr w14:val="tx1"/>
                  </w14:solidFill>
                </w14:textFill>
              </w:rPr>
              <w:t>。</w:t>
            </w:r>
          </w:p>
        </w:tc>
      </w:tr>
      <w:tr w14:paraId="31D080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796" w:type="dxa"/>
            <w:tcBorders>
              <w:top w:val="single" w:color="auto" w:sz="4" w:space="0"/>
              <w:left w:val="single" w:color="auto" w:sz="4" w:space="0"/>
              <w:bottom w:val="single" w:color="auto" w:sz="4" w:space="0"/>
              <w:right w:val="single" w:color="auto" w:sz="4" w:space="0"/>
            </w:tcBorders>
            <w:vAlign w:val="center"/>
          </w:tcPr>
          <w:p w14:paraId="79C3ED9D">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3</w:t>
            </w:r>
          </w:p>
        </w:tc>
        <w:tc>
          <w:tcPr>
            <w:tcW w:w="1296" w:type="dxa"/>
            <w:tcBorders>
              <w:top w:val="single" w:color="auto" w:sz="4" w:space="0"/>
              <w:left w:val="single" w:color="auto" w:sz="4" w:space="0"/>
              <w:bottom w:val="single" w:color="auto" w:sz="4" w:space="0"/>
              <w:right w:val="single" w:color="auto" w:sz="4" w:space="0"/>
            </w:tcBorders>
            <w:vAlign w:val="center"/>
          </w:tcPr>
          <w:p w14:paraId="2D2536B8">
            <w:pPr>
              <w:snapToGrid w:val="0"/>
              <w:spacing w:line="460" w:lineRule="exact"/>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是否提供演示</w:t>
            </w:r>
          </w:p>
        </w:tc>
        <w:tc>
          <w:tcPr>
            <w:tcW w:w="7368" w:type="dxa"/>
            <w:tcBorders>
              <w:top w:val="single" w:color="auto" w:sz="4" w:space="0"/>
              <w:left w:val="single" w:color="auto" w:sz="4" w:space="0"/>
              <w:bottom w:val="single" w:color="auto" w:sz="4" w:space="0"/>
              <w:right w:val="single" w:color="auto" w:sz="4" w:space="0"/>
            </w:tcBorders>
            <w:vAlign w:val="center"/>
          </w:tcPr>
          <w:p w14:paraId="6FEF7C2D">
            <w:pPr>
              <w:snapToGrid w:val="0"/>
              <w:spacing w:line="460" w:lineRule="exact"/>
              <w:rPr>
                <w:rFonts w:ascii="仿宋_GB2312" w:hAnsi="仿宋" w:eastAsia="仿宋_GB2312"/>
                <w:bCs/>
                <w:color w:val="000000" w:themeColor="text1"/>
                <w:sz w:val="24"/>
                <w14:textFill>
                  <w14:solidFill>
                    <w14:schemeClr w14:val="tx1"/>
                  </w14:solidFill>
                </w14:textFill>
              </w:rPr>
            </w:pPr>
            <w:bookmarkStart w:id="18" w:name="PO_1000000445_PM041"/>
            <w:r>
              <w:rPr>
                <w:rFonts w:hint="eastAsia" w:ascii="仿宋_GB2312" w:hAnsi="仿宋" w:eastAsia="仿宋_GB2312"/>
                <w:bCs/>
                <w:color w:val="000000" w:themeColor="text1"/>
                <w:sz w:val="24"/>
                <w14:textFill>
                  <w14:solidFill>
                    <w14:schemeClr w14:val="tx1"/>
                  </w14:solidFill>
                </w14:textFill>
              </w:rPr>
              <w:t>不进行演示</w:t>
            </w:r>
            <w:bookmarkEnd w:id="18"/>
            <w:r>
              <w:rPr>
                <w:rFonts w:hint="eastAsia" w:ascii="仿宋_GB2312" w:hAnsi="仿宋" w:eastAsia="仿宋_GB2312"/>
                <w:bCs/>
                <w:color w:val="000000" w:themeColor="text1"/>
                <w:sz w:val="24"/>
                <w14:textFill>
                  <w14:solidFill>
                    <w14:schemeClr w14:val="tx1"/>
                  </w14:solidFill>
                </w14:textFill>
              </w:rPr>
              <w:t>。如是, 演示顺序原则上按投标文件“解密时间从早到晚”顺序，演示要求详见招标需求。</w:t>
            </w:r>
          </w:p>
        </w:tc>
      </w:tr>
      <w:tr w14:paraId="36C089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796" w:type="dxa"/>
            <w:tcBorders>
              <w:top w:val="single" w:color="auto" w:sz="4" w:space="0"/>
              <w:left w:val="single" w:color="auto" w:sz="4" w:space="0"/>
              <w:bottom w:val="single" w:color="auto" w:sz="4" w:space="0"/>
              <w:right w:val="single" w:color="auto" w:sz="4" w:space="0"/>
            </w:tcBorders>
            <w:vAlign w:val="center"/>
          </w:tcPr>
          <w:p w14:paraId="5D714112">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4</w:t>
            </w:r>
          </w:p>
        </w:tc>
        <w:tc>
          <w:tcPr>
            <w:tcW w:w="1296" w:type="dxa"/>
            <w:tcBorders>
              <w:top w:val="single" w:color="auto" w:sz="4" w:space="0"/>
              <w:left w:val="single" w:color="auto" w:sz="4" w:space="0"/>
              <w:bottom w:val="single" w:color="auto" w:sz="4" w:space="0"/>
              <w:right w:val="single" w:color="auto" w:sz="4" w:space="0"/>
            </w:tcBorders>
            <w:vAlign w:val="center"/>
          </w:tcPr>
          <w:p w14:paraId="75BA2BA4">
            <w:pPr>
              <w:snapToGrid w:val="0"/>
              <w:spacing w:line="460" w:lineRule="exact"/>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是否提供样品</w:t>
            </w:r>
          </w:p>
        </w:tc>
        <w:tc>
          <w:tcPr>
            <w:tcW w:w="7368" w:type="dxa"/>
            <w:tcBorders>
              <w:top w:val="single" w:color="auto" w:sz="4" w:space="0"/>
              <w:left w:val="single" w:color="auto" w:sz="4" w:space="0"/>
              <w:bottom w:val="single" w:color="auto" w:sz="4" w:space="0"/>
              <w:right w:val="single" w:color="auto" w:sz="4" w:space="0"/>
            </w:tcBorders>
            <w:vAlign w:val="center"/>
          </w:tcPr>
          <w:p w14:paraId="5FBFE0CE">
            <w:pPr>
              <w:snapToGrid w:val="0"/>
              <w:spacing w:line="460" w:lineRule="exact"/>
              <w:rPr>
                <w:rFonts w:ascii="仿宋_GB2312" w:hAnsi="仿宋" w:eastAsia="仿宋_GB2312"/>
                <w:bCs/>
                <w:color w:val="000000" w:themeColor="text1"/>
                <w:sz w:val="24"/>
                <w14:textFill>
                  <w14:solidFill>
                    <w14:schemeClr w14:val="tx1"/>
                  </w14:solidFill>
                </w14:textFill>
              </w:rPr>
            </w:pPr>
            <w:bookmarkStart w:id="19" w:name="PO_1000000445_PM043"/>
            <w:r>
              <w:rPr>
                <w:rFonts w:hint="eastAsia" w:ascii="仿宋_GB2312" w:hAnsi="仿宋" w:eastAsia="仿宋_GB2312"/>
                <w:bCs/>
                <w:color w:val="000000" w:themeColor="text1"/>
                <w:sz w:val="24"/>
                <w14:textFill>
                  <w14:solidFill>
                    <w14:schemeClr w14:val="tx1"/>
                  </w14:solidFill>
                </w14:textFill>
              </w:rPr>
              <w:t>不要求提供样品</w:t>
            </w:r>
            <w:bookmarkEnd w:id="19"/>
            <w:r>
              <w:rPr>
                <w:rFonts w:hint="eastAsia" w:ascii="仿宋_GB2312" w:hAnsi="仿宋" w:eastAsia="仿宋_GB2312"/>
                <w:bCs/>
                <w:color w:val="000000" w:themeColor="text1"/>
                <w:sz w:val="24"/>
                <w14:textFill>
                  <w14:solidFill>
                    <w14:schemeClr w14:val="tx1"/>
                  </w14:solidFill>
                </w14:textFill>
              </w:rPr>
              <w:t>。</w:t>
            </w:r>
          </w:p>
        </w:tc>
      </w:tr>
      <w:tr w14:paraId="3ED6B6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96" w:type="dxa"/>
            <w:tcBorders>
              <w:top w:val="single" w:color="auto" w:sz="4" w:space="0"/>
              <w:left w:val="single" w:color="auto" w:sz="4" w:space="0"/>
              <w:bottom w:val="single" w:color="auto" w:sz="4" w:space="0"/>
              <w:right w:val="single" w:color="auto" w:sz="4" w:space="0"/>
            </w:tcBorders>
            <w:vAlign w:val="center"/>
          </w:tcPr>
          <w:p w14:paraId="604F956C">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5</w:t>
            </w:r>
          </w:p>
        </w:tc>
        <w:tc>
          <w:tcPr>
            <w:tcW w:w="1296" w:type="dxa"/>
            <w:tcBorders>
              <w:top w:val="single" w:color="auto" w:sz="4" w:space="0"/>
              <w:left w:val="single" w:color="auto" w:sz="4" w:space="0"/>
              <w:bottom w:val="single" w:color="auto" w:sz="4" w:space="0"/>
              <w:right w:val="single" w:color="auto" w:sz="4" w:space="0"/>
            </w:tcBorders>
            <w:vAlign w:val="center"/>
          </w:tcPr>
          <w:p w14:paraId="56B044A7">
            <w:pPr>
              <w:snapToGrid w:val="0"/>
              <w:spacing w:line="460" w:lineRule="exact"/>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投标文件组成</w:t>
            </w:r>
          </w:p>
        </w:tc>
        <w:tc>
          <w:tcPr>
            <w:tcW w:w="7368" w:type="dxa"/>
            <w:tcBorders>
              <w:top w:val="single" w:color="auto" w:sz="4" w:space="0"/>
              <w:left w:val="single" w:color="auto" w:sz="4" w:space="0"/>
              <w:bottom w:val="single" w:color="auto" w:sz="4" w:space="0"/>
              <w:right w:val="single" w:color="auto" w:sz="4" w:space="0"/>
            </w:tcBorders>
            <w:vAlign w:val="center"/>
          </w:tcPr>
          <w:p w14:paraId="1C324D94">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投标文件均由资格文件、技术商务文件、报价文件组成。</w:t>
            </w:r>
          </w:p>
          <w:p w14:paraId="3ED2BA11">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投标人提供备份投标文件（正本）的，数量为1份。</w:t>
            </w:r>
          </w:p>
        </w:tc>
      </w:tr>
      <w:tr w14:paraId="00CBB7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96" w:type="dxa"/>
            <w:tcBorders>
              <w:top w:val="single" w:color="auto" w:sz="4" w:space="0"/>
              <w:left w:val="single" w:color="auto" w:sz="4" w:space="0"/>
              <w:bottom w:val="single" w:color="auto" w:sz="4" w:space="0"/>
              <w:right w:val="single" w:color="auto" w:sz="4" w:space="0"/>
            </w:tcBorders>
            <w:vAlign w:val="center"/>
          </w:tcPr>
          <w:p w14:paraId="6E86E365">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6</w:t>
            </w:r>
          </w:p>
        </w:tc>
        <w:tc>
          <w:tcPr>
            <w:tcW w:w="1296" w:type="dxa"/>
            <w:tcBorders>
              <w:top w:val="single" w:color="auto" w:sz="4" w:space="0"/>
              <w:left w:val="single" w:color="auto" w:sz="4" w:space="0"/>
              <w:bottom w:val="single" w:color="auto" w:sz="4" w:space="0"/>
              <w:right w:val="single" w:color="auto" w:sz="4" w:space="0"/>
            </w:tcBorders>
            <w:vAlign w:val="center"/>
          </w:tcPr>
          <w:p w14:paraId="5FB69B79">
            <w:pPr>
              <w:snapToGrid w:val="0"/>
              <w:spacing w:line="460" w:lineRule="exact"/>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电子交易平台登录方法</w:t>
            </w:r>
          </w:p>
        </w:tc>
        <w:tc>
          <w:tcPr>
            <w:tcW w:w="7368" w:type="dxa"/>
            <w:tcBorders>
              <w:top w:val="single" w:color="auto" w:sz="4" w:space="0"/>
              <w:left w:val="single" w:color="auto" w:sz="4" w:space="0"/>
              <w:bottom w:val="single" w:color="auto" w:sz="4" w:space="0"/>
              <w:right w:val="single" w:color="auto" w:sz="4" w:space="0"/>
            </w:tcBorders>
            <w:vAlign w:val="center"/>
          </w:tcPr>
          <w:p w14:paraId="5A8F0FBD">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第一步：供应商登记</w:t>
            </w:r>
          </w:p>
          <w:p w14:paraId="5FFCBE16">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投标人应在投标前登记成为浙江政府采购网的正式供应商（注册网址：</w:t>
            </w:r>
            <w:r>
              <w:rPr>
                <w:rFonts w:hint="eastAsia"/>
              </w:rPr>
              <w:fldChar w:fldCharType="begin"/>
            </w:r>
            <w:r>
              <w:instrText xml:space="preserve"> HYPERLINK "https://middle.zcygov.cn/v-settle-front/registry" </w:instrText>
            </w:r>
            <w:r>
              <w:rPr>
                <w:rFonts w:hint="eastAsia"/>
              </w:rPr>
              <w:fldChar w:fldCharType="separate"/>
            </w:r>
            <w:r>
              <w:rPr>
                <w:rStyle w:val="69"/>
                <w:rFonts w:hint="eastAsia" w:ascii="仿宋" w:hAnsi="仿宋" w:eastAsia="仿宋"/>
                <w:b/>
                <w:color w:val="000000" w:themeColor="text1"/>
                <w:sz w:val="24"/>
                <w:szCs w:val="24"/>
                <w14:textFill>
                  <w14:solidFill>
                    <w14:schemeClr w14:val="tx1"/>
                  </w14:solidFill>
                </w14:textFill>
              </w:rPr>
              <w:t>https://middle.zcygov.cn/v-settle-front/registry</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6991F57C">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第二步：申请CA</w:t>
            </w:r>
          </w:p>
          <w:p w14:paraId="09358585">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投标人应在投标前完成CA数字证书办理（办理流程详见http://zfcg.czt.zj.gov.cn/bidClientTemplate/2019-05-27/12945.html）。完成CA数字证书办理预计一周左右，建议各投标人抓紧时间办理；</w:t>
            </w:r>
          </w:p>
          <w:p w14:paraId="0A0627B8">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第三步：下载客户端</w:t>
            </w:r>
          </w:p>
          <w:p w14:paraId="1995A8E6">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投标人通过政采云电子交易客户端制作投标文件，请自行前往浙江政府采购网下载并安装（下载网址：</w:t>
            </w:r>
            <w:r>
              <w:rPr>
                <w:rFonts w:hint="eastAsia"/>
              </w:rPr>
              <w:fldChar w:fldCharType="begin"/>
            </w:r>
            <w:r>
              <w:instrText xml:space="preserve"> HYPERLINK "http://zfcg.czt.zj.gov.cn/bidClientTemplate/2019-09-24/12975.html" </w:instrText>
            </w:r>
            <w:r>
              <w:rPr>
                <w:rFonts w:hint="eastAsia"/>
              </w:rPr>
              <w:fldChar w:fldCharType="separate"/>
            </w:r>
            <w:r>
              <w:rPr>
                <w:rStyle w:val="69"/>
                <w:rFonts w:hint="eastAsia" w:ascii="仿宋" w:hAnsi="仿宋" w:eastAsia="仿宋"/>
                <w:b/>
                <w:color w:val="000000" w:themeColor="text1"/>
                <w:sz w:val="24"/>
                <w:szCs w:val="24"/>
                <w14:textFill>
                  <w14:solidFill>
                    <w14:schemeClr w14:val="tx1"/>
                  </w14:solidFill>
                </w14:textFill>
              </w:rPr>
              <w:t>http://zfcg.czt.zj.gov.cn/bidClientTemplate/2019-09-24/12975.html</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28282398">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第四步：具体流程</w:t>
            </w:r>
          </w:p>
          <w:p w14:paraId="142DB900">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详见浙江省“电子交易/不见面开评标”学习专题（网址</w:t>
            </w:r>
            <w:r>
              <w:rPr>
                <w:rFonts w:hint="eastAsia"/>
              </w:rPr>
              <w:fldChar w:fldCharType="begin"/>
            </w:r>
            <w:r>
              <w:instrText xml:space="preserve"> HYPERLINK "https://edu.zcygov.cn/luban/e-biding" </w:instrText>
            </w:r>
            <w:r>
              <w:rPr>
                <w:rFonts w:hint="eastAsia"/>
              </w:rPr>
              <w:fldChar w:fldCharType="separate"/>
            </w:r>
            <w:r>
              <w:rPr>
                <w:rStyle w:val="69"/>
                <w:rFonts w:hint="eastAsia" w:ascii="仿宋" w:hAnsi="仿宋" w:eastAsia="仿宋"/>
                <w:b/>
                <w:color w:val="000000" w:themeColor="text1"/>
                <w:sz w:val="24"/>
                <w:szCs w:val="24"/>
                <w14:textFill>
                  <w14:solidFill>
                    <w14:schemeClr w14:val="tx1"/>
                  </w14:solidFill>
                </w14:textFill>
              </w:rPr>
              <w:t>https://edu.zcygov.cn/luban/e-biding</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0D8D2D80">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提醒：</w:t>
            </w:r>
          </w:p>
          <w:p w14:paraId="78CA361B">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请各投标人合理安排时间，尽快完成第一、二、三步骤，避免影响投标。</w:t>
            </w:r>
          </w:p>
          <w:p w14:paraId="726ABF8D">
            <w:pPr>
              <w:spacing w:line="400" w:lineRule="exact"/>
              <w:jc w:val="left"/>
              <w:rPr>
                <w:rFonts w:ascii="仿宋" w:hAnsi="仿宋" w:eastAsia="仿宋"/>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为避免页面存在兼容性等问题，投标人须使用谷歌Chrome浏览器或360浏览器极速模式，涉及视频会议等功能的，还应安装摄像头和麦克风。</w:t>
            </w:r>
          </w:p>
        </w:tc>
      </w:tr>
      <w:tr w14:paraId="089A68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96" w:type="dxa"/>
            <w:tcBorders>
              <w:top w:val="single" w:color="auto" w:sz="4" w:space="0"/>
              <w:left w:val="single" w:color="auto" w:sz="4" w:space="0"/>
              <w:bottom w:val="single" w:color="auto" w:sz="4" w:space="0"/>
              <w:right w:val="single" w:color="auto" w:sz="4" w:space="0"/>
            </w:tcBorders>
            <w:vAlign w:val="center"/>
          </w:tcPr>
          <w:p w14:paraId="703D245C">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7</w:t>
            </w:r>
          </w:p>
        </w:tc>
        <w:tc>
          <w:tcPr>
            <w:tcW w:w="1296" w:type="dxa"/>
            <w:tcBorders>
              <w:top w:val="single" w:color="auto" w:sz="4" w:space="0"/>
              <w:left w:val="single" w:color="auto" w:sz="4" w:space="0"/>
              <w:bottom w:val="single" w:color="auto" w:sz="4" w:space="0"/>
              <w:right w:val="single" w:color="auto" w:sz="4" w:space="0"/>
            </w:tcBorders>
            <w:vAlign w:val="center"/>
          </w:tcPr>
          <w:p w14:paraId="11DFCDD0">
            <w:pPr>
              <w:snapToGrid w:val="0"/>
              <w:spacing w:line="460" w:lineRule="exact"/>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投标文件的递交与接收</w:t>
            </w:r>
          </w:p>
        </w:tc>
        <w:tc>
          <w:tcPr>
            <w:tcW w:w="7368" w:type="dxa"/>
            <w:tcBorders>
              <w:top w:val="single" w:color="auto" w:sz="4" w:space="0"/>
              <w:left w:val="single" w:color="auto" w:sz="4" w:space="0"/>
              <w:bottom w:val="single" w:color="auto" w:sz="4" w:space="0"/>
              <w:right w:val="single" w:color="auto" w:sz="4" w:space="0"/>
            </w:tcBorders>
            <w:vAlign w:val="center"/>
          </w:tcPr>
          <w:p w14:paraId="6B8F2E01">
            <w:pPr>
              <w:snapToGrid w:val="0"/>
              <w:spacing w:line="460" w:lineRule="exact"/>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70848DC6">
            <w:pPr>
              <w:snapToGrid w:val="0"/>
              <w:spacing w:line="460" w:lineRule="exact"/>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投标文件的接收以本项目公告要求的时间、地点和“第二章”的“投标文件的编制”等要求为准。</w:t>
            </w:r>
          </w:p>
          <w:p w14:paraId="66C2758B">
            <w:pPr>
              <w:snapToGrid w:val="0"/>
              <w:spacing w:line="460" w:lineRule="exact"/>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投标人递交备份投标文件，出现下列情况之一的，将被拒收：</w:t>
            </w:r>
          </w:p>
          <w:p w14:paraId="65156627">
            <w:pPr>
              <w:snapToGrid w:val="0"/>
              <w:spacing w:line="460" w:lineRule="exact"/>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1、未按规定密封或标记的；</w:t>
            </w:r>
          </w:p>
          <w:p w14:paraId="58BC970A">
            <w:pPr>
              <w:snapToGrid w:val="0"/>
              <w:spacing w:line="460" w:lineRule="exact"/>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2、由于包装不妥，在送交途中严重破损或失散的；</w:t>
            </w:r>
          </w:p>
          <w:p w14:paraId="41D9921E">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3、超过投标截止时间送达的。</w:t>
            </w:r>
          </w:p>
        </w:tc>
      </w:tr>
      <w:tr w14:paraId="5B824C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96" w:type="dxa"/>
            <w:tcBorders>
              <w:top w:val="single" w:color="auto" w:sz="4" w:space="0"/>
              <w:left w:val="single" w:color="auto" w:sz="4" w:space="0"/>
              <w:bottom w:val="single" w:color="auto" w:sz="4" w:space="0"/>
              <w:right w:val="single" w:color="auto" w:sz="4" w:space="0"/>
            </w:tcBorders>
            <w:vAlign w:val="center"/>
          </w:tcPr>
          <w:p w14:paraId="5BFEB420">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8</w:t>
            </w:r>
          </w:p>
        </w:tc>
        <w:tc>
          <w:tcPr>
            <w:tcW w:w="1296" w:type="dxa"/>
            <w:tcBorders>
              <w:top w:val="single" w:color="auto" w:sz="4" w:space="0"/>
              <w:left w:val="single" w:color="auto" w:sz="4" w:space="0"/>
              <w:bottom w:val="single" w:color="auto" w:sz="4" w:space="0"/>
              <w:right w:val="single" w:color="auto" w:sz="4" w:space="0"/>
            </w:tcBorders>
            <w:vAlign w:val="center"/>
          </w:tcPr>
          <w:p w14:paraId="7919A665">
            <w:pPr>
              <w:snapToGrid w:val="0"/>
              <w:spacing w:line="460" w:lineRule="exact"/>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投标撤销（撤回）</w:t>
            </w:r>
          </w:p>
        </w:tc>
        <w:tc>
          <w:tcPr>
            <w:tcW w:w="7368" w:type="dxa"/>
            <w:tcBorders>
              <w:top w:val="single" w:color="auto" w:sz="4" w:space="0"/>
              <w:left w:val="single" w:color="auto" w:sz="4" w:space="0"/>
              <w:bottom w:val="single" w:color="auto" w:sz="4" w:space="0"/>
              <w:right w:val="single" w:color="auto" w:sz="4" w:space="0"/>
            </w:tcBorders>
            <w:vAlign w:val="center"/>
          </w:tcPr>
          <w:p w14:paraId="0EBCC477">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1.在投标截止时间起至投标有效期届满，供应商投标文件不可撤销。</w:t>
            </w:r>
          </w:p>
          <w:p w14:paraId="7BD92240">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2.供应商撤销（撤回）投标不得损害国家利益、社会公共利益、采购人利益、代理机构利益、其他供应商利益，否则，供应商撤销（撤回）投标无效。</w:t>
            </w:r>
          </w:p>
        </w:tc>
      </w:tr>
      <w:tr w14:paraId="2BC73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796" w:type="dxa"/>
            <w:tcBorders>
              <w:top w:val="single" w:color="auto" w:sz="4" w:space="0"/>
              <w:left w:val="single" w:color="auto" w:sz="4" w:space="0"/>
              <w:bottom w:val="single" w:color="auto" w:sz="4" w:space="0"/>
              <w:right w:val="single" w:color="auto" w:sz="4" w:space="0"/>
            </w:tcBorders>
            <w:vAlign w:val="center"/>
          </w:tcPr>
          <w:p w14:paraId="6902C4DC">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9</w:t>
            </w:r>
          </w:p>
        </w:tc>
        <w:tc>
          <w:tcPr>
            <w:tcW w:w="1296" w:type="dxa"/>
            <w:tcBorders>
              <w:top w:val="single" w:color="auto" w:sz="4" w:space="0"/>
              <w:left w:val="single" w:color="auto" w:sz="4" w:space="0"/>
              <w:bottom w:val="single" w:color="auto" w:sz="4" w:space="0"/>
              <w:right w:val="single" w:color="auto" w:sz="4" w:space="0"/>
            </w:tcBorders>
            <w:vAlign w:val="center"/>
          </w:tcPr>
          <w:p w14:paraId="1D340405">
            <w:pPr>
              <w:snapToGrid w:val="0"/>
              <w:spacing w:line="460" w:lineRule="exact"/>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中标结果公告</w:t>
            </w:r>
          </w:p>
        </w:tc>
        <w:tc>
          <w:tcPr>
            <w:tcW w:w="7368" w:type="dxa"/>
            <w:tcBorders>
              <w:top w:val="single" w:color="auto" w:sz="4" w:space="0"/>
              <w:left w:val="single" w:color="auto" w:sz="4" w:space="0"/>
              <w:bottom w:val="single" w:color="auto" w:sz="4" w:space="0"/>
              <w:right w:val="single" w:color="auto" w:sz="4" w:space="0"/>
            </w:tcBorders>
            <w:vAlign w:val="center"/>
          </w:tcPr>
          <w:p w14:paraId="41B41B7C">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中标供应商确定之日起2个工作日内，将在浙江省政府采购网(</w:t>
            </w:r>
            <w:r>
              <w:fldChar w:fldCharType="begin"/>
            </w:r>
            <w:r>
              <w:instrText xml:space="preserve"> HYPERLINK "http://www.zjzfcg.gov.cn/new" </w:instrText>
            </w:r>
            <w:r>
              <w:fldChar w:fldCharType="separate"/>
            </w:r>
            <w:r>
              <w:rPr>
                <w:rFonts w:hint="eastAsia" w:ascii="仿宋_GB2312" w:hAnsi="仿宋" w:eastAsia="仿宋_GB2312"/>
                <w:bCs/>
                <w:color w:val="000000" w:themeColor="text1"/>
                <w:sz w:val="24"/>
                <w14:textFill>
                  <w14:solidFill>
                    <w14:schemeClr w14:val="tx1"/>
                  </w14:solidFill>
                </w14:textFill>
              </w:rPr>
              <w:t>http://www.zjzfcg.gov.cn</w:t>
            </w:r>
            <w:r>
              <w:rPr>
                <w:rFonts w:hint="eastAsia" w:ascii="仿宋_GB2312" w:hAnsi="仿宋" w:eastAsia="仿宋_GB2312"/>
                <w:bCs/>
                <w:color w:val="000000" w:themeColor="text1"/>
                <w:sz w:val="24"/>
                <w14:textFill>
                  <w14:solidFill>
                    <w14:schemeClr w14:val="tx1"/>
                  </w14:solidFill>
                </w14:textFill>
              </w:rPr>
              <w:fldChar w:fldCharType="end"/>
            </w:r>
            <w:r>
              <w:rPr>
                <w:rFonts w:hint="eastAsia" w:ascii="仿宋_GB2312" w:hAnsi="仿宋" w:eastAsia="仿宋_GB2312"/>
                <w:bCs/>
                <w:color w:val="000000" w:themeColor="text1"/>
                <w:sz w:val="24"/>
                <w14:textFill>
                  <w14:solidFill>
                    <w14:schemeClr w14:val="tx1"/>
                  </w14:solidFill>
                </w14:textFill>
              </w:rPr>
              <w:t>)发布中标公告</w:t>
            </w:r>
            <w:r>
              <w:rPr>
                <w:rFonts w:hint="eastAsia" w:ascii="仿宋_GB2312" w:hAnsi="仿宋" w:eastAsia="仿宋_GB2312"/>
                <w:b/>
                <w:color w:val="000000" w:themeColor="text1"/>
                <w:sz w:val="24"/>
                <w14:textFill>
                  <w14:solidFill>
                    <w14:schemeClr w14:val="tx1"/>
                  </w14:solidFill>
                </w14:textFill>
              </w:rPr>
              <w:t>（中标人为中小企业的，其声明函将随中标结果同时公告），</w:t>
            </w:r>
            <w:r>
              <w:rPr>
                <w:rFonts w:hint="eastAsia" w:ascii="仿宋_GB2312" w:hAnsi="仿宋" w:eastAsia="仿宋_GB2312"/>
                <w:bCs/>
                <w:color w:val="000000" w:themeColor="text1"/>
                <w:sz w:val="24"/>
                <w14:textFill>
                  <w14:solidFill>
                    <w14:schemeClr w14:val="tx1"/>
                  </w14:solidFill>
                </w14:textFill>
              </w:rPr>
              <w:t>公告期限为1个工作日。</w:t>
            </w:r>
          </w:p>
        </w:tc>
      </w:tr>
      <w:tr w14:paraId="2A39CD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796" w:type="dxa"/>
            <w:tcBorders>
              <w:top w:val="single" w:color="auto" w:sz="4" w:space="0"/>
              <w:left w:val="single" w:color="auto" w:sz="4" w:space="0"/>
              <w:bottom w:val="single" w:color="auto" w:sz="4" w:space="0"/>
              <w:right w:val="single" w:color="auto" w:sz="4" w:space="0"/>
            </w:tcBorders>
            <w:vAlign w:val="center"/>
          </w:tcPr>
          <w:p w14:paraId="1BED0984">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0</w:t>
            </w:r>
          </w:p>
        </w:tc>
        <w:tc>
          <w:tcPr>
            <w:tcW w:w="1296" w:type="dxa"/>
            <w:tcBorders>
              <w:top w:val="single" w:color="auto" w:sz="4" w:space="0"/>
              <w:left w:val="single" w:color="auto" w:sz="4" w:space="0"/>
              <w:bottom w:val="single" w:color="auto" w:sz="4" w:space="0"/>
              <w:right w:val="single" w:color="auto" w:sz="4" w:space="0"/>
            </w:tcBorders>
            <w:vAlign w:val="center"/>
          </w:tcPr>
          <w:p w14:paraId="1208C544">
            <w:pPr>
              <w:snapToGrid w:val="0"/>
              <w:spacing w:line="460" w:lineRule="exact"/>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中标供应商放弃中标赔偿责任</w:t>
            </w:r>
          </w:p>
        </w:tc>
        <w:tc>
          <w:tcPr>
            <w:tcW w:w="7368" w:type="dxa"/>
            <w:tcBorders>
              <w:top w:val="single" w:color="auto" w:sz="4" w:space="0"/>
              <w:left w:val="single" w:color="auto" w:sz="4" w:space="0"/>
              <w:bottom w:val="single" w:color="auto" w:sz="4" w:space="0"/>
              <w:right w:val="single" w:color="auto" w:sz="4" w:space="0"/>
            </w:tcBorders>
            <w:vAlign w:val="center"/>
          </w:tcPr>
          <w:p w14:paraId="30BE7066">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中标供应商放弃中标资格导致重新采购的，应当承担支付专家评审费等费用在内的赔偿责任（不可抗力除外）。</w:t>
            </w:r>
          </w:p>
        </w:tc>
      </w:tr>
      <w:tr w14:paraId="4244F4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796" w:type="dxa"/>
            <w:tcBorders>
              <w:top w:val="single" w:color="auto" w:sz="4" w:space="0"/>
              <w:left w:val="single" w:color="auto" w:sz="4" w:space="0"/>
              <w:bottom w:val="single" w:color="auto" w:sz="4" w:space="0"/>
              <w:right w:val="single" w:color="auto" w:sz="4" w:space="0"/>
            </w:tcBorders>
            <w:vAlign w:val="center"/>
          </w:tcPr>
          <w:p w14:paraId="56BA77FD">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21</w:t>
            </w:r>
          </w:p>
        </w:tc>
        <w:tc>
          <w:tcPr>
            <w:tcW w:w="1296" w:type="dxa"/>
            <w:tcBorders>
              <w:top w:val="single" w:color="auto" w:sz="4" w:space="0"/>
              <w:left w:val="single" w:color="auto" w:sz="4" w:space="0"/>
              <w:bottom w:val="single" w:color="auto" w:sz="4" w:space="0"/>
              <w:right w:val="single" w:color="auto" w:sz="4" w:space="0"/>
            </w:tcBorders>
            <w:vAlign w:val="center"/>
          </w:tcPr>
          <w:p w14:paraId="336ED8D0">
            <w:pPr>
              <w:snapToGrid w:val="0"/>
              <w:spacing w:line="460" w:lineRule="exact"/>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履约保证金</w:t>
            </w:r>
          </w:p>
        </w:tc>
        <w:tc>
          <w:tcPr>
            <w:tcW w:w="7368" w:type="dxa"/>
            <w:tcBorders>
              <w:top w:val="single" w:color="auto" w:sz="4" w:space="0"/>
              <w:left w:val="single" w:color="auto" w:sz="4" w:space="0"/>
              <w:bottom w:val="single" w:color="auto" w:sz="4" w:space="0"/>
              <w:right w:val="single" w:color="auto" w:sz="4" w:space="0"/>
            </w:tcBorders>
            <w:vAlign w:val="center"/>
          </w:tcPr>
          <w:p w14:paraId="5795631E">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5BB0AA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796" w:type="dxa"/>
            <w:tcBorders>
              <w:top w:val="single" w:color="auto" w:sz="4" w:space="0"/>
              <w:left w:val="single" w:color="auto" w:sz="4" w:space="0"/>
              <w:bottom w:val="single" w:color="auto" w:sz="4" w:space="0"/>
              <w:right w:val="single" w:color="auto" w:sz="4" w:space="0"/>
            </w:tcBorders>
            <w:vAlign w:val="center"/>
          </w:tcPr>
          <w:p w14:paraId="61C5D763">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22</w:t>
            </w:r>
          </w:p>
        </w:tc>
        <w:tc>
          <w:tcPr>
            <w:tcW w:w="1296" w:type="dxa"/>
            <w:tcBorders>
              <w:top w:val="single" w:color="auto" w:sz="4" w:space="0"/>
              <w:left w:val="single" w:color="auto" w:sz="4" w:space="0"/>
              <w:bottom w:val="single" w:color="auto" w:sz="4" w:space="0"/>
              <w:right w:val="single" w:color="auto" w:sz="4" w:space="0"/>
            </w:tcBorders>
            <w:vAlign w:val="center"/>
          </w:tcPr>
          <w:p w14:paraId="2C66DF1F">
            <w:pPr>
              <w:snapToGrid w:val="0"/>
              <w:spacing w:line="460" w:lineRule="exact"/>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付款方式</w:t>
            </w:r>
          </w:p>
        </w:tc>
        <w:tc>
          <w:tcPr>
            <w:tcW w:w="7368" w:type="dxa"/>
            <w:tcBorders>
              <w:top w:val="single" w:color="auto" w:sz="4" w:space="0"/>
              <w:left w:val="single" w:color="auto" w:sz="4" w:space="0"/>
              <w:bottom w:val="single" w:color="auto" w:sz="4" w:space="0"/>
              <w:right w:val="single" w:color="auto" w:sz="4" w:space="0"/>
            </w:tcBorders>
            <w:vAlign w:val="center"/>
          </w:tcPr>
          <w:p w14:paraId="23AF8F88">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国库集中支付（采购人自行支付）详见各标项的商务要求表。</w:t>
            </w:r>
          </w:p>
          <w:p w14:paraId="396B5298">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浙江省财政厅关于进一步加大政府采购支持中小企业力度助力扎实稳住经济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0D22AA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796" w:type="dxa"/>
            <w:tcBorders>
              <w:top w:val="single" w:color="auto" w:sz="4" w:space="0"/>
              <w:left w:val="single" w:color="auto" w:sz="4" w:space="0"/>
              <w:bottom w:val="single" w:color="auto" w:sz="4" w:space="0"/>
              <w:right w:val="single" w:color="auto" w:sz="4" w:space="0"/>
            </w:tcBorders>
            <w:vAlign w:val="center"/>
          </w:tcPr>
          <w:p w14:paraId="16996C30">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23</w:t>
            </w:r>
          </w:p>
        </w:tc>
        <w:tc>
          <w:tcPr>
            <w:tcW w:w="1296" w:type="dxa"/>
            <w:tcBorders>
              <w:top w:val="single" w:color="auto" w:sz="4" w:space="0"/>
              <w:left w:val="single" w:color="auto" w:sz="4" w:space="0"/>
              <w:bottom w:val="single" w:color="auto" w:sz="4" w:space="0"/>
              <w:right w:val="single" w:color="auto" w:sz="4" w:space="0"/>
            </w:tcBorders>
            <w:vAlign w:val="center"/>
          </w:tcPr>
          <w:p w14:paraId="2CAA4CEA">
            <w:pPr>
              <w:snapToGrid w:val="0"/>
              <w:spacing w:line="460" w:lineRule="exact"/>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投标文件有效期</w:t>
            </w:r>
          </w:p>
        </w:tc>
        <w:tc>
          <w:tcPr>
            <w:tcW w:w="7368" w:type="dxa"/>
            <w:tcBorders>
              <w:top w:val="single" w:color="auto" w:sz="4" w:space="0"/>
              <w:left w:val="single" w:color="auto" w:sz="4" w:space="0"/>
              <w:bottom w:val="single" w:color="auto" w:sz="4" w:space="0"/>
              <w:right w:val="single" w:color="auto" w:sz="4" w:space="0"/>
            </w:tcBorders>
            <w:vAlign w:val="center"/>
          </w:tcPr>
          <w:p w14:paraId="2CA8BD71">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90天</w:t>
            </w:r>
          </w:p>
        </w:tc>
      </w:tr>
      <w:tr w14:paraId="492E70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96" w:type="dxa"/>
            <w:tcBorders>
              <w:top w:val="single" w:color="auto" w:sz="4" w:space="0"/>
              <w:left w:val="single" w:color="auto" w:sz="4" w:space="0"/>
              <w:bottom w:val="single" w:color="auto" w:sz="4" w:space="0"/>
              <w:right w:val="single" w:color="auto" w:sz="4" w:space="0"/>
            </w:tcBorders>
            <w:vAlign w:val="center"/>
          </w:tcPr>
          <w:p w14:paraId="6F0BD46A">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4</w:t>
            </w:r>
          </w:p>
        </w:tc>
        <w:tc>
          <w:tcPr>
            <w:tcW w:w="1296" w:type="dxa"/>
            <w:tcBorders>
              <w:top w:val="single" w:color="auto" w:sz="4" w:space="0"/>
              <w:left w:val="single" w:color="auto" w:sz="4" w:space="0"/>
              <w:bottom w:val="single" w:color="auto" w:sz="4" w:space="0"/>
              <w:right w:val="single" w:color="auto" w:sz="4" w:space="0"/>
            </w:tcBorders>
            <w:vAlign w:val="center"/>
          </w:tcPr>
          <w:p w14:paraId="23CCCABC">
            <w:pPr>
              <w:snapToGrid w:val="0"/>
              <w:spacing w:line="460" w:lineRule="exact"/>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合同签订时间</w:t>
            </w:r>
          </w:p>
        </w:tc>
        <w:tc>
          <w:tcPr>
            <w:tcW w:w="7368" w:type="dxa"/>
            <w:tcBorders>
              <w:top w:val="single" w:color="auto" w:sz="4" w:space="0"/>
              <w:left w:val="single" w:color="auto" w:sz="4" w:space="0"/>
              <w:bottom w:val="single" w:color="auto" w:sz="4" w:space="0"/>
              <w:right w:val="single" w:color="auto" w:sz="4" w:space="0"/>
            </w:tcBorders>
            <w:vAlign w:val="center"/>
          </w:tcPr>
          <w:p w14:paraId="0FE2EE7E">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中标通知书发出后30日内。</w:t>
            </w:r>
          </w:p>
        </w:tc>
      </w:tr>
      <w:tr w14:paraId="38A806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796" w:type="dxa"/>
            <w:tcBorders>
              <w:top w:val="single" w:color="auto" w:sz="4" w:space="0"/>
              <w:left w:val="single" w:color="auto" w:sz="4" w:space="0"/>
              <w:bottom w:val="single" w:color="auto" w:sz="4" w:space="0"/>
              <w:right w:val="single" w:color="auto" w:sz="4" w:space="0"/>
            </w:tcBorders>
            <w:vAlign w:val="center"/>
          </w:tcPr>
          <w:p w14:paraId="354E4CF8">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5</w:t>
            </w:r>
          </w:p>
        </w:tc>
        <w:tc>
          <w:tcPr>
            <w:tcW w:w="1296" w:type="dxa"/>
            <w:tcBorders>
              <w:top w:val="single" w:color="auto" w:sz="4" w:space="0"/>
              <w:left w:val="single" w:color="auto" w:sz="4" w:space="0"/>
              <w:bottom w:val="single" w:color="auto" w:sz="4" w:space="0"/>
              <w:right w:val="single" w:color="auto" w:sz="4" w:space="0"/>
            </w:tcBorders>
            <w:vAlign w:val="center"/>
          </w:tcPr>
          <w:p w14:paraId="631FEBF5">
            <w:pPr>
              <w:snapToGrid w:val="0"/>
              <w:spacing w:line="460" w:lineRule="exact"/>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招标方代理费用</w:t>
            </w:r>
          </w:p>
        </w:tc>
        <w:tc>
          <w:tcPr>
            <w:tcW w:w="7368" w:type="dxa"/>
            <w:tcBorders>
              <w:top w:val="single" w:color="auto" w:sz="4" w:space="0"/>
              <w:left w:val="single" w:color="auto" w:sz="4" w:space="0"/>
              <w:bottom w:val="single" w:color="auto" w:sz="4" w:space="0"/>
              <w:right w:val="single" w:color="auto" w:sz="4" w:space="0"/>
            </w:tcBorders>
            <w:vAlign w:val="center"/>
          </w:tcPr>
          <w:p w14:paraId="3595E34E">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0元</w:t>
            </w:r>
          </w:p>
        </w:tc>
      </w:tr>
      <w:tr w14:paraId="782F9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796" w:type="dxa"/>
            <w:tcBorders>
              <w:top w:val="single" w:color="auto" w:sz="4" w:space="0"/>
              <w:left w:val="single" w:color="auto" w:sz="4" w:space="0"/>
              <w:bottom w:val="single" w:color="auto" w:sz="4" w:space="0"/>
              <w:right w:val="single" w:color="auto" w:sz="4" w:space="0"/>
            </w:tcBorders>
            <w:vAlign w:val="center"/>
          </w:tcPr>
          <w:p w14:paraId="15B077E2">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6</w:t>
            </w:r>
          </w:p>
        </w:tc>
        <w:tc>
          <w:tcPr>
            <w:tcW w:w="1296" w:type="dxa"/>
            <w:tcBorders>
              <w:top w:val="single" w:color="auto" w:sz="4" w:space="0"/>
              <w:left w:val="single" w:color="auto" w:sz="4" w:space="0"/>
              <w:bottom w:val="single" w:color="auto" w:sz="4" w:space="0"/>
              <w:right w:val="single" w:color="auto" w:sz="4" w:space="0"/>
            </w:tcBorders>
            <w:vAlign w:val="center"/>
          </w:tcPr>
          <w:p w14:paraId="2E8F5E8E">
            <w:pPr>
              <w:snapToGrid w:val="0"/>
              <w:spacing w:line="460" w:lineRule="exact"/>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解释权</w:t>
            </w:r>
          </w:p>
        </w:tc>
        <w:tc>
          <w:tcPr>
            <w:tcW w:w="7368" w:type="dxa"/>
            <w:tcBorders>
              <w:top w:val="single" w:color="auto" w:sz="4" w:space="0"/>
              <w:left w:val="single" w:color="auto" w:sz="4" w:space="0"/>
              <w:bottom w:val="single" w:color="auto" w:sz="4" w:space="0"/>
              <w:right w:val="single" w:color="auto" w:sz="4" w:space="0"/>
            </w:tcBorders>
            <w:vAlign w:val="center"/>
          </w:tcPr>
          <w:p w14:paraId="6CBEE787">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本招标文件的解释权属于浙江省政府采购中心。</w:t>
            </w:r>
          </w:p>
        </w:tc>
      </w:tr>
    </w:tbl>
    <w:p w14:paraId="0782B82C">
      <w:pPr>
        <w:pStyle w:val="31"/>
        <w:snapToGrid w:val="0"/>
        <w:spacing w:before="240" w:beforeLines="100" w:after="240" w:afterLines="100" w:line="240" w:lineRule="auto"/>
        <w:ind w:firstLine="60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_GB2312"/>
          <w:color w:val="000000" w:themeColor="text1"/>
          <w:kern w:val="0"/>
          <w:sz w:val="30"/>
          <w:szCs w:val="30"/>
          <w14:textFill>
            <w14:solidFill>
              <w14:schemeClr w14:val="tx1"/>
            </w14:solidFill>
          </w14:textFill>
        </w:rPr>
        <w:br w:type="page"/>
      </w:r>
      <w:r>
        <w:rPr>
          <w:rFonts w:hint="eastAsia" w:ascii="仿宋" w:hAnsi="仿宋" w:eastAsia="仿宋"/>
          <w:b/>
          <w:bCs/>
          <w:color w:val="000000" w:themeColor="text1"/>
          <w:sz w:val="28"/>
          <w:szCs w:val="28"/>
          <w14:textFill>
            <w14:solidFill>
              <w14:schemeClr w14:val="tx1"/>
            </w14:solidFill>
          </w14:textFill>
        </w:rPr>
        <w:t>一、总  则</w:t>
      </w:r>
    </w:p>
    <w:p w14:paraId="1F1B1CDF">
      <w:pPr>
        <w:snapToGrid w:val="0"/>
        <w:spacing w:line="460" w:lineRule="exact"/>
        <w:ind w:firstLine="560" w:firstLineChars="200"/>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（一）适用范围</w:t>
      </w:r>
    </w:p>
    <w:p w14:paraId="5D68F81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仅适用于本次招标文件中采购项目的招标、投标、评标、定标、验收、合同履约、付款等行为（法律、法规另有规定的，从其规定）。</w:t>
      </w:r>
    </w:p>
    <w:p w14:paraId="21F8EE00">
      <w:pPr>
        <w:snapToGrid w:val="0"/>
        <w:spacing w:before="120" w:beforeLines="50" w:line="460" w:lineRule="exact"/>
        <w:ind w:firstLine="560" w:firstLineChars="200"/>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（二）定义 </w:t>
      </w:r>
    </w:p>
    <w:p w14:paraId="573E411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1.招标方：指组织本项目采购的浙江省政府采购中心。</w:t>
      </w:r>
    </w:p>
    <w:p w14:paraId="058815A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2.投标人：指响应招标、参加投标竞争的法人、其他组织或者自然人。</w:t>
      </w:r>
    </w:p>
    <w:p w14:paraId="5651BBF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3.采购人：指委托招标方采购本次货物、服务项目的国家机关、事业单位和团体组织。</w:t>
      </w:r>
    </w:p>
    <w:p w14:paraId="11E6812B">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4.货物：指招标文件规定投标人须向采购人提供的一切材料、设备、机械、仪器仪表、工具及其它有关技术资料和文字材料。</w:t>
      </w:r>
    </w:p>
    <w:p w14:paraId="28329E08">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5.服务：指招标文件规定投标人须承担的劳务以及其他类似的义务。</w:t>
      </w:r>
    </w:p>
    <w:p w14:paraId="205640F2">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6.项目：指投标人按招标文件规定向采购人提供的需求总称。</w:t>
      </w:r>
    </w:p>
    <w:p w14:paraId="4F90449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7.电子交易平台:指政府采购项目电子交易平台，即政采云平台。</w:t>
      </w:r>
    </w:p>
    <w:p w14:paraId="2EE83BBB">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27808453">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符合中小企业划分标准的个体工商户，在政府采购活动中视同中小企业。</w:t>
      </w:r>
    </w:p>
    <w:p w14:paraId="0F97AEB2">
      <w:pPr>
        <w:snapToGrid w:val="0"/>
        <w:spacing w:before="120" w:beforeLines="50" w:line="460" w:lineRule="exact"/>
        <w:ind w:firstLine="560" w:firstLineChars="200"/>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（三）投标人及委托有关说明</w:t>
      </w:r>
    </w:p>
    <w:p w14:paraId="6C5764A4">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1.如授权代表不是法定代表人，须有法定代表人出具的授权委托书</w:t>
      </w:r>
      <w:r>
        <w:rPr>
          <w:rFonts w:hint="eastAsia" w:ascii="仿宋" w:hAnsi="仿宋" w:eastAsia="仿宋"/>
          <w:b/>
          <w:bCs/>
          <w:color w:val="000000" w:themeColor="text1"/>
          <w:sz w:val="28"/>
          <w:szCs w:val="28"/>
          <w14:textFill>
            <w14:solidFill>
              <w14:schemeClr w14:val="tx1"/>
            </w14:solidFill>
          </w14:textFill>
        </w:rPr>
        <w:t>（格式见附件）。</w:t>
      </w:r>
      <w:r>
        <w:rPr>
          <w:rFonts w:hint="eastAsia" w:ascii="仿宋" w:hAnsi="仿宋" w:eastAsia="仿宋"/>
          <w:bCs/>
          <w:color w:val="000000" w:themeColor="text1"/>
          <w:sz w:val="28"/>
          <w:szCs w:val="28"/>
          <w14:textFill>
            <w14:solidFill>
              <w14:schemeClr w14:val="tx1"/>
            </w14:solidFill>
          </w14:textFill>
        </w:rPr>
        <w:t>投标人委派不在本单位缴纳社保的人员作为授权代表的，应当在投标文件中，说明具体原因、授权代表缴纳社保的单位，并附列该授权代表缴纳社保清单。</w:t>
      </w:r>
    </w:p>
    <w:p w14:paraId="70C5B022">
      <w:pPr>
        <w:pStyle w:val="31"/>
        <w:snapToGrid w:val="0"/>
        <w:spacing w:beforeLines="0" w:after="120"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2.投标人投标所使用的资格、信誉、荣誉、业绩与企业认证必须为本法人所拥有。投标人投标所使用的采购项目实施人员必须为投标人员工（或投标人控股公司正式员工）。</w:t>
      </w:r>
    </w:p>
    <w:p w14:paraId="0E4F308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3.单位负责人为同一人或者存在直接控股、管理关系的不同供应商，不得参加同一合同项下的政府采购活动。</w:t>
      </w:r>
    </w:p>
    <w:p w14:paraId="4B605357">
      <w:pPr>
        <w:pStyle w:val="31"/>
        <w:snapToGrid w:val="0"/>
        <w:spacing w:beforeLines="0" w:after="120"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4.投标人应仔细阅读招标文件的所有内容，按照招标文件的要求提交投标文件，并对所提供的全部资料的真实性承担法律责任。</w:t>
      </w:r>
    </w:p>
    <w:p w14:paraId="071ABA2E">
      <w:pPr>
        <w:snapToGrid w:val="0"/>
        <w:spacing w:before="120" w:beforeLines="50" w:line="460" w:lineRule="exact"/>
        <w:ind w:firstLine="560" w:firstLineChars="200"/>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（四）投标费用</w:t>
      </w:r>
    </w:p>
    <w:p w14:paraId="6A20BFD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不论投标结果如何，投标人均应自行承担所有与投标有关的全部费用（招标文件有其他相反规定除外）。</w:t>
      </w:r>
    </w:p>
    <w:p w14:paraId="78D917A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（五）质疑</w:t>
      </w:r>
    </w:p>
    <w:p w14:paraId="73BAA3B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1.投标人认为采购文件使自己的权益受到损害的，可以自获取采购文件之日或者采购公告期限届满之日（公告期限届满后获取采购文件的，以公告期限届满之日为准）起7个工作日内，对</w:t>
      </w:r>
      <w:r>
        <w:rPr>
          <w:rFonts w:hint="eastAsia" w:ascii="仿宋" w:hAnsi="仿宋" w:eastAsia="仿宋"/>
          <w:bCs/>
          <w:color w:val="000000" w:themeColor="text1"/>
          <w:sz w:val="28"/>
          <w:szCs w:val="28"/>
          <w:lang w:val="en-US" w:eastAsia="zh-CN"/>
          <w14:textFill>
            <w14:solidFill>
              <w14:schemeClr w14:val="tx1"/>
            </w14:solidFill>
          </w14:textFill>
        </w:rPr>
        <w:t>评分标准、</w:t>
      </w:r>
      <w:r>
        <w:rPr>
          <w:rFonts w:hint="eastAsia" w:ascii="仿宋" w:hAnsi="仿宋" w:eastAsia="仿宋"/>
          <w:bCs/>
          <w:color w:val="000000" w:themeColor="text1"/>
          <w:sz w:val="28"/>
          <w:szCs w:val="28"/>
          <w14:textFill>
            <w14:solidFill>
              <w14:schemeClr w14:val="tx1"/>
            </w14:solidFill>
          </w14:textFill>
        </w:rPr>
        <w:t>采购文件需求的以书面形式向采购人提出质疑，对其他内容的以书面形式向采购人和招标方提出质疑。</w:t>
      </w:r>
    </w:p>
    <w:p w14:paraId="308992E8">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14:paraId="4C717B29">
      <w:pPr>
        <w:pStyle w:val="31"/>
        <w:snapToGrid w:val="0"/>
        <w:spacing w:beforeLines="0" w:after="120"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Style w:val="69"/>
          <w:rFonts w:hint="eastAsia" w:ascii="仿宋" w:hAnsi="仿宋" w:eastAsia="仿宋"/>
          <w:bCs/>
          <w:color w:val="000000" w:themeColor="text1"/>
          <w:sz w:val="28"/>
          <w:szCs w:val="28"/>
          <w14:textFill>
            <w14:solidFill>
              <w14:schemeClr w14:val="tx1"/>
            </w14:solidFill>
          </w14:textFill>
        </w:rPr>
        <w:t>http://zfcg.czt.zj.gov.cn/</w:t>
      </w:r>
      <w:r>
        <w:rPr>
          <w:rStyle w:val="69"/>
          <w:rFonts w:hint="eastAsia" w:ascii="仿宋" w:hAnsi="仿宋" w:eastAsia="仿宋"/>
          <w:bCs/>
          <w:color w:val="000000" w:themeColor="text1"/>
          <w:sz w:val="28"/>
          <w:szCs w:val="28"/>
          <w14:textFill>
            <w14:solidFill>
              <w14:schemeClr w14:val="tx1"/>
            </w14:solidFill>
          </w14:textFill>
        </w:rPr>
        <w:fldChar w:fldCharType="end"/>
      </w:r>
      <w:r>
        <w:rPr>
          <w:rFonts w:hint="eastAsia" w:ascii="仿宋" w:hAnsi="仿宋" w:eastAsia="仿宋"/>
          <w:bCs/>
          <w:color w:val="000000" w:themeColor="text1"/>
          <w:sz w:val="28"/>
          <w:szCs w:val="28"/>
          <w14:textFill>
            <w14:solidFill>
              <w14:schemeClr w14:val="tx1"/>
            </w14:solidFill>
          </w14:textFill>
        </w:rPr>
        <w:t>)，位置：“首页-下载专区-质疑投诉模板”。供应商提出质疑应当提交质疑函和必要的证明材料。供应商应当在法定质疑期内一次性提出针对同一采购程序环节的质疑。</w:t>
      </w:r>
    </w:p>
    <w:p w14:paraId="645B79C5">
      <w:pPr>
        <w:snapToGrid w:val="0"/>
        <w:spacing w:line="460" w:lineRule="exact"/>
        <w:ind w:firstLine="560" w:firstLineChars="200"/>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质疑函应当包括下列内容：</w:t>
      </w:r>
    </w:p>
    <w:p w14:paraId="5B4B0F00">
      <w:pPr>
        <w:snapToGrid w:val="0"/>
        <w:spacing w:line="460" w:lineRule="exact"/>
        <w:ind w:firstLine="560" w:firstLineChars="200"/>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a.供应商的姓名或者名称、地址、邮编、联系人及联系电话；</w:t>
      </w:r>
    </w:p>
    <w:p w14:paraId="50F15DD7">
      <w:pPr>
        <w:snapToGrid w:val="0"/>
        <w:spacing w:line="460" w:lineRule="exact"/>
        <w:ind w:firstLine="560" w:firstLineChars="200"/>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b.质疑项目的名称、编号；</w:t>
      </w:r>
    </w:p>
    <w:p w14:paraId="6C8717AF">
      <w:pPr>
        <w:snapToGrid w:val="0"/>
        <w:spacing w:line="460" w:lineRule="exact"/>
        <w:ind w:firstLine="560" w:firstLineChars="200"/>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c.具体、明确的质疑事项和与质疑事项相关的请求；</w:t>
      </w:r>
    </w:p>
    <w:p w14:paraId="79C3A4CB">
      <w:pPr>
        <w:snapToGrid w:val="0"/>
        <w:spacing w:line="460" w:lineRule="exact"/>
        <w:ind w:firstLine="560" w:firstLineChars="200"/>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d.事实依据；</w:t>
      </w:r>
    </w:p>
    <w:p w14:paraId="36EFE9A8">
      <w:pPr>
        <w:snapToGrid w:val="0"/>
        <w:spacing w:line="460" w:lineRule="exact"/>
        <w:ind w:firstLine="560" w:firstLineChars="200"/>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e.必要的法律依据；</w:t>
      </w:r>
    </w:p>
    <w:p w14:paraId="09C24E42">
      <w:pPr>
        <w:snapToGrid w:val="0"/>
        <w:spacing w:line="460" w:lineRule="exact"/>
        <w:ind w:firstLine="560" w:firstLineChars="200"/>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3051E2FE">
      <w:pPr>
        <w:snapToGrid w:val="0"/>
        <w:spacing w:line="460" w:lineRule="exact"/>
        <w:ind w:firstLine="560" w:firstLineChars="200"/>
        <w:jc w:val="left"/>
        <w:outlineLvl w:val="1"/>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4EFF79F">
      <w:pPr>
        <w:snapToGrid w:val="0"/>
        <w:spacing w:line="460" w:lineRule="exact"/>
        <w:ind w:firstLine="560" w:firstLineChars="200"/>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（六）招标文件的澄清与修改 </w:t>
      </w:r>
    </w:p>
    <w:p w14:paraId="6A6C235C">
      <w:pPr>
        <w:pStyle w:val="31"/>
        <w:snapToGrid w:val="0"/>
        <w:spacing w:before="120" w:after="120" w:line="460" w:lineRule="exact"/>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color w:val="000000" w:themeColor="text1"/>
          <w:sz w:val="28"/>
          <w:szCs w:val="28"/>
          <w14:textFill>
            <w14:solidFill>
              <w14:schemeClr w14:val="tx1"/>
            </w14:solidFill>
          </w14:textFill>
        </w:rPr>
        <w:t>逾期提出招标方将不予受理。</w:t>
      </w:r>
    </w:p>
    <w:p w14:paraId="25398195">
      <w:pPr>
        <w:pStyle w:val="31"/>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2.招标方主动进行的澄清、修改：招标方无论出于何种原因，均可主动对招标文件中的相关事项，用补充文件等方式进行澄清和修改。</w:t>
      </w:r>
    </w:p>
    <w:p w14:paraId="5AC4B6BF">
      <w:pPr>
        <w:pStyle w:val="31"/>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14:paraId="5C2D086D">
      <w:pPr>
        <w:pStyle w:val="31"/>
        <w:snapToGrid w:val="0"/>
        <w:spacing w:before="240" w:beforeLines="100" w:after="240" w:afterLines="100" w:line="240" w:lineRule="auto"/>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二、投标文件的编制</w:t>
      </w:r>
    </w:p>
    <w:p w14:paraId="12164AE7">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（一）投标文件编制工具</w:t>
      </w:r>
    </w:p>
    <w:p w14:paraId="60BBF525">
      <w:pPr>
        <w:pStyle w:val="31"/>
        <w:adjustRightInd w:val="0"/>
        <w:snapToGrid w:val="0"/>
        <w:spacing w:before="120" w:after="120" w:line="50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bCs/>
          <w:color w:val="000000" w:themeColor="text1"/>
          <w:sz w:val="28"/>
          <w:szCs w:val="28"/>
          <w14:textFill>
            <w14:solidFill>
              <w14:schemeClr w14:val="tx1"/>
            </w14:solidFill>
          </w14:textFill>
        </w:rPr>
        <w:t>http://zfcg.czt.zj.gov.cn/bidClientTemplate/2019-09-24/12975.html</w:t>
      </w:r>
      <w:r>
        <w:rPr>
          <w:rStyle w:val="69"/>
          <w:rFonts w:hint="eastAsia" w:ascii="仿宋" w:hAnsi="仿宋" w:eastAsia="仿宋"/>
          <w:b/>
          <w:bCs/>
          <w:color w:val="000000" w:themeColor="text1"/>
          <w:sz w:val="28"/>
          <w:szCs w:val="28"/>
          <w14:textFill>
            <w14:solidFill>
              <w14:schemeClr w14:val="tx1"/>
            </w14:solidFill>
          </w14:textFill>
        </w:rPr>
        <w:fldChar w:fldCharType="end"/>
      </w:r>
      <w:r>
        <w:rPr>
          <w:rFonts w:hint="eastAsia" w:ascii="仿宋" w:hAnsi="仿宋" w:eastAsia="仿宋"/>
          <w:b/>
          <w:bCs/>
          <w:color w:val="000000" w:themeColor="text1"/>
          <w:sz w:val="28"/>
          <w:szCs w:val="28"/>
          <w14:textFill>
            <w14:solidFill>
              <w14:schemeClr w14:val="tx1"/>
            </w14:solidFill>
          </w14:textFill>
        </w:rPr>
        <w:t>，请自行下载并安装。</w:t>
      </w:r>
    </w:p>
    <w:p w14:paraId="57360D55">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（二）投标文件的组成</w:t>
      </w:r>
    </w:p>
    <w:p w14:paraId="114D89AE">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本项目所称投标文件系指电子投标文件或备份投标文件。投标文件需按照本招标文件和电子交易平台的要求制作、加密并递交。</w:t>
      </w:r>
    </w:p>
    <w:p w14:paraId="1D9B5C96">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164D8365">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电子投标文件每个标项由资格文件、技术商务文件、投标报价文件三部份组成，具体详见“第六章  投标文件格式附件”。备份投标文件的组成和内容等同电子投标文件。</w:t>
      </w:r>
    </w:p>
    <w:p w14:paraId="7A2A121D">
      <w:pPr>
        <w:pStyle w:val="50"/>
        <w:widowControl w:val="0"/>
        <w:spacing w:after="120" w:line="460" w:lineRule="exact"/>
        <w:ind w:firstLine="562" w:firstLineChars="200"/>
        <w:jc w:val="both"/>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注：法定代表人授权委托书、投标声明书、开标一览表必须按招标文件格式要求正确签署并加盖投标人公章。投标文件中所须加盖公章部分均采用CA签章。</w:t>
      </w:r>
    </w:p>
    <w:p w14:paraId="2D504538">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（三）投标文件的效力</w:t>
      </w:r>
    </w:p>
    <w:p w14:paraId="7D367293">
      <w:pPr>
        <w:adjustRightInd w:val="0"/>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电子投标文件未按时解密，投标人提供了备份投标文件的，以备份投标文件作为依据，否则视为投标文件撤回。电子投标文件已按时解密的，备份投标文件自动失效。</w:t>
      </w:r>
    </w:p>
    <w:p w14:paraId="651170AD">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（四）投标文件的语言及计量</w:t>
      </w:r>
    </w:p>
    <w:p w14:paraId="66DFE59D">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1.投标文件以及投标人与招标方就有关投标事宜的所有来往函电，均应以中文简体字书写。除签名、盖章、专用名称等特殊情形外，投标文件中以中文汉语以外的文字表述部分视同未提供。</w:t>
      </w:r>
    </w:p>
    <w:p w14:paraId="6FA898D8">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2.投标计量单位，招标文件已有明确规定的，使用招标文件规定的计量单位；招标文件没有规定的，应采用中华人民共和国法定计量单位（货币单位：人民币元），否则将作无效标处理。</w:t>
      </w:r>
    </w:p>
    <w:p w14:paraId="6ED9A50E">
      <w:pPr>
        <w:pStyle w:val="17"/>
        <w:numPr>
          <w:ilvl w:val="0"/>
          <w:numId w:val="0"/>
        </w:numPr>
        <w:tabs>
          <w:tab w:val="clear" w:pos="454"/>
        </w:tabs>
        <w:snapToGrid w:val="0"/>
        <w:spacing w:before="120" w:beforeLines="50"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（五）投标文件的有效期</w:t>
      </w:r>
    </w:p>
    <w:p w14:paraId="03C34A58">
      <w:pPr>
        <w:pStyle w:val="17"/>
        <w:numPr>
          <w:ilvl w:val="0"/>
          <w:numId w:val="0"/>
        </w:numPr>
        <w:tabs>
          <w:tab w:val="clear" w:pos="454"/>
        </w:tabs>
        <w:snapToGrid w:val="0"/>
        <w:spacing w:before="120" w:beforeLines="50"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1.自投标截止日起90天内投标文件应保持有效。有效期不足的投标文件将作无效标处理。</w:t>
      </w:r>
    </w:p>
    <w:p w14:paraId="4B54B00C">
      <w:pPr>
        <w:pStyle w:val="17"/>
        <w:numPr>
          <w:ilvl w:val="0"/>
          <w:numId w:val="0"/>
        </w:numPr>
        <w:tabs>
          <w:tab w:val="clear" w:pos="454"/>
        </w:tabs>
        <w:snapToGrid w:val="0"/>
        <w:spacing w:before="120" w:beforeLines="50"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2.中标供应商的投标文件自开标之日起至合同履行完毕止均应保持有效。</w:t>
      </w:r>
    </w:p>
    <w:p w14:paraId="7A590351">
      <w:pPr>
        <w:snapToGrid w:val="0"/>
        <w:spacing w:before="120" w:beforeLines="5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（六）投标文件的签署和包装</w:t>
      </w:r>
    </w:p>
    <w:p w14:paraId="5E3BB24F">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1.电子投标文件部分： </w:t>
      </w:r>
    </w:p>
    <w:p w14:paraId="3306503E">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7026FE40">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（2）投标文件须由投标人在规定位置盖章并由法定代表人或法定代表人的授权委托人签署，投标人应写全称。</w:t>
      </w:r>
    </w:p>
    <w:p w14:paraId="0662B30E">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（3）投标文件不得涂改，若有修改错漏处，须加盖投标人公章或者法定代表人或授权委托人签名或盖章。投标文件因字迹潦草或表达不清所引起的后果由投标人负责。</w:t>
      </w:r>
    </w:p>
    <w:p w14:paraId="502E784B">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2.投标人选择递交备份投标文件的，备份投标文件另须满足以下条件：</w:t>
      </w:r>
    </w:p>
    <w:p w14:paraId="26E9C600">
      <w:pPr>
        <w:pStyle w:val="31"/>
        <w:adjustRightInd w:val="0"/>
        <w:snapToGrid w:val="0"/>
        <w:spacing w:before="120" w:after="120" w:line="50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（1）储存形式：U盘、DVD </w:t>
      </w:r>
    </w:p>
    <w:p w14:paraId="39DDB88F">
      <w:pPr>
        <w:pStyle w:val="31"/>
        <w:adjustRightInd w:val="0"/>
        <w:snapToGrid w:val="0"/>
        <w:spacing w:before="120" w:after="120" w:line="50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密封要求：外包装封面上应注明投标人名称、投标人地址、投标人联系方式（授权代表手机）、投标文件名称（备份投标文件）、投标项目名称、项目编号、标项及“开标时启封”字样，并加盖投标人公章。</w:t>
      </w:r>
    </w:p>
    <w:p w14:paraId="0C6EE285">
      <w:pPr>
        <w:snapToGrid w:val="0"/>
        <w:spacing w:before="120" w:beforeLines="5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（七）投标报价</w:t>
      </w:r>
    </w:p>
    <w:p w14:paraId="66378B32">
      <w:pPr>
        <w:tabs>
          <w:tab w:val="left" w:pos="525"/>
        </w:tabs>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70EC7E81">
      <w:pPr>
        <w:pStyle w:val="31"/>
        <w:snapToGrid w:val="0"/>
        <w:spacing w:before="120" w:after="12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报价应包含项目所需全部产品、服务，不得缺漏，是履行合同的最终价格（含货款、标准附件、备品备件、专用工具、包装、运输、装卸、保险、税金、货到就位以及安装、调试、培训、保修等一切税金和费用）。</w:t>
      </w:r>
    </w:p>
    <w:p w14:paraId="010A3E51">
      <w:pPr>
        <w:pStyle w:val="31"/>
        <w:snapToGrid w:val="0"/>
        <w:spacing w:before="120" w:after="12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3.投标报价金额到元为止，如投标报价总价出现角、分，将被抹除。</w:t>
      </w:r>
    </w:p>
    <w:p w14:paraId="5593DF8B">
      <w:pPr>
        <w:pStyle w:val="31"/>
        <w:snapToGrid w:val="0"/>
        <w:spacing w:before="120" w:after="12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4.资格文件、技术商务文件中不得出现投标报价信息，否则按无效标处理。</w:t>
      </w:r>
    </w:p>
    <w:p w14:paraId="0F7AA33C">
      <w:pPr>
        <w:pStyle w:val="31"/>
        <w:snapToGrid w:val="0"/>
        <w:spacing w:before="120" w:after="12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115E393E">
      <w:pPr>
        <w:snapToGrid w:val="0"/>
        <w:spacing w:line="460" w:lineRule="exact"/>
        <w:ind w:firstLine="560" w:firstLineChars="200"/>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（八）串通投标认定</w:t>
      </w:r>
    </w:p>
    <w:p w14:paraId="4E04DB38">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有下列情形之一的，视为投标人串通投标，其投标无效：</w:t>
      </w:r>
    </w:p>
    <w:p w14:paraId="1C024CC8">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1.不同投标人的投标文件由同一单位或者个人编制或同一I</w:t>
      </w:r>
      <w:r>
        <w:rPr>
          <w:rFonts w:ascii="仿宋" w:hAnsi="仿宋" w:eastAsia="仿宋"/>
          <w:bCs/>
          <w:color w:val="000000" w:themeColor="text1"/>
          <w:sz w:val="28"/>
          <w:szCs w:val="28"/>
          <w14:textFill>
            <w14:solidFill>
              <w14:schemeClr w14:val="tx1"/>
            </w14:solidFill>
          </w14:textFill>
        </w:rPr>
        <w:t>P</w:t>
      </w:r>
      <w:r>
        <w:rPr>
          <w:rFonts w:hint="eastAsia" w:ascii="仿宋" w:hAnsi="仿宋" w:eastAsia="仿宋"/>
          <w:bCs/>
          <w:color w:val="000000" w:themeColor="text1"/>
          <w:sz w:val="28"/>
          <w:szCs w:val="28"/>
          <w14:textFill>
            <w14:solidFill>
              <w14:schemeClr w14:val="tx1"/>
            </w14:solidFill>
          </w14:textFill>
        </w:rPr>
        <w:t>地址上传；</w:t>
      </w:r>
    </w:p>
    <w:p w14:paraId="5544181A">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2.不同投标人委托同一单位或者个人办理投标事宜；</w:t>
      </w:r>
    </w:p>
    <w:p w14:paraId="5EDB5D9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3.不同投标人的投标文件载明的项目管理成员或者联系人员为同一人；</w:t>
      </w:r>
    </w:p>
    <w:p w14:paraId="1CB6D03E">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4.不同投标人的投标文件异常一致或者投标报价呈规律性差异；</w:t>
      </w:r>
    </w:p>
    <w:p w14:paraId="3E59D51E">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5.不同投标人的投标文件相互混装；</w:t>
      </w:r>
    </w:p>
    <w:p w14:paraId="0B5534AB">
      <w:pPr>
        <w:snapToGrid w:val="0"/>
        <w:spacing w:line="460" w:lineRule="exact"/>
        <w:ind w:firstLine="560" w:firstLineChars="200"/>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f.提出质疑的日期。</w:t>
      </w:r>
    </w:p>
    <w:p w14:paraId="0E7ED4F1">
      <w:pPr>
        <w:snapToGrid w:val="0"/>
        <w:spacing w:line="460" w:lineRule="exact"/>
        <w:ind w:firstLine="560" w:firstLineChars="200"/>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（九）投标无效的情形</w:t>
      </w:r>
    </w:p>
    <w:p w14:paraId="1999775B">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在评审时，如发现下列情形之一的，投标文件将被视为无效：</w:t>
      </w:r>
    </w:p>
    <w:p w14:paraId="59B907E8">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1.投标人未能提供合格的资格文件、投标有效期不足的；</w:t>
      </w:r>
    </w:p>
    <w:p w14:paraId="40AE77CE">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2.投标人被列入失信被执行人、重大税收违法案件当事人名单、政府采购严重违法失信行为记录名单的；</w:t>
      </w:r>
    </w:p>
    <w:p w14:paraId="6A6FC76E">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3.仅提供备份投标文件的；</w:t>
      </w:r>
    </w:p>
    <w:p w14:paraId="2A5CC057">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4.电子投标文件解密失败，且未在规定时间内提交备份投标文件的；</w:t>
      </w:r>
    </w:p>
    <w:p w14:paraId="27924531">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5.电子投标文件解密失败，虽然在规定时间内提交了备份投标文件，但是备份投标文件无法导入或者无法读取或者不符合本招标文件和电子交易平台要求的；</w:t>
      </w:r>
    </w:p>
    <w:p w14:paraId="4DF74952">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6.投标文件未按招标文件要求签署、盖章的；</w:t>
      </w:r>
    </w:p>
    <w:p w14:paraId="5CE8D8E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7.与招标文件有重大偏离、未满足带“▲”号实质性指标的投标文件；</w:t>
      </w:r>
    </w:p>
    <w:p w14:paraId="645929C2">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8.招标需求中要求提供的产品属于节能清单中政府强制采购节能产品品目的，投标人未提供该清单内产品的；</w:t>
      </w:r>
    </w:p>
    <w:p w14:paraId="569F21F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未提供样品或提供样品不满足采购需求实质性条件的；</w:t>
      </w:r>
    </w:p>
    <w:p w14:paraId="49ED68C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10</w:t>
      </w:r>
      <w:r>
        <w:rPr>
          <w:rFonts w:hint="eastAsia" w:ascii="仿宋" w:hAnsi="仿宋" w:eastAsia="仿宋"/>
          <w:bCs/>
          <w:color w:val="000000" w:themeColor="text1"/>
          <w:sz w:val="28"/>
          <w:szCs w:val="28"/>
          <w14:textFill>
            <w14:solidFill>
              <w14:schemeClr w14:val="tx1"/>
            </w14:solidFill>
          </w14:textFill>
        </w:rPr>
        <w:t>.投标报价超出招标文件中规定的预算金额或者最高限价的；</w:t>
      </w:r>
    </w:p>
    <w:p w14:paraId="0C54CC02">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.标项以赠送方式投标的、对一个标项提供两个投标方案或两个报价的；</w:t>
      </w:r>
    </w:p>
    <w:p w14:paraId="7C58BFC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14:textFill>
            <w14:solidFill>
              <w14:schemeClr w14:val="tx1"/>
            </w14:solidFill>
          </w14:textFill>
        </w:rPr>
        <w:t>.评标委员会认为投标人的报价明显低于其他通过符合性审查投标人的报价，有可能影响产品质量或者不能诚信履约，且不能证明其报价合理性的；</w:t>
      </w:r>
    </w:p>
    <w:p w14:paraId="1E137F5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.投标人不接受报价文件中修正后的报价的；</w:t>
      </w:r>
    </w:p>
    <w:p w14:paraId="4AC0F5B4">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.未按本章“二、投标文件的编制”第七点投标报价要求报价的；</w:t>
      </w:r>
    </w:p>
    <w:p w14:paraId="2BE0547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14:textFill>
            <w14:solidFill>
              <w14:schemeClr w14:val="tx1"/>
            </w14:solidFill>
          </w14:textFill>
        </w:rPr>
        <w:t>.投标文件含有采购人不能接受的附加条件的；</w:t>
      </w:r>
    </w:p>
    <w:p w14:paraId="54F40D4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6</w:t>
      </w:r>
      <w:r>
        <w:rPr>
          <w:rFonts w:hint="eastAsia" w:ascii="仿宋" w:hAnsi="仿宋" w:eastAsia="仿宋"/>
          <w:bCs/>
          <w:color w:val="000000" w:themeColor="text1"/>
          <w:sz w:val="28"/>
          <w:szCs w:val="28"/>
          <w14:textFill>
            <w14:solidFill>
              <w14:schemeClr w14:val="tx1"/>
            </w14:solidFill>
          </w14:textFill>
        </w:rPr>
        <w:t>.投标人被视为串通投标的；</w:t>
      </w:r>
    </w:p>
    <w:p w14:paraId="2FB15C5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7</w:t>
      </w:r>
      <w:r>
        <w:rPr>
          <w:rFonts w:hint="eastAsia" w:ascii="仿宋" w:hAnsi="仿宋" w:eastAsia="仿宋"/>
          <w:bCs/>
          <w:color w:val="000000" w:themeColor="text1"/>
          <w:sz w:val="28"/>
          <w:szCs w:val="28"/>
          <w14:textFill>
            <w14:solidFill>
              <w14:schemeClr w14:val="tx1"/>
            </w14:solidFill>
          </w14:textFill>
        </w:rPr>
        <w:t>.不符合法律、法规和本招标文件规定的其他实质性要求的。</w:t>
      </w:r>
    </w:p>
    <w:p w14:paraId="0B798D01">
      <w:pPr>
        <w:pStyle w:val="31"/>
        <w:snapToGrid w:val="0"/>
        <w:spacing w:beforeLines="0" w:after="120" w:line="460" w:lineRule="exact"/>
        <w:ind w:left="479" w:leftChars="228"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（十）错误修正</w:t>
      </w:r>
    </w:p>
    <w:p w14:paraId="1BBB1BD6">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电子交易平台客户端里开标一览表录入的投标报价信息与扫描上传的报价文件不一致的，以扫描上传的报价文件为准。</w:t>
      </w:r>
    </w:p>
    <w:p w14:paraId="4FE603F8">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投标文件报价出现前后不一致的，除招标文件另有规定外，按照下列规定修正：</w:t>
      </w:r>
    </w:p>
    <w:p w14:paraId="1ECBCE25">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1.投标文件中开标一览表内容与投标文件中相应内容不一致的，以开标一览表为准；</w:t>
      </w:r>
    </w:p>
    <w:p w14:paraId="47212EE8">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2.大写金额和小写金额不一致的，以大写金额为准；</w:t>
      </w:r>
    </w:p>
    <w:p w14:paraId="6950C88A">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3.单价金额小数点或者百分比有明显错位的，以开标一览表的总价为准，并修改单价；</w:t>
      </w:r>
    </w:p>
    <w:p w14:paraId="71AE8152">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4.总价金额与按单价汇总金额不一致的，以单价金额计算结果为准。</w:t>
      </w:r>
    </w:p>
    <w:p w14:paraId="34DFE7E0">
      <w:pPr>
        <w:snapToGrid w:val="0"/>
        <w:spacing w:line="46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同时出现两种以上不一致的，按照前款规定的顺序修正。修正后的报价按照经投标人加盖公章后产生约束力，投标人不确认的，其投标无效。</w:t>
      </w:r>
    </w:p>
    <w:p w14:paraId="373313F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（十一）采购过程中的异常情况及处理措施</w:t>
      </w:r>
    </w:p>
    <w:p w14:paraId="63087C62">
      <w:pPr>
        <w:pStyle w:val="31"/>
        <w:adjustRightInd w:val="0"/>
        <w:snapToGrid w:val="0"/>
        <w:spacing w:before="120" w:after="120" w:line="50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采购过程中出现以下情形，导致电子交易平台无法正常运行，或者无法保证电子交易的公平、公正和安全时，招标方可中止电子交易活动：</w:t>
      </w:r>
    </w:p>
    <w:p w14:paraId="79D0B612">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1.电子交易平台发生故障而无法登录访问的；</w:t>
      </w:r>
    </w:p>
    <w:p w14:paraId="3CFFA7C3">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2.电子交易平台应用或数据库出现错误，不能进行正常操作的；</w:t>
      </w:r>
    </w:p>
    <w:p w14:paraId="009A0C81">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3.电子交易平台发现严重安全漏洞，有潜在泄密危险的；</w:t>
      </w:r>
    </w:p>
    <w:p w14:paraId="6BD4059A">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4.病毒发作导致不能进行正常操作的；</w:t>
      </w:r>
    </w:p>
    <w:p w14:paraId="3A700BDF">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5.其他无法保证电子交易的公平、公正和安全的情况。</w:t>
      </w:r>
    </w:p>
    <w:p w14:paraId="0F123981">
      <w:pPr>
        <w:spacing w:line="44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出现前款规定情形，不影响采购公平、公正性的，招标方可以待上述情形消除后继续组织电子交易活动，也可以决定某些环节以纸质形式进行；影响或可能影响采购公平、公正性的，应当重新采购。</w:t>
      </w:r>
    </w:p>
    <w:p w14:paraId="31A075A1">
      <w:pPr>
        <w:pStyle w:val="31"/>
        <w:snapToGrid w:val="0"/>
        <w:spacing w:before="240" w:beforeLines="100" w:after="240" w:afterLines="100" w:line="240" w:lineRule="auto"/>
        <w:ind w:firstLine="602" w:firstLineChars="200"/>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三、开、评标程序及评标委员会的评审程序</w:t>
      </w:r>
    </w:p>
    <w:p w14:paraId="4709F4F0">
      <w:pPr>
        <w:pStyle w:val="31"/>
        <w:snapToGrid w:val="0"/>
        <w:spacing w:before="120" w:after="120"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（一）组织开标</w:t>
      </w:r>
    </w:p>
    <w:p w14:paraId="7B4253DE">
      <w:pPr>
        <w:pStyle w:val="31"/>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招标方将按照招标文件规定的时间、地点和程序组织开标，各投标人授权代表及相关人员</w:t>
      </w:r>
      <w:r>
        <w:rPr>
          <w:rFonts w:hint="eastAsia" w:ascii="仿宋" w:hAnsi="仿宋" w:eastAsia="仿宋"/>
          <w:b/>
          <w:bCs/>
          <w:color w:val="000000" w:themeColor="text1"/>
          <w:sz w:val="28"/>
          <w:szCs w:val="28"/>
          <w14:textFill>
            <w14:solidFill>
              <w14:schemeClr w14:val="tx1"/>
            </w14:solidFill>
          </w14:textFill>
        </w:rPr>
        <w:t>均应当准时在线参加</w:t>
      </w:r>
      <w:r>
        <w:rPr>
          <w:rFonts w:hint="eastAsia" w:ascii="仿宋" w:hAnsi="仿宋" w:eastAsia="仿宋"/>
          <w:bCs/>
          <w:color w:val="000000" w:themeColor="text1"/>
          <w:sz w:val="28"/>
          <w:szCs w:val="28"/>
          <w14:textFill>
            <w14:solidFill>
              <w14:schemeClr w14:val="tx1"/>
            </w14:solidFill>
          </w14:textFill>
        </w:rPr>
        <w:t>，无关人员不得进入开标现场。</w:t>
      </w:r>
      <w:r>
        <w:rPr>
          <w:rFonts w:hint="eastAsia" w:ascii="仿宋" w:hAnsi="仿宋" w:eastAsia="仿宋"/>
          <w:b/>
          <w:bCs/>
          <w:color w:val="000000" w:themeColor="text1"/>
          <w:sz w:val="28"/>
          <w:szCs w:val="28"/>
          <w14:textFill>
            <w14:solidFill>
              <w14:schemeClr w14:val="tx1"/>
            </w14:solidFill>
          </w14:textFill>
        </w:rPr>
        <w:t>投标人如未准时在线参加的</w:t>
      </w:r>
      <w:r>
        <w:rPr>
          <w:rFonts w:hint="eastAsia" w:ascii="仿宋" w:hAnsi="仿宋" w:eastAsia="仿宋"/>
          <w:bCs/>
          <w:color w:val="000000" w:themeColor="text1"/>
          <w:sz w:val="28"/>
          <w:szCs w:val="28"/>
          <w14:textFill>
            <w14:solidFill>
              <w14:schemeClr w14:val="tx1"/>
            </w14:solidFill>
          </w14:textFill>
        </w:rPr>
        <w:t>，事后不得对采购相关人员、开标过程和开标结果提出异议。</w:t>
      </w:r>
    </w:p>
    <w:p w14:paraId="20D3BC25">
      <w:pPr>
        <w:pStyle w:val="31"/>
        <w:snapToGrid w:val="0"/>
        <w:spacing w:before="120" w:after="120"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落实工作场地、设施，检查录音录像采集设备运行情况，验证电子交易平台是否能正常登录，并开启直播（如直播信号出现问题，不影响项目开标程序）。</w:t>
      </w:r>
    </w:p>
    <w:p w14:paraId="296B221D">
      <w:pPr>
        <w:pStyle w:val="31"/>
        <w:snapToGrid w:val="0"/>
        <w:spacing w:before="120" w:after="120"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 开标由招标方主持，主持人介绍开标现场的人员情况，宣读递交投标文件的投标人名单、递交备份投标文件的投标人名单、开标纪律、应当回避的情形等注意事项。</w:t>
      </w:r>
    </w:p>
    <w:p w14:paraId="7F2FA1BF">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3.投标截止时，电子交易平台自动提取所有电子投标文件。招标方点击[开始解密]按钮后，投标人可以在线解密，解密时限为30分钟。</w:t>
      </w:r>
    </w:p>
    <w:p w14:paraId="3465C0DD">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4.投标人应当在解密时限内完成解密，如所有投标人的电子投标文件都已经解密完成的，则电子交易平台自动结束解密。如有任一投标人未解密，电子交易平台会在解密时限截止时自动结束解密。</w:t>
      </w:r>
    </w:p>
    <w:p w14:paraId="3A5EBF4F">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解密时限内未完成解密且按规定提供了备份投标文件的，招标方将在开标直播间拆封其备份投标文件，并导入电子交易平台。</w:t>
      </w:r>
    </w:p>
    <w:p w14:paraId="18545B01">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5.评标委员会在商务和技术评审结束后，主持人通过电子交易平台宣告商务和技术评审无效投标人名称及理由，有效投标人的商务和技术得分情况。</w:t>
      </w:r>
    </w:p>
    <w:p w14:paraId="6DC0E590">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6.招标方在电子交易平台开启投标人的报价文件信息，投标人对报价信息进行确认。投标人对报价信息不予确认的不影响后续评标过程。</w:t>
      </w:r>
    </w:p>
    <w:p w14:paraId="67152D3F">
      <w:pPr>
        <w:pStyle w:val="31"/>
        <w:snapToGrid w:val="0"/>
        <w:spacing w:before="120" w:after="120"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14:paraId="72F431B0">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8.在电子交易平台上公布评审结果。</w:t>
      </w:r>
    </w:p>
    <w:p w14:paraId="7D1615A2">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特别说明：政采云公司如对电子化开标及评审程序有调整的，按调整后的程序操作。</w:t>
      </w:r>
    </w:p>
    <w:p w14:paraId="4488A3B3">
      <w:pPr>
        <w:pStyle w:val="31"/>
        <w:snapToGrid w:val="0"/>
        <w:spacing w:before="120" w:after="120"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（二）组织评标程序</w:t>
      </w:r>
    </w:p>
    <w:p w14:paraId="02B20D01">
      <w:pPr>
        <w:pStyle w:val="31"/>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招标方将按照招标文件规定的时间、地点和程序组织评标，各评审专家及相关人员应参加评审活动并接受核验、签到，无关人员不得进入评审现场。</w:t>
      </w:r>
    </w:p>
    <w:p w14:paraId="5A292A60">
      <w:pPr>
        <w:pStyle w:val="31"/>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1、开启开标场地录音录像采集设备，并确保正常运行。</w:t>
      </w:r>
    </w:p>
    <w:p w14:paraId="078285CD">
      <w:pPr>
        <w:pStyle w:val="31"/>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2、按规定统一收缴、保存评标现场相关人员通讯工具。</w:t>
      </w:r>
    </w:p>
    <w:p w14:paraId="0F430530">
      <w:pPr>
        <w:pStyle w:val="31"/>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3、介绍评审现场的人员情况，宣布评审工作纪律，告知评审人员应当回避情形；组织推选评标委员会组长。</w:t>
      </w:r>
    </w:p>
    <w:p w14:paraId="79CACF3E">
      <w:pPr>
        <w:pStyle w:val="31"/>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4、宣读提交投标文件的供应商名单，组织评标委员会各位成员签订纸质形式的《政府采购评审人员廉洁自律承诺书》。</w:t>
      </w:r>
    </w:p>
    <w:p w14:paraId="49D8BEE5">
      <w:pPr>
        <w:pStyle w:val="31"/>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5、采购人可以在评标前说明项目背景和采购需求，说明内容不得含有歧视性、倾向性意见，不得超出招标文件所述范围。说明应当提交书面材料，并随采购文件一并存档。</w:t>
      </w:r>
    </w:p>
    <w:p w14:paraId="2BEDE72F">
      <w:pPr>
        <w:pStyle w:val="31"/>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345ABA4A">
      <w:pPr>
        <w:pStyle w:val="31"/>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7、采购人代表对投标人资格文件进行审查并</w:t>
      </w:r>
      <w:r>
        <w:rPr>
          <w:rFonts w:hint="eastAsia" w:ascii="仿宋" w:hAnsi="仿宋" w:eastAsia="仿宋"/>
          <w:color w:val="000000" w:themeColor="text1"/>
          <w:sz w:val="28"/>
          <w:szCs w:val="28"/>
          <w14:textFill>
            <w14:solidFill>
              <w14:schemeClr w14:val="tx1"/>
            </w14:solidFill>
          </w14:textFill>
        </w:rPr>
        <w:t>以开标当日为准</w:t>
      </w:r>
      <w:r>
        <w:rPr>
          <w:rFonts w:hint="eastAsia" w:ascii="仿宋" w:hAnsi="仿宋" w:eastAsia="仿宋"/>
          <w:bCs/>
          <w:color w:val="000000" w:themeColor="text1"/>
          <w:sz w:val="28"/>
          <w:szCs w:val="28"/>
          <w14:textFill>
            <w14:solidFill>
              <w14:schemeClr w14:val="tx1"/>
            </w14:solidFill>
          </w14:textFill>
        </w:rPr>
        <w:t>对投标人“信用中国”网站（www.creditchina.gov.cn）、中国政府采购网（www.ccgp.gov.cn）信用记录情况进行核实，资格不符合的，应组织相关投标人代表进行陈述、澄清或申辩。</w:t>
      </w:r>
    </w:p>
    <w:p w14:paraId="334D9E5E">
      <w:pPr>
        <w:pStyle w:val="31"/>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215D7904">
      <w:pPr>
        <w:pStyle w:val="31"/>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9、做好评审现场相关记录，协助评标委员会组长做好评审报告起草、有关内容电脑文字录入等工作，并要求评标委员会各成员签字确认。</w:t>
      </w:r>
    </w:p>
    <w:p w14:paraId="69F561F7">
      <w:pPr>
        <w:pStyle w:val="31"/>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10、评审结束后，招标方应对评标委员会各成员的专业水平、职业道德、遵纪守法等情况进行评价；同时按规定向评审专家发放评审费，并交还评审人员及其他现场相关人员的通讯工具。</w:t>
      </w:r>
    </w:p>
    <w:p w14:paraId="10F8CE6D">
      <w:pPr>
        <w:pStyle w:val="31"/>
        <w:snapToGrid w:val="0"/>
        <w:spacing w:before="120" w:after="120" w:line="46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11、招标方将在《中标公告》中，公开评标委员会对每个投标人的《评分明细》以及《得分汇总表》情况。</w:t>
      </w:r>
      <w:r>
        <w:rPr>
          <w:rFonts w:ascii="Calibri" w:hAnsi="Calibri" w:eastAsia="仿宋" w:cs="Calibri"/>
          <w:b/>
          <w:bCs/>
          <w:color w:val="000000" w:themeColor="text1"/>
          <w:sz w:val="28"/>
          <w:szCs w:val="28"/>
          <w14:textFill>
            <w14:solidFill>
              <w14:schemeClr w14:val="tx1"/>
            </w14:solidFill>
          </w14:textFill>
        </w:rPr>
        <w:t> </w:t>
      </w:r>
      <w:r>
        <w:rPr>
          <w:rFonts w:hint="eastAsia" w:ascii="仿宋" w:hAnsi="仿宋" w:eastAsia="仿宋"/>
          <w:b/>
          <w:bCs/>
          <w:color w:val="000000" w:themeColor="text1"/>
          <w:sz w:val="28"/>
          <w:szCs w:val="28"/>
          <w14:textFill>
            <w14:solidFill>
              <w14:schemeClr w14:val="tx1"/>
            </w14:solidFill>
          </w14:textFill>
        </w:rPr>
        <w:tab/>
      </w:r>
    </w:p>
    <w:p w14:paraId="1A724882">
      <w:pPr>
        <w:pStyle w:val="31"/>
        <w:snapToGrid w:val="0"/>
        <w:spacing w:before="120" w:after="120"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（三）评审程序</w:t>
      </w:r>
    </w:p>
    <w:p w14:paraId="4BD18F03">
      <w:pPr>
        <w:pStyle w:val="31"/>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1、在评审专家中推选评标委员会组长。</w:t>
      </w:r>
    </w:p>
    <w:p w14:paraId="27A515E0">
      <w:pPr>
        <w:pStyle w:val="31"/>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10E3284F">
      <w:pPr>
        <w:pStyle w:val="31"/>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3、评审人员对各投标人投标文件的有效性、符合性、完整性和响应程度进行审查，确定是否对招标文件作出实质性响应。</w:t>
      </w:r>
    </w:p>
    <w:p w14:paraId="11475FB5">
      <w:pPr>
        <w:pStyle w:val="31"/>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4、评审人员按招标文件规定的评审方法和评审标准，依法独立对投标人投标文件进行评估、比较，并给予评价或打分，不受任何单位和个人的干预。</w:t>
      </w:r>
    </w:p>
    <w:p w14:paraId="51A519B8">
      <w:pPr>
        <w:pStyle w:val="31"/>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5F5BF4C4">
      <w:pPr>
        <w:pStyle w:val="31"/>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7C33AAAF">
      <w:pPr>
        <w:pStyle w:val="31"/>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7、评标委员会根据评审汇总情况和招标文件规定确定中标候选供应商排序名单。 </w:t>
      </w:r>
    </w:p>
    <w:p w14:paraId="3BE80D57">
      <w:pPr>
        <w:pStyle w:val="31"/>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8、起草评审报告，所有评审人员须在评审报告上签字确认。</w:t>
      </w:r>
    </w:p>
    <w:p w14:paraId="395C09D4">
      <w:pPr>
        <w:pStyle w:val="31"/>
        <w:snapToGrid w:val="0"/>
        <w:spacing w:before="240" w:beforeLines="100" w:after="240" w:afterLines="100" w:line="240" w:lineRule="auto"/>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四、评审原则</w:t>
      </w:r>
    </w:p>
    <w:p w14:paraId="4B6E274C">
      <w:pPr>
        <w:pStyle w:val="31"/>
        <w:snapToGrid w:val="0"/>
        <w:spacing w:before="120" w:after="120"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1.评标委员会必须公平、公正、客观，不带任何倾向性和启发性；不得向外界透露任何与评标有关的内容；任何单位和个人不得干扰、影响评标的正常进行；评标委员会及有关工作人员不得私下与投标人接触。</w:t>
      </w:r>
    </w:p>
    <w:p w14:paraId="63EEBB1C">
      <w:pPr>
        <w:pStyle w:val="31"/>
        <w:snapToGrid w:val="0"/>
        <w:spacing w:before="120" w:after="120"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505D64C1">
      <w:pPr>
        <w:pStyle w:val="31"/>
        <w:snapToGrid w:val="0"/>
        <w:spacing w:before="120" w:after="120"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1A1435A4">
      <w:pPr>
        <w:pStyle w:val="31"/>
        <w:snapToGrid w:val="0"/>
        <w:spacing w:before="120" w:after="120"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609ACDF">
      <w:pPr>
        <w:pStyle w:val="31"/>
        <w:snapToGrid w:val="0"/>
        <w:spacing w:before="120" w:after="120"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14:paraId="069D7086">
      <w:pPr>
        <w:pStyle w:val="31"/>
        <w:snapToGrid w:val="0"/>
        <w:spacing w:before="120" w:after="120"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FD59210">
      <w:pPr>
        <w:pStyle w:val="31"/>
        <w:snapToGrid w:val="0"/>
        <w:spacing w:before="240" w:beforeLines="100" w:after="240" w:afterLines="100" w:line="240" w:lineRule="auto"/>
        <w:ind w:firstLine="602" w:firstLineChars="200"/>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五、确定中标供应商的原则</w:t>
      </w:r>
    </w:p>
    <w:p w14:paraId="1BFC504E">
      <w:pPr>
        <w:pStyle w:val="31"/>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 1.项目由评标委员会根据第三章《评标办法与评分标准》规定提出中标候选人排序。</w:t>
      </w:r>
    </w:p>
    <w:p w14:paraId="26928019">
      <w:pPr>
        <w:pStyle w:val="31"/>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 2.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14:paraId="4692B2C4">
      <w:pPr>
        <w:pStyle w:val="31"/>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 3.采购结果经采购人确认后，招标方将于2个工作日内在浙江省政府采购网上发布中标公告，通过电子交易平台统一签发《中标通知书》。</w:t>
      </w:r>
    </w:p>
    <w:p w14:paraId="02EB46D4">
      <w:pPr>
        <w:pStyle w:val="31"/>
        <w:snapToGrid w:val="0"/>
        <w:spacing w:before="240" w:beforeLines="100" w:after="240" w:afterLines="100" w:line="240" w:lineRule="auto"/>
        <w:ind w:firstLine="602" w:firstLineChars="200"/>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六、合同授予</w:t>
      </w:r>
    </w:p>
    <w:p w14:paraId="11FCA16B">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（一）签订合同</w:t>
      </w:r>
    </w:p>
    <w:p w14:paraId="4E6DB8DB">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1.采购人与中标人应当在《中标通知书》发出之日起30日内签订政府采购合同。</w:t>
      </w:r>
    </w:p>
    <w:p w14:paraId="61B80E70">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2.中标人拖延、拒签合同的,将被取消中标资格。</w:t>
      </w:r>
    </w:p>
    <w:p w14:paraId="186FB616">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2ADA3EB">
      <w:pPr>
        <w:pStyle w:val="31"/>
        <w:snapToGrid w:val="0"/>
        <w:spacing w:before="120" w:after="120"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（二）履约保证金</w:t>
      </w:r>
    </w:p>
    <w:p w14:paraId="4A05FD7C">
      <w:pPr>
        <w:pStyle w:val="31"/>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740A8680">
      <w:pPr>
        <w:pStyle w:val="31"/>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2.按合同约定办理履约保证金退还手续。</w:t>
      </w:r>
    </w:p>
    <w:p w14:paraId="28F73C94">
      <w:pPr>
        <w:pStyle w:val="31"/>
        <w:snapToGrid w:val="0"/>
        <w:spacing w:before="240" w:beforeLines="100" w:after="240" w:afterLines="100" w:line="240" w:lineRule="auto"/>
        <w:ind w:firstLine="602" w:firstLineChars="200"/>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七、货款的结算</w:t>
      </w:r>
    </w:p>
    <w:p w14:paraId="49E24F07">
      <w:pPr>
        <w:pStyle w:val="31"/>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货款由采购人按采购文件规定的付款方式自行支付。纳入国库集中支付的，按照国库集中支付有关规定付款。</w:t>
      </w:r>
    </w:p>
    <w:p w14:paraId="66896EB0">
      <w:pPr>
        <w:pStyle w:val="31"/>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资金支付进度：采购人对于满足合同约定支付条件的，自收到发票后7个工作日内将资金支付到合同约定的供应商账户。迟延支付中小企业款项的，供应商可要求采购人支付逾期利息。</w:t>
      </w:r>
    </w:p>
    <w:p w14:paraId="5B5C3133">
      <w:pPr>
        <w:pStyle w:val="31"/>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浙江省财政厅关于进一步加大政府采购支持中小企业力度助力扎实稳住经济的通知》等相关规范，对预付款支付要求如下：</w:t>
      </w:r>
    </w:p>
    <w:p w14:paraId="1021B48F">
      <w:pPr>
        <w:pStyle w:val="31"/>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1.对中小企业合同预付款比例原则上不低于合同金额的40％，不高于合同金额的70%；</w:t>
      </w:r>
    </w:p>
    <w:p w14:paraId="77F3FFB7">
      <w:pPr>
        <w:pStyle w:val="31"/>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2.项目分年安排预算的，每年预付款比例不低于项目年度计划支付资金额的40％，不高于年度计划支付资金额的70%；</w:t>
      </w:r>
    </w:p>
    <w:p w14:paraId="38830ABC">
      <w:pPr>
        <w:pStyle w:val="31"/>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3.采购项目实施以人工投入为主的，可适当降低预付款比例，但不得低于20%。</w:t>
      </w:r>
    </w:p>
    <w:p w14:paraId="470C9846">
      <w:pPr>
        <w:pStyle w:val="31"/>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4.对供应商为大型企业的项目或者以人工投入为主且实行按月定期结算支付款项的项目，预付款可低于上述比例或者不约定预付款。</w:t>
      </w:r>
    </w:p>
    <w:p w14:paraId="35CFEE78">
      <w:pPr>
        <w:pStyle w:val="31"/>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备注：在签订合同时，供应商明确表示无需预付款或者主动要求降低预付款比例的，采购单位可不适用前述预付款比例的规定。</w:t>
      </w:r>
    </w:p>
    <w:p w14:paraId="589AD9B1">
      <w:pPr>
        <w:pStyle w:val="31"/>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p>
    <w:p w14:paraId="137A3B83">
      <w:pPr>
        <w:pStyle w:val="31"/>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p>
    <w:p w14:paraId="6BAFCC7A">
      <w:pPr>
        <w:pStyle w:val="31"/>
        <w:spacing w:before="120" w:after="120" w:line="36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kern w:val="0"/>
          <w:sz w:val="36"/>
          <w:szCs w:val="36"/>
          <w14:textFill>
            <w14:solidFill>
              <w14:schemeClr w14:val="tx1"/>
            </w14:solidFill>
          </w14:textFill>
        </w:rPr>
        <w:br w:type="page"/>
      </w:r>
      <w:bookmarkStart w:id="20" w:name="_Toc2834"/>
      <w:bookmarkStart w:id="21" w:name="_Toc496796637"/>
      <w:r>
        <w:rPr>
          <w:rFonts w:hint="eastAsia" w:hAnsi="宋体"/>
          <w:b/>
          <w:color w:val="000000" w:themeColor="text1"/>
          <w:sz w:val="36"/>
          <w:szCs w:val="36"/>
          <w14:textFill>
            <w14:solidFill>
              <w14:schemeClr w14:val="tx1"/>
            </w14:solidFill>
          </w14:textFill>
        </w:rPr>
        <w:t>第三章</w:t>
      </w:r>
      <w:bookmarkStart w:id="22" w:name="评标办法及评分标准"/>
      <w:r>
        <w:rPr>
          <w:rFonts w:hint="eastAsia" w:hAnsi="宋体"/>
          <w:b/>
          <w:color w:val="000000" w:themeColor="text1"/>
          <w:sz w:val="36"/>
          <w:szCs w:val="36"/>
          <w14:textFill>
            <w14:solidFill>
              <w14:schemeClr w14:val="tx1"/>
            </w14:solidFill>
          </w14:textFill>
        </w:rPr>
        <w:t xml:space="preserve"> 评标办法及评分标准</w:t>
      </w:r>
      <w:bookmarkEnd w:id="20"/>
      <w:bookmarkEnd w:id="21"/>
      <w:bookmarkEnd w:id="22"/>
    </w:p>
    <w:p w14:paraId="70506273">
      <w:pPr>
        <w:spacing w:before="120" w:beforeLines="50" w:after="120"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根据《中华人民共和国政府采购法》等有关法律法规，结合本项目的实际需求，制定本办法。</w:t>
      </w:r>
    </w:p>
    <w:p w14:paraId="5EEF9C67">
      <w:pPr>
        <w:spacing w:before="120" w:beforeLines="50" w:after="120" w:afterLines="50" w:line="460" w:lineRule="exact"/>
        <w:ind w:firstLine="590" w:firstLineChars="196"/>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一、总则</w:t>
      </w:r>
    </w:p>
    <w:p w14:paraId="29DCFFA2">
      <w:pPr>
        <w:spacing w:before="120" w:beforeLines="50" w:after="120"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14:paraId="5B5E79AE">
      <w:pPr>
        <w:spacing w:before="120" w:beforeLines="50" w:after="120"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中标候选人数量：1家。</w:t>
      </w:r>
    </w:p>
    <w:p w14:paraId="40865C14">
      <w:pPr>
        <w:spacing w:before="120" w:beforeLines="50" w:after="120" w:afterLines="50" w:line="460" w:lineRule="exact"/>
        <w:ind w:firstLine="590" w:firstLineChars="196"/>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二、分值的计算</w:t>
      </w:r>
    </w:p>
    <w:p w14:paraId="07F6DB7A">
      <w:pPr>
        <w:spacing w:before="120" w:beforeLines="50" w:after="120"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技术、资信、商务及其他分按照评标委员会成员的独立评分结果汇总后的算术平均分计算，计算公式为：</w:t>
      </w:r>
    </w:p>
    <w:p w14:paraId="279A28E4">
      <w:pPr>
        <w:spacing w:before="120" w:beforeLines="50" w:after="120"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技术、资信商务及其他分=评标委员会所有成员评分合计数/评标委员会组成人员数</w:t>
      </w:r>
    </w:p>
    <w:p w14:paraId="30163F64">
      <w:pPr>
        <w:spacing w:before="120" w:beforeLines="50" w:after="120" w:afterLines="50" w:line="460" w:lineRule="exact"/>
        <w:ind w:firstLine="600"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投标人评标</w:t>
      </w:r>
      <w:r>
        <w:rPr>
          <w:rFonts w:hint="eastAsia" w:ascii="仿宋" w:hAnsi="仿宋" w:eastAsia="仿宋"/>
          <w:bCs/>
          <w:color w:val="000000" w:themeColor="text1"/>
          <w:sz w:val="30"/>
          <w:szCs w:val="30"/>
          <w14:textFill>
            <w14:solidFill>
              <w14:schemeClr w14:val="tx1"/>
            </w14:solidFill>
          </w14:textFill>
        </w:rPr>
        <w:t>综合得分=价格分+(技术分+资信商务及其他分)</w:t>
      </w:r>
    </w:p>
    <w:p w14:paraId="39FDBD14">
      <w:pPr>
        <w:spacing w:before="120" w:beforeLines="50" w:after="120" w:afterLines="50" w:line="460" w:lineRule="exact"/>
        <w:ind w:firstLine="602" w:firstLineChars="200"/>
        <w:rPr>
          <w:rFonts w:ascii="仿宋" w:hAnsi="仿宋" w:eastAsia="仿宋"/>
          <w:b/>
          <w:bCs/>
          <w:color w:val="000000" w:themeColor="text1"/>
          <w:sz w:val="30"/>
          <w:szCs w:val="30"/>
          <w14:textFill>
            <w14:solidFill>
              <w14:schemeClr w14:val="tx1"/>
            </w14:solidFill>
          </w14:textFill>
        </w:rPr>
      </w:pPr>
    </w:p>
    <w:p w14:paraId="14C9036F">
      <w:pPr>
        <w:spacing w:before="120" w:beforeLines="50" w:after="120" w:afterLines="50" w:line="460" w:lineRule="exact"/>
        <w:ind w:firstLine="602"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特别提醒：</w:t>
      </w:r>
      <w:r>
        <w:rPr>
          <w:rFonts w:hint="eastAsia" w:ascii="仿宋" w:hAnsi="仿宋" w:eastAsia="仿宋"/>
          <w:bCs/>
          <w:color w:val="000000" w:themeColor="text1"/>
          <w:sz w:val="30"/>
          <w:szCs w:val="30"/>
          <w14:textFill>
            <w14:solidFill>
              <w14:schemeClr w14:val="tx1"/>
            </w14:solidFill>
          </w14:textFill>
        </w:rPr>
        <w:t>评标委员会对每个投标人的评分明细以及得分汇总表情况在中标公告中公布。</w:t>
      </w:r>
    </w:p>
    <w:p w14:paraId="5EDF106E">
      <w:pPr>
        <w:spacing w:before="120" w:beforeLines="50" w:after="120" w:afterLines="50" w:line="460" w:lineRule="exact"/>
        <w:rPr>
          <w:rFonts w:ascii="仿宋" w:hAnsi="仿宋" w:eastAsiaTheme="minorEastAsia"/>
          <w:bCs/>
          <w:color w:val="000000" w:themeColor="text1"/>
          <w:sz w:val="30"/>
          <w:szCs w:val="30"/>
          <w14:textFill>
            <w14:solidFill>
              <w14:schemeClr w14:val="tx1"/>
            </w14:solidFill>
          </w14:textFill>
        </w:rPr>
      </w:pPr>
    </w:p>
    <w:p w14:paraId="1FE808B2">
      <w:pPr>
        <w:spacing w:before="120" w:beforeLines="50" w:after="120" w:afterLines="50" w:line="320" w:lineRule="exact"/>
        <w:rPr>
          <w:rFonts w:ascii="仿宋" w:hAnsi="仿宋" w:eastAsia="仿宋_GB2312"/>
          <w:b/>
          <w:color w:val="000000" w:themeColor="text1"/>
          <w:sz w:val="30"/>
          <w:szCs w:val="30"/>
          <w14:textFill>
            <w14:solidFill>
              <w14:schemeClr w14:val="tx1"/>
            </w14:solidFill>
          </w14:textFill>
        </w:rPr>
      </w:pPr>
      <w:r>
        <w:rPr>
          <w:rFonts w:hint="eastAsia" w:ascii="仿宋" w:hAnsi="仿宋" w:eastAsia="仿宋_GB2312"/>
          <w:bCs/>
          <w:color w:val="000000" w:themeColor="text1"/>
          <w:kern w:val="0"/>
          <w:sz w:val="30"/>
          <w:szCs w:val="30"/>
          <w14:textFill>
            <w14:solidFill>
              <w14:schemeClr w14:val="tx1"/>
            </w14:solidFill>
          </w14:textFill>
        </w:rPr>
        <w:br w:type="page"/>
      </w:r>
      <w:r>
        <w:rPr>
          <w:rFonts w:hint="eastAsia" w:ascii="仿宋" w:hAnsi="仿宋" w:eastAsia="仿宋_GB2312"/>
          <w:b/>
          <w:color w:val="000000" w:themeColor="text1"/>
          <w:sz w:val="32"/>
          <w:szCs w:val="32"/>
          <w14:textFill>
            <w14:solidFill>
              <w14:schemeClr w14:val="tx1"/>
            </w14:solidFill>
          </w14:textFill>
        </w:rPr>
        <w:t>三、评标内容及标</w:t>
      </w:r>
      <w:r>
        <w:rPr>
          <w:rFonts w:hint="eastAsia" w:ascii="仿宋" w:hAnsi="仿宋" w:eastAsia="仿宋_GB2312"/>
          <w:b/>
          <w:color w:val="000000" w:themeColor="text1"/>
          <w:sz w:val="30"/>
          <w:szCs w:val="30"/>
          <w14:textFill>
            <w14:solidFill>
              <w14:schemeClr w14:val="tx1"/>
            </w14:solidFill>
          </w14:textFill>
        </w:rPr>
        <w:t>准</w:t>
      </w:r>
      <w:bookmarkStart w:id="23" w:name="_Toc496796638"/>
    </w:p>
    <w:tbl>
      <w:tblPr>
        <w:tblStyle w:val="60"/>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202"/>
        <w:gridCol w:w="4623"/>
        <w:gridCol w:w="699"/>
        <w:gridCol w:w="1244"/>
      </w:tblGrid>
      <w:tr w14:paraId="2FB2E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tcPr>
          <w:p w14:paraId="21F3B10C">
            <w:pPr>
              <w:spacing w:before="120" w:beforeLines="50" w:after="120" w:afterLines="50"/>
              <w:jc w:val="center"/>
              <w:rPr>
                <w:rFonts w:ascii="仿宋" w:hAnsi="仿宋" w:eastAsia="仿宋"/>
                <w:color w:val="000000" w:themeColor="text1"/>
                <w:kern w:val="0"/>
                <w:sz w:val="24"/>
                <w:szCs w:val="24"/>
                <w14:textFill>
                  <w14:solidFill>
                    <w14:schemeClr w14:val="tx1"/>
                  </w14:solidFill>
                </w14:textFill>
              </w:rPr>
            </w:pPr>
            <w:bookmarkStart w:id="24" w:name="PO_TDCUS_ITEM_SM_TABLE_1_1"/>
            <w:r>
              <w:rPr>
                <w:rFonts w:hint="eastAsia" w:ascii="仿宋" w:hAnsi="仿宋" w:eastAsia="仿宋"/>
                <w:color w:val="000000" w:themeColor="text1"/>
                <w:kern w:val="0"/>
                <w:sz w:val="24"/>
                <w:szCs w:val="24"/>
                <w14:textFill>
                  <w14:solidFill>
                    <w14:schemeClr w14:val="tx1"/>
                  </w14:solidFill>
                </w14:textFill>
              </w:rPr>
              <w:t>序号</w:t>
            </w:r>
          </w:p>
        </w:tc>
        <w:tc>
          <w:tcPr>
            <w:tcW w:w="1202" w:type="dxa"/>
          </w:tcPr>
          <w:p w14:paraId="3F31BF9F">
            <w:pPr>
              <w:spacing w:before="120" w:beforeLines="50" w:after="120" w:afterLines="50"/>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评分类型</w:t>
            </w:r>
          </w:p>
        </w:tc>
        <w:tc>
          <w:tcPr>
            <w:tcW w:w="4623" w:type="dxa"/>
          </w:tcPr>
          <w:p w14:paraId="7ADDC4BB">
            <w:pPr>
              <w:spacing w:before="120" w:beforeLines="50" w:after="120" w:afterLines="50"/>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评分标准</w:t>
            </w:r>
          </w:p>
        </w:tc>
        <w:tc>
          <w:tcPr>
            <w:tcW w:w="699" w:type="dxa"/>
          </w:tcPr>
          <w:p w14:paraId="14217951">
            <w:pPr>
              <w:spacing w:before="120" w:beforeLines="50" w:after="120" w:afterLines="50"/>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分值</w:t>
            </w:r>
          </w:p>
        </w:tc>
        <w:tc>
          <w:tcPr>
            <w:tcW w:w="1244" w:type="dxa"/>
          </w:tcPr>
          <w:p w14:paraId="2EBE215B">
            <w:pPr>
              <w:spacing w:before="120" w:beforeLines="50" w:after="120" w:afterLines="50"/>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打分方法</w:t>
            </w:r>
          </w:p>
        </w:tc>
      </w:tr>
      <w:tr w14:paraId="286F6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tcPr>
          <w:p w14:paraId="4C5F5424">
            <w:pPr>
              <w:spacing w:before="120" w:beforeLines="50" w:after="120" w:afterLines="50"/>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1</w:t>
            </w:r>
          </w:p>
        </w:tc>
        <w:tc>
          <w:tcPr>
            <w:tcW w:w="1202" w:type="dxa"/>
          </w:tcPr>
          <w:p w14:paraId="3BE4AFC1">
            <w:pPr>
              <w:spacing w:before="120" w:beforeLines="50" w:after="120" w:afterLines="50"/>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报价</w:t>
            </w:r>
          </w:p>
        </w:tc>
        <w:tc>
          <w:tcPr>
            <w:tcW w:w="4623" w:type="dxa"/>
          </w:tcPr>
          <w:p w14:paraId="24B6EE0E">
            <w:pPr>
              <w:spacing w:before="120" w:beforeLines="50" w:after="120" w:afterLines="50"/>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(评标基准价／有效投标报价)*最大分值</w:t>
            </w:r>
          </w:p>
        </w:tc>
        <w:tc>
          <w:tcPr>
            <w:tcW w:w="699" w:type="dxa"/>
          </w:tcPr>
          <w:p w14:paraId="0DFB6772">
            <w:pPr>
              <w:spacing w:before="120" w:beforeLines="50" w:after="120" w:afterLines="50"/>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30</w:t>
            </w:r>
          </w:p>
        </w:tc>
        <w:tc>
          <w:tcPr>
            <w:tcW w:w="1244" w:type="dxa"/>
          </w:tcPr>
          <w:p w14:paraId="7D594F65">
            <w:pPr>
              <w:spacing w:before="120" w:beforeLines="50" w:after="120" w:afterLines="50"/>
              <w:jc w:val="center"/>
              <w:rPr>
                <w:rFonts w:ascii="仿宋" w:hAnsi="仿宋" w:eastAsia="仿宋"/>
                <w:color w:val="000000" w:themeColor="text1"/>
                <w:kern w:val="0"/>
                <w:sz w:val="24"/>
                <w:szCs w:val="24"/>
                <w14:textFill>
                  <w14:solidFill>
                    <w14:schemeClr w14:val="tx1"/>
                  </w14:solidFill>
                </w14:textFill>
              </w:rPr>
            </w:pPr>
          </w:p>
        </w:tc>
      </w:tr>
      <w:tr w14:paraId="2EA8D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tcPr>
          <w:p w14:paraId="4DAD115A">
            <w:pPr>
              <w:spacing w:before="120" w:beforeLines="50" w:after="120" w:afterLines="50"/>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1</w:t>
            </w:r>
          </w:p>
        </w:tc>
        <w:tc>
          <w:tcPr>
            <w:tcW w:w="1202" w:type="dxa"/>
          </w:tcPr>
          <w:p w14:paraId="4304960E">
            <w:pPr>
              <w:spacing w:before="120" w:beforeLines="50" w:after="120" w:afterLines="50"/>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技术</w:t>
            </w:r>
          </w:p>
        </w:tc>
        <w:tc>
          <w:tcPr>
            <w:tcW w:w="4623" w:type="dxa"/>
          </w:tcPr>
          <w:p w14:paraId="505A1ACA">
            <w:pPr>
              <w:spacing w:before="120" w:beforeLines="50" w:after="120" w:afterLines="50"/>
              <w:rPr>
                <w:rFonts w:hint="eastAsia" w:ascii="仿宋" w:hAnsi="仿宋" w:eastAsia="仿宋"/>
                <w:color w:val="000000" w:themeColor="text1"/>
                <w:kern w:val="0"/>
                <w:sz w:val="24"/>
                <w:szCs w:val="24"/>
                <w:lang w:eastAsia="zh-CN"/>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不符合（负偏离）技术要求中标注“▲”条款（不可偏离）的投标无效</w:t>
            </w:r>
            <w:r>
              <w:rPr>
                <w:rFonts w:hint="eastAsia" w:ascii="仿宋" w:hAnsi="仿宋" w:eastAsia="仿宋"/>
                <w:color w:val="000000" w:themeColor="text1"/>
                <w:kern w:val="0"/>
                <w:sz w:val="24"/>
                <w:szCs w:val="24"/>
                <w:lang w:eastAsia="zh-CN"/>
                <w14:textFill>
                  <w14:solidFill>
                    <w14:schemeClr w14:val="tx1"/>
                  </w14:solidFill>
                </w14:textFill>
              </w:rPr>
              <w:t>。</w:t>
            </w:r>
          </w:p>
          <w:p w14:paraId="282ADAB2">
            <w:pPr>
              <w:spacing w:before="120" w:beforeLines="50" w:after="120"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标</w:t>
            </w:r>
            <w:r>
              <w:rPr>
                <w:rFonts w:hint="eastAsia" w:ascii="仿宋" w:hAnsi="仿宋" w:eastAsia="仿宋"/>
                <w:color w:val="000000" w:themeColor="text1"/>
                <w:kern w:val="0"/>
                <w:sz w:val="24"/>
                <w:szCs w:val="24"/>
                <w:lang w:eastAsia="zh-CN"/>
                <w14:textFill>
                  <w14:solidFill>
                    <w14:schemeClr w14:val="tx1"/>
                  </w14:solidFill>
                </w14:textFill>
              </w:rPr>
              <w:t>“</w:t>
            </w:r>
            <w:r>
              <w:rPr>
                <w:rFonts w:hint="eastAsia" w:ascii="仿宋" w:hAnsi="仿宋" w:eastAsia="仿宋"/>
                <w:color w:val="000000" w:themeColor="text1"/>
                <w:kern w:val="0"/>
                <w:sz w:val="24"/>
                <w:szCs w:val="24"/>
                <w14:textFill>
                  <w14:solidFill>
                    <w14:schemeClr w14:val="tx1"/>
                  </w14:solidFill>
                </w14:textFill>
              </w:rPr>
              <w:t>▲</w:t>
            </w:r>
            <w:r>
              <w:rPr>
                <w:rFonts w:hint="eastAsia" w:ascii="仿宋" w:hAnsi="仿宋" w:eastAsia="仿宋"/>
                <w:color w:val="000000" w:themeColor="text1"/>
                <w:kern w:val="0"/>
                <w:sz w:val="24"/>
                <w:szCs w:val="24"/>
                <w:lang w:eastAsia="zh-CN"/>
                <w14:textFill>
                  <w14:solidFill>
                    <w14:schemeClr w14:val="tx1"/>
                  </w14:solidFill>
                </w14:textFill>
              </w:rPr>
              <w:t>”</w:t>
            </w:r>
            <w:r>
              <w:rPr>
                <w:rFonts w:hint="eastAsia" w:ascii="仿宋" w:hAnsi="仿宋" w:eastAsia="仿宋"/>
                <w:color w:val="000000" w:themeColor="text1"/>
                <w:kern w:val="0"/>
                <w:sz w:val="24"/>
                <w:szCs w:val="24"/>
                <w14:textFill>
                  <w14:solidFill>
                    <w14:schemeClr w14:val="tx1"/>
                  </w14:solidFill>
                </w14:textFill>
              </w:rPr>
              <w:t>条款除外，符合明确指标参数得30分，允许偏离的指标参数低于招标需求（负偏离）的，每项扣1分</w:t>
            </w:r>
            <w:r>
              <w:rPr>
                <w:rFonts w:hint="eastAsia" w:ascii="仿宋" w:hAnsi="仿宋" w:eastAsia="仿宋"/>
                <w:color w:val="000000" w:themeColor="text1"/>
                <w:kern w:val="0"/>
                <w:sz w:val="24"/>
                <w:szCs w:val="24"/>
                <w:lang w:eastAsia="zh-CN"/>
                <w14:textFill>
                  <w14:solidFill>
                    <w14:schemeClr w14:val="tx1"/>
                  </w14:solidFill>
                </w14:textFill>
              </w:rPr>
              <w:t>，</w:t>
            </w:r>
            <w:r>
              <w:rPr>
                <w:rFonts w:hint="eastAsia" w:ascii="仿宋" w:hAnsi="仿宋" w:eastAsia="仿宋"/>
                <w:color w:val="000000" w:themeColor="text1"/>
                <w:kern w:val="0"/>
                <w:sz w:val="24"/>
                <w:szCs w:val="24"/>
                <w14:textFill>
                  <w14:solidFill>
                    <w14:schemeClr w14:val="tx1"/>
                  </w14:solidFill>
                </w14:textFill>
              </w:rPr>
              <w:t>标注“★”的指标参数（负偏离）的或未提供证明材料的，每项扣2分</w:t>
            </w:r>
            <w:r>
              <w:rPr>
                <w:rFonts w:hint="eastAsia" w:ascii="仿宋" w:hAnsi="仿宋" w:eastAsia="仿宋"/>
                <w:color w:val="000000" w:themeColor="text1"/>
                <w:kern w:val="0"/>
                <w:sz w:val="24"/>
                <w:szCs w:val="24"/>
                <w:lang w:val="en-US" w:eastAsia="zh-CN"/>
                <w14:textFill>
                  <w14:solidFill>
                    <w14:schemeClr w14:val="tx1"/>
                  </w14:solidFill>
                </w14:textFill>
              </w:rPr>
              <w:t>。</w:t>
            </w:r>
            <w:r>
              <w:rPr>
                <w:rFonts w:hint="eastAsia" w:ascii="仿宋" w:hAnsi="仿宋" w:eastAsia="仿宋"/>
                <w:color w:val="000000" w:themeColor="text1"/>
                <w:kern w:val="0"/>
                <w:sz w:val="24"/>
                <w:szCs w:val="24"/>
                <w14:textFill>
                  <w14:solidFill>
                    <w14:schemeClr w14:val="tx1"/>
                  </w14:solidFill>
                </w14:textFill>
              </w:rPr>
              <w:t>（详见“第四章 招标需求”的“</w:t>
            </w:r>
            <w:r>
              <w:rPr>
                <w:rFonts w:hint="eastAsia" w:ascii="仿宋" w:hAnsi="仿宋" w:eastAsia="仿宋"/>
                <w:color w:val="000000" w:themeColor="text1"/>
                <w:kern w:val="0"/>
                <w:sz w:val="24"/>
                <w:szCs w:val="24"/>
                <w:lang w:val="en-US" w:eastAsia="zh-CN"/>
                <w14:textFill>
                  <w14:solidFill>
                    <w14:schemeClr w14:val="tx1"/>
                  </w14:solidFill>
                </w14:textFill>
              </w:rPr>
              <w:t>指标</w:t>
            </w:r>
            <w:r>
              <w:rPr>
                <w:rFonts w:hint="eastAsia" w:ascii="仿宋" w:hAnsi="仿宋" w:eastAsia="仿宋"/>
                <w:color w:val="000000" w:themeColor="text1"/>
                <w:kern w:val="0"/>
                <w:sz w:val="24"/>
                <w:szCs w:val="24"/>
                <w14:textFill>
                  <w14:solidFill>
                    <w14:schemeClr w14:val="tx1"/>
                  </w14:solidFill>
                </w14:textFill>
              </w:rPr>
              <w:t>要求”的具体参数）（</w:t>
            </w:r>
            <w:r>
              <w:rPr>
                <w:rFonts w:hint="eastAsia" w:ascii="仿宋" w:hAnsi="仿宋" w:eastAsia="仿宋"/>
                <w:color w:val="000000" w:themeColor="text1"/>
                <w:kern w:val="0"/>
                <w:sz w:val="24"/>
                <w:szCs w:val="24"/>
                <w:lang w:val="en-US" w:eastAsia="zh-CN"/>
                <w14:textFill>
                  <w14:solidFill>
                    <w14:schemeClr w14:val="tx1"/>
                  </w14:solidFill>
                </w14:textFill>
              </w:rPr>
              <w:t>扣完为止，</w:t>
            </w:r>
            <w:r>
              <w:rPr>
                <w:rFonts w:hint="eastAsia" w:ascii="仿宋" w:hAnsi="仿宋" w:eastAsia="仿宋"/>
                <w:color w:val="000000" w:themeColor="text1"/>
                <w:kern w:val="0"/>
                <w:sz w:val="24"/>
                <w:szCs w:val="24"/>
                <w14:textFill>
                  <w14:solidFill>
                    <w14:schemeClr w14:val="tx1"/>
                  </w14:solidFill>
                </w14:textFill>
              </w:rPr>
              <w:t>该项得分0分的投标无效）</w:t>
            </w:r>
          </w:p>
        </w:tc>
        <w:tc>
          <w:tcPr>
            <w:tcW w:w="699" w:type="dxa"/>
          </w:tcPr>
          <w:p w14:paraId="45D7F231">
            <w:pPr>
              <w:spacing w:before="120" w:beforeLines="50" w:after="120" w:afterLines="50"/>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30</w:t>
            </w:r>
          </w:p>
        </w:tc>
        <w:tc>
          <w:tcPr>
            <w:tcW w:w="1244" w:type="dxa"/>
          </w:tcPr>
          <w:p w14:paraId="08DDC206">
            <w:pPr>
              <w:spacing w:before="120" w:beforeLines="50" w:after="120" w:afterLines="50"/>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客观分</w:t>
            </w:r>
          </w:p>
        </w:tc>
      </w:tr>
      <w:tr w14:paraId="0E86A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tcPr>
          <w:p w14:paraId="30C7EA5B">
            <w:pPr>
              <w:spacing w:before="120" w:beforeLines="50" w:after="120" w:afterLines="50"/>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2</w:t>
            </w:r>
          </w:p>
        </w:tc>
        <w:tc>
          <w:tcPr>
            <w:tcW w:w="1202" w:type="dxa"/>
          </w:tcPr>
          <w:p w14:paraId="275924D5">
            <w:pPr>
              <w:spacing w:before="120" w:beforeLines="50" w:after="120" w:afterLines="50"/>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技术</w:t>
            </w:r>
          </w:p>
        </w:tc>
        <w:tc>
          <w:tcPr>
            <w:tcW w:w="4623" w:type="dxa"/>
          </w:tcPr>
          <w:p w14:paraId="16B3B02B">
            <w:pPr>
              <w:spacing w:before="120" w:beforeLines="50" w:after="120"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投标方案与需求的吻合程度：</w:t>
            </w:r>
            <w:r>
              <w:rPr>
                <w:rFonts w:hint="eastAsia" w:ascii="仿宋" w:hAnsi="仿宋" w:eastAsia="仿宋"/>
                <w:color w:val="000000" w:themeColor="text1"/>
                <w:kern w:val="0"/>
                <w:sz w:val="24"/>
                <w:szCs w:val="24"/>
                <w14:textFill>
                  <w14:solidFill>
                    <w14:schemeClr w14:val="tx1"/>
                  </w14:solidFill>
                </w14:textFill>
              </w:rPr>
              <w:br w:type="textWrapping"/>
            </w:r>
            <w:r>
              <w:rPr>
                <w:rFonts w:hint="eastAsia" w:ascii="仿宋" w:hAnsi="仿宋" w:eastAsia="仿宋"/>
                <w:color w:val="000000" w:themeColor="text1"/>
                <w:kern w:val="0"/>
                <w:sz w:val="24"/>
                <w:szCs w:val="24"/>
                <w14:textFill>
                  <w14:solidFill>
                    <w14:schemeClr w14:val="tx1"/>
                  </w14:solidFill>
                </w14:textFill>
              </w:rPr>
              <w:t>对浙江外国语学院图书馆机房现状的理解与分析</w:t>
            </w:r>
            <w:r>
              <w:rPr>
                <w:rFonts w:hint="eastAsia" w:ascii="仿宋" w:hAnsi="仿宋" w:eastAsia="仿宋"/>
                <w:color w:val="000000" w:themeColor="text1"/>
                <w:kern w:val="0"/>
                <w:sz w:val="24"/>
                <w:szCs w:val="24"/>
                <w:lang w:eastAsia="zh-CN"/>
                <w14:textFill>
                  <w14:solidFill>
                    <w14:schemeClr w14:val="tx1"/>
                  </w14:solidFill>
                </w14:textFill>
              </w:rPr>
              <w:t>。</w:t>
            </w:r>
            <w:r>
              <w:rPr>
                <w:rFonts w:hint="eastAsia" w:ascii="仿宋" w:hAnsi="仿宋" w:eastAsia="仿宋"/>
                <w:color w:val="000000" w:themeColor="text1"/>
                <w:kern w:val="0"/>
                <w:sz w:val="24"/>
                <w:szCs w:val="24"/>
                <w14:textFill>
                  <w14:solidFill>
                    <w14:schemeClr w14:val="tx1"/>
                  </w14:solidFill>
                </w14:textFill>
              </w:rPr>
              <w:t>（1分）</w:t>
            </w:r>
            <w:r>
              <w:rPr>
                <w:rFonts w:hint="eastAsia" w:ascii="仿宋" w:hAnsi="仿宋" w:eastAsia="仿宋"/>
                <w:color w:val="000000" w:themeColor="text1"/>
                <w:kern w:val="0"/>
                <w:sz w:val="24"/>
                <w:szCs w:val="24"/>
                <w14:textFill>
                  <w14:solidFill>
                    <w14:schemeClr w14:val="tx1"/>
                  </w14:solidFill>
                </w14:textFill>
              </w:rPr>
              <w:br w:type="textWrapping"/>
            </w:r>
            <w:r>
              <w:rPr>
                <w:rFonts w:hint="eastAsia" w:ascii="仿宋" w:hAnsi="仿宋" w:eastAsia="仿宋"/>
                <w:color w:val="000000" w:themeColor="text1"/>
                <w:kern w:val="0"/>
                <w:sz w:val="24"/>
                <w:szCs w:val="24"/>
                <w14:textFill>
                  <w14:solidFill>
                    <w14:schemeClr w14:val="tx1"/>
                  </w14:solidFill>
                </w14:textFill>
              </w:rPr>
              <w:t>对浙江外国语学院图书馆机房更新需求的理解与把握</w:t>
            </w:r>
            <w:r>
              <w:rPr>
                <w:rFonts w:hint="eastAsia" w:ascii="仿宋" w:hAnsi="仿宋" w:eastAsia="仿宋"/>
                <w:color w:val="000000" w:themeColor="text1"/>
                <w:kern w:val="0"/>
                <w:sz w:val="24"/>
                <w:szCs w:val="24"/>
                <w:lang w:eastAsia="zh-CN"/>
                <w14:textFill>
                  <w14:solidFill>
                    <w14:schemeClr w14:val="tx1"/>
                  </w14:solidFill>
                </w14:textFill>
              </w:rPr>
              <w:t>。</w:t>
            </w:r>
            <w:r>
              <w:rPr>
                <w:rFonts w:hint="eastAsia" w:ascii="仿宋" w:hAnsi="仿宋" w:eastAsia="仿宋"/>
                <w:color w:val="000000" w:themeColor="text1"/>
                <w:kern w:val="0"/>
                <w:sz w:val="24"/>
                <w:szCs w:val="24"/>
                <w14:textFill>
                  <w14:solidFill>
                    <w14:schemeClr w14:val="tx1"/>
                  </w14:solidFill>
                </w14:textFill>
              </w:rPr>
              <w:t>（1分）</w:t>
            </w:r>
            <w:r>
              <w:rPr>
                <w:rFonts w:hint="eastAsia" w:ascii="仿宋" w:hAnsi="仿宋" w:eastAsia="仿宋"/>
                <w:color w:val="000000" w:themeColor="text1"/>
                <w:kern w:val="0"/>
                <w:sz w:val="24"/>
                <w:szCs w:val="24"/>
                <w14:textFill>
                  <w14:solidFill>
                    <w14:schemeClr w14:val="tx1"/>
                  </w14:solidFill>
                </w14:textFill>
              </w:rPr>
              <w:br w:type="textWrapping"/>
            </w:r>
            <w:r>
              <w:rPr>
                <w:rFonts w:hint="eastAsia" w:ascii="仿宋" w:hAnsi="仿宋" w:eastAsia="仿宋"/>
                <w:color w:val="000000" w:themeColor="text1"/>
                <w:kern w:val="0"/>
                <w:sz w:val="24"/>
                <w:szCs w:val="24"/>
                <w14:textFill>
                  <w14:solidFill>
                    <w14:schemeClr w14:val="tx1"/>
                  </w14:solidFill>
                </w14:textFill>
              </w:rPr>
              <w:t>对设备部署和系统迁移的理解与分析</w:t>
            </w:r>
            <w:r>
              <w:rPr>
                <w:rFonts w:hint="eastAsia" w:ascii="仿宋" w:hAnsi="仿宋" w:eastAsia="仿宋"/>
                <w:color w:val="000000" w:themeColor="text1"/>
                <w:kern w:val="0"/>
                <w:sz w:val="24"/>
                <w:szCs w:val="24"/>
                <w:lang w:eastAsia="zh-CN"/>
                <w14:textFill>
                  <w14:solidFill>
                    <w14:schemeClr w14:val="tx1"/>
                  </w14:solidFill>
                </w14:textFill>
              </w:rPr>
              <w:t>。</w:t>
            </w:r>
            <w:r>
              <w:rPr>
                <w:rFonts w:hint="eastAsia" w:ascii="仿宋" w:hAnsi="仿宋" w:eastAsia="仿宋"/>
                <w:color w:val="000000" w:themeColor="text1"/>
                <w:kern w:val="0"/>
                <w:sz w:val="24"/>
                <w:szCs w:val="24"/>
                <w14:textFill>
                  <w14:solidFill>
                    <w14:schemeClr w14:val="tx1"/>
                  </w14:solidFill>
                </w14:textFill>
              </w:rPr>
              <w:t>（1分）</w:t>
            </w:r>
            <w:r>
              <w:rPr>
                <w:rFonts w:hint="eastAsia" w:ascii="仿宋" w:hAnsi="仿宋" w:eastAsia="仿宋"/>
                <w:color w:val="000000" w:themeColor="text1"/>
                <w:kern w:val="0"/>
                <w:sz w:val="24"/>
                <w:szCs w:val="24"/>
                <w14:textFill>
                  <w14:solidFill>
                    <w14:schemeClr w14:val="tx1"/>
                  </w14:solidFill>
                </w14:textFill>
              </w:rPr>
              <w:br w:type="textWrapping"/>
            </w:r>
            <w:r>
              <w:rPr>
                <w:rFonts w:hint="eastAsia" w:ascii="仿宋" w:hAnsi="仿宋" w:eastAsia="仿宋"/>
                <w:color w:val="000000" w:themeColor="text1"/>
                <w:kern w:val="0"/>
                <w:sz w:val="24"/>
                <w:szCs w:val="24"/>
                <w14:textFill>
                  <w14:solidFill>
                    <w14:schemeClr w14:val="tx1"/>
                  </w14:solidFill>
                </w14:textFill>
              </w:rPr>
              <w:t>对实施的重点、难点提出具体解决措施</w:t>
            </w:r>
            <w:r>
              <w:rPr>
                <w:rFonts w:hint="eastAsia" w:ascii="仿宋" w:hAnsi="仿宋" w:eastAsia="仿宋"/>
                <w:color w:val="000000" w:themeColor="text1"/>
                <w:kern w:val="0"/>
                <w:sz w:val="24"/>
                <w:szCs w:val="24"/>
                <w:lang w:eastAsia="zh-CN"/>
                <w14:textFill>
                  <w14:solidFill>
                    <w14:schemeClr w14:val="tx1"/>
                  </w14:solidFill>
                </w14:textFill>
              </w:rPr>
              <w:t>。</w:t>
            </w:r>
            <w:r>
              <w:rPr>
                <w:rFonts w:hint="eastAsia" w:ascii="仿宋" w:hAnsi="仿宋" w:eastAsia="仿宋"/>
                <w:color w:val="000000" w:themeColor="text1"/>
                <w:kern w:val="0"/>
                <w:sz w:val="24"/>
                <w:szCs w:val="24"/>
                <w14:textFill>
                  <w14:solidFill>
                    <w14:schemeClr w14:val="tx1"/>
                  </w14:solidFill>
                </w14:textFill>
              </w:rPr>
              <w:t>（2分）</w:t>
            </w:r>
            <w:r>
              <w:rPr>
                <w:rFonts w:hint="eastAsia" w:ascii="仿宋" w:hAnsi="仿宋" w:eastAsia="仿宋"/>
                <w:color w:val="000000" w:themeColor="text1"/>
                <w:kern w:val="0"/>
                <w:sz w:val="24"/>
                <w:szCs w:val="24"/>
                <w14:textFill>
                  <w14:solidFill>
                    <w14:schemeClr w14:val="tx1"/>
                  </w14:solidFill>
                </w14:textFill>
              </w:rPr>
              <w:br w:type="textWrapping"/>
            </w:r>
            <w:r>
              <w:rPr>
                <w:rFonts w:hint="eastAsia" w:ascii="仿宋" w:hAnsi="仿宋" w:eastAsia="仿宋"/>
                <w:color w:val="000000" w:themeColor="text1"/>
                <w:kern w:val="0"/>
                <w:sz w:val="24"/>
                <w:szCs w:val="24"/>
                <w14:textFill>
                  <w14:solidFill>
                    <w14:schemeClr w14:val="tx1"/>
                  </w14:solidFill>
                </w14:textFill>
              </w:rPr>
              <w:t>根据方案的完整性、合理性、与项目的匹配性进行评价打分（评分范围：2,1,0）</w:t>
            </w:r>
          </w:p>
        </w:tc>
        <w:tc>
          <w:tcPr>
            <w:tcW w:w="699" w:type="dxa"/>
          </w:tcPr>
          <w:p w14:paraId="6457D98E">
            <w:pPr>
              <w:spacing w:before="120" w:beforeLines="50" w:after="120" w:afterLines="50"/>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5</w:t>
            </w:r>
          </w:p>
        </w:tc>
        <w:tc>
          <w:tcPr>
            <w:tcW w:w="1244" w:type="dxa"/>
          </w:tcPr>
          <w:p w14:paraId="35B57146">
            <w:pPr>
              <w:spacing w:before="120" w:beforeLines="50" w:after="120" w:afterLines="50"/>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主观分</w:t>
            </w:r>
          </w:p>
        </w:tc>
      </w:tr>
      <w:tr w14:paraId="234D2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tcPr>
          <w:p w14:paraId="0ECD307B">
            <w:pPr>
              <w:spacing w:before="120" w:beforeLines="50" w:after="120" w:afterLines="50"/>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3</w:t>
            </w:r>
          </w:p>
        </w:tc>
        <w:tc>
          <w:tcPr>
            <w:tcW w:w="1202" w:type="dxa"/>
          </w:tcPr>
          <w:p w14:paraId="3486210F">
            <w:pPr>
              <w:spacing w:before="120" w:beforeLines="50" w:after="120" w:afterLines="50"/>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技术</w:t>
            </w:r>
          </w:p>
        </w:tc>
        <w:tc>
          <w:tcPr>
            <w:tcW w:w="4623" w:type="dxa"/>
          </w:tcPr>
          <w:p w14:paraId="080A625C">
            <w:pPr>
              <w:spacing w:before="120" w:beforeLines="50" w:after="120"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投标方案的总体设计、建设方案等是否合理，详细阐述系统的体系架构、功能模块、实现思路和关键技术等综合评定。投标方案对用户现状分析和投标产品对用户需求的匹配度和支持度：</w:t>
            </w:r>
          </w:p>
          <w:p w14:paraId="4EBC18BF">
            <w:pPr>
              <w:spacing w:before="120" w:beforeLines="50" w:after="120"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网络架构、调整方案。(1分)</w:t>
            </w:r>
          </w:p>
          <w:p w14:paraId="1A23E853">
            <w:pPr>
              <w:spacing w:before="120" w:beforeLines="50" w:after="120"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服务器架构、调整方案。(2分)</w:t>
            </w:r>
          </w:p>
          <w:p w14:paraId="03E213F3">
            <w:pPr>
              <w:spacing w:before="120" w:beforeLines="50" w:after="120"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存储架构、调整方案。(1分)</w:t>
            </w:r>
          </w:p>
          <w:p w14:paraId="5AE0C37F">
            <w:pPr>
              <w:spacing w:before="120" w:beforeLines="50" w:after="120"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应用系统调整方案。(1分)</w:t>
            </w:r>
          </w:p>
          <w:p w14:paraId="3C10DC06">
            <w:pPr>
              <w:spacing w:before="120" w:beforeLines="50" w:after="120"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根据提供的方案内容的合理性、可行性、针对性进行评分。（评分范围：2,1,0）</w:t>
            </w:r>
          </w:p>
        </w:tc>
        <w:tc>
          <w:tcPr>
            <w:tcW w:w="699" w:type="dxa"/>
          </w:tcPr>
          <w:p w14:paraId="7D2E2A38">
            <w:pPr>
              <w:spacing w:before="120" w:beforeLines="50" w:after="120" w:afterLines="50"/>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5</w:t>
            </w:r>
          </w:p>
        </w:tc>
        <w:tc>
          <w:tcPr>
            <w:tcW w:w="1244" w:type="dxa"/>
          </w:tcPr>
          <w:p w14:paraId="78AC46DE">
            <w:pPr>
              <w:spacing w:before="120" w:beforeLines="50" w:after="120" w:afterLines="50"/>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主观分</w:t>
            </w:r>
          </w:p>
        </w:tc>
      </w:tr>
      <w:tr w14:paraId="552DA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tcPr>
          <w:p w14:paraId="0F90F503">
            <w:pPr>
              <w:spacing w:before="120" w:beforeLines="50" w:after="120" w:afterLines="50"/>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4</w:t>
            </w:r>
          </w:p>
        </w:tc>
        <w:tc>
          <w:tcPr>
            <w:tcW w:w="1202" w:type="dxa"/>
          </w:tcPr>
          <w:p w14:paraId="5009E91B">
            <w:pPr>
              <w:spacing w:before="120" w:beforeLines="50" w:after="120" w:afterLines="50"/>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技术</w:t>
            </w:r>
          </w:p>
        </w:tc>
        <w:tc>
          <w:tcPr>
            <w:tcW w:w="4623" w:type="dxa"/>
          </w:tcPr>
          <w:p w14:paraId="1CC88A38">
            <w:pPr>
              <w:spacing w:before="120" w:beforeLines="50" w:after="120"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基于机房环境、实施痛点难点的设备进场前准备工作和迁移调整后的保障方案：</w:t>
            </w:r>
          </w:p>
          <w:p w14:paraId="49E544B5">
            <w:pPr>
              <w:spacing w:before="120" w:beforeLines="50" w:after="120"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网络准备工作、保障方案。(1分)</w:t>
            </w:r>
          </w:p>
          <w:p w14:paraId="34DF60EA">
            <w:pPr>
              <w:spacing w:before="120" w:beforeLines="50" w:after="120"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超融合系统准备工作、保障方案。(2分)</w:t>
            </w:r>
          </w:p>
          <w:p w14:paraId="42C698F1">
            <w:pPr>
              <w:spacing w:before="120" w:beforeLines="50" w:after="120"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存储准备工作、保障方案。(1分)</w:t>
            </w:r>
          </w:p>
          <w:p w14:paraId="5DD264FA">
            <w:pPr>
              <w:spacing w:before="120" w:beforeLines="50" w:after="120"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应用系统准备工作、保障方案。(1分)</w:t>
            </w:r>
          </w:p>
          <w:p w14:paraId="509AB1AE">
            <w:pPr>
              <w:spacing w:before="120" w:beforeLines="50" w:after="120"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根据提供的方案的合理性、可行性、针对性进行评分，确保网络无重大中断、应用系统无重大瘫痪风险、数据无重大丢失风险。（评分范围：2,1,0）</w:t>
            </w:r>
          </w:p>
        </w:tc>
        <w:tc>
          <w:tcPr>
            <w:tcW w:w="699" w:type="dxa"/>
          </w:tcPr>
          <w:p w14:paraId="251214D2">
            <w:pPr>
              <w:spacing w:before="120" w:beforeLines="50" w:after="120" w:afterLines="50"/>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5</w:t>
            </w:r>
          </w:p>
        </w:tc>
        <w:tc>
          <w:tcPr>
            <w:tcW w:w="1244" w:type="dxa"/>
          </w:tcPr>
          <w:p w14:paraId="70715694">
            <w:pPr>
              <w:spacing w:before="120" w:beforeLines="50" w:after="120" w:afterLines="50"/>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主观分</w:t>
            </w:r>
          </w:p>
        </w:tc>
      </w:tr>
      <w:tr w14:paraId="15FE9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tcPr>
          <w:p w14:paraId="6852D43D">
            <w:pPr>
              <w:spacing w:before="120" w:beforeLines="50" w:after="120" w:afterLines="50"/>
              <w:jc w:val="center"/>
              <w:rPr>
                <w:rFonts w:hint="eastAsia" w:ascii="仿宋" w:hAnsi="仿宋" w:eastAsia="仿宋"/>
                <w:color w:val="000000" w:themeColor="text1"/>
                <w:kern w:val="0"/>
                <w:sz w:val="24"/>
                <w:szCs w:val="24"/>
                <w:lang w:eastAsia="zh-CN"/>
                <w14:textFill>
                  <w14:solidFill>
                    <w14:schemeClr w14:val="tx1"/>
                  </w14:solidFill>
                </w14:textFill>
              </w:rPr>
            </w:pPr>
            <w:r>
              <w:rPr>
                <w:rFonts w:hint="eastAsia" w:ascii="仿宋" w:hAnsi="仿宋" w:eastAsia="仿宋"/>
                <w:color w:val="000000" w:themeColor="text1"/>
                <w:kern w:val="0"/>
                <w:sz w:val="24"/>
                <w:szCs w:val="24"/>
                <w:lang w:val="en-US" w:eastAsia="zh-CN"/>
                <w14:textFill>
                  <w14:solidFill>
                    <w14:schemeClr w14:val="tx1"/>
                  </w14:solidFill>
                </w14:textFill>
              </w:rPr>
              <w:t>5</w:t>
            </w:r>
          </w:p>
        </w:tc>
        <w:tc>
          <w:tcPr>
            <w:tcW w:w="1202" w:type="dxa"/>
          </w:tcPr>
          <w:p w14:paraId="442DEFFD">
            <w:pPr>
              <w:spacing w:before="120" w:beforeLines="50" w:after="120" w:afterLines="50"/>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技术</w:t>
            </w:r>
          </w:p>
        </w:tc>
        <w:tc>
          <w:tcPr>
            <w:tcW w:w="4623" w:type="dxa"/>
          </w:tcPr>
          <w:p w14:paraId="4D6504AB">
            <w:pPr>
              <w:spacing w:before="120" w:beforeLines="50" w:after="120"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项目经理具有高级信息系统项目管理师得2分。</w:t>
            </w:r>
          </w:p>
          <w:p w14:paraId="73EE2010">
            <w:pPr>
              <w:spacing w:before="120" w:beforeLines="50" w:after="120"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【证明材料：有效期内认证证书复印件以及近3个月内任意一个月的社保证明】</w:t>
            </w:r>
          </w:p>
        </w:tc>
        <w:tc>
          <w:tcPr>
            <w:tcW w:w="699" w:type="dxa"/>
          </w:tcPr>
          <w:p w14:paraId="691731F0">
            <w:pPr>
              <w:spacing w:before="120" w:beforeLines="50" w:after="120" w:afterLines="50"/>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2</w:t>
            </w:r>
          </w:p>
        </w:tc>
        <w:tc>
          <w:tcPr>
            <w:tcW w:w="1244" w:type="dxa"/>
          </w:tcPr>
          <w:p w14:paraId="2E5A197E">
            <w:pPr>
              <w:spacing w:before="120" w:beforeLines="50" w:after="120" w:afterLines="50"/>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客观分</w:t>
            </w:r>
          </w:p>
        </w:tc>
      </w:tr>
      <w:tr w14:paraId="422C6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tcPr>
          <w:p w14:paraId="12C0AA47">
            <w:pPr>
              <w:spacing w:before="120" w:beforeLines="50" w:after="120" w:afterLines="50"/>
              <w:jc w:val="center"/>
              <w:rPr>
                <w:rFonts w:hint="eastAsia" w:ascii="仿宋" w:hAnsi="仿宋" w:eastAsia="仿宋"/>
                <w:color w:val="000000" w:themeColor="text1"/>
                <w:kern w:val="0"/>
                <w:sz w:val="24"/>
                <w:szCs w:val="24"/>
                <w:lang w:eastAsia="zh-CN"/>
                <w14:textFill>
                  <w14:solidFill>
                    <w14:schemeClr w14:val="tx1"/>
                  </w14:solidFill>
                </w14:textFill>
              </w:rPr>
            </w:pPr>
            <w:r>
              <w:rPr>
                <w:rFonts w:hint="eastAsia" w:ascii="仿宋" w:hAnsi="仿宋" w:eastAsia="仿宋"/>
                <w:color w:val="000000" w:themeColor="text1"/>
                <w:kern w:val="0"/>
                <w:sz w:val="24"/>
                <w:szCs w:val="24"/>
                <w:lang w:val="en-US" w:eastAsia="zh-CN"/>
                <w14:textFill>
                  <w14:solidFill>
                    <w14:schemeClr w14:val="tx1"/>
                  </w14:solidFill>
                </w14:textFill>
              </w:rPr>
              <w:t>6</w:t>
            </w:r>
          </w:p>
        </w:tc>
        <w:tc>
          <w:tcPr>
            <w:tcW w:w="1202" w:type="dxa"/>
          </w:tcPr>
          <w:p w14:paraId="23F986D0">
            <w:pPr>
              <w:spacing w:before="120" w:beforeLines="50" w:after="120" w:afterLines="50"/>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技术</w:t>
            </w:r>
          </w:p>
        </w:tc>
        <w:tc>
          <w:tcPr>
            <w:tcW w:w="4623" w:type="dxa"/>
          </w:tcPr>
          <w:p w14:paraId="48445656">
            <w:pPr>
              <w:spacing w:before="120" w:beforeLines="50" w:after="120"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 xml:space="preserve">项目组拟投入团队人员数量8人及以上得2分。 </w:t>
            </w:r>
          </w:p>
          <w:p w14:paraId="29DA1654">
            <w:pPr>
              <w:spacing w:before="120" w:beforeLines="50" w:after="120"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项目组2名及以上人员具备相关项目经验得2分。</w:t>
            </w:r>
          </w:p>
          <w:p w14:paraId="649AFAA8">
            <w:pPr>
              <w:spacing w:before="120" w:beforeLines="50" w:after="120"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项目组实施人员（除项目经理以外）每拥有一本系统集成项目管理工程师（中级及以上）证书得1分，最高得2分。投标人持证人员不可重复，重复持证按一个证书核算。</w:t>
            </w:r>
          </w:p>
          <w:p w14:paraId="0B6AC007">
            <w:pPr>
              <w:spacing w:before="120" w:beforeLines="50" w:after="120"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【证明材料：有效期内认证证书复印件以及近3个月内任意一个月的社保证明】</w:t>
            </w:r>
          </w:p>
        </w:tc>
        <w:tc>
          <w:tcPr>
            <w:tcW w:w="699" w:type="dxa"/>
          </w:tcPr>
          <w:p w14:paraId="10A17AED">
            <w:pPr>
              <w:spacing w:before="120" w:beforeLines="50" w:after="120" w:afterLines="50"/>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6</w:t>
            </w:r>
          </w:p>
        </w:tc>
        <w:tc>
          <w:tcPr>
            <w:tcW w:w="1244" w:type="dxa"/>
          </w:tcPr>
          <w:p w14:paraId="422B7F54">
            <w:pPr>
              <w:spacing w:before="120" w:beforeLines="50" w:after="120" w:afterLines="50"/>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客观分</w:t>
            </w:r>
          </w:p>
        </w:tc>
      </w:tr>
      <w:tr w14:paraId="26FCD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tcPr>
          <w:p w14:paraId="715135A5">
            <w:pPr>
              <w:spacing w:before="120" w:beforeLines="50" w:after="120" w:afterLines="50"/>
              <w:jc w:val="center"/>
              <w:rPr>
                <w:rFonts w:hint="eastAsia" w:ascii="仿宋" w:hAnsi="仿宋" w:eastAsia="仿宋"/>
                <w:color w:val="000000" w:themeColor="text1"/>
                <w:kern w:val="0"/>
                <w:sz w:val="24"/>
                <w:szCs w:val="24"/>
                <w:lang w:eastAsia="zh-CN"/>
                <w14:textFill>
                  <w14:solidFill>
                    <w14:schemeClr w14:val="tx1"/>
                  </w14:solidFill>
                </w14:textFill>
              </w:rPr>
            </w:pPr>
            <w:r>
              <w:rPr>
                <w:rFonts w:hint="eastAsia" w:ascii="仿宋" w:hAnsi="仿宋" w:eastAsia="仿宋"/>
                <w:color w:val="000000" w:themeColor="text1"/>
                <w:kern w:val="0"/>
                <w:sz w:val="24"/>
                <w:szCs w:val="24"/>
                <w:lang w:val="en-US" w:eastAsia="zh-CN"/>
                <w14:textFill>
                  <w14:solidFill>
                    <w14:schemeClr w14:val="tx1"/>
                  </w14:solidFill>
                </w14:textFill>
              </w:rPr>
              <w:t>7</w:t>
            </w:r>
          </w:p>
        </w:tc>
        <w:tc>
          <w:tcPr>
            <w:tcW w:w="1202" w:type="dxa"/>
          </w:tcPr>
          <w:p w14:paraId="62C7BAC1">
            <w:pPr>
              <w:spacing w:before="120" w:beforeLines="50" w:after="120" w:afterLines="50"/>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商务资信</w:t>
            </w:r>
          </w:p>
        </w:tc>
        <w:tc>
          <w:tcPr>
            <w:tcW w:w="4623" w:type="dxa"/>
          </w:tcPr>
          <w:p w14:paraId="26F23A88">
            <w:pPr>
              <w:spacing w:before="120" w:beforeLines="50" w:after="120"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项目维护计划（定期巡检，备品备件等情况）的有效性等。</w:t>
            </w:r>
          </w:p>
          <w:p w14:paraId="2C179763">
            <w:pPr>
              <w:spacing w:before="120" w:beforeLines="50" w:after="120"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定期巡检计划</w:t>
            </w:r>
            <w:r>
              <w:rPr>
                <w:rFonts w:hint="eastAsia" w:ascii="仿宋" w:hAnsi="仿宋" w:eastAsia="仿宋"/>
                <w:color w:val="000000" w:themeColor="text1"/>
                <w:kern w:val="0"/>
                <w:sz w:val="24"/>
                <w:szCs w:val="24"/>
                <w:lang w:eastAsia="zh-CN"/>
                <w14:textFill>
                  <w14:solidFill>
                    <w14:schemeClr w14:val="tx1"/>
                  </w14:solidFill>
                </w14:textFill>
              </w:rPr>
              <w:t>。</w:t>
            </w:r>
            <w:r>
              <w:rPr>
                <w:rFonts w:hint="eastAsia" w:ascii="仿宋" w:hAnsi="仿宋" w:eastAsia="仿宋"/>
                <w:color w:val="000000" w:themeColor="text1"/>
                <w:kern w:val="0"/>
                <w:sz w:val="24"/>
                <w:szCs w:val="24"/>
                <w14:textFill>
                  <w14:solidFill>
                    <w14:schemeClr w14:val="tx1"/>
                  </w14:solidFill>
                </w14:textFill>
              </w:rPr>
              <w:t>（1分）</w:t>
            </w:r>
          </w:p>
          <w:p w14:paraId="6AEE0F6A">
            <w:pPr>
              <w:spacing w:before="120" w:beforeLines="50" w:after="120"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备品备件情况</w:t>
            </w:r>
            <w:r>
              <w:rPr>
                <w:rFonts w:hint="eastAsia" w:ascii="仿宋" w:hAnsi="仿宋" w:eastAsia="仿宋"/>
                <w:color w:val="000000" w:themeColor="text1"/>
                <w:kern w:val="0"/>
                <w:sz w:val="24"/>
                <w:szCs w:val="24"/>
                <w:lang w:eastAsia="zh-CN"/>
                <w14:textFill>
                  <w14:solidFill>
                    <w14:schemeClr w14:val="tx1"/>
                  </w14:solidFill>
                </w14:textFill>
              </w:rPr>
              <w:t>。</w:t>
            </w:r>
            <w:r>
              <w:rPr>
                <w:rFonts w:hint="eastAsia" w:ascii="仿宋" w:hAnsi="仿宋" w:eastAsia="仿宋"/>
                <w:color w:val="000000" w:themeColor="text1"/>
                <w:kern w:val="0"/>
                <w:sz w:val="24"/>
                <w:szCs w:val="24"/>
                <w14:textFill>
                  <w14:solidFill>
                    <w14:schemeClr w14:val="tx1"/>
                  </w14:solidFill>
                </w14:textFill>
              </w:rPr>
              <w:t>（1分）</w:t>
            </w:r>
          </w:p>
          <w:p w14:paraId="16B5B935">
            <w:pPr>
              <w:spacing w:before="120" w:beforeLines="50" w:after="120"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售后服务团队配置</w:t>
            </w:r>
            <w:r>
              <w:rPr>
                <w:rFonts w:hint="eastAsia" w:ascii="仿宋" w:hAnsi="仿宋" w:eastAsia="仿宋"/>
                <w:color w:val="000000" w:themeColor="text1"/>
                <w:kern w:val="0"/>
                <w:sz w:val="24"/>
                <w:szCs w:val="24"/>
                <w:lang w:eastAsia="zh-CN"/>
                <w14:textFill>
                  <w14:solidFill>
                    <w14:schemeClr w14:val="tx1"/>
                  </w14:solidFill>
                </w14:textFill>
              </w:rPr>
              <w:t>。</w:t>
            </w:r>
            <w:r>
              <w:rPr>
                <w:rFonts w:hint="eastAsia" w:ascii="仿宋" w:hAnsi="仿宋" w:eastAsia="仿宋"/>
                <w:color w:val="000000" w:themeColor="text1"/>
                <w:kern w:val="0"/>
                <w:sz w:val="24"/>
                <w:szCs w:val="24"/>
                <w14:textFill>
                  <w14:solidFill>
                    <w14:schemeClr w14:val="tx1"/>
                  </w14:solidFill>
                </w14:textFill>
              </w:rPr>
              <w:t>（1分）</w:t>
            </w:r>
          </w:p>
          <w:p w14:paraId="43340917">
            <w:pPr>
              <w:spacing w:before="120" w:beforeLines="50" w:after="120"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根据提供的方案的完整性、合理性、针对性进行评分（评分范围：1,0）</w:t>
            </w:r>
          </w:p>
        </w:tc>
        <w:tc>
          <w:tcPr>
            <w:tcW w:w="699" w:type="dxa"/>
          </w:tcPr>
          <w:p w14:paraId="12350550">
            <w:pPr>
              <w:spacing w:before="120" w:beforeLines="50" w:after="120" w:afterLines="50"/>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3</w:t>
            </w:r>
          </w:p>
        </w:tc>
        <w:tc>
          <w:tcPr>
            <w:tcW w:w="1244" w:type="dxa"/>
          </w:tcPr>
          <w:p w14:paraId="31DCF52E">
            <w:pPr>
              <w:spacing w:before="120" w:beforeLines="50" w:after="120" w:afterLines="50"/>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主观分</w:t>
            </w:r>
          </w:p>
        </w:tc>
      </w:tr>
      <w:tr w14:paraId="2A61B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tcPr>
          <w:p w14:paraId="3DC4683E">
            <w:pPr>
              <w:spacing w:before="120" w:beforeLines="50" w:after="120" w:afterLines="50"/>
              <w:jc w:val="center"/>
              <w:rPr>
                <w:rFonts w:hint="eastAsia" w:ascii="仿宋" w:hAnsi="仿宋" w:eastAsia="仿宋"/>
                <w:color w:val="000000" w:themeColor="text1"/>
                <w:kern w:val="0"/>
                <w:sz w:val="24"/>
                <w:szCs w:val="24"/>
                <w:lang w:eastAsia="zh-CN"/>
                <w14:textFill>
                  <w14:solidFill>
                    <w14:schemeClr w14:val="tx1"/>
                  </w14:solidFill>
                </w14:textFill>
              </w:rPr>
            </w:pPr>
            <w:r>
              <w:rPr>
                <w:rFonts w:hint="eastAsia" w:ascii="仿宋" w:hAnsi="仿宋" w:eastAsia="仿宋"/>
                <w:color w:val="000000" w:themeColor="text1"/>
                <w:kern w:val="0"/>
                <w:sz w:val="24"/>
                <w:szCs w:val="24"/>
                <w:lang w:val="en-US" w:eastAsia="zh-CN"/>
                <w14:textFill>
                  <w14:solidFill>
                    <w14:schemeClr w14:val="tx1"/>
                  </w14:solidFill>
                </w14:textFill>
              </w:rPr>
              <w:t>8</w:t>
            </w:r>
          </w:p>
        </w:tc>
        <w:tc>
          <w:tcPr>
            <w:tcW w:w="1202" w:type="dxa"/>
          </w:tcPr>
          <w:p w14:paraId="743BEF1C">
            <w:pPr>
              <w:spacing w:before="120" w:beforeLines="50" w:after="120" w:afterLines="50"/>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商务资信</w:t>
            </w:r>
          </w:p>
        </w:tc>
        <w:tc>
          <w:tcPr>
            <w:tcW w:w="4623" w:type="dxa"/>
          </w:tcPr>
          <w:p w14:paraId="4FDDDC61">
            <w:pPr>
              <w:spacing w:before="120" w:beforeLines="50" w:after="120"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如在使用过程中发生质量问题（因人为因素出现的故障不在保修范围内），供应商维修响应时间：</w:t>
            </w:r>
          </w:p>
          <w:p w14:paraId="501BFF74">
            <w:pPr>
              <w:spacing w:before="120" w:beforeLines="50" w:after="120"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对用户系统或设备故障的响应</w:t>
            </w:r>
            <w:r>
              <w:rPr>
                <w:rFonts w:hint="eastAsia" w:ascii="仿宋" w:hAnsi="仿宋" w:eastAsia="仿宋"/>
                <w:color w:val="000000" w:themeColor="text1"/>
                <w:kern w:val="0"/>
                <w:sz w:val="24"/>
                <w:szCs w:val="24"/>
                <w:lang w:eastAsia="zh-CN"/>
                <w14:textFill>
                  <w14:solidFill>
                    <w14:schemeClr w14:val="tx1"/>
                  </w14:solidFill>
                </w14:textFill>
              </w:rPr>
              <w:t>。</w:t>
            </w:r>
            <w:r>
              <w:rPr>
                <w:rFonts w:hint="eastAsia" w:ascii="仿宋" w:hAnsi="仿宋" w:eastAsia="仿宋"/>
                <w:color w:val="000000" w:themeColor="text1"/>
                <w:kern w:val="0"/>
                <w:sz w:val="24"/>
                <w:szCs w:val="24"/>
                <w14:textFill>
                  <w14:solidFill>
                    <w14:schemeClr w14:val="tx1"/>
                  </w14:solidFill>
                </w14:textFill>
              </w:rPr>
              <w:t>（1分）</w:t>
            </w:r>
          </w:p>
          <w:p w14:paraId="2ADF23BE">
            <w:pPr>
              <w:spacing w:before="120" w:beforeLines="50" w:after="120"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响应时间</w:t>
            </w:r>
            <w:r>
              <w:rPr>
                <w:rFonts w:hint="eastAsia" w:ascii="仿宋" w:hAnsi="仿宋" w:eastAsia="仿宋"/>
                <w:color w:val="000000" w:themeColor="text1"/>
                <w:kern w:val="0"/>
                <w:sz w:val="24"/>
                <w:szCs w:val="24"/>
                <w:lang w:eastAsia="zh-CN"/>
                <w14:textFill>
                  <w14:solidFill>
                    <w14:schemeClr w14:val="tx1"/>
                  </w14:solidFill>
                </w14:textFill>
              </w:rPr>
              <w:t>。</w:t>
            </w:r>
            <w:r>
              <w:rPr>
                <w:rFonts w:hint="eastAsia" w:ascii="仿宋" w:hAnsi="仿宋" w:eastAsia="仿宋"/>
                <w:color w:val="000000" w:themeColor="text1"/>
                <w:kern w:val="0"/>
                <w:sz w:val="24"/>
                <w:szCs w:val="24"/>
                <w14:textFill>
                  <w14:solidFill>
                    <w14:schemeClr w14:val="tx1"/>
                  </w14:solidFill>
                </w14:textFill>
              </w:rPr>
              <w:t>（1分）</w:t>
            </w:r>
          </w:p>
          <w:p w14:paraId="56368875">
            <w:pPr>
              <w:spacing w:before="120" w:beforeLines="50" w:after="120"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处理方案</w:t>
            </w:r>
            <w:r>
              <w:rPr>
                <w:rFonts w:hint="eastAsia" w:ascii="仿宋" w:hAnsi="仿宋" w:eastAsia="仿宋"/>
                <w:color w:val="000000" w:themeColor="text1"/>
                <w:kern w:val="0"/>
                <w:sz w:val="24"/>
                <w:szCs w:val="24"/>
                <w:lang w:eastAsia="zh-CN"/>
                <w14:textFill>
                  <w14:solidFill>
                    <w14:schemeClr w14:val="tx1"/>
                  </w14:solidFill>
                </w14:textFill>
              </w:rPr>
              <w:t>。</w:t>
            </w:r>
            <w:r>
              <w:rPr>
                <w:rFonts w:hint="eastAsia" w:ascii="仿宋" w:hAnsi="仿宋" w:eastAsia="仿宋"/>
                <w:color w:val="000000" w:themeColor="text1"/>
                <w:kern w:val="0"/>
                <w:sz w:val="24"/>
                <w:szCs w:val="24"/>
                <w14:textFill>
                  <w14:solidFill>
                    <w14:schemeClr w14:val="tx1"/>
                  </w14:solidFill>
                </w14:textFill>
              </w:rPr>
              <w:t>（1分）</w:t>
            </w:r>
          </w:p>
          <w:p w14:paraId="251B1350">
            <w:pPr>
              <w:spacing w:before="120" w:beforeLines="50" w:after="120"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根据提供的方案的完整性、合理性、针对性进行评分（评分范围：1,0）</w:t>
            </w:r>
          </w:p>
        </w:tc>
        <w:tc>
          <w:tcPr>
            <w:tcW w:w="699" w:type="dxa"/>
          </w:tcPr>
          <w:p w14:paraId="07C76488">
            <w:pPr>
              <w:spacing w:before="120" w:beforeLines="50" w:after="120" w:afterLines="50"/>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3</w:t>
            </w:r>
          </w:p>
        </w:tc>
        <w:tc>
          <w:tcPr>
            <w:tcW w:w="1244" w:type="dxa"/>
          </w:tcPr>
          <w:p w14:paraId="78E1F9BD">
            <w:pPr>
              <w:spacing w:before="120" w:beforeLines="50" w:after="120" w:afterLines="50"/>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主观分</w:t>
            </w:r>
          </w:p>
        </w:tc>
      </w:tr>
      <w:tr w14:paraId="7B406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tcPr>
          <w:p w14:paraId="32D5E6DE">
            <w:pPr>
              <w:spacing w:before="120" w:beforeLines="50" w:after="120" w:afterLines="50"/>
              <w:jc w:val="center"/>
              <w:rPr>
                <w:rFonts w:hint="eastAsia" w:ascii="仿宋" w:hAnsi="仿宋" w:eastAsia="仿宋"/>
                <w:color w:val="000000" w:themeColor="text1"/>
                <w:kern w:val="0"/>
                <w:sz w:val="24"/>
                <w:szCs w:val="24"/>
                <w:lang w:eastAsia="zh-CN"/>
                <w14:textFill>
                  <w14:solidFill>
                    <w14:schemeClr w14:val="tx1"/>
                  </w14:solidFill>
                </w14:textFill>
              </w:rPr>
            </w:pPr>
            <w:r>
              <w:rPr>
                <w:rFonts w:hint="eastAsia" w:ascii="仿宋" w:hAnsi="仿宋" w:eastAsia="仿宋"/>
                <w:color w:val="000000" w:themeColor="text1"/>
                <w:kern w:val="0"/>
                <w:sz w:val="24"/>
                <w:szCs w:val="24"/>
                <w:lang w:val="en-US" w:eastAsia="zh-CN"/>
                <w14:textFill>
                  <w14:solidFill>
                    <w14:schemeClr w14:val="tx1"/>
                  </w14:solidFill>
                </w14:textFill>
              </w:rPr>
              <w:t>9</w:t>
            </w:r>
          </w:p>
        </w:tc>
        <w:tc>
          <w:tcPr>
            <w:tcW w:w="1202" w:type="dxa"/>
          </w:tcPr>
          <w:p w14:paraId="4A1D4ACA">
            <w:pPr>
              <w:spacing w:before="120" w:beforeLines="50" w:after="120" w:afterLines="50"/>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商务资信</w:t>
            </w:r>
          </w:p>
        </w:tc>
        <w:tc>
          <w:tcPr>
            <w:tcW w:w="4623" w:type="dxa"/>
          </w:tcPr>
          <w:p w14:paraId="2754AD26">
            <w:pPr>
              <w:spacing w:before="120" w:beforeLines="50" w:after="120"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提供针对性、详实的培训方案：</w:t>
            </w:r>
          </w:p>
          <w:p w14:paraId="3517BE2C">
            <w:pPr>
              <w:spacing w:before="120" w:beforeLines="50" w:after="120"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培训人员</w:t>
            </w:r>
            <w:r>
              <w:rPr>
                <w:rFonts w:hint="eastAsia" w:ascii="仿宋" w:hAnsi="仿宋" w:eastAsia="仿宋"/>
                <w:color w:val="000000" w:themeColor="text1"/>
                <w:kern w:val="0"/>
                <w:sz w:val="24"/>
                <w:szCs w:val="24"/>
                <w:lang w:eastAsia="zh-CN"/>
                <w14:textFill>
                  <w14:solidFill>
                    <w14:schemeClr w14:val="tx1"/>
                  </w14:solidFill>
                </w14:textFill>
              </w:rPr>
              <w:t>。</w:t>
            </w:r>
            <w:r>
              <w:rPr>
                <w:rFonts w:hint="eastAsia" w:ascii="仿宋" w:hAnsi="仿宋" w:eastAsia="仿宋"/>
                <w:color w:val="000000" w:themeColor="text1"/>
                <w:kern w:val="0"/>
                <w:sz w:val="24"/>
                <w:szCs w:val="24"/>
                <w14:textFill>
                  <w14:solidFill>
                    <w14:schemeClr w14:val="tx1"/>
                  </w14:solidFill>
                </w14:textFill>
              </w:rPr>
              <w:t>（1分）</w:t>
            </w:r>
          </w:p>
          <w:p w14:paraId="10E462F5">
            <w:pPr>
              <w:spacing w:before="120" w:beforeLines="50" w:after="120"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培训内容</w:t>
            </w:r>
            <w:r>
              <w:rPr>
                <w:rFonts w:hint="eastAsia" w:ascii="仿宋" w:hAnsi="仿宋" w:eastAsia="仿宋"/>
                <w:color w:val="000000" w:themeColor="text1"/>
                <w:kern w:val="0"/>
                <w:sz w:val="24"/>
                <w:szCs w:val="24"/>
                <w:lang w:eastAsia="zh-CN"/>
                <w14:textFill>
                  <w14:solidFill>
                    <w14:schemeClr w14:val="tx1"/>
                  </w14:solidFill>
                </w14:textFill>
              </w:rPr>
              <w:t>。</w:t>
            </w:r>
            <w:r>
              <w:rPr>
                <w:rFonts w:hint="eastAsia" w:ascii="仿宋" w:hAnsi="仿宋" w:eastAsia="仿宋"/>
                <w:color w:val="000000" w:themeColor="text1"/>
                <w:kern w:val="0"/>
                <w:sz w:val="24"/>
                <w:szCs w:val="24"/>
                <w14:textFill>
                  <w14:solidFill>
                    <w14:schemeClr w14:val="tx1"/>
                  </w14:solidFill>
                </w14:textFill>
              </w:rPr>
              <w:t>（2分）</w:t>
            </w:r>
          </w:p>
          <w:p w14:paraId="29D15B45">
            <w:pPr>
              <w:spacing w:before="120" w:beforeLines="50" w:after="120"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根据提供的方案的完整性、合理性、针对性进行评分（评分范围：2,1,0）</w:t>
            </w:r>
          </w:p>
        </w:tc>
        <w:tc>
          <w:tcPr>
            <w:tcW w:w="699" w:type="dxa"/>
          </w:tcPr>
          <w:p w14:paraId="53014CFE">
            <w:pPr>
              <w:spacing w:before="120" w:beforeLines="50" w:after="120" w:afterLines="50"/>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3</w:t>
            </w:r>
          </w:p>
        </w:tc>
        <w:tc>
          <w:tcPr>
            <w:tcW w:w="1244" w:type="dxa"/>
          </w:tcPr>
          <w:p w14:paraId="226AF065">
            <w:pPr>
              <w:spacing w:before="120" w:beforeLines="50" w:after="120" w:afterLines="50"/>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主观分</w:t>
            </w:r>
          </w:p>
        </w:tc>
      </w:tr>
      <w:tr w14:paraId="6F747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tcPr>
          <w:p w14:paraId="0072E361">
            <w:pPr>
              <w:spacing w:before="120" w:beforeLines="50" w:after="120" w:afterLines="50"/>
              <w:jc w:val="center"/>
              <w:rPr>
                <w:rFonts w:hint="default" w:ascii="仿宋" w:hAnsi="仿宋" w:eastAsia="仿宋"/>
                <w:color w:val="000000" w:themeColor="text1"/>
                <w:kern w:val="0"/>
                <w:sz w:val="24"/>
                <w:szCs w:val="24"/>
                <w:lang w:val="en-US" w:eastAsia="zh-CN"/>
                <w14:textFill>
                  <w14:solidFill>
                    <w14:schemeClr w14:val="tx1"/>
                  </w14:solidFill>
                </w14:textFill>
              </w:rPr>
            </w:pPr>
            <w:r>
              <w:rPr>
                <w:rFonts w:hint="eastAsia" w:ascii="仿宋" w:hAnsi="仿宋" w:eastAsia="仿宋"/>
                <w:color w:val="000000" w:themeColor="text1"/>
                <w:kern w:val="0"/>
                <w:sz w:val="24"/>
                <w:szCs w:val="24"/>
                <w:lang w:val="en-US" w:eastAsia="zh-CN"/>
                <w14:textFill>
                  <w14:solidFill>
                    <w14:schemeClr w14:val="tx1"/>
                  </w14:solidFill>
                </w14:textFill>
              </w:rPr>
              <w:t>10</w:t>
            </w:r>
          </w:p>
        </w:tc>
        <w:tc>
          <w:tcPr>
            <w:tcW w:w="1202" w:type="dxa"/>
          </w:tcPr>
          <w:p w14:paraId="3DBC4249">
            <w:pPr>
              <w:spacing w:before="120" w:beforeLines="50" w:after="120" w:afterLines="50"/>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商务资信</w:t>
            </w:r>
          </w:p>
        </w:tc>
        <w:tc>
          <w:tcPr>
            <w:tcW w:w="4623" w:type="dxa"/>
          </w:tcPr>
          <w:p w14:paraId="0C633FD9">
            <w:pPr>
              <w:spacing w:before="120" w:beforeLines="50" w:after="120"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提供ISO27701隐私信息管理体系认证证书得1分；</w:t>
            </w:r>
          </w:p>
          <w:p w14:paraId="143CE163">
            <w:pPr>
              <w:spacing w:before="120" w:beforeLines="50" w:after="120"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提供</w:t>
            </w:r>
            <w:bookmarkStart w:id="25" w:name="OLE_LINK1"/>
            <w:r>
              <w:rPr>
                <w:rFonts w:hint="eastAsia" w:ascii="仿宋" w:hAnsi="仿宋" w:eastAsia="仿宋"/>
                <w:color w:val="000000" w:themeColor="text1"/>
                <w:kern w:val="0"/>
                <w:sz w:val="24"/>
                <w:szCs w:val="24"/>
                <w14:textFill>
                  <w14:solidFill>
                    <w14:schemeClr w14:val="tx1"/>
                  </w14:solidFill>
                </w14:textFill>
              </w:rPr>
              <w:t>ISO22301</w:t>
            </w:r>
            <w:bookmarkEnd w:id="25"/>
            <w:bookmarkStart w:id="26" w:name="OLE_LINK2"/>
            <w:r>
              <w:rPr>
                <w:rFonts w:hint="eastAsia" w:ascii="仿宋" w:hAnsi="仿宋" w:eastAsia="仿宋"/>
                <w:color w:val="000000" w:themeColor="text1"/>
                <w:kern w:val="0"/>
                <w:sz w:val="24"/>
                <w:szCs w:val="24"/>
                <w14:textFill>
                  <w14:solidFill>
                    <w14:schemeClr w14:val="tx1"/>
                  </w14:solidFill>
                </w14:textFill>
              </w:rPr>
              <w:t>业务连续性管理</w:t>
            </w:r>
            <w:bookmarkEnd w:id="26"/>
            <w:r>
              <w:rPr>
                <w:rFonts w:hint="eastAsia" w:ascii="仿宋" w:hAnsi="仿宋" w:eastAsia="仿宋"/>
                <w:color w:val="000000" w:themeColor="text1"/>
                <w:kern w:val="0"/>
                <w:sz w:val="24"/>
                <w:szCs w:val="24"/>
                <w14:textFill>
                  <w14:solidFill>
                    <w14:schemeClr w14:val="tx1"/>
                  </w14:solidFill>
                </w14:textFill>
              </w:rPr>
              <w:t>体系认证证书得1分；</w:t>
            </w:r>
          </w:p>
          <w:p w14:paraId="08087030">
            <w:pPr>
              <w:spacing w:before="120" w:beforeLines="50" w:after="120"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提供ISO20000信息技术服务管理体系认证证书得1分；</w:t>
            </w:r>
          </w:p>
          <w:p w14:paraId="6A46A8F6">
            <w:pPr>
              <w:spacing w:before="120" w:beforeLines="50" w:after="120"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提供ISO27001信息安全管理体系认证证书得1分；</w:t>
            </w:r>
          </w:p>
          <w:p w14:paraId="5CBCF47E">
            <w:pPr>
              <w:spacing w:before="120" w:beforeLines="50" w:after="120"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提供服务器性能监控类软件著作权登记证书得1分。</w:t>
            </w:r>
          </w:p>
          <w:p w14:paraId="485608DC">
            <w:pPr>
              <w:spacing w:before="120" w:beforeLines="50" w:after="120"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注：提供证书复印件并加盖投标人公章或电子章，不提供不得分。</w:t>
            </w:r>
          </w:p>
        </w:tc>
        <w:tc>
          <w:tcPr>
            <w:tcW w:w="699" w:type="dxa"/>
          </w:tcPr>
          <w:p w14:paraId="4B61E9DA">
            <w:pPr>
              <w:spacing w:before="120" w:beforeLines="50" w:after="120" w:afterLines="50"/>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5</w:t>
            </w:r>
          </w:p>
        </w:tc>
        <w:tc>
          <w:tcPr>
            <w:tcW w:w="1244" w:type="dxa"/>
          </w:tcPr>
          <w:p w14:paraId="27DCC707">
            <w:pPr>
              <w:spacing w:before="120" w:beforeLines="50" w:after="120" w:afterLines="50"/>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客观分</w:t>
            </w:r>
          </w:p>
        </w:tc>
      </w:tr>
      <w:tr w14:paraId="13DD3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tcPr>
          <w:p w14:paraId="6F53955F">
            <w:pPr>
              <w:spacing w:before="120" w:beforeLines="50" w:after="120" w:afterLines="50"/>
              <w:jc w:val="center"/>
              <w:rPr>
                <w:rFonts w:hint="default" w:ascii="仿宋" w:hAnsi="仿宋" w:eastAsia="仿宋"/>
                <w:color w:val="000000" w:themeColor="text1"/>
                <w:kern w:val="0"/>
                <w:sz w:val="24"/>
                <w:szCs w:val="24"/>
                <w:lang w:val="en-US" w:eastAsia="zh-CN"/>
                <w14:textFill>
                  <w14:solidFill>
                    <w14:schemeClr w14:val="tx1"/>
                  </w14:solidFill>
                </w14:textFill>
              </w:rPr>
            </w:pPr>
            <w:r>
              <w:rPr>
                <w:rFonts w:hint="eastAsia" w:ascii="仿宋" w:hAnsi="仿宋" w:eastAsia="仿宋"/>
                <w:color w:val="000000" w:themeColor="text1"/>
                <w:kern w:val="0"/>
                <w:sz w:val="24"/>
                <w:szCs w:val="24"/>
                <w:lang w:val="en-US" w:eastAsia="zh-CN"/>
                <w14:textFill>
                  <w14:solidFill>
                    <w14:schemeClr w14:val="tx1"/>
                  </w14:solidFill>
                </w14:textFill>
              </w:rPr>
              <w:t>11</w:t>
            </w:r>
          </w:p>
        </w:tc>
        <w:tc>
          <w:tcPr>
            <w:tcW w:w="1202" w:type="dxa"/>
          </w:tcPr>
          <w:p w14:paraId="43EB9E43">
            <w:pPr>
              <w:spacing w:before="120" w:beforeLines="50" w:after="120" w:afterLines="50"/>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商务资信</w:t>
            </w:r>
          </w:p>
        </w:tc>
        <w:tc>
          <w:tcPr>
            <w:tcW w:w="4623" w:type="dxa"/>
          </w:tcPr>
          <w:p w14:paraId="5CCC9804">
            <w:pPr>
              <w:spacing w:before="120" w:beforeLines="50" w:after="120" w:afterLine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投标人提供2021年1月1日起至投标截止时间止（以合同签订时间为准）同类合同业绩（以提供的合同扫描件为准）：每提供1份合同业绩及验收证明得1分，最高得3分。</w:t>
            </w:r>
          </w:p>
        </w:tc>
        <w:tc>
          <w:tcPr>
            <w:tcW w:w="699" w:type="dxa"/>
          </w:tcPr>
          <w:p w14:paraId="4DED03B6">
            <w:pPr>
              <w:spacing w:before="120" w:beforeLines="50" w:after="120" w:afterLines="50"/>
              <w:jc w:val="center"/>
              <w:rPr>
                <w:rFonts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3</w:t>
            </w:r>
          </w:p>
        </w:tc>
        <w:tc>
          <w:tcPr>
            <w:tcW w:w="1244" w:type="dxa"/>
          </w:tcPr>
          <w:p w14:paraId="3151F70F">
            <w:pPr>
              <w:spacing w:before="120" w:beforeLines="50" w:after="120" w:afterLines="50"/>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客观分</w:t>
            </w:r>
          </w:p>
        </w:tc>
      </w:tr>
    </w:tbl>
    <w:p w14:paraId="430A0DF3">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 xml:space="preserve"> </w:t>
      </w:r>
      <w:bookmarkEnd w:id="24"/>
    </w:p>
    <w:p w14:paraId="2B047D7F">
      <w:pPr>
        <w:spacing w:after="240" w:afterLines="100" w:line="340" w:lineRule="exact"/>
        <w:jc w:val="center"/>
        <w:outlineLvl w:val="0"/>
        <w:rPr>
          <w:rFonts w:hAnsi="宋体"/>
          <w:b/>
          <w:color w:val="000000" w:themeColor="text1"/>
          <w:sz w:val="36"/>
          <w:szCs w:val="36"/>
          <w14:textFill>
            <w14:solidFill>
              <w14:schemeClr w14:val="tx1"/>
            </w14:solidFill>
          </w14:textFill>
        </w:rPr>
      </w:pPr>
    </w:p>
    <w:p w14:paraId="20CFF025">
      <w:pPr>
        <w:spacing w:after="240" w:afterLines="100" w:line="340" w:lineRule="exact"/>
        <w:jc w:val="center"/>
        <w:outlineLvl w:val="0"/>
        <w:rPr>
          <w:rFonts w:hAnsi="宋体"/>
          <w:b/>
          <w:color w:val="000000" w:themeColor="text1"/>
          <w:sz w:val="36"/>
          <w:szCs w:val="36"/>
          <w14:textFill>
            <w14:solidFill>
              <w14:schemeClr w14:val="tx1"/>
            </w14:solidFill>
          </w14:textFill>
        </w:rPr>
      </w:pPr>
    </w:p>
    <w:p w14:paraId="2C12E73D">
      <w:pPr>
        <w:spacing w:after="240" w:afterLines="100" w:line="340" w:lineRule="exact"/>
        <w:jc w:val="center"/>
        <w:outlineLvl w:val="0"/>
        <w:rPr>
          <w:rFonts w:hAnsi="宋体"/>
          <w:b/>
          <w:color w:val="000000" w:themeColor="text1"/>
          <w:sz w:val="36"/>
          <w:szCs w:val="36"/>
          <w14:textFill>
            <w14:solidFill>
              <w14:schemeClr w14:val="tx1"/>
            </w14:solidFill>
          </w14:textFill>
        </w:rPr>
      </w:pPr>
    </w:p>
    <w:p w14:paraId="10EA198C">
      <w:pPr>
        <w:spacing w:after="240" w:afterLines="100" w:line="340" w:lineRule="exact"/>
        <w:outlineLvl w:val="0"/>
        <w:rPr>
          <w:rFonts w:hAnsi="宋体"/>
          <w:b/>
          <w:color w:val="000000" w:themeColor="text1"/>
          <w:sz w:val="36"/>
          <w:szCs w:val="36"/>
          <w14:textFill>
            <w14:solidFill>
              <w14:schemeClr w14:val="tx1"/>
            </w14:solidFill>
          </w14:textFill>
        </w:rPr>
      </w:pPr>
    </w:p>
    <w:p w14:paraId="1DCE2021">
      <w:pPr>
        <w:pStyle w:val="2"/>
      </w:pPr>
    </w:p>
    <w:p w14:paraId="56833C3D"/>
    <w:p w14:paraId="544AC2EC">
      <w:pPr>
        <w:pStyle w:val="2"/>
      </w:pPr>
    </w:p>
    <w:p w14:paraId="65A53CF4"/>
    <w:p w14:paraId="475B5F40">
      <w:pPr>
        <w:pStyle w:val="2"/>
      </w:pPr>
    </w:p>
    <w:p w14:paraId="334BC5F5"/>
    <w:p w14:paraId="4C47BC0B">
      <w:pPr>
        <w:pStyle w:val="2"/>
      </w:pPr>
    </w:p>
    <w:p w14:paraId="63D9499A">
      <w:pPr>
        <w:pStyle w:val="2"/>
        <w:ind w:left="0" w:leftChars="0" w:firstLine="0" w:firstLineChars="0"/>
      </w:pPr>
    </w:p>
    <w:p w14:paraId="7A6AB638">
      <w:pPr>
        <w:spacing w:after="240" w:afterLines="100" w:line="360" w:lineRule="auto"/>
        <w:jc w:val="center"/>
        <w:outlineLvl w:val="0"/>
        <w:rPr>
          <w:rFonts w:ascii="宋体" w:hAnsi="宋体" w:eastAsiaTheme="minorEastAsia"/>
          <w:b/>
          <w:color w:val="000000" w:themeColor="text1"/>
          <w:spacing w:val="40"/>
          <w:kern w:val="0"/>
          <w:sz w:val="36"/>
          <w:szCs w:val="36"/>
          <w14:textFill>
            <w14:solidFill>
              <w14:schemeClr w14:val="tx1"/>
            </w14:solidFill>
          </w14:textFill>
        </w:rPr>
      </w:pPr>
      <w:bookmarkStart w:id="27" w:name="_Toc24960"/>
      <w:r>
        <w:rPr>
          <w:rFonts w:hint="eastAsia" w:hAnsi="宋体"/>
          <w:b/>
          <w:color w:val="000000" w:themeColor="text1"/>
          <w:sz w:val="36"/>
          <w:szCs w:val="36"/>
          <w14:textFill>
            <w14:solidFill>
              <w14:schemeClr w14:val="tx1"/>
            </w14:solidFill>
          </w14:textFill>
        </w:rPr>
        <w:t>第四章 招标需求</w:t>
      </w:r>
      <w:bookmarkEnd w:id="23"/>
      <w:bookmarkEnd w:id="27"/>
    </w:p>
    <w:p w14:paraId="0070EAE5">
      <w:pPr>
        <w:snapToGrid w:val="0"/>
        <w:spacing w:before="120" w:beforeLines="50" w:after="120" w:afterLines="50"/>
        <w:rPr>
          <w:rFonts w:ascii="仿宋" w:hAnsi="仿宋" w:eastAsia="仿宋"/>
          <w:b/>
          <w:color w:val="000000" w:themeColor="text1"/>
          <w:spacing w:val="40"/>
          <w:kern w:val="0"/>
          <w:sz w:val="28"/>
          <w:szCs w:val="28"/>
          <w14:textFill>
            <w14:solidFill>
              <w14:schemeClr w14:val="tx1"/>
            </w14:solidFill>
          </w14:textFill>
        </w:rPr>
      </w:pPr>
      <w:r>
        <w:rPr>
          <w:rFonts w:hint="eastAsia" w:ascii="仿宋" w:hAnsi="仿宋" w:eastAsia="仿宋"/>
          <w:b/>
          <w:color w:val="000000" w:themeColor="text1"/>
          <w:spacing w:val="40"/>
          <w:kern w:val="0"/>
          <w:sz w:val="28"/>
          <w:szCs w:val="28"/>
          <w14:textFill>
            <w14:solidFill>
              <w14:schemeClr w14:val="tx1"/>
            </w14:solidFill>
          </w14:textFill>
        </w:rPr>
        <w:t>特别说明：</w:t>
      </w:r>
    </w:p>
    <w:p w14:paraId="007E243D">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1.除采购文件明确的品牌外，欢迎其他能满足本项目技术需求且性能与所明确品牌相当的产品参加。</w:t>
      </w:r>
    </w:p>
    <w:p w14:paraId="7611A593">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2.需求中不允许偏离的实质性要求和条件，以“▲”号标明，如投标人未响应的，将被视为无效。</w:t>
      </w:r>
    </w:p>
    <w:p w14:paraId="35184E8F">
      <w:pPr>
        <w:spacing w:line="360" w:lineRule="auto"/>
        <w:ind w:firstLine="562" w:firstLineChars="200"/>
        <w:rPr>
          <w:rFonts w:ascii="仿宋" w:hAnsi="仿宋" w:eastAsia="仿宋_GB2312"/>
          <w:b/>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3.核心产品在各标项内容中明确，如出现同品牌情况的，评标委员会根据评审原则第4条规定执行</w:t>
      </w:r>
      <w:r>
        <w:rPr>
          <w:rFonts w:hint="eastAsia" w:ascii="仿宋" w:hAnsi="仿宋" w:eastAsia="仿宋_GB2312"/>
          <w:b/>
          <w:color w:val="000000" w:themeColor="text1"/>
          <w:sz w:val="30"/>
          <w:szCs w:val="30"/>
          <w14:textFill>
            <w14:solidFill>
              <w14:schemeClr w14:val="tx1"/>
            </w14:solidFill>
          </w14:textFill>
        </w:rPr>
        <w:t>。</w:t>
      </w:r>
    </w:p>
    <w:p w14:paraId="7A6643EA">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14:paraId="1F7F6E4D">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5</w:t>
      </w:r>
      <w:r>
        <w:rPr>
          <w:rFonts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 xml:space="preserve"> 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24C9E894">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6.</w:t>
      </w:r>
      <w:r>
        <w:rPr>
          <w:rFonts w:hint="eastAsia" w:ascii="仿宋" w:hAnsi="仿宋" w:eastAsia="仿宋"/>
          <w:b/>
          <w:color w:val="000000" w:themeColor="text1"/>
          <w:sz w:val="28"/>
          <w:szCs w:val="28"/>
          <w14:textFill>
            <w14:solidFill>
              <w14:schemeClr w14:val="tx1"/>
            </w14:solidFill>
          </w14:textFill>
        </w:rPr>
        <w:t>供应商承诺提供赠品、回扣、采购预算中本身不包含的其他商品或服务，视作无效承诺。</w:t>
      </w:r>
    </w:p>
    <w:p w14:paraId="15181D99">
      <w:pPr>
        <w:pStyle w:val="2"/>
      </w:pPr>
    </w:p>
    <w:p w14:paraId="4C5F20ED"/>
    <w:p w14:paraId="2CA031E0">
      <w:pPr>
        <w:pStyle w:val="2"/>
      </w:pPr>
    </w:p>
    <w:p w14:paraId="1FCC1840">
      <w:pPr>
        <w:pStyle w:val="3"/>
        <w:spacing w:line="480" w:lineRule="auto"/>
        <w:rPr>
          <w:rFonts w:hAnsi="宋体" w:eastAsia="宋体"/>
          <w:bCs w:val="0"/>
          <w:color w:val="000000" w:themeColor="text1"/>
          <w:kern w:val="2"/>
          <w14:textFill>
            <w14:solidFill>
              <w14:schemeClr w14:val="tx1"/>
            </w14:solidFill>
          </w14:textFill>
        </w:rPr>
      </w:pPr>
      <w:bookmarkStart w:id="28" w:name="PO_TDCUS_ITEM_PB_REQ_FILE_1_1_0"/>
      <w:bookmarkStart w:id="29" w:name="_Toc496796639"/>
    </w:p>
    <w:p w14:paraId="52A6515B">
      <w:pPr>
        <w:pStyle w:val="3"/>
        <w:spacing w:line="480" w:lineRule="auto"/>
        <w:rPr>
          <w:rFonts w:hAnsi="宋体" w:eastAsia="宋体"/>
          <w:bCs w:val="0"/>
          <w:color w:val="000000" w:themeColor="text1"/>
          <w:kern w:val="2"/>
          <w14:textFill>
            <w14:solidFill>
              <w14:schemeClr w14:val="tx1"/>
            </w14:solidFill>
          </w14:textFill>
        </w:rPr>
      </w:pPr>
    </w:p>
    <w:p w14:paraId="593CE03B">
      <w:pPr>
        <w:pStyle w:val="3"/>
        <w:spacing w:line="480" w:lineRule="auto"/>
        <w:rPr>
          <w:rFonts w:hAnsi="宋体" w:eastAsia="宋体"/>
          <w:bCs w:val="0"/>
          <w:color w:val="000000" w:themeColor="text1"/>
          <w:kern w:val="2"/>
          <w14:textFill>
            <w14:solidFill>
              <w14:schemeClr w14:val="tx1"/>
            </w14:solidFill>
          </w14:textFill>
        </w:rPr>
      </w:pPr>
      <w:r>
        <w:rPr>
          <w:rFonts w:hint="eastAsia" w:hAnsi="宋体" w:eastAsia="宋体"/>
          <w:bCs w:val="0"/>
          <w:color w:val="000000" w:themeColor="text1"/>
          <w:kern w:val="2"/>
          <w14:textFill>
            <w14:solidFill>
              <w14:schemeClr w14:val="tx1"/>
            </w14:solidFill>
          </w14:textFill>
        </w:rPr>
        <w:t>标项1：浙江外国语学院图书馆机房建设项目</w:t>
      </w:r>
    </w:p>
    <w:tbl>
      <w:tblPr>
        <w:tblStyle w:val="60"/>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3691"/>
        <w:gridCol w:w="1605"/>
        <w:gridCol w:w="1615"/>
      </w:tblGrid>
      <w:tr w14:paraId="2DF68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29" w:type="dxa"/>
            <w:gridSpan w:val="4"/>
          </w:tcPr>
          <w:p w14:paraId="2938F5AB">
            <w:pPr>
              <w:spacing w:after="160" w:line="278" w:lineRule="auto"/>
              <w:jc w:val="center"/>
              <w:rPr>
                <w:rFonts w:ascii="等线" w:hAnsi="等线"/>
              </w:rPr>
            </w:pPr>
            <w:r>
              <w:rPr>
                <w:rFonts w:hint="eastAsia"/>
                <w:b/>
                <w:bCs/>
                <w:sz w:val="28"/>
                <w:szCs w:val="28"/>
              </w:rPr>
              <w:t>采购清单</w:t>
            </w:r>
          </w:p>
        </w:tc>
      </w:tr>
      <w:tr w14:paraId="4098C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618" w:type="dxa"/>
          </w:tcPr>
          <w:p w14:paraId="2EE21143">
            <w:pPr>
              <w:spacing w:after="160" w:line="278" w:lineRule="auto"/>
              <w:jc w:val="center"/>
              <w:rPr>
                <w:rFonts w:ascii="等线" w:hAnsi="等线"/>
              </w:rPr>
            </w:pPr>
            <w:r>
              <w:rPr>
                <w:rFonts w:hint="eastAsia" w:ascii="等线" w:hAnsi="等线"/>
              </w:rPr>
              <w:t>序号</w:t>
            </w:r>
          </w:p>
        </w:tc>
        <w:tc>
          <w:tcPr>
            <w:tcW w:w="3691" w:type="dxa"/>
          </w:tcPr>
          <w:p w14:paraId="6582BCB7">
            <w:pPr>
              <w:spacing w:after="160" w:line="278" w:lineRule="auto"/>
              <w:jc w:val="center"/>
              <w:rPr>
                <w:rFonts w:ascii="等线" w:hAnsi="等线"/>
              </w:rPr>
            </w:pPr>
            <w:r>
              <w:rPr>
                <w:rFonts w:hint="eastAsia" w:ascii="等线" w:hAnsi="等线"/>
              </w:rPr>
              <w:t>项目</w:t>
            </w:r>
            <w:r>
              <w:rPr>
                <w:rFonts w:ascii="等线" w:hAnsi="等线"/>
              </w:rPr>
              <w:t>名称</w:t>
            </w:r>
          </w:p>
        </w:tc>
        <w:tc>
          <w:tcPr>
            <w:tcW w:w="1605" w:type="dxa"/>
          </w:tcPr>
          <w:p w14:paraId="7D96C705">
            <w:pPr>
              <w:spacing w:after="160" w:line="278" w:lineRule="auto"/>
              <w:jc w:val="center"/>
              <w:rPr>
                <w:rFonts w:ascii="等线" w:hAnsi="等线"/>
              </w:rPr>
            </w:pPr>
            <w:r>
              <w:rPr>
                <w:rFonts w:ascii="等线" w:hAnsi="等线"/>
              </w:rPr>
              <w:t>单位</w:t>
            </w:r>
          </w:p>
        </w:tc>
        <w:tc>
          <w:tcPr>
            <w:tcW w:w="1615" w:type="dxa"/>
          </w:tcPr>
          <w:p w14:paraId="35D4BE7C">
            <w:pPr>
              <w:spacing w:after="160" w:line="278" w:lineRule="auto"/>
              <w:jc w:val="center"/>
              <w:rPr>
                <w:rFonts w:ascii="等线" w:hAnsi="等线"/>
              </w:rPr>
            </w:pPr>
            <w:r>
              <w:rPr>
                <w:rFonts w:ascii="等线" w:hAnsi="等线"/>
              </w:rPr>
              <w:t>数量</w:t>
            </w:r>
          </w:p>
        </w:tc>
      </w:tr>
      <w:tr w14:paraId="69E28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618" w:type="dxa"/>
            <w:vAlign w:val="center"/>
          </w:tcPr>
          <w:p w14:paraId="4B1AA035">
            <w:pPr>
              <w:spacing w:after="160" w:line="278" w:lineRule="auto"/>
              <w:jc w:val="center"/>
              <w:rPr>
                <w:rFonts w:ascii="等线" w:hAnsi="等线"/>
              </w:rPr>
            </w:pPr>
            <w:r>
              <w:rPr>
                <w:rFonts w:hint="eastAsia" w:ascii="等线" w:hAnsi="等线"/>
              </w:rPr>
              <w:t>1</w:t>
            </w:r>
          </w:p>
        </w:tc>
        <w:tc>
          <w:tcPr>
            <w:tcW w:w="3691" w:type="dxa"/>
            <w:vAlign w:val="center"/>
          </w:tcPr>
          <w:p w14:paraId="02C3C5FE">
            <w:pPr>
              <w:spacing w:after="160" w:line="278" w:lineRule="auto"/>
              <w:jc w:val="center"/>
              <w:rPr>
                <w:rFonts w:ascii="等线" w:hAnsi="等线"/>
              </w:rPr>
            </w:pPr>
            <w:r>
              <w:rPr>
                <w:rFonts w:hint="eastAsia" w:ascii="等线" w:hAnsi="等线"/>
              </w:rPr>
              <w:t>超融合主机和超融合软件</w:t>
            </w:r>
          </w:p>
        </w:tc>
        <w:tc>
          <w:tcPr>
            <w:tcW w:w="1605" w:type="dxa"/>
            <w:vAlign w:val="center"/>
          </w:tcPr>
          <w:p w14:paraId="5AB9107A">
            <w:pPr>
              <w:spacing w:after="160" w:line="278" w:lineRule="auto"/>
              <w:jc w:val="center"/>
              <w:rPr>
                <w:rFonts w:ascii="等线" w:hAnsi="等线"/>
              </w:rPr>
            </w:pPr>
            <w:r>
              <w:rPr>
                <w:rFonts w:hint="eastAsia" w:ascii="等线" w:hAnsi="等线"/>
              </w:rPr>
              <w:t>套</w:t>
            </w:r>
          </w:p>
        </w:tc>
        <w:tc>
          <w:tcPr>
            <w:tcW w:w="1615" w:type="dxa"/>
            <w:vAlign w:val="center"/>
          </w:tcPr>
          <w:p w14:paraId="41CDD630">
            <w:pPr>
              <w:spacing w:after="160" w:line="278" w:lineRule="auto"/>
              <w:jc w:val="center"/>
              <w:rPr>
                <w:rFonts w:ascii="等线" w:hAnsi="等线"/>
              </w:rPr>
            </w:pPr>
            <w:r>
              <w:rPr>
                <w:rFonts w:ascii="等线" w:hAnsi="等线"/>
              </w:rPr>
              <w:t>8</w:t>
            </w:r>
          </w:p>
        </w:tc>
      </w:tr>
      <w:tr w14:paraId="2DC67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618" w:type="dxa"/>
            <w:vAlign w:val="center"/>
          </w:tcPr>
          <w:p w14:paraId="6307645C">
            <w:pPr>
              <w:spacing w:after="160" w:line="278" w:lineRule="auto"/>
              <w:jc w:val="center"/>
              <w:rPr>
                <w:rFonts w:ascii="等线" w:hAnsi="等线"/>
              </w:rPr>
            </w:pPr>
            <w:r>
              <w:rPr>
                <w:rFonts w:hint="eastAsia" w:ascii="等线" w:hAnsi="等线"/>
              </w:rPr>
              <w:t>2</w:t>
            </w:r>
          </w:p>
        </w:tc>
        <w:tc>
          <w:tcPr>
            <w:tcW w:w="3691" w:type="dxa"/>
            <w:vAlign w:val="center"/>
          </w:tcPr>
          <w:p w14:paraId="78CB7E79">
            <w:pPr>
              <w:spacing w:after="160" w:line="278" w:lineRule="auto"/>
              <w:jc w:val="center"/>
              <w:rPr>
                <w:rFonts w:ascii="等线" w:hAnsi="等线"/>
              </w:rPr>
            </w:pPr>
            <w:r>
              <w:rPr>
                <w:rFonts w:hint="eastAsia" w:ascii="等线" w:hAnsi="等线"/>
              </w:rPr>
              <w:t>存储系统</w:t>
            </w:r>
            <w:r>
              <w:rPr>
                <w:rFonts w:hint="eastAsia" w:ascii="等线" w:hAnsi="等线"/>
                <w:b/>
                <w:bCs/>
                <w:color w:val="C00000"/>
              </w:rPr>
              <w:t>（核心产品）</w:t>
            </w:r>
          </w:p>
        </w:tc>
        <w:tc>
          <w:tcPr>
            <w:tcW w:w="1605" w:type="dxa"/>
            <w:vAlign w:val="center"/>
          </w:tcPr>
          <w:p w14:paraId="42249DC1">
            <w:pPr>
              <w:spacing w:after="160" w:line="278" w:lineRule="auto"/>
              <w:jc w:val="center"/>
              <w:rPr>
                <w:rFonts w:ascii="等线" w:hAnsi="等线"/>
              </w:rPr>
            </w:pPr>
            <w:r>
              <w:rPr>
                <w:rFonts w:hint="eastAsia" w:ascii="等线" w:hAnsi="等线"/>
              </w:rPr>
              <w:t>套</w:t>
            </w:r>
          </w:p>
        </w:tc>
        <w:tc>
          <w:tcPr>
            <w:tcW w:w="1615" w:type="dxa"/>
            <w:vAlign w:val="center"/>
          </w:tcPr>
          <w:p w14:paraId="5B9B4B9B">
            <w:pPr>
              <w:spacing w:after="160" w:line="278" w:lineRule="auto"/>
              <w:jc w:val="center"/>
              <w:rPr>
                <w:rFonts w:ascii="等线" w:hAnsi="等线"/>
              </w:rPr>
            </w:pPr>
            <w:r>
              <w:rPr>
                <w:rFonts w:hint="eastAsia" w:ascii="等线" w:hAnsi="等线"/>
              </w:rPr>
              <w:t>1</w:t>
            </w:r>
          </w:p>
        </w:tc>
      </w:tr>
      <w:tr w14:paraId="65511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618" w:type="dxa"/>
            <w:vAlign w:val="center"/>
          </w:tcPr>
          <w:p w14:paraId="31EB1814">
            <w:pPr>
              <w:spacing w:after="160" w:line="278" w:lineRule="auto"/>
              <w:jc w:val="center"/>
              <w:rPr>
                <w:rFonts w:ascii="等线" w:hAnsi="等线"/>
              </w:rPr>
            </w:pPr>
            <w:r>
              <w:rPr>
                <w:rFonts w:hint="eastAsia" w:ascii="等线" w:hAnsi="等线"/>
              </w:rPr>
              <w:t>3</w:t>
            </w:r>
          </w:p>
        </w:tc>
        <w:tc>
          <w:tcPr>
            <w:tcW w:w="3691" w:type="dxa"/>
            <w:vAlign w:val="center"/>
          </w:tcPr>
          <w:p w14:paraId="13DAA3A7">
            <w:pPr>
              <w:spacing w:after="160" w:line="278" w:lineRule="auto"/>
              <w:jc w:val="center"/>
              <w:rPr>
                <w:rFonts w:ascii="等线" w:hAnsi="等线"/>
              </w:rPr>
            </w:pPr>
            <w:r>
              <w:rPr>
                <w:rFonts w:hint="eastAsia" w:ascii="等线" w:hAnsi="等线"/>
              </w:rPr>
              <w:t>交换机</w:t>
            </w:r>
          </w:p>
        </w:tc>
        <w:tc>
          <w:tcPr>
            <w:tcW w:w="1605" w:type="dxa"/>
            <w:vAlign w:val="center"/>
          </w:tcPr>
          <w:p w14:paraId="06DEECC7">
            <w:pPr>
              <w:spacing w:after="160" w:line="278" w:lineRule="auto"/>
              <w:jc w:val="center"/>
              <w:rPr>
                <w:rFonts w:ascii="等线" w:hAnsi="等线"/>
              </w:rPr>
            </w:pPr>
            <w:r>
              <w:rPr>
                <w:rFonts w:hint="eastAsia" w:ascii="等线" w:hAnsi="等线"/>
              </w:rPr>
              <w:t>套</w:t>
            </w:r>
          </w:p>
        </w:tc>
        <w:tc>
          <w:tcPr>
            <w:tcW w:w="1615" w:type="dxa"/>
            <w:vAlign w:val="center"/>
          </w:tcPr>
          <w:p w14:paraId="1D014EBE">
            <w:pPr>
              <w:spacing w:after="160" w:line="278" w:lineRule="auto"/>
              <w:jc w:val="center"/>
              <w:rPr>
                <w:rFonts w:ascii="等线" w:hAnsi="等线"/>
              </w:rPr>
            </w:pPr>
            <w:r>
              <w:rPr>
                <w:rFonts w:hint="eastAsia" w:ascii="等线" w:hAnsi="等线"/>
              </w:rPr>
              <w:t>1</w:t>
            </w:r>
          </w:p>
        </w:tc>
      </w:tr>
      <w:tr w14:paraId="33A0E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618" w:type="dxa"/>
            <w:vAlign w:val="center"/>
          </w:tcPr>
          <w:p w14:paraId="23AE97A1">
            <w:pPr>
              <w:spacing w:after="160" w:line="278" w:lineRule="auto"/>
              <w:jc w:val="center"/>
              <w:rPr>
                <w:rFonts w:ascii="等线" w:hAnsi="等线"/>
              </w:rPr>
            </w:pPr>
            <w:r>
              <w:rPr>
                <w:rFonts w:hint="eastAsia" w:ascii="等线" w:hAnsi="等线"/>
              </w:rPr>
              <w:t>4</w:t>
            </w:r>
          </w:p>
        </w:tc>
        <w:tc>
          <w:tcPr>
            <w:tcW w:w="3691" w:type="dxa"/>
            <w:vAlign w:val="center"/>
          </w:tcPr>
          <w:p w14:paraId="6B6BD65D">
            <w:pPr>
              <w:spacing w:after="160" w:line="278" w:lineRule="auto"/>
              <w:jc w:val="center"/>
              <w:rPr>
                <w:rFonts w:ascii="等线" w:hAnsi="等线"/>
              </w:rPr>
            </w:pPr>
            <w:r>
              <w:rPr>
                <w:rFonts w:hint="eastAsia" w:ascii="等线" w:hAnsi="等线"/>
              </w:rPr>
              <w:t>其他服务</w:t>
            </w:r>
          </w:p>
        </w:tc>
        <w:tc>
          <w:tcPr>
            <w:tcW w:w="1605" w:type="dxa"/>
            <w:vAlign w:val="center"/>
          </w:tcPr>
          <w:p w14:paraId="25836095">
            <w:pPr>
              <w:spacing w:after="160" w:line="278" w:lineRule="auto"/>
              <w:jc w:val="center"/>
              <w:rPr>
                <w:rFonts w:ascii="等线" w:hAnsi="等线"/>
              </w:rPr>
            </w:pPr>
            <w:r>
              <w:rPr>
                <w:rFonts w:hint="eastAsia" w:ascii="等线" w:hAnsi="等线"/>
              </w:rPr>
              <w:t>项</w:t>
            </w:r>
          </w:p>
        </w:tc>
        <w:tc>
          <w:tcPr>
            <w:tcW w:w="1615" w:type="dxa"/>
            <w:vAlign w:val="center"/>
          </w:tcPr>
          <w:p w14:paraId="4896AE41">
            <w:pPr>
              <w:spacing w:after="160" w:line="278" w:lineRule="auto"/>
              <w:jc w:val="center"/>
              <w:rPr>
                <w:rFonts w:ascii="等线" w:hAnsi="等线"/>
              </w:rPr>
            </w:pPr>
            <w:r>
              <w:rPr>
                <w:rFonts w:hint="eastAsia" w:ascii="等线" w:hAnsi="等线"/>
              </w:rPr>
              <w:t>1</w:t>
            </w:r>
          </w:p>
        </w:tc>
      </w:tr>
    </w:tbl>
    <w:p w14:paraId="58CD0889">
      <w:pPr>
        <w:widowControl/>
        <w:spacing w:after="160" w:line="278" w:lineRule="auto"/>
        <w:jc w:val="left"/>
        <w:rPr>
          <w:rFonts w:ascii="宋体" w:hAnsi="等线"/>
          <w:sz w:val="24"/>
        </w:rPr>
      </w:pPr>
      <w:r>
        <w:rPr>
          <w:rFonts w:ascii="宋体" w:hAnsi="等线"/>
          <w:sz w:val="24"/>
        </w:rPr>
        <w:br w:type="page"/>
      </w:r>
    </w:p>
    <w:tbl>
      <w:tblPr>
        <w:tblStyle w:val="6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189"/>
        <w:gridCol w:w="1211"/>
        <w:gridCol w:w="1350"/>
        <w:gridCol w:w="4073"/>
      </w:tblGrid>
      <w:tr w14:paraId="2A56F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8522" w:type="dxa"/>
            <w:gridSpan w:val="5"/>
          </w:tcPr>
          <w:p w14:paraId="722ACC7B">
            <w:pPr>
              <w:keepNext/>
              <w:keepLines/>
              <w:spacing w:before="100" w:beforeAutospacing="1" w:after="100" w:afterAutospacing="1" w:line="278" w:lineRule="auto"/>
              <w:jc w:val="center"/>
              <w:outlineLvl w:val="1"/>
              <w:rPr>
                <w:rFonts w:ascii="宋体" w:hAnsi="等线"/>
                <w:sz w:val="24"/>
              </w:rPr>
            </w:pPr>
            <w:r>
              <w:rPr>
                <w:rFonts w:hint="eastAsia" w:ascii="等线 Light" w:hAnsi="等线 Light"/>
                <w:b/>
                <w:bCs/>
                <w:sz w:val="30"/>
                <w:szCs w:val="32"/>
              </w:rPr>
              <w:t>超融合主机和超融合软件</w:t>
            </w:r>
          </w:p>
        </w:tc>
      </w:tr>
      <w:tr w14:paraId="5C916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657183A0">
            <w:pPr>
              <w:spacing w:after="160" w:line="278" w:lineRule="auto"/>
              <w:jc w:val="center"/>
              <w:rPr>
                <w:rFonts w:ascii="宋体" w:hAnsi="等线"/>
                <w:sz w:val="24"/>
              </w:rPr>
            </w:pPr>
            <w:r>
              <w:rPr>
                <w:rFonts w:hint="eastAsia" w:ascii="宋体" w:hAnsi="等线"/>
                <w:sz w:val="24"/>
              </w:rPr>
              <w:t>序号</w:t>
            </w:r>
          </w:p>
        </w:tc>
        <w:tc>
          <w:tcPr>
            <w:tcW w:w="1189" w:type="dxa"/>
          </w:tcPr>
          <w:p w14:paraId="142A7A2B">
            <w:pPr>
              <w:spacing w:after="160" w:line="278" w:lineRule="auto"/>
              <w:jc w:val="center"/>
              <w:rPr>
                <w:rFonts w:ascii="宋体" w:hAnsi="等线"/>
                <w:sz w:val="24"/>
              </w:rPr>
            </w:pPr>
            <w:r>
              <w:rPr>
                <w:rFonts w:hint="eastAsia" w:ascii="宋体" w:hAnsi="等线"/>
                <w:sz w:val="24"/>
              </w:rPr>
              <w:t>指标分类</w:t>
            </w:r>
          </w:p>
        </w:tc>
        <w:tc>
          <w:tcPr>
            <w:tcW w:w="1211" w:type="dxa"/>
          </w:tcPr>
          <w:p w14:paraId="60DFC70D">
            <w:pPr>
              <w:spacing w:after="160" w:line="278" w:lineRule="auto"/>
              <w:jc w:val="center"/>
              <w:rPr>
                <w:rFonts w:ascii="宋体" w:hAnsi="等线"/>
                <w:sz w:val="24"/>
              </w:rPr>
            </w:pPr>
            <w:r>
              <w:rPr>
                <w:rFonts w:hint="eastAsia" w:ascii="宋体" w:hAnsi="等线"/>
                <w:sz w:val="24"/>
              </w:rPr>
              <w:t>一级指标</w:t>
            </w:r>
          </w:p>
        </w:tc>
        <w:tc>
          <w:tcPr>
            <w:tcW w:w="1350" w:type="dxa"/>
          </w:tcPr>
          <w:p w14:paraId="68F214CE">
            <w:pPr>
              <w:spacing w:after="160" w:line="278" w:lineRule="auto"/>
              <w:jc w:val="center"/>
              <w:rPr>
                <w:rFonts w:ascii="宋体" w:hAnsi="等线"/>
                <w:sz w:val="24"/>
              </w:rPr>
            </w:pPr>
            <w:r>
              <w:rPr>
                <w:rFonts w:hint="eastAsia" w:ascii="宋体" w:hAnsi="等线"/>
                <w:sz w:val="24"/>
              </w:rPr>
              <w:t>二级指标</w:t>
            </w:r>
          </w:p>
        </w:tc>
        <w:tc>
          <w:tcPr>
            <w:tcW w:w="4073" w:type="dxa"/>
          </w:tcPr>
          <w:p w14:paraId="5F66BCFD">
            <w:pPr>
              <w:spacing w:after="160" w:line="278" w:lineRule="auto"/>
              <w:jc w:val="center"/>
              <w:rPr>
                <w:rFonts w:ascii="宋体" w:hAnsi="等线"/>
                <w:sz w:val="24"/>
              </w:rPr>
            </w:pPr>
            <w:r>
              <w:rPr>
                <w:rFonts w:hint="eastAsia" w:ascii="宋体" w:hAnsi="等线"/>
                <w:sz w:val="24"/>
              </w:rPr>
              <w:t>指标要求</w:t>
            </w:r>
          </w:p>
        </w:tc>
      </w:tr>
      <w:tr w14:paraId="6352D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03901A12">
            <w:pPr>
              <w:spacing w:after="160" w:line="278" w:lineRule="auto"/>
              <w:rPr>
                <w:rFonts w:ascii="宋体" w:hAnsi="等线"/>
                <w:sz w:val="24"/>
              </w:rPr>
            </w:pPr>
            <w:r>
              <w:rPr>
                <w:rFonts w:hint="eastAsia" w:ascii="宋体" w:hAnsi="等线"/>
                <w:sz w:val="24"/>
              </w:rPr>
              <w:t>1</w:t>
            </w:r>
          </w:p>
        </w:tc>
        <w:tc>
          <w:tcPr>
            <w:tcW w:w="1189" w:type="dxa"/>
          </w:tcPr>
          <w:p w14:paraId="13B25A8F">
            <w:pPr>
              <w:spacing w:after="160" w:line="278" w:lineRule="auto"/>
              <w:rPr>
                <w:rFonts w:ascii="宋体" w:hAnsi="等线"/>
                <w:sz w:val="24"/>
              </w:rPr>
            </w:pPr>
            <w:r>
              <w:rPr>
                <w:rFonts w:hint="eastAsia" w:ascii="宋体" w:hAnsi="等线"/>
                <w:sz w:val="24"/>
              </w:rPr>
              <w:t>产品规格</w:t>
            </w:r>
          </w:p>
        </w:tc>
        <w:tc>
          <w:tcPr>
            <w:tcW w:w="1211" w:type="dxa"/>
          </w:tcPr>
          <w:p w14:paraId="2F2A83A4">
            <w:pPr>
              <w:spacing w:after="160" w:line="278" w:lineRule="auto"/>
              <w:rPr>
                <w:rFonts w:ascii="宋体" w:hAnsi="等线"/>
                <w:sz w:val="24"/>
              </w:rPr>
            </w:pPr>
            <w:r>
              <w:rPr>
                <w:rFonts w:hint="eastAsia" w:ascii="宋体" w:hAnsi="等线"/>
                <w:sz w:val="24"/>
              </w:rPr>
              <w:t>C</w:t>
            </w:r>
            <w:r>
              <w:rPr>
                <w:rFonts w:ascii="宋体" w:hAnsi="等线"/>
                <w:sz w:val="24"/>
              </w:rPr>
              <w:t>PU</w:t>
            </w:r>
            <w:r>
              <w:rPr>
                <w:rFonts w:hint="eastAsia" w:ascii="宋体" w:hAnsi="等线"/>
                <w:sz w:val="24"/>
              </w:rPr>
              <w:t>规格</w:t>
            </w:r>
          </w:p>
        </w:tc>
        <w:tc>
          <w:tcPr>
            <w:tcW w:w="1350" w:type="dxa"/>
          </w:tcPr>
          <w:p w14:paraId="2FD69F7C">
            <w:pPr>
              <w:spacing w:after="160" w:line="278" w:lineRule="auto"/>
              <w:rPr>
                <w:rFonts w:ascii="宋体" w:hAnsi="等线"/>
                <w:sz w:val="24"/>
              </w:rPr>
            </w:pPr>
            <w:r>
              <w:rPr>
                <w:rFonts w:hint="eastAsia" w:ascii="宋体" w:hAnsi="等线"/>
                <w:sz w:val="24"/>
              </w:rPr>
              <w:t>▲C</w:t>
            </w:r>
            <w:r>
              <w:rPr>
                <w:rFonts w:ascii="宋体" w:hAnsi="等线"/>
                <w:sz w:val="24"/>
              </w:rPr>
              <w:t>PU</w:t>
            </w:r>
            <w:r>
              <w:rPr>
                <w:rFonts w:hint="eastAsia" w:ascii="宋体" w:hAnsi="等线"/>
                <w:sz w:val="24"/>
              </w:rPr>
              <w:t>信息</w:t>
            </w:r>
          </w:p>
        </w:tc>
        <w:tc>
          <w:tcPr>
            <w:tcW w:w="4073" w:type="dxa"/>
          </w:tcPr>
          <w:p w14:paraId="4AE7FAC9">
            <w:pPr>
              <w:spacing w:after="160" w:line="278" w:lineRule="auto"/>
              <w:jc w:val="left"/>
              <w:rPr>
                <w:rFonts w:ascii="宋体" w:hAnsi="等线"/>
                <w:sz w:val="24"/>
              </w:rPr>
            </w:pPr>
            <w:r>
              <w:rPr>
                <w:rFonts w:hint="eastAsia" w:ascii="宋体" w:hAnsi="等线"/>
                <w:sz w:val="24"/>
              </w:rPr>
              <w:t>2颗 英特尔 至强 Platinum处理器，各项指标不低于8358P（内核数 32，总线程数 64，最大睿频频率 3.40 GHz，处理器基本频率 2.60 GHz，缓存 48 MB。）</w:t>
            </w:r>
          </w:p>
        </w:tc>
      </w:tr>
      <w:tr w14:paraId="1BD7D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6946490D">
            <w:pPr>
              <w:spacing w:after="160" w:line="278" w:lineRule="auto"/>
              <w:rPr>
                <w:rFonts w:ascii="宋体" w:hAnsi="等线"/>
                <w:sz w:val="24"/>
              </w:rPr>
            </w:pPr>
            <w:r>
              <w:rPr>
                <w:rFonts w:hint="eastAsia" w:ascii="宋体" w:hAnsi="等线"/>
                <w:sz w:val="24"/>
              </w:rPr>
              <w:t>2</w:t>
            </w:r>
          </w:p>
        </w:tc>
        <w:tc>
          <w:tcPr>
            <w:tcW w:w="1189" w:type="dxa"/>
          </w:tcPr>
          <w:p w14:paraId="1D960DE4">
            <w:pPr>
              <w:spacing w:after="160" w:line="278" w:lineRule="auto"/>
              <w:rPr>
                <w:rFonts w:ascii="宋体" w:hAnsi="等线"/>
                <w:sz w:val="24"/>
              </w:rPr>
            </w:pPr>
            <w:r>
              <w:rPr>
                <w:rFonts w:hint="eastAsia" w:ascii="宋体" w:hAnsi="等线"/>
                <w:sz w:val="24"/>
              </w:rPr>
              <w:t>产品规格</w:t>
            </w:r>
          </w:p>
        </w:tc>
        <w:tc>
          <w:tcPr>
            <w:tcW w:w="1211" w:type="dxa"/>
            <w:vMerge w:val="restart"/>
          </w:tcPr>
          <w:p w14:paraId="5D9B1DC6">
            <w:pPr>
              <w:spacing w:after="160" w:line="278" w:lineRule="auto"/>
              <w:rPr>
                <w:rFonts w:ascii="宋体" w:hAnsi="等线"/>
                <w:sz w:val="24"/>
              </w:rPr>
            </w:pPr>
            <w:r>
              <w:rPr>
                <w:rFonts w:hint="eastAsia" w:ascii="宋体" w:hAnsi="等线"/>
                <w:sz w:val="24"/>
              </w:rPr>
              <w:t>主板规格</w:t>
            </w:r>
          </w:p>
        </w:tc>
        <w:tc>
          <w:tcPr>
            <w:tcW w:w="1350" w:type="dxa"/>
          </w:tcPr>
          <w:p w14:paraId="5B618191">
            <w:pPr>
              <w:spacing w:after="160" w:line="278" w:lineRule="auto"/>
              <w:rPr>
                <w:rFonts w:ascii="宋体" w:hAnsi="等线"/>
                <w:sz w:val="24"/>
              </w:rPr>
            </w:pPr>
            <w:r>
              <w:rPr>
                <w:rFonts w:hint="eastAsia" w:ascii="宋体" w:hAnsi="等线"/>
                <w:sz w:val="24"/>
              </w:rPr>
              <w:t>▲</w:t>
            </w:r>
            <w:r>
              <w:rPr>
                <w:rFonts w:ascii="宋体" w:hAnsi="等线"/>
                <w:sz w:val="24"/>
              </w:rPr>
              <w:t>主板支持的CPU 和内存情况</w:t>
            </w:r>
          </w:p>
        </w:tc>
        <w:tc>
          <w:tcPr>
            <w:tcW w:w="4073" w:type="dxa"/>
          </w:tcPr>
          <w:p w14:paraId="32D0475E">
            <w:pPr>
              <w:spacing w:after="160" w:line="278" w:lineRule="auto"/>
              <w:jc w:val="left"/>
              <w:rPr>
                <w:rFonts w:ascii="宋体" w:hAnsi="等线"/>
                <w:sz w:val="24"/>
              </w:rPr>
            </w:pPr>
            <w:r>
              <w:rPr>
                <w:rFonts w:ascii="宋体" w:hAnsi="等线"/>
                <w:sz w:val="24"/>
              </w:rPr>
              <w:t>Intel C621A芯片组，支持Intelicelake家族铜牌、银牌、金牌及铂金处理器产品。</w:t>
            </w:r>
          </w:p>
        </w:tc>
      </w:tr>
      <w:tr w14:paraId="0D94C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79987A2C">
            <w:pPr>
              <w:spacing w:after="160" w:line="278" w:lineRule="auto"/>
              <w:rPr>
                <w:rFonts w:ascii="宋体" w:hAnsi="等线"/>
                <w:sz w:val="24"/>
              </w:rPr>
            </w:pPr>
            <w:r>
              <w:rPr>
                <w:rFonts w:hint="eastAsia" w:ascii="宋体" w:hAnsi="等线"/>
                <w:sz w:val="24"/>
              </w:rPr>
              <w:t>3</w:t>
            </w:r>
          </w:p>
        </w:tc>
        <w:tc>
          <w:tcPr>
            <w:tcW w:w="1189" w:type="dxa"/>
          </w:tcPr>
          <w:p w14:paraId="35F8F23B">
            <w:pPr>
              <w:spacing w:after="160" w:line="278" w:lineRule="auto"/>
              <w:rPr>
                <w:rFonts w:ascii="宋体" w:hAnsi="等线"/>
                <w:sz w:val="24"/>
              </w:rPr>
            </w:pPr>
            <w:r>
              <w:rPr>
                <w:rFonts w:hint="eastAsia" w:ascii="宋体" w:hAnsi="等线"/>
                <w:sz w:val="24"/>
              </w:rPr>
              <w:t>产品规格</w:t>
            </w:r>
          </w:p>
        </w:tc>
        <w:tc>
          <w:tcPr>
            <w:tcW w:w="1211" w:type="dxa"/>
            <w:vMerge w:val="continue"/>
          </w:tcPr>
          <w:p w14:paraId="58B7D8D9">
            <w:pPr>
              <w:spacing w:after="160" w:line="278" w:lineRule="auto"/>
              <w:rPr>
                <w:rFonts w:ascii="宋体" w:hAnsi="等线"/>
                <w:sz w:val="24"/>
              </w:rPr>
            </w:pPr>
          </w:p>
        </w:tc>
        <w:tc>
          <w:tcPr>
            <w:tcW w:w="1350" w:type="dxa"/>
          </w:tcPr>
          <w:p w14:paraId="43555CB6">
            <w:pPr>
              <w:spacing w:after="160" w:line="278" w:lineRule="auto"/>
              <w:rPr>
                <w:rFonts w:ascii="宋体" w:hAnsi="等线"/>
                <w:sz w:val="24"/>
              </w:rPr>
            </w:pPr>
            <w:bookmarkStart w:id="30" w:name="OLE_LINK3"/>
            <w:bookmarkStart w:id="31" w:name="OLE_LINK4"/>
            <w:r>
              <w:rPr>
                <w:rFonts w:hint="eastAsia" w:ascii="宋体" w:hAnsi="等线"/>
                <w:sz w:val="24"/>
              </w:rPr>
              <w:t>▲</w:t>
            </w:r>
            <w:bookmarkEnd w:id="30"/>
            <w:bookmarkEnd w:id="31"/>
            <w:r>
              <w:rPr>
                <w:rFonts w:ascii="宋体" w:hAnsi="等线"/>
                <w:sz w:val="24"/>
              </w:rPr>
              <w:t>主板内存槽数量</w:t>
            </w:r>
          </w:p>
        </w:tc>
        <w:tc>
          <w:tcPr>
            <w:tcW w:w="4073" w:type="dxa"/>
          </w:tcPr>
          <w:p w14:paraId="09720792">
            <w:pPr>
              <w:spacing w:after="160" w:line="278" w:lineRule="auto"/>
              <w:jc w:val="left"/>
              <w:rPr>
                <w:rFonts w:ascii="宋体" w:hAnsi="等线"/>
                <w:sz w:val="24"/>
              </w:rPr>
            </w:pPr>
            <w:r>
              <w:rPr>
                <w:rFonts w:ascii="宋体" w:hAnsi="等线"/>
                <w:sz w:val="24"/>
              </w:rPr>
              <w:t>配合Intel持久内存最大支持6TB内存扩展，最大支持32根内存插槽</w:t>
            </w:r>
          </w:p>
        </w:tc>
      </w:tr>
      <w:tr w14:paraId="6D7E2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1A515B59">
            <w:pPr>
              <w:spacing w:after="160" w:line="278" w:lineRule="auto"/>
              <w:rPr>
                <w:rFonts w:ascii="宋体" w:hAnsi="等线"/>
                <w:sz w:val="24"/>
              </w:rPr>
            </w:pPr>
            <w:r>
              <w:rPr>
                <w:rFonts w:hint="eastAsia" w:ascii="宋体" w:hAnsi="等线"/>
                <w:sz w:val="24"/>
              </w:rPr>
              <w:t>4</w:t>
            </w:r>
          </w:p>
        </w:tc>
        <w:tc>
          <w:tcPr>
            <w:tcW w:w="1189" w:type="dxa"/>
          </w:tcPr>
          <w:p w14:paraId="243CC7E0">
            <w:pPr>
              <w:spacing w:after="160" w:line="278" w:lineRule="auto"/>
              <w:rPr>
                <w:rFonts w:ascii="宋体" w:hAnsi="等线"/>
                <w:sz w:val="24"/>
              </w:rPr>
            </w:pPr>
            <w:r>
              <w:rPr>
                <w:rFonts w:hint="eastAsia" w:ascii="宋体" w:hAnsi="等线"/>
                <w:sz w:val="24"/>
              </w:rPr>
              <w:t>产品规格</w:t>
            </w:r>
          </w:p>
        </w:tc>
        <w:tc>
          <w:tcPr>
            <w:tcW w:w="1211" w:type="dxa"/>
            <w:vMerge w:val="restart"/>
          </w:tcPr>
          <w:p w14:paraId="128F431E">
            <w:pPr>
              <w:spacing w:after="160" w:line="278" w:lineRule="auto"/>
              <w:rPr>
                <w:rFonts w:ascii="宋体" w:hAnsi="等线"/>
                <w:sz w:val="24"/>
              </w:rPr>
            </w:pPr>
            <w:r>
              <w:rPr>
                <w:rFonts w:hint="eastAsia" w:ascii="宋体" w:hAnsi="等线"/>
                <w:sz w:val="24"/>
              </w:rPr>
              <w:t>内存规格</w:t>
            </w:r>
          </w:p>
        </w:tc>
        <w:tc>
          <w:tcPr>
            <w:tcW w:w="1350" w:type="dxa"/>
          </w:tcPr>
          <w:p w14:paraId="7EA189EF">
            <w:pPr>
              <w:spacing w:after="160" w:line="278" w:lineRule="auto"/>
              <w:rPr>
                <w:rFonts w:ascii="宋体" w:hAnsi="等线"/>
                <w:sz w:val="24"/>
              </w:rPr>
            </w:pPr>
            <w:r>
              <w:rPr>
                <w:rFonts w:hint="eastAsia" w:ascii="宋体" w:hAnsi="等线"/>
                <w:sz w:val="24"/>
              </w:rPr>
              <w:t>▲内存数量</w:t>
            </w:r>
          </w:p>
        </w:tc>
        <w:tc>
          <w:tcPr>
            <w:tcW w:w="4073" w:type="dxa"/>
          </w:tcPr>
          <w:p w14:paraId="130B2D25">
            <w:pPr>
              <w:spacing w:after="160" w:line="278" w:lineRule="auto"/>
              <w:jc w:val="left"/>
              <w:rPr>
                <w:rFonts w:ascii="宋体" w:hAnsi="等线"/>
                <w:sz w:val="24"/>
              </w:rPr>
            </w:pPr>
            <w:r>
              <w:rPr>
                <w:rFonts w:hint="eastAsia" w:ascii="宋体" w:hAnsi="等线"/>
                <w:sz w:val="24"/>
              </w:rPr>
              <w:t>≥</w:t>
            </w:r>
            <w:r>
              <w:rPr>
                <w:rFonts w:ascii="宋体" w:hAnsi="等线"/>
                <w:sz w:val="24"/>
              </w:rPr>
              <w:t>16</w:t>
            </w:r>
            <w:r>
              <w:rPr>
                <w:rFonts w:hint="eastAsia" w:ascii="宋体" w:hAnsi="等线"/>
                <w:sz w:val="24"/>
              </w:rPr>
              <w:t>*</w:t>
            </w:r>
            <w:r>
              <w:rPr>
                <w:rFonts w:ascii="宋体" w:hAnsi="等线"/>
                <w:sz w:val="24"/>
              </w:rPr>
              <w:t>64 GB</w:t>
            </w:r>
          </w:p>
        </w:tc>
      </w:tr>
      <w:tr w14:paraId="49068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661645B2">
            <w:pPr>
              <w:spacing w:after="160" w:line="278" w:lineRule="auto"/>
              <w:rPr>
                <w:rFonts w:ascii="宋体" w:hAnsi="等线"/>
                <w:sz w:val="24"/>
              </w:rPr>
            </w:pPr>
            <w:r>
              <w:rPr>
                <w:rFonts w:hint="eastAsia" w:ascii="宋体" w:hAnsi="等线"/>
                <w:sz w:val="24"/>
              </w:rPr>
              <w:t>5</w:t>
            </w:r>
          </w:p>
        </w:tc>
        <w:tc>
          <w:tcPr>
            <w:tcW w:w="1189" w:type="dxa"/>
          </w:tcPr>
          <w:p w14:paraId="760088DE">
            <w:pPr>
              <w:spacing w:after="160" w:line="278" w:lineRule="auto"/>
              <w:rPr>
                <w:rFonts w:ascii="宋体" w:hAnsi="等线"/>
                <w:sz w:val="24"/>
              </w:rPr>
            </w:pPr>
            <w:r>
              <w:rPr>
                <w:rFonts w:hint="eastAsia" w:ascii="宋体" w:hAnsi="等线"/>
                <w:sz w:val="24"/>
              </w:rPr>
              <w:t>产品规格</w:t>
            </w:r>
          </w:p>
        </w:tc>
        <w:tc>
          <w:tcPr>
            <w:tcW w:w="1211" w:type="dxa"/>
            <w:vMerge w:val="continue"/>
          </w:tcPr>
          <w:p w14:paraId="191273CC">
            <w:pPr>
              <w:spacing w:after="160" w:line="278" w:lineRule="auto"/>
              <w:rPr>
                <w:rFonts w:ascii="宋体" w:hAnsi="等线"/>
                <w:sz w:val="24"/>
              </w:rPr>
            </w:pPr>
          </w:p>
        </w:tc>
        <w:tc>
          <w:tcPr>
            <w:tcW w:w="1350" w:type="dxa"/>
          </w:tcPr>
          <w:p w14:paraId="4A6088D4">
            <w:pPr>
              <w:spacing w:after="160" w:line="278" w:lineRule="auto"/>
              <w:rPr>
                <w:rFonts w:ascii="宋体" w:hAnsi="等线"/>
                <w:sz w:val="24"/>
              </w:rPr>
            </w:pPr>
            <w:r>
              <w:rPr>
                <w:rFonts w:hint="eastAsia" w:ascii="宋体" w:hAnsi="等线"/>
                <w:sz w:val="24"/>
              </w:rPr>
              <w:t>内存规格</w:t>
            </w:r>
          </w:p>
        </w:tc>
        <w:tc>
          <w:tcPr>
            <w:tcW w:w="4073" w:type="dxa"/>
          </w:tcPr>
          <w:p w14:paraId="59379F02">
            <w:pPr>
              <w:spacing w:after="160" w:line="278" w:lineRule="auto"/>
              <w:jc w:val="left"/>
              <w:rPr>
                <w:rFonts w:ascii="宋体" w:hAnsi="等线"/>
                <w:sz w:val="24"/>
              </w:rPr>
            </w:pPr>
            <w:r>
              <w:rPr>
                <w:rFonts w:hint="eastAsia" w:ascii="宋体" w:hAnsi="等线"/>
                <w:sz w:val="24"/>
              </w:rPr>
              <w:t>≥</w:t>
            </w:r>
            <w:r>
              <w:rPr>
                <w:rFonts w:ascii="宋体" w:hAnsi="等线"/>
                <w:sz w:val="24"/>
              </w:rPr>
              <w:t>DDR4 3200MHz内存</w:t>
            </w:r>
            <w:r>
              <w:rPr>
                <w:rFonts w:hint="eastAsia" w:ascii="宋体" w:hAnsi="等线"/>
                <w:sz w:val="24"/>
              </w:rPr>
              <w:t>以上</w:t>
            </w:r>
          </w:p>
        </w:tc>
      </w:tr>
      <w:tr w14:paraId="769E2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3583F5BB">
            <w:pPr>
              <w:spacing w:after="160" w:line="278" w:lineRule="auto"/>
              <w:rPr>
                <w:rFonts w:ascii="宋体" w:hAnsi="等线"/>
                <w:sz w:val="24"/>
              </w:rPr>
            </w:pPr>
            <w:r>
              <w:rPr>
                <w:rFonts w:hint="eastAsia" w:ascii="宋体" w:hAnsi="等线"/>
                <w:sz w:val="24"/>
              </w:rPr>
              <w:t>6</w:t>
            </w:r>
          </w:p>
        </w:tc>
        <w:tc>
          <w:tcPr>
            <w:tcW w:w="1189" w:type="dxa"/>
          </w:tcPr>
          <w:p w14:paraId="78E28A7C">
            <w:pPr>
              <w:spacing w:after="160" w:line="278" w:lineRule="auto"/>
              <w:rPr>
                <w:rFonts w:ascii="宋体" w:hAnsi="等线"/>
                <w:sz w:val="24"/>
              </w:rPr>
            </w:pPr>
            <w:r>
              <w:rPr>
                <w:rFonts w:hint="eastAsia" w:ascii="宋体" w:hAnsi="等线"/>
                <w:sz w:val="24"/>
              </w:rPr>
              <w:t>产品规格</w:t>
            </w:r>
          </w:p>
        </w:tc>
        <w:tc>
          <w:tcPr>
            <w:tcW w:w="1211" w:type="dxa"/>
            <w:vMerge w:val="restart"/>
          </w:tcPr>
          <w:p w14:paraId="0C470747">
            <w:pPr>
              <w:spacing w:after="160" w:line="278" w:lineRule="auto"/>
              <w:rPr>
                <w:rFonts w:ascii="宋体" w:hAnsi="等线"/>
                <w:sz w:val="24"/>
              </w:rPr>
            </w:pPr>
            <w:r>
              <w:rPr>
                <w:rFonts w:hint="eastAsia" w:ascii="宋体" w:hAnsi="等线"/>
                <w:sz w:val="24"/>
              </w:rPr>
              <w:t>存储规格</w:t>
            </w:r>
          </w:p>
        </w:tc>
        <w:tc>
          <w:tcPr>
            <w:tcW w:w="1350" w:type="dxa"/>
          </w:tcPr>
          <w:p w14:paraId="0D69F8D8">
            <w:pPr>
              <w:spacing w:after="160" w:line="278" w:lineRule="auto"/>
              <w:rPr>
                <w:rFonts w:ascii="宋体" w:hAnsi="等线"/>
                <w:sz w:val="24"/>
              </w:rPr>
            </w:pPr>
            <w:r>
              <w:rPr>
                <w:rFonts w:hint="eastAsia" w:ascii="宋体" w:hAnsi="等线"/>
                <w:sz w:val="24"/>
              </w:rPr>
              <w:t>硬盘</w:t>
            </w:r>
          </w:p>
        </w:tc>
        <w:tc>
          <w:tcPr>
            <w:tcW w:w="4073" w:type="dxa"/>
          </w:tcPr>
          <w:p w14:paraId="509039DE">
            <w:pPr>
              <w:spacing w:after="160" w:line="278" w:lineRule="auto"/>
              <w:jc w:val="left"/>
              <w:rPr>
                <w:rFonts w:ascii="宋体" w:hAnsi="等线"/>
                <w:sz w:val="24"/>
              </w:rPr>
            </w:pPr>
            <w:r>
              <w:rPr>
                <w:rFonts w:hint="eastAsia" w:ascii="宋体" w:hAnsi="等线"/>
                <w:sz w:val="24"/>
              </w:rPr>
              <w:t>最大支持</w:t>
            </w:r>
            <w:r>
              <w:rPr>
                <w:rFonts w:ascii="宋体" w:hAnsi="等线"/>
                <w:sz w:val="24"/>
              </w:rPr>
              <w:t>28个硬盘扩展，支持前置直连8个U.2NVMe SSD硬盘，支持内置两个M.2 且支持RAID 0/1；</w:t>
            </w:r>
          </w:p>
        </w:tc>
      </w:tr>
      <w:tr w14:paraId="7C867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7B695C7C">
            <w:pPr>
              <w:spacing w:after="160" w:line="278" w:lineRule="auto"/>
              <w:rPr>
                <w:rFonts w:ascii="宋体" w:hAnsi="等线"/>
                <w:sz w:val="24"/>
              </w:rPr>
            </w:pPr>
            <w:r>
              <w:rPr>
                <w:rFonts w:hint="eastAsia" w:ascii="宋体" w:hAnsi="等线"/>
                <w:sz w:val="24"/>
              </w:rPr>
              <w:t>7</w:t>
            </w:r>
          </w:p>
        </w:tc>
        <w:tc>
          <w:tcPr>
            <w:tcW w:w="1189" w:type="dxa"/>
          </w:tcPr>
          <w:p w14:paraId="2BEFCAC3">
            <w:pPr>
              <w:spacing w:after="160" w:line="278" w:lineRule="auto"/>
              <w:rPr>
                <w:rFonts w:ascii="宋体" w:hAnsi="等线"/>
                <w:sz w:val="24"/>
              </w:rPr>
            </w:pPr>
            <w:r>
              <w:rPr>
                <w:rFonts w:hint="eastAsia" w:ascii="宋体" w:hAnsi="等线"/>
                <w:sz w:val="24"/>
              </w:rPr>
              <w:t>产品规格</w:t>
            </w:r>
          </w:p>
        </w:tc>
        <w:tc>
          <w:tcPr>
            <w:tcW w:w="1211" w:type="dxa"/>
            <w:vMerge w:val="continue"/>
          </w:tcPr>
          <w:p w14:paraId="1D8404FB">
            <w:pPr>
              <w:spacing w:after="160" w:line="278" w:lineRule="auto"/>
              <w:rPr>
                <w:rFonts w:ascii="宋体" w:hAnsi="等线"/>
                <w:sz w:val="24"/>
              </w:rPr>
            </w:pPr>
          </w:p>
        </w:tc>
        <w:tc>
          <w:tcPr>
            <w:tcW w:w="1350" w:type="dxa"/>
          </w:tcPr>
          <w:p w14:paraId="5A051C43">
            <w:pPr>
              <w:spacing w:after="160" w:line="278" w:lineRule="auto"/>
              <w:rPr>
                <w:rFonts w:ascii="宋体" w:hAnsi="等线"/>
                <w:sz w:val="24"/>
              </w:rPr>
            </w:pPr>
            <w:r>
              <w:rPr>
                <w:rFonts w:hint="eastAsia" w:ascii="宋体" w:hAnsi="等线"/>
                <w:sz w:val="24"/>
              </w:rPr>
              <w:t>▲硬磁盘实配容量</w:t>
            </w:r>
          </w:p>
        </w:tc>
        <w:tc>
          <w:tcPr>
            <w:tcW w:w="4073" w:type="dxa"/>
          </w:tcPr>
          <w:p w14:paraId="0BEC8854">
            <w:pPr>
              <w:spacing w:after="160" w:line="278" w:lineRule="auto"/>
              <w:jc w:val="left"/>
              <w:rPr>
                <w:rFonts w:ascii="宋体" w:hAnsi="等线"/>
                <w:sz w:val="24"/>
              </w:rPr>
            </w:pPr>
            <w:r>
              <w:rPr>
                <w:rFonts w:hint="eastAsia" w:ascii="宋体" w:hAnsi="等线"/>
                <w:sz w:val="24"/>
              </w:rPr>
              <w:t>≥</w:t>
            </w:r>
            <w:r>
              <w:rPr>
                <w:rFonts w:ascii="宋体" w:hAnsi="等线"/>
                <w:sz w:val="24"/>
              </w:rPr>
              <w:t>2</w:t>
            </w:r>
            <w:r>
              <w:rPr>
                <w:rFonts w:hint="eastAsia" w:ascii="宋体" w:hAnsi="等线"/>
                <w:sz w:val="24"/>
              </w:rPr>
              <w:t>*</w:t>
            </w:r>
            <w:r>
              <w:rPr>
                <w:rFonts w:ascii="宋体" w:hAnsi="等线"/>
                <w:sz w:val="24"/>
              </w:rPr>
              <w:t>480G M.2系统盘</w:t>
            </w:r>
            <w:r>
              <w:rPr>
                <w:rFonts w:hint="eastAsia" w:ascii="宋体" w:hAnsi="等线"/>
                <w:sz w:val="24"/>
              </w:rPr>
              <w:t>，≥</w:t>
            </w:r>
            <w:r>
              <w:rPr>
                <w:rFonts w:ascii="宋体" w:hAnsi="等线"/>
                <w:sz w:val="24"/>
              </w:rPr>
              <w:t>8</w:t>
            </w:r>
            <w:r>
              <w:rPr>
                <w:rFonts w:hint="eastAsia" w:ascii="宋体" w:hAnsi="等线"/>
                <w:sz w:val="24"/>
              </w:rPr>
              <w:t>*</w:t>
            </w:r>
            <w:r>
              <w:rPr>
                <w:rFonts w:ascii="宋体" w:hAnsi="等线"/>
                <w:sz w:val="24"/>
              </w:rPr>
              <w:t>1.92T SAS数据盘</w:t>
            </w:r>
          </w:p>
        </w:tc>
      </w:tr>
      <w:tr w14:paraId="0B738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6EAAF34E">
            <w:pPr>
              <w:spacing w:after="160" w:line="278" w:lineRule="auto"/>
              <w:rPr>
                <w:rFonts w:ascii="宋体" w:hAnsi="等线"/>
                <w:sz w:val="24"/>
              </w:rPr>
            </w:pPr>
            <w:r>
              <w:rPr>
                <w:rFonts w:hint="eastAsia" w:ascii="宋体" w:hAnsi="等线"/>
                <w:sz w:val="24"/>
              </w:rPr>
              <w:t>8</w:t>
            </w:r>
          </w:p>
        </w:tc>
        <w:tc>
          <w:tcPr>
            <w:tcW w:w="1189" w:type="dxa"/>
          </w:tcPr>
          <w:p w14:paraId="7DB032BD">
            <w:pPr>
              <w:spacing w:after="160" w:line="278" w:lineRule="auto"/>
              <w:rPr>
                <w:rFonts w:ascii="宋体" w:hAnsi="等线"/>
                <w:sz w:val="24"/>
              </w:rPr>
            </w:pPr>
            <w:r>
              <w:rPr>
                <w:rFonts w:hint="eastAsia" w:ascii="宋体" w:hAnsi="等线"/>
                <w:sz w:val="24"/>
              </w:rPr>
              <w:t>产品规格</w:t>
            </w:r>
          </w:p>
        </w:tc>
        <w:tc>
          <w:tcPr>
            <w:tcW w:w="1211" w:type="dxa"/>
          </w:tcPr>
          <w:p w14:paraId="032E4A08">
            <w:pPr>
              <w:spacing w:after="160" w:line="278" w:lineRule="auto"/>
              <w:rPr>
                <w:rFonts w:ascii="宋体" w:hAnsi="等线"/>
                <w:sz w:val="24"/>
              </w:rPr>
            </w:pPr>
            <w:r>
              <w:rPr>
                <w:rFonts w:hint="eastAsia" w:ascii="宋体" w:hAnsi="等线"/>
                <w:sz w:val="24"/>
              </w:rPr>
              <w:t>网络规格</w:t>
            </w:r>
          </w:p>
        </w:tc>
        <w:tc>
          <w:tcPr>
            <w:tcW w:w="1350" w:type="dxa"/>
          </w:tcPr>
          <w:p w14:paraId="2853791D">
            <w:pPr>
              <w:spacing w:after="160" w:line="278" w:lineRule="auto"/>
              <w:rPr>
                <w:rFonts w:ascii="宋体" w:hAnsi="等线"/>
                <w:sz w:val="24"/>
              </w:rPr>
            </w:pPr>
            <w:r>
              <w:rPr>
                <w:rFonts w:hint="eastAsia" w:ascii="宋体" w:hAnsi="等线"/>
                <w:sz w:val="24"/>
              </w:rPr>
              <w:t>网络接口</w:t>
            </w:r>
          </w:p>
        </w:tc>
        <w:tc>
          <w:tcPr>
            <w:tcW w:w="4073" w:type="dxa"/>
          </w:tcPr>
          <w:p w14:paraId="3DBDA2BF">
            <w:pPr>
              <w:spacing w:after="160" w:line="278" w:lineRule="auto"/>
              <w:jc w:val="left"/>
              <w:rPr>
                <w:rFonts w:ascii="宋体" w:hAnsi="等线"/>
                <w:sz w:val="24"/>
              </w:rPr>
            </w:pPr>
            <w:r>
              <w:rPr>
                <w:rFonts w:hint="eastAsia" w:ascii="宋体" w:hAnsi="等线"/>
                <w:sz w:val="24"/>
              </w:rPr>
              <w:t>≥4</w:t>
            </w:r>
            <w:r>
              <w:rPr>
                <w:rFonts w:ascii="宋体" w:hAnsi="等线"/>
                <w:sz w:val="24"/>
              </w:rPr>
              <w:t>个</w:t>
            </w:r>
            <w:r>
              <w:rPr>
                <w:rFonts w:hint="eastAsia" w:ascii="宋体" w:hAnsi="等线"/>
                <w:sz w:val="24"/>
              </w:rPr>
              <w:t>25Gb</w:t>
            </w:r>
            <w:r>
              <w:rPr>
                <w:rFonts w:ascii="宋体" w:hAnsi="等线"/>
                <w:sz w:val="24"/>
              </w:rPr>
              <w:t>光口含模块， 1个千兆管理电口</w:t>
            </w:r>
          </w:p>
        </w:tc>
      </w:tr>
      <w:tr w14:paraId="62AA2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14C4C828">
            <w:pPr>
              <w:spacing w:after="160" w:line="278" w:lineRule="auto"/>
              <w:rPr>
                <w:rFonts w:ascii="宋体" w:hAnsi="等线"/>
                <w:sz w:val="24"/>
              </w:rPr>
            </w:pPr>
            <w:r>
              <w:rPr>
                <w:rFonts w:hint="eastAsia" w:ascii="宋体" w:hAnsi="等线"/>
                <w:sz w:val="24"/>
              </w:rPr>
              <w:t>9</w:t>
            </w:r>
          </w:p>
        </w:tc>
        <w:tc>
          <w:tcPr>
            <w:tcW w:w="1189" w:type="dxa"/>
          </w:tcPr>
          <w:p w14:paraId="32F26845">
            <w:pPr>
              <w:spacing w:after="160" w:line="278" w:lineRule="auto"/>
              <w:rPr>
                <w:rFonts w:ascii="宋体" w:hAnsi="等线"/>
                <w:sz w:val="24"/>
              </w:rPr>
            </w:pPr>
            <w:r>
              <w:rPr>
                <w:rFonts w:hint="eastAsia" w:ascii="宋体" w:hAnsi="等线"/>
                <w:sz w:val="24"/>
              </w:rPr>
              <w:t>产品规格</w:t>
            </w:r>
          </w:p>
        </w:tc>
        <w:tc>
          <w:tcPr>
            <w:tcW w:w="1211" w:type="dxa"/>
            <w:vMerge w:val="restart"/>
          </w:tcPr>
          <w:p w14:paraId="2CC3A617">
            <w:pPr>
              <w:spacing w:after="160" w:line="278" w:lineRule="auto"/>
              <w:rPr>
                <w:rFonts w:ascii="宋体" w:hAnsi="等线"/>
                <w:sz w:val="24"/>
              </w:rPr>
            </w:pPr>
            <w:r>
              <w:rPr>
                <w:rFonts w:hint="eastAsia" w:ascii="宋体" w:hAnsi="等线"/>
                <w:sz w:val="24"/>
              </w:rPr>
              <w:t>电源规格</w:t>
            </w:r>
          </w:p>
        </w:tc>
        <w:tc>
          <w:tcPr>
            <w:tcW w:w="1350" w:type="dxa"/>
          </w:tcPr>
          <w:p w14:paraId="1D3B2B7A">
            <w:pPr>
              <w:spacing w:after="160" w:line="278" w:lineRule="auto"/>
              <w:rPr>
                <w:rFonts w:ascii="宋体" w:hAnsi="等线"/>
                <w:sz w:val="24"/>
              </w:rPr>
            </w:pPr>
            <w:r>
              <w:rPr>
                <w:rFonts w:hint="eastAsia" w:ascii="宋体" w:hAnsi="等线"/>
                <w:sz w:val="24"/>
              </w:rPr>
              <w:t>电源</w:t>
            </w:r>
          </w:p>
        </w:tc>
        <w:tc>
          <w:tcPr>
            <w:tcW w:w="4073" w:type="dxa"/>
          </w:tcPr>
          <w:p w14:paraId="349D2445">
            <w:pPr>
              <w:spacing w:after="160" w:line="278" w:lineRule="auto"/>
              <w:jc w:val="left"/>
              <w:rPr>
                <w:rFonts w:ascii="宋体" w:hAnsi="等线"/>
                <w:sz w:val="24"/>
              </w:rPr>
            </w:pPr>
            <w:r>
              <w:rPr>
                <w:rFonts w:hint="eastAsia" w:ascii="宋体" w:hAnsi="等线"/>
                <w:sz w:val="24"/>
              </w:rPr>
              <w:t>≥800W热插拔冗余电源</w:t>
            </w:r>
          </w:p>
        </w:tc>
      </w:tr>
      <w:tr w14:paraId="00989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510CDE26">
            <w:pPr>
              <w:spacing w:after="160" w:line="278" w:lineRule="auto"/>
              <w:rPr>
                <w:rFonts w:ascii="宋体" w:hAnsi="等线"/>
                <w:sz w:val="24"/>
              </w:rPr>
            </w:pPr>
            <w:r>
              <w:rPr>
                <w:rFonts w:hint="eastAsia" w:ascii="宋体" w:hAnsi="等线"/>
                <w:sz w:val="24"/>
              </w:rPr>
              <w:t>10</w:t>
            </w:r>
          </w:p>
        </w:tc>
        <w:tc>
          <w:tcPr>
            <w:tcW w:w="1189" w:type="dxa"/>
          </w:tcPr>
          <w:p w14:paraId="3A12F8DC">
            <w:pPr>
              <w:spacing w:after="160" w:line="278" w:lineRule="auto"/>
              <w:rPr>
                <w:rFonts w:ascii="宋体" w:hAnsi="等线"/>
                <w:sz w:val="24"/>
              </w:rPr>
            </w:pPr>
            <w:r>
              <w:rPr>
                <w:rFonts w:hint="eastAsia" w:ascii="宋体" w:hAnsi="等线"/>
                <w:sz w:val="24"/>
              </w:rPr>
              <w:t>产品规格</w:t>
            </w:r>
          </w:p>
        </w:tc>
        <w:tc>
          <w:tcPr>
            <w:tcW w:w="1211" w:type="dxa"/>
            <w:vMerge w:val="continue"/>
          </w:tcPr>
          <w:p w14:paraId="1640A52F">
            <w:pPr>
              <w:spacing w:after="160" w:line="278" w:lineRule="auto"/>
              <w:rPr>
                <w:rFonts w:ascii="宋体" w:hAnsi="等线"/>
                <w:sz w:val="24"/>
              </w:rPr>
            </w:pPr>
          </w:p>
        </w:tc>
        <w:tc>
          <w:tcPr>
            <w:tcW w:w="1350" w:type="dxa"/>
          </w:tcPr>
          <w:p w14:paraId="0F6FCD5D">
            <w:pPr>
              <w:spacing w:after="160" w:line="278" w:lineRule="auto"/>
              <w:rPr>
                <w:rFonts w:ascii="宋体" w:hAnsi="等线"/>
                <w:sz w:val="24"/>
              </w:rPr>
            </w:pPr>
            <w:r>
              <w:rPr>
                <w:rFonts w:hint="eastAsia" w:ascii="宋体" w:hAnsi="等线"/>
                <w:sz w:val="24"/>
              </w:rPr>
              <w:t>▲电源实配数量</w:t>
            </w:r>
          </w:p>
        </w:tc>
        <w:tc>
          <w:tcPr>
            <w:tcW w:w="4073" w:type="dxa"/>
          </w:tcPr>
          <w:p w14:paraId="4CF52C18">
            <w:pPr>
              <w:spacing w:after="160" w:line="278" w:lineRule="auto"/>
              <w:jc w:val="left"/>
              <w:rPr>
                <w:rFonts w:ascii="宋体" w:hAnsi="等线"/>
                <w:sz w:val="24"/>
              </w:rPr>
            </w:pPr>
            <w:r>
              <w:rPr>
                <w:rFonts w:hint="eastAsia" w:ascii="宋体" w:hAnsi="等线"/>
                <w:sz w:val="24"/>
              </w:rPr>
              <w:t>≥2</w:t>
            </w:r>
          </w:p>
        </w:tc>
      </w:tr>
      <w:tr w14:paraId="55CFE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1D36DC66">
            <w:pPr>
              <w:spacing w:after="160" w:line="278" w:lineRule="auto"/>
              <w:rPr>
                <w:rFonts w:ascii="宋体" w:hAnsi="等线"/>
                <w:sz w:val="24"/>
              </w:rPr>
            </w:pPr>
            <w:r>
              <w:rPr>
                <w:rFonts w:hint="eastAsia" w:ascii="宋体" w:hAnsi="等线"/>
                <w:sz w:val="24"/>
              </w:rPr>
              <w:t>11</w:t>
            </w:r>
          </w:p>
        </w:tc>
        <w:tc>
          <w:tcPr>
            <w:tcW w:w="7823" w:type="dxa"/>
            <w:gridSpan w:val="4"/>
          </w:tcPr>
          <w:p w14:paraId="44C54704">
            <w:pPr>
              <w:spacing w:after="160" w:line="278" w:lineRule="auto"/>
              <w:rPr>
                <w:rFonts w:ascii="宋体" w:hAnsi="等线"/>
                <w:sz w:val="24"/>
              </w:rPr>
            </w:pPr>
            <w:r>
              <w:rPr>
                <w:rFonts w:ascii="宋体" w:hAnsi="等线"/>
                <w:sz w:val="24"/>
              </w:rPr>
              <w:t>▲根据 《通用服务器政府采购需求标准（2023版）》的通知（财库〔2023〕33号）要求，标准中加“*”的指标为本项目采购需求的实质性要求，供应商须出具承诺函，承诺投标产品的技术参数满足《通用服务器政府采购需求标准（2023版）》中加“*”的指标。</w:t>
            </w:r>
          </w:p>
        </w:tc>
      </w:tr>
      <w:tr w14:paraId="68A4B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14:paraId="2679B380">
            <w:pPr>
              <w:spacing w:after="160" w:line="278" w:lineRule="auto"/>
              <w:rPr>
                <w:rFonts w:ascii="宋体" w:hAnsi="等线"/>
                <w:sz w:val="24"/>
              </w:rPr>
            </w:pPr>
            <w:r>
              <w:rPr>
                <w:rFonts w:hint="eastAsia" w:ascii="宋体" w:hAnsi="等线"/>
                <w:sz w:val="24"/>
              </w:rPr>
              <w:t>配套超融合软件及授权</w:t>
            </w:r>
          </w:p>
          <w:tbl>
            <w:tblPr>
              <w:tblStyle w:val="59"/>
              <w:tblW w:w="82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6879"/>
            </w:tblGrid>
            <w:tr w14:paraId="36BF1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419" w:type="dxa"/>
                  <w:vMerge w:val="restart"/>
                  <w:shd w:val="clear" w:color="auto" w:fill="auto"/>
                  <w:vAlign w:val="center"/>
                </w:tcPr>
                <w:p w14:paraId="04282571">
                  <w:pPr>
                    <w:rPr>
                      <w:rFonts w:ascii="宋体" w:hAnsi="宋体"/>
                      <w:sz w:val="24"/>
                      <w:szCs w:val="24"/>
                    </w:rPr>
                  </w:pPr>
                  <w:r>
                    <w:rPr>
                      <w:rFonts w:hint="eastAsia" w:ascii="宋体" w:hAnsi="宋体"/>
                      <w:sz w:val="24"/>
                      <w:szCs w:val="24"/>
                    </w:rPr>
                    <w:t>基本要求</w:t>
                  </w:r>
                </w:p>
              </w:tc>
              <w:tc>
                <w:tcPr>
                  <w:tcW w:w="6879" w:type="dxa"/>
                  <w:shd w:val="clear" w:color="auto" w:fill="auto"/>
                  <w:vAlign w:val="center"/>
                </w:tcPr>
                <w:p w14:paraId="789069DF">
                  <w:pPr>
                    <w:rPr>
                      <w:rFonts w:ascii="宋体" w:hAnsi="宋体"/>
                      <w:sz w:val="24"/>
                      <w:szCs w:val="24"/>
                    </w:rPr>
                  </w:pPr>
                  <w:r>
                    <w:rPr>
                      <w:rFonts w:hint="eastAsia" w:ascii="宋体" w:hAnsi="宋体"/>
                      <w:sz w:val="24"/>
                      <w:szCs w:val="24"/>
                    </w:rPr>
                    <w:t>虚拟机之间支持隔离保护，每个虚拟机系统的用户权限仅限于本虚拟机之内，任意虚拟机发生故障均不会影响同一个物理机上的其它虚拟机运行，以保障系统平台的安全性。虚拟机支持物理机的全部功能，如具有自己的资源（内存、CPU、网卡、存储），支持指定单独的IP地址、MAC地址等。</w:t>
                  </w:r>
                </w:p>
              </w:tc>
            </w:tr>
            <w:tr w14:paraId="5D0A9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419" w:type="dxa"/>
                  <w:vMerge w:val="continue"/>
                  <w:shd w:val="clear" w:color="auto" w:fill="auto"/>
                  <w:vAlign w:val="center"/>
                </w:tcPr>
                <w:p w14:paraId="7BB960CB">
                  <w:pPr>
                    <w:rPr>
                      <w:rFonts w:ascii="宋体" w:hAnsi="宋体"/>
                      <w:sz w:val="24"/>
                      <w:szCs w:val="24"/>
                    </w:rPr>
                  </w:pPr>
                </w:p>
              </w:tc>
              <w:tc>
                <w:tcPr>
                  <w:tcW w:w="6879" w:type="dxa"/>
                  <w:shd w:val="clear" w:color="auto" w:fill="auto"/>
                  <w:vAlign w:val="center"/>
                </w:tcPr>
                <w:p w14:paraId="6BC93EFC">
                  <w:pPr>
                    <w:rPr>
                      <w:rFonts w:ascii="宋体" w:hAnsi="宋体"/>
                      <w:sz w:val="24"/>
                      <w:szCs w:val="24"/>
                    </w:rPr>
                  </w:pPr>
                  <w:r>
                    <w:rPr>
                      <w:rFonts w:hint="eastAsia" w:ascii="宋体" w:hAnsi="宋体"/>
                      <w:sz w:val="24"/>
                      <w:szCs w:val="24"/>
                    </w:rPr>
                    <w:t>提供资源告警阈值配置能力，覆盖CPU利用率/内存利用率/磁盘分区利用率/磁盘读写IOPS/磁盘读写IO延时/磁盘吞吐量/网络发送接收吞吐量/存储池利用率等指标。每项指标初始化即提供默认阈值，对应紧急、重要、次要、提示四个告警等级。告警信息支持转储至第三方NFS平台持久记录保存。</w:t>
                  </w:r>
                </w:p>
              </w:tc>
            </w:tr>
            <w:tr w14:paraId="61BBD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419" w:type="dxa"/>
                  <w:vMerge w:val="continue"/>
                  <w:shd w:val="clear" w:color="auto" w:fill="auto"/>
                  <w:vAlign w:val="center"/>
                </w:tcPr>
                <w:p w14:paraId="02A7697E">
                  <w:pPr>
                    <w:rPr>
                      <w:rFonts w:ascii="宋体" w:hAnsi="宋体"/>
                      <w:sz w:val="24"/>
                      <w:szCs w:val="24"/>
                    </w:rPr>
                  </w:pPr>
                </w:p>
              </w:tc>
              <w:tc>
                <w:tcPr>
                  <w:tcW w:w="6879" w:type="dxa"/>
                  <w:shd w:val="clear" w:color="auto" w:fill="auto"/>
                  <w:vAlign w:val="center"/>
                </w:tcPr>
                <w:p w14:paraId="25DE4ADF">
                  <w:pPr>
                    <w:rPr>
                      <w:rFonts w:ascii="宋体" w:hAnsi="宋体"/>
                      <w:sz w:val="24"/>
                      <w:szCs w:val="24"/>
                    </w:rPr>
                  </w:pPr>
                  <w:r>
                    <w:rPr>
                      <w:rFonts w:hint="eastAsia" w:ascii="宋体" w:hAnsi="宋体"/>
                      <w:sz w:val="24"/>
                      <w:szCs w:val="24"/>
                    </w:rPr>
                    <w:t>平台应当提供多维度的异常或故障检测告警能力，覆盖宿主机故障、FC链路故障、物理网卡故障、存储多路径数变化异常、共享文件系统磁盘心跳异常、宿主机存储故障、根目录不足异常、底层事件告警、虚拟机异常重新拉起等指标。</w:t>
                  </w:r>
                </w:p>
              </w:tc>
            </w:tr>
            <w:tr w14:paraId="381AE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419" w:type="dxa"/>
                  <w:vMerge w:val="continue"/>
                  <w:shd w:val="clear" w:color="auto" w:fill="auto"/>
                  <w:vAlign w:val="center"/>
                </w:tcPr>
                <w:p w14:paraId="014FEB14">
                  <w:pPr>
                    <w:rPr>
                      <w:rFonts w:ascii="宋体" w:hAnsi="宋体"/>
                      <w:sz w:val="24"/>
                      <w:szCs w:val="24"/>
                    </w:rPr>
                  </w:pPr>
                </w:p>
              </w:tc>
              <w:tc>
                <w:tcPr>
                  <w:tcW w:w="6879" w:type="dxa"/>
                  <w:shd w:val="clear" w:color="auto" w:fill="auto"/>
                  <w:vAlign w:val="center"/>
                </w:tcPr>
                <w:p w14:paraId="014A6D03">
                  <w:pPr>
                    <w:rPr>
                      <w:rFonts w:ascii="宋体" w:hAnsi="宋体"/>
                      <w:sz w:val="24"/>
                      <w:szCs w:val="24"/>
                    </w:rPr>
                  </w:pPr>
                  <w:r>
                    <w:rPr>
                      <w:rFonts w:hint="eastAsia" w:ascii="宋体" w:hAnsi="宋体"/>
                      <w:sz w:val="24"/>
                      <w:szCs w:val="24"/>
                    </w:rPr>
                    <w:t>为提升运维管理效率，支持外部监控平台通过SNMP协议采集平台监控告警信息；支持指定syslog协议目标和端口向外部日志平台提供日志对接能力；支持告警信息转储至外部NAS平台持久保存。</w:t>
                  </w:r>
                </w:p>
              </w:tc>
            </w:tr>
            <w:tr w14:paraId="53BFD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419" w:type="dxa"/>
                  <w:vMerge w:val="continue"/>
                  <w:shd w:val="clear" w:color="auto" w:fill="auto"/>
                  <w:vAlign w:val="center"/>
                </w:tcPr>
                <w:p w14:paraId="354D5D36">
                  <w:pPr>
                    <w:rPr>
                      <w:rFonts w:ascii="宋体" w:hAnsi="宋体"/>
                      <w:sz w:val="24"/>
                      <w:szCs w:val="24"/>
                    </w:rPr>
                  </w:pPr>
                </w:p>
              </w:tc>
              <w:tc>
                <w:tcPr>
                  <w:tcW w:w="6879" w:type="dxa"/>
                  <w:shd w:val="clear" w:color="auto" w:fill="auto"/>
                  <w:vAlign w:val="center"/>
                </w:tcPr>
                <w:p w14:paraId="3D630F95">
                  <w:pPr>
                    <w:rPr>
                      <w:rFonts w:ascii="宋体" w:hAnsi="宋体"/>
                      <w:sz w:val="24"/>
                      <w:szCs w:val="24"/>
                    </w:rPr>
                  </w:pPr>
                  <w:r>
                    <w:rPr>
                      <w:rFonts w:hint="eastAsia" w:ascii="宋体" w:hAnsi="宋体"/>
                      <w:sz w:val="24"/>
                      <w:szCs w:val="24"/>
                    </w:rPr>
                    <w:t>提供平台资源总览视图，包括主机池、集群、宿主机、虚拟机状态和数量，以及CPU、内存、存储的逻辑总量、使用量、分配比情况，自动计算虚拟机密度；</w:t>
                  </w:r>
                </w:p>
              </w:tc>
            </w:tr>
            <w:tr w14:paraId="5BA1D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419" w:type="dxa"/>
                  <w:vMerge w:val="continue"/>
                  <w:shd w:val="clear" w:color="auto" w:fill="auto"/>
                  <w:vAlign w:val="center"/>
                </w:tcPr>
                <w:p w14:paraId="4196B309">
                  <w:pPr>
                    <w:rPr>
                      <w:rFonts w:ascii="宋体" w:hAnsi="宋体"/>
                      <w:sz w:val="24"/>
                      <w:szCs w:val="24"/>
                    </w:rPr>
                  </w:pPr>
                </w:p>
              </w:tc>
              <w:tc>
                <w:tcPr>
                  <w:tcW w:w="6879" w:type="dxa"/>
                  <w:shd w:val="clear" w:color="auto" w:fill="auto"/>
                  <w:vAlign w:val="center"/>
                </w:tcPr>
                <w:p w14:paraId="6CE3E641">
                  <w:pPr>
                    <w:rPr>
                      <w:rFonts w:ascii="宋体" w:hAnsi="宋体"/>
                      <w:sz w:val="24"/>
                      <w:szCs w:val="24"/>
                    </w:rPr>
                  </w:pPr>
                  <w:r>
                    <w:rPr>
                      <w:rFonts w:hint="eastAsia" w:ascii="宋体" w:hAnsi="宋体"/>
                      <w:sz w:val="24"/>
                      <w:szCs w:val="24"/>
                    </w:rPr>
                    <w:t>所投产品支持无需代码修改或研发支持即可快速定制修改管理界面。</w:t>
                  </w:r>
                </w:p>
              </w:tc>
            </w:tr>
            <w:tr w14:paraId="4B3A1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419" w:type="dxa"/>
                  <w:vMerge w:val="restart"/>
                  <w:shd w:val="clear" w:color="auto" w:fill="auto"/>
                  <w:vAlign w:val="center"/>
                </w:tcPr>
                <w:p w14:paraId="7A7DE8D4">
                  <w:pPr>
                    <w:rPr>
                      <w:rFonts w:ascii="宋体" w:hAnsi="宋体"/>
                      <w:sz w:val="24"/>
                      <w:szCs w:val="24"/>
                    </w:rPr>
                  </w:pPr>
                  <w:r>
                    <w:rPr>
                      <w:rFonts w:hint="eastAsia" w:ascii="宋体" w:hAnsi="宋体"/>
                      <w:sz w:val="24"/>
                      <w:szCs w:val="24"/>
                    </w:rPr>
                    <w:t>架构及部署要求</w:t>
                  </w:r>
                </w:p>
              </w:tc>
              <w:tc>
                <w:tcPr>
                  <w:tcW w:w="6879" w:type="dxa"/>
                  <w:shd w:val="clear" w:color="auto" w:fill="auto"/>
                  <w:vAlign w:val="center"/>
                </w:tcPr>
                <w:p w14:paraId="7ACC2870">
                  <w:pPr>
                    <w:rPr>
                      <w:rFonts w:ascii="宋体" w:hAnsi="宋体"/>
                      <w:sz w:val="24"/>
                      <w:szCs w:val="24"/>
                    </w:rPr>
                  </w:pPr>
                  <w:r>
                    <w:rPr>
                      <w:rFonts w:ascii="宋体" w:hAnsi="宋体"/>
                      <w:sz w:val="24"/>
                      <w:szCs w:val="24"/>
                    </w:rPr>
                    <w:t>★</w:t>
                  </w:r>
                  <w:r>
                    <w:rPr>
                      <w:rFonts w:hint="eastAsia" w:ascii="宋体" w:hAnsi="宋体"/>
                      <w:sz w:val="24"/>
                      <w:szCs w:val="24"/>
                    </w:rPr>
                    <w:t>所投虚拟化产品架构应基于KVM虚拟化路线，对标VMware vSphere提供“虚拟化引擎+虚拟化资源管理平台（非云运营管理/云服务目录）”的架构。产品应保证非采用OpenStack架构或基于OpenStack架构二次开发的超融合云平台，无须借助单独的控制节点、网络节点、VRouter云路由、集群/节点控制器等组件实现计算集群和网络的管理。</w:t>
                  </w:r>
                </w:p>
                <w:p w14:paraId="3A8DE714">
                  <w:pPr>
                    <w:rPr>
                      <w:rFonts w:ascii="宋体" w:hAnsi="宋体"/>
                      <w:sz w:val="24"/>
                      <w:szCs w:val="24"/>
                    </w:rPr>
                  </w:pPr>
                  <w:r>
                    <w:rPr>
                      <w:rFonts w:hint="eastAsia" w:ascii="宋体" w:hAnsi="宋体"/>
                      <w:sz w:val="24"/>
                      <w:szCs w:val="24"/>
                    </w:rPr>
                    <w:t>（提供相关证明材料，承诺交付时一致）</w:t>
                  </w:r>
                </w:p>
              </w:tc>
            </w:tr>
            <w:tr w14:paraId="61DCF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419" w:type="dxa"/>
                  <w:vMerge w:val="continue"/>
                  <w:shd w:val="clear" w:color="auto" w:fill="auto"/>
                  <w:vAlign w:val="center"/>
                </w:tcPr>
                <w:p w14:paraId="559A684C">
                  <w:pPr>
                    <w:rPr>
                      <w:rFonts w:ascii="宋体" w:hAnsi="宋体"/>
                      <w:sz w:val="24"/>
                      <w:szCs w:val="24"/>
                    </w:rPr>
                  </w:pPr>
                </w:p>
              </w:tc>
              <w:tc>
                <w:tcPr>
                  <w:tcW w:w="6879" w:type="dxa"/>
                  <w:shd w:val="clear" w:color="auto" w:fill="auto"/>
                  <w:vAlign w:val="center"/>
                </w:tcPr>
                <w:p w14:paraId="3E725AB8">
                  <w:pPr>
                    <w:rPr>
                      <w:rFonts w:ascii="宋体" w:hAnsi="宋体"/>
                      <w:sz w:val="24"/>
                      <w:szCs w:val="24"/>
                    </w:rPr>
                  </w:pPr>
                  <w:r>
                    <w:rPr>
                      <w:rFonts w:ascii="宋体" w:hAnsi="宋体"/>
                      <w:sz w:val="24"/>
                      <w:szCs w:val="24"/>
                    </w:rPr>
                    <w:t>★</w:t>
                  </w:r>
                  <w:r>
                    <w:rPr>
                      <w:rFonts w:hint="eastAsia" w:ascii="宋体" w:hAnsi="宋体"/>
                      <w:sz w:val="24"/>
                      <w:szCs w:val="24"/>
                    </w:rPr>
                    <w:t>为了保证技术架构解耦及先进性，超融合平台应采用微服务化架构开发和部署，包括服务器虚拟化、存储虚拟化、网络虚拟化、裸机管理等子模块，每个模块应当为独立设计且可以按需部署启用。满足灵活适应环境的要求，超融合平台应当支持“服务器虚拟化+集中式存储”、“虚拟化-分布式存储存算分离”、“虚拟化+分布式存储融合（即超融合）”等部署模式。</w:t>
                  </w:r>
                </w:p>
                <w:p w14:paraId="5C9FD0AF">
                  <w:pPr>
                    <w:rPr>
                      <w:rFonts w:ascii="宋体" w:hAnsi="宋体"/>
                      <w:sz w:val="24"/>
                      <w:szCs w:val="24"/>
                    </w:rPr>
                  </w:pPr>
                  <w:r>
                    <w:rPr>
                      <w:rFonts w:hint="eastAsia" w:ascii="宋体" w:hAnsi="宋体"/>
                      <w:sz w:val="24"/>
                      <w:szCs w:val="24"/>
                    </w:rPr>
                    <w:t>（提供相关证明材料，承诺交付时一致）</w:t>
                  </w:r>
                </w:p>
              </w:tc>
            </w:tr>
            <w:tr w14:paraId="5BFB1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419" w:type="dxa"/>
                  <w:vMerge w:val="continue"/>
                  <w:shd w:val="clear" w:color="auto" w:fill="auto"/>
                  <w:vAlign w:val="center"/>
                </w:tcPr>
                <w:p w14:paraId="6F58EE78">
                  <w:pPr>
                    <w:rPr>
                      <w:rFonts w:ascii="宋体" w:hAnsi="宋体"/>
                      <w:sz w:val="24"/>
                      <w:szCs w:val="24"/>
                    </w:rPr>
                  </w:pPr>
                </w:p>
              </w:tc>
              <w:tc>
                <w:tcPr>
                  <w:tcW w:w="6879" w:type="dxa"/>
                  <w:shd w:val="clear" w:color="auto" w:fill="auto"/>
                  <w:vAlign w:val="center"/>
                </w:tcPr>
                <w:p w14:paraId="2459B2DE">
                  <w:pPr>
                    <w:rPr>
                      <w:rFonts w:ascii="宋体" w:hAnsi="宋体"/>
                      <w:sz w:val="24"/>
                      <w:szCs w:val="24"/>
                    </w:rPr>
                  </w:pPr>
                  <w:r>
                    <w:rPr>
                      <w:rFonts w:hint="eastAsia" w:ascii="宋体" w:hAnsi="宋体"/>
                      <w:sz w:val="24"/>
                      <w:szCs w:val="24"/>
                    </w:rPr>
                    <w:t>为了保证管理门户的连续性，管理平台自身提供高可用机制，最少可以支持双节点且不依赖外部存储实现；当管理平台其中一个节点出现故障时，能够自动故障切换并保证平台管理能力的连续性。管理平台支持以虚拟机的方式灵活部署，支持管理平台所在虚拟机迁移至其他宿主机进行维护。</w:t>
                  </w:r>
                </w:p>
              </w:tc>
            </w:tr>
            <w:tr w14:paraId="44562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419" w:type="dxa"/>
                  <w:vMerge w:val="continue"/>
                  <w:shd w:val="clear" w:color="auto" w:fill="auto"/>
                  <w:vAlign w:val="center"/>
                </w:tcPr>
                <w:p w14:paraId="1A934A23">
                  <w:pPr>
                    <w:rPr>
                      <w:rFonts w:ascii="宋体" w:hAnsi="宋体"/>
                      <w:sz w:val="24"/>
                      <w:szCs w:val="24"/>
                    </w:rPr>
                  </w:pPr>
                </w:p>
              </w:tc>
              <w:tc>
                <w:tcPr>
                  <w:tcW w:w="6879" w:type="dxa"/>
                  <w:shd w:val="clear" w:color="auto" w:fill="auto"/>
                  <w:vAlign w:val="center"/>
                </w:tcPr>
                <w:p w14:paraId="537C94D1">
                  <w:pPr>
                    <w:rPr>
                      <w:rFonts w:ascii="宋体" w:hAnsi="宋体"/>
                      <w:sz w:val="24"/>
                      <w:szCs w:val="24"/>
                    </w:rPr>
                  </w:pPr>
                  <w:r>
                    <w:rPr>
                      <w:rFonts w:hint="eastAsia" w:ascii="宋体" w:hAnsi="宋体"/>
                      <w:sz w:val="24"/>
                      <w:szCs w:val="24"/>
                    </w:rPr>
                    <w:t>为了架构的简便性，管理平台直接支持管理虚拟化集群、虚拟化计算节点，无需借助额外的集群/节点控制器。</w:t>
                  </w:r>
                </w:p>
              </w:tc>
            </w:tr>
            <w:tr w14:paraId="2264B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419" w:type="dxa"/>
                  <w:vMerge w:val="continue"/>
                  <w:shd w:val="clear" w:color="auto" w:fill="auto"/>
                  <w:vAlign w:val="center"/>
                </w:tcPr>
                <w:p w14:paraId="295E67A7">
                  <w:pPr>
                    <w:rPr>
                      <w:rFonts w:ascii="宋体" w:hAnsi="宋体"/>
                      <w:sz w:val="24"/>
                      <w:szCs w:val="24"/>
                    </w:rPr>
                  </w:pPr>
                </w:p>
              </w:tc>
              <w:tc>
                <w:tcPr>
                  <w:tcW w:w="6879" w:type="dxa"/>
                  <w:shd w:val="clear" w:color="auto" w:fill="auto"/>
                  <w:vAlign w:val="center"/>
                </w:tcPr>
                <w:p w14:paraId="6AEF35EA">
                  <w:pPr>
                    <w:rPr>
                      <w:rFonts w:ascii="宋体" w:hAnsi="宋体"/>
                      <w:sz w:val="24"/>
                      <w:szCs w:val="24"/>
                    </w:rPr>
                  </w:pPr>
                  <w:r>
                    <w:rPr>
                      <w:rFonts w:hint="eastAsia" w:ascii="宋体" w:hAnsi="宋体"/>
                      <w:sz w:val="24"/>
                      <w:szCs w:val="24"/>
                    </w:rPr>
                    <w:t>为了灵活变更资源和应用许可授权，所投产品的许可授权应保证不与计算节点硬件绑定（例如采用USB-Key等方式），即涉及虚拟化宿主机所在的服务器硬件更换/调整、虚拟化管理平台所在的虚拟机迁移等情况，均不对已应用的许可授权造成影响、无需更新许可授权</w:t>
                  </w:r>
                </w:p>
              </w:tc>
            </w:tr>
            <w:tr w14:paraId="05F0C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419" w:type="dxa"/>
                  <w:vMerge w:val="restart"/>
                  <w:shd w:val="clear" w:color="auto" w:fill="auto"/>
                  <w:vAlign w:val="center"/>
                </w:tcPr>
                <w:p w14:paraId="3D9FFE05">
                  <w:pPr>
                    <w:rPr>
                      <w:rFonts w:ascii="宋体" w:hAnsi="宋体"/>
                      <w:sz w:val="24"/>
                      <w:szCs w:val="24"/>
                    </w:rPr>
                  </w:pPr>
                  <w:r>
                    <w:rPr>
                      <w:rFonts w:hint="eastAsia" w:ascii="宋体" w:hAnsi="宋体"/>
                      <w:sz w:val="24"/>
                      <w:szCs w:val="24"/>
                    </w:rPr>
                    <w:t>计算虚拟化</w:t>
                  </w:r>
                </w:p>
              </w:tc>
              <w:tc>
                <w:tcPr>
                  <w:tcW w:w="6879" w:type="dxa"/>
                  <w:shd w:val="clear" w:color="auto" w:fill="auto"/>
                  <w:vAlign w:val="center"/>
                </w:tcPr>
                <w:p w14:paraId="4535BC08">
                  <w:pPr>
                    <w:rPr>
                      <w:rFonts w:ascii="宋体" w:hAnsi="宋体"/>
                      <w:sz w:val="24"/>
                      <w:szCs w:val="24"/>
                    </w:rPr>
                  </w:pPr>
                  <w:r>
                    <w:rPr>
                      <w:rFonts w:hint="eastAsia" w:ascii="宋体" w:hAnsi="宋体"/>
                      <w:sz w:val="24"/>
                      <w:szCs w:val="24"/>
                    </w:rPr>
                    <w:t>为保持虚拟化的管理操作习惯，虚拟化平台应以虚拟化集群的方式管理一组虚拟化宿主机（非主机集合、可用域等方式），具有集群性能监控、集群HA高可用、DRS动态调度、DPM电源管理、Affinity亲和性规则等特性；创建集群时允许指定X86、ARM、MIPS、LoongArch、SW等架构类型，不同的集群之间的计算、存储、网络资源互相独立。</w:t>
                  </w:r>
                </w:p>
              </w:tc>
            </w:tr>
            <w:tr w14:paraId="4E72C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419" w:type="dxa"/>
                  <w:vMerge w:val="continue"/>
                  <w:shd w:val="clear" w:color="auto" w:fill="auto"/>
                  <w:vAlign w:val="center"/>
                </w:tcPr>
                <w:p w14:paraId="12E2C8C9">
                  <w:pPr>
                    <w:rPr>
                      <w:rFonts w:ascii="宋体" w:hAnsi="宋体"/>
                      <w:sz w:val="24"/>
                      <w:szCs w:val="24"/>
                    </w:rPr>
                  </w:pPr>
                </w:p>
              </w:tc>
              <w:tc>
                <w:tcPr>
                  <w:tcW w:w="6879" w:type="dxa"/>
                  <w:shd w:val="clear" w:color="auto" w:fill="auto"/>
                  <w:vAlign w:val="center"/>
                </w:tcPr>
                <w:p w14:paraId="416D5748">
                  <w:pPr>
                    <w:rPr>
                      <w:rFonts w:ascii="宋体" w:hAnsi="宋体"/>
                      <w:sz w:val="24"/>
                      <w:szCs w:val="24"/>
                    </w:rPr>
                  </w:pPr>
                  <w:r>
                    <w:rPr>
                      <w:rFonts w:hint="eastAsia" w:ascii="宋体" w:hAnsi="宋体"/>
                      <w:sz w:val="24"/>
                      <w:szCs w:val="24"/>
                    </w:rPr>
                    <w:t>支持基于IP、用户名、密码向集群动态添加宿主机，不影响集群运行和稳定性；当其他集群计算资源不足时，能够跨集群迁移宿主机，实现资源灵活调度分配；支持宿主机虚拟化软件版本平滑升级，提供虚拟化补丁管理及安装升级功能。</w:t>
                  </w:r>
                </w:p>
              </w:tc>
            </w:tr>
            <w:tr w14:paraId="4F307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419" w:type="dxa"/>
                  <w:vMerge w:val="continue"/>
                  <w:shd w:val="clear" w:color="auto" w:fill="auto"/>
                  <w:vAlign w:val="center"/>
                </w:tcPr>
                <w:p w14:paraId="02784F16">
                  <w:pPr>
                    <w:rPr>
                      <w:rFonts w:ascii="宋体" w:hAnsi="宋体"/>
                      <w:sz w:val="24"/>
                      <w:szCs w:val="24"/>
                    </w:rPr>
                  </w:pPr>
                </w:p>
              </w:tc>
              <w:tc>
                <w:tcPr>
                  <w:tcW w:w="6879" w:type="dxa"/>
                  <w:shd w:val="clear" w:color="auto" w:fill="auto"/>
                  <w:vAlign w:val="center"/>
                </w:tcPr>
                <w:p w14:paraId="32F1CFC0">
                  <w:pPr>
                    <w:rPr>
                      <w:rFonts w:ascii="宋体" w:hAnsi="宋体"/>
                      <w:sz w:val="24"/>
                      <w:szCs w:val="24"/>
                    </w:rPr>
                  </w:pPr>
                  <w:r>
                    <w:rPr>
                      <w:rFonts w:hint="eastAsia" w:ascii="宋体" w:hAnsi="宋体"/>
                      <w:sz w:val="24"/>
                      <w:szCs w:val="24"/>
                    </w:rPr>
                    <w:t>宿主机的管理应当包括进入/退出维护模式、修改配置、同步主机、远程唤醒、BMC地址配置、IOMMU配置、存储多路径等常见操作。提供宿主机的CPU分配比、内存分配比，自动推举CPU/内存/磁盘利用率最高的虚拟机TopN，反映业务热点或瓶颈。</w:t>
                  </w:r>
                </w:p>
              </w:tc>
            </w:tr>
            <w:tr w14:paraId="775F4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419" w:type="dxa"/>
                  <w:vMerge w:val="continue"/>
                  <w:shd w:val="clear" w:color="auto" w:fill="auto"/>
                  <w:vAlign w:val="center"/>
                </w:tcPr>
                <w:p w14:paraId="2B2A5738">
                  <w:pPr>
                    <w:rPr>
                      <w:rFonts w:ascii="宋体" w:hAnsi="宋体"/>
                      <w:sz w:val="24"/>
                      <w:szCs w:val="24"/>
                    </w:rPr>
                  </w:pPr>
                </w:p>
              </w:tc>
              <w:tc>
                <w:tcPr>
                  <w:tcW w:w="6879" w:type="dxa"/>
                  <w:shd w:val="clear" w:color="auto" w:fill="auto"/>
                  <w:vAlign w:val="center"/>
                </w:tcPr>
                <w:p w14:paraId="11F4638D">
                  <w:pPr>
                    <w:rPr>
                      <w:rFonts w:ascii="宋体" w:hAnsi="宋体"/>
                      <w:sz w:val="24"/>
                      <w:szCs w:val="24"/>
                    </w:rPr>
                  </w:pPr>
                  <w:r>
                    <w:rPr>
                      <w:rFonts w:hint="eastAsia" w:ascii="宋体" w:hAnsi="宋体"/>
                      <w:sz w:val="24"/>
                      <w:szCs w:val="24"/>
                    </w:rPr>
                    <w:t>识别宿主机的全部软硬件配置信息，硬件信息包括但不限于CPU设备信息（型号、频率、线程数、核数、L1/L2/L3缓存）、内存设备信息（厂商、容量、DDR3/DDR4等）、物理网卡设备信息（接口类型、MAC地址、速率、工作模式、状态等）、PCI设备列表（PCI设备编号、设备类型包括FC控制器、以太网控制器、USB控制器等）、HBA卡（厂商、WWN号）等；软件信息包括但不限于IP地址、iqn号、IOMMU状态、维护状态、连接状态、CPU信息（插槽/内核/线程/型号/主频）、服务器硬件型号、序列号、虚拟化版本、虚拟机数量及运行分布、服务器时间、运行时间等信息。</w:t>
                  </w:r>
                </w:p>
              </w:tc>
            </w:tr>
            <w:tr w14:paraId="2BBAC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419" w:type="dxa"/>
                  <w:vMerge w:val="continue"/>
                  <w:shd w:val="clear" w:color="auto" w:fill="auto"/>
                  <w:vAlign w:val="center"/>
                </w:tcPr>
                <w:p w14:paraId="2025CC37">
                  <w:pPr>
                    <w:rPr>
                      <w:rFonts w:ascii="宋体" w:hAnsi="宋体"/>
                      <w:sz w:val="24"/>
                      <w:szCs w:val="24"/>
                    </w:rPr>
                  </w:pPr>
                </w:p>
              </w:tc>
              <w:tc>
                <w:tcPr>
                  <w:tcW w:w="6879" w:type="dxa"/>
                  <w:shd w:val="clear" w:color="auto" w:fill="auto"/>
                  <w:vAlign w:val="center"/>
                </w:tcPr>
                <w:p w14:paraId="5ED5A337">
                  <w:pPr>
                    <w:rPr>
                      <w:rFonts w:ascii="宋体" w:hAnsi="宋体"/>
                      <w:sz w:val="24"/>
                      <w:szCs w:val="24"/>
                    </w:rPr>
                  </w:pPr>
                  <w:r>
                    <w:rPr>
                      <w:rFonts w:ascii="宋体" w:hAnsi="宋体"/>
                      <w:sz w:val="24"/>
                      <w:szCs w:val="24"/>
                    </w:rPr>
                    <w:t>★</w:t>
                  </w:r>
                  <w:r>
                    <w:rPr>
                      <w:rFonts w:hint="eastAsia" w:ascii="宋体" w:hAnsi="宋体"/>
                      <w:sz w:val="24"/>
                      <w:szCs w:val="24"/>
                    </w:rPr>
                    <w:t>提供虚拟化平台性能优化机制，支持NUMA/vNUMA配置、vCPU与物理CPU核心绑定。虚拟机支持分配Strict、Preferred、Interleave等内存策略，通过配置vNUMA向虚拟机操作系统透传呈现虚拟NUMA架构拓扑。</w:t>
                  </w:r>
                </w:p>
                <w:p w14:paraId="48479FCC">
                  <w:pPr>
                    <w:rPr>
                      <w:rFonts w:ascii="宋体" w:hAnsi="宋体"/>
                      <w:sz w:val="24"/>
                      <w:szCs w:val="24"/>
                    </w:rPr>
                  </w:pPr>
                  <w:r>
                    <w:rPr>
                      <w:rFonts w:hint="eastAsia" w:ascii="宋体" w:hAnsi="宋体"/>
                      <w:sz w:val="24"/>
                      <w:szCs w:val="24"/>
                    </w:rPr>
                    <w:t>（提供支持NUMA/vNUMA配置、vCPU绑定关系、3种内存分配策略的相关证明材料）。</w:t>
                  </w:r>
                </w:p>
              </w:tc>
            </w:tr>
            <w:tr w14:paraId="25A8D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419" w:type="dxa"/>
                  <w:vMerge w:val="continue"/>
                  <w:shd w:val="clear" w:color="auto" w:fill="auto"/>
                  <w:vAlign w:val="center"/>
                </w:tcPr>
                <w:p w14:paraId="59A103A5">
                  <w:pPr>
                    <w:rPr>
                      <w:rFonts w:ascii="宋体" w:hAnsi="宋体"/>
                      <w:sz w:val="24"/>
                      <w:szCs w:val="24"/>
                    </w:rPr>
                  </w:pPr>
                </w:p>
              </w:tc>
              <w:tc>
                <w:tcPr>
                  <w:tcW w:w="6879" w:type="dxa"/>
                  <w:shd w:val="clear" w:color="auto" w:fill="auto"/>
                  <w:vAlign w:val="center"/>
                </w:tcPr>
                <w:p w14:paraId="6AFF599D">
                  <w:pPr>
                    <w:rPr>
                      <w:rFonts w:ascii="宋体" w:hAnsi="宋体"/>
                      <w:sz w:val="24"/>
                      <w:szCs w:val="24"/>
                    </w:rPr>
                  </w:pPr>
                  <w:r>
                    <w:rPr>
                      <w:rFonts w:ascii="宋体" w:hAnsi="宋体"/>
                      <w:sz w:val="24"/>
                      <w:szCs w:val="24"/>
                    </w:rPr>
                    <w:t>★</w:t>
                  </w:r>
                  <w:r>
                    <w:rPr>
                      <w:rFonts w:hint="eastAsia" w:ascii="宋体" w:hAnsi="宋体"/>
                      <w:sz w:val="24"/>
                      <w:szCs w:val="24"/>
                    </w:rPr>
                    <w:t>提供高效的计算调度与保护机制，在X86、ARM、LoongArch等架构下能够实现内存资源的超量分配使用，单台宿主机之上的虚拟机内存之和均可大于实际物理内存容量。</w:t>
                  </w:r>
                </w:p>
                <w:p w14:paraId="1B431561">
                  <w:pPr>
                    <w:rPr>
                      <w:rFonts w:ascii="宋体" w:hAnsi="宋体"/>
                      <w:sz w:val="24"/>
                      <w:szCs w:val="24"/>
                    </w:rPr>
                  </w:pPr>
                  <w:r>
                    <w:rPr>
                      <w:rFonts w:hint="eastAsia" w:ascii="宋体" w:hAnsi="宋体"/>
                      <w:sz w:val="24"/>
                      <w:szCs w:val="24"/>
                    </w:rPr>
                    <w:t>（提供三种架构下内存超量分配的证明材料）。</w:t>
                  </w:r>
                </w:p>
              </w:tc>
            </w:tr>
            <w:tr w14:paraId="0393E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419" w:type="dxa"/>
                  <w:vMerge w:val="continue"/>
                  <w:shd w:val="clear" w:color="auto" w:fill="auto"/>
                  <w:vAlign w:val="center"/>
                </w:tcPr>
                <w:p w14:paraId="64A490E4">
                  <w:pPr>
                    <w:rPr>
                      <w:rFonts w:ascii="宋体" w:hAnsi="宋体"/>
                      <w:sz w:val="24"/>
                      <w:szCs w:val="24"/>
                    </w:rPr>
                  </w:pPr>
                </w:p>
              </w:tc>
              <w:tc>
                <w:tcPr>
                  <w:tcW w:w="6879" w:type="dxa"/>
                  <w:shd w:val="clear" w:color="auto" w:fill="auto"/>
                  <w:vAlign w:val="center"/>
                </w:tcPr>
                <w:p w14:paraId="40016FEB">
                  <w:pPr>
                    <w:rPr>
                      <w:rFonts w:ascii="宋体" w:hAnsi="宋体"/>
                      <w:sz w:val="24"/>
                      <w:szCs w:val="24"/>
                    </w:rPr>
                  </w:pPr>
                  <w:r>
                    <w:rPr>
                      <w:rFonts w:hint="eastAsia" w:ascii="宋体" w:hAnsi="宋体"/>
                      <w:sz w:val="24"/>
                      <w:szCs w:val="24"/>
                    </w:rPr>
                    <w:t>支持批量对虚拟机在线、离线调整vCPU、内存，包括X86、ARM架构；提供2M/32M/512M/1G等多种内存大页规格和数量配置，提升虚拟机内存访问性能；支持为HostOS、libvirt、OVS等虚拟化管理程序预留内存资源，保障虚拟化平台的稳定性。</w:t>
                  </w:r>
                </w:p>
              </w:tc>
            </w:tr>
            <w:tr w14:paraId="2072D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419" w:type="dxa"/>
                  <w:vMerge w:val="continue"/>
                  <w:shd w:val="clear" w:color="auto" w:fill="auto"/>
                  <w:vAlign w:val="center"/>
                </w:tcPr>
                <w:p w14:paraId="5E2E1D13">
                  <w:pPr>
                    <w:rPr>
                      <w:rFonts w:ascii="宋体" w:hAnsi="宋体"/>
                      <w:sz w:val="24"/>
                      <w:szCs w:val="24"/>
                    </w:rPr>
                  </w:pPr>
                </w:p>
              </w:tc>
              <w:tc>
                <w:tcPr>
                  <w:tcW w:w="6879" w:type="dxa"/>
                  <w:shd w:val="clear" w:color="auto" w:fill="auto"/>
                  <w:vAlign w:val="center"/>
                </w:tcPr>
                <w:p w14:paraId="439FC402">
                  <w:pPr>
                    <w:rPr>
                      <w:rFonts w:ascii="宋体" w:hAnsi="宋体"/>
                      <w:sz w:val="24"/>
                      <w:szCs w:val="24"/>
                    </w:rPr>
                  </w:pPr>
                  <w:r>
                    <w:rPr>
                      <w:rFonts w:hint="eastAsia" w:ascii="宋体" w:hAnsi="宋体"/>
                      <w:sz w:val="24"/>
                      <w:szCs w:val="24"/>
                    </w:rPr>
                    <w:t>虚拟机在X86、ARM等架构均支持配置USB设备直通，虚拟机可以访问主机上的USB设备；支持设置USB重定向，虚拟机跨主机迁移后仍能访问源主机的USB设备。</w:t>
                  </w:r>
                </w:p>
              </w:tc>
            </w:tr>
            <w:tr w14:paraId="33BD2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419" w:type="dxa"/>
                  <w:vMerge w:val="continue"/>
                  <w:shd w:val="clear" w:color="auto" w:fill="auto"/>
                  <w:vAlign w:val="center"/>
                </w:tcPr>
                <w:p w14:paraId="6BD6C7E4">
                  <w:pPr>
                    <w:rPr>
                      <w:rFonts w:ascii="宋体" w:hAnsi="宋体"/>
                      <w:sz w:val="24"/>
                      <w:szCs w:val="24"/>
                    </w:rPr>
                  </w:pPr>
                </w:p>
              </w:tc>
              <w:tc>
                <w:tcPr>
                  <w:tcW w:w="6879" w:type="dxa"/>
                  <w:shd w:val="clear" w:color="auto" w:fill="auto"/>
                  <w:vAlign w:val="center"/>
                </w:tcPr>
                <w:p w14:paraId="48B519F6">
                  <w:pPr>
                    <w:rPr>
                      <w:rFonts w:ascii="宋体" w:hAnsi="宋体"/>
                      <w:sz w:val="24"/>
                      <w:szCs w:val="24"/>
                    </w:rPr>
                  </w:pPr>
                  <w:r>
                    <w:rPr>
                      <w:rFonts w:hint="eastAsia" w:ascii="宋体" w:hAnsi="宋体"/>
                      <w:sz w:val="24"/>
                      <w:szCs w:val="24"/>
                    </w:rPr>
                    <w:t>虚拟机生命周期管理操作包括创建、启动、关闭、关闭电源、修改配置、重启、强制重启、休眠、暂停、恢复、挂载安装tools、VNC/SPICE控制台配置、克隆、标签关联、删除等。支持为虚拟机分配CPU、内存、磁盘、光驱、网卡、显卡、鼠标、键盘、写字板、GPU、USB设备、PCI设备、SR-IOV网卡等虚拟硬件。</w:t>
                  </w:r>
                </w:p>
              </w:tc>
            </w:tr>
            <w:tr w14:paraId="38D34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419" w:type="dxa"/>
                  <w:vMerge w:val="continue"/>
                  <w:shd w:val="clear" w:color="auto" w:fill="auto"/>
                  <w:vAlign w:val="center"/>
                </w:tcPr>
                <w:p w14:paraId="232AF085">
                  <w:pPr>
                    <w:rPr>
                      <w:rFonts w:ascii="宋体" w:hAnsi="宋体"/>
                      <w:sz w:val="24"/>
                      <w:szCs w:val="24"/>
                    </w:rPr>
                  </w:pPr>
                </w:p>
              </w:tc>
              <w:tc>
                <w:tcPr>
                  <w:tcW w:w="6879" w:type="dxa"/>
                  <w:shd w:val="clear" w:color="auto" w:fill="auto"/>
                  <w:vAlign w:val="center"/>
                </w:tcPr>
                <w:p w14:paraId="040507EA">
                  <w:pPr>
                    <w:rPr>
                      <w:rFonts w:ascii="宋体" w:hAnsi="宋体"/>
                      <w:sz w:val="24"/>
                      <w:szCs w:val="24"/>
                    </w:rPr>
                  </w:pPr>
                  <w:r>
                    <w:rPr>
                      <w:rFonts w:hint="eastAsia" w:ascii="宋体" w:hAnsi="宋体"/>
                      <w:sz w:val="24"/>
                      <w:szCs w:val="24"/>
                    </w:rPr>
                    <w:t>支持配置BIOS或UEFI的引导方式，以及设置从硬盘、光驱、网络等设备的引导顺序优先级。支持宿主机重启后自动启动虚拟机，同时能够设置虚拟机启动先后顺序、延迟间隔等。</w:t>
                  </w:r>
                </w:p>
              </w:tc>
            </w:tr>
            <w:tr w14:paraId="03AE9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419" w:type="dxa"/>
                  <w:vMerge w:val="continue"/>
                  <w:shd w:val="clear" w:color="auto" w:fill="auto"/>
                  <w:vAlign w:val="center"/>
                </w:tcPr>
                <w:p w14:paraId="0C97F4AF">
                  <w:pPr>
                    <w:rPr>
                      <w:rFonts w:ascii="宋体" w:hAnsi="宋体"/>
                      <w:sz w:val="24"/>
                      <w:szCs w:val="24"/>
                    </w:rPr>
                  </w:pPr>
                </w:p>
              </w:tc>
              <w:tc>
                <w:tcPr>
                  <w:tcW w:w="6879" w:type="dxa"/>
                  <w:shd w:val="clear" w:color="auto" w:fill="auto"/>
                  <w:vAlign w:val="center"/>
                </w:tcPr>
                <w:p w14:paraId="15EC8D47">
                  <w:pPr>
                    <w:rPr>
                      <w:rFonts w:ascii="宋体" w:hAnsi="宋体"/>
                      <w:sz w:val="24"/>
                      <w:szCs w:val="24"/>
                    </w:rPr>
                  </w:pPr>
                  <w:r>
                    <w:rPr>
                      <w:rFonts w:hint="eastAsia" w:ascii="宋体" w:hAnsi="宋体"/>
                      <w:sz w:val="24"/>
                      <w:szCs w:val="24"/>
                    </w:rPr>
                    <w:t>提供在X86、ARM、LoongArch等架构下多种虚拟机部署方式，包括通过ISO镜像介质全新安装虚拟机操作系统、通过已有的存储卷快速创建虚拟机、通过虚拟机镜像（模板）快速部署及一键还原虚拟机、通过Excel模板导入批量部署多规格虚拟机；提供虚拟机计算Qos及调优配置，能够自定义虚拟机的vCPU总数、socket个数、core核心数、32bit/64bit架构、兼容/主机匹配/直通等工作模式等模拟物理拓扑结构，支持vCPU上限、优先级、预留调度策略，以及内存预留比例配置。</w:t>
                  </w:r>
                </w:p>
              </w:tc>
            </w:tr>
            <w:tr w14:paraId="70325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419" w:type="dxa"/>
                  <w:vMerge w:val="continue"/>
                  <w:shd w:val="clear" w:color="auto" w:fill="auto"/>
                  <w:vAlign w:val="center"/>
                </w:tcPr>
                <w:p w14:paraId="313CD664">
                  <w:pPr>
                    <w:rPr>
                      <w:rFonts w:ascii="宋体" w:hAnsi="宋体"/>
                      <w:sz w:val="24"/>
                      <w:szCs w:val="24"/>
                    </w:rPr>
                  </w:pPr>
                </w:p>
              </w:tc>
              <w:tc>
                <w:tcPr>
                  <w:tcW w:w="6879" w:type="dxa"/>
                  <w:shd w:val="clear" w:color="auto" w:fill="auto"/>
                  <w:vAlign w:val="center"/>
                </w:tcPr>
                <w:p w14:paraId="394D45A9">
                  <w:pPr>
                    <w:rPr>
                      <w:rFonts w:ascii="宋体" w:hAnsi="宋体"/>
                      <w:sz w:val="24"/>
                      <w:szCs w:val="24"/>
                    </w:rPr>
                  </w:pPr>
                  <w:r>
                    <w:rPr>
                      <w:rFonts w:ascii="宋体" w:hAnsi="宋体"/>
                      <w:sz w:val="24"/>
                      <w:szCs w:val="24"/>
                    </w:rPr>
                    <w:t>★</w:t>
                  </w:r>
                  <w:r>
                    <w:rPr>
                      <w:rFonts w:hint="eastAsia" w:ascii="宋体" w:hAnsi="宋体"/>
                      <w:sz w:val="24"/>
                      <w:szCs w:val="24"/>
                    </w:rPr>
                    <w:t>提供集中式的虚拟机镜像库管理，支持本地存储、NFS、iSCSI、FC等作为镜像库的存储路径。支持从虚拟机转换为镜像、虚拟机克隆为镜像、从已有镜像存储同步、镜像导入等多种镜像生成方式；采用国密算法及密钥加密镜像、校验镜像完整性、公有/私有权限控制等机制保障虚拟机镜像的安全性。</w:t>
                  </w:r>
                </w:p>
                <w:p w14:paraId="77216C33">
                  <w:pPr>
                    <w:rPr>
                      <w:rFonts w:ascii="宋体" w:hAnsi="宋体"/>
                      <w:sz w:val="24"/>
                      <w:szCs w:val="24"/>
                    </w:rPr>
                  </w:pPr>
                  <w:r>
                    <w:rPr>
                      <w:rFonts w:hint="eastAsia" w:ascii="宋体" w:hAnsi="宋体"/>
                      <w:sz w:val="24"/>
                      <w:szCs w:val="24"/>
                    </w:rPr>
                    <w:t>（提供4种镜像存储路径类型、4种镜像生成方式、国密加密镜像及完整性校验的相关证明文件）。</w:t>
                  </w:r>
                </w:p>
              </w:tc>
            </w:tr>
            <w:tr w14:paraId="137A6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419" w:type="dxa"/>
                  <w:vMerge w:val="continue"/>
                  <w:shd w:val="clear" w:color="auto" w:fill="auto"/>
                  <w:vAlign w:val="center"/>
                </w:tcPr>
                <w:p w14:paraId="0AE607AC">
                  <w:pPr>
                    <w:rPr>
                      <w:rFonts w:ascii="宋体" w:hAnsi="宋体"/>
                      <w:sz w:val="24"/>
                      <w:szCs w:val="24"/>
                    </w:rPr>
                  </w:pPr>
                </w:p>
              </w:tc>
              <w:tc>
                <w:tcPr>
                  <w:tcW w:w="6879" w:type="dxa"/>
                  <w:shd w:val="clear" w:color="auto" w:fill="auto"/>
                  <w:vAlign w:val="center"/>
                </w:tcPr>
                <w:p w14:paraId="7FD678C6">
                  <w:pPr>
                    <w:rPr>
                      <w:rFonts w:ascii="宋体" w:hAnsi="宋体"/>
                      <w:sz w:val="24"/>
                      <w:szCs w:val="24"/>
                    </w:rPr>
                  </w:pPr>
                  <w:r>
                    <w:rPr>
                      <w:rFonts w:hint="eastAsia" w:ascii="宋体" w:hAnsi="宋体"/>
                      <w:sz w:val="24"/>
                      <w:szCs w:val="24"/>
                    </w:rPr>
                    <w:t>面向生产或测试场景，灵活提供基于完整卷拷贝的普通部署、基于基础卷共享的快速部署两种镜像部署模式；根据集群的工作负载能力，提供集中式、分散式的部署策略灵活调度部署位置。</w:t>
                  </w:r>
                </w:p>
              </w:tc>
            </w:tr>
            <w:tr w14:paraId="5801B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419" w:type="dxa"/>
                  <w:vMerge w:val="continue"/>
                  <w:shd w:val="clear" w:color="auto" w:fill="auto"/>
                  <w:vAlign w:val="center"/>
                </w:tcPr>
                <w:p w14:paraId="2D370C81">
                  <w:pPr>
                    <w:rPr>
                      <w:rFonts w:ascii="宋体" w:hAnsi="宋体"/>
                      <w:sz w:val="24"/>
                      <w:szCs w:val="24"/>
                    </w:rPr>
                  </w:pPr>
                </w:p>
              </w:tc>
              <w:tc>
                <w:tcPr>
                  <w:tcW w:w="6879" w:type="dxa"/>
                  <w:shd w:val="clear" w:color="auto" w:fill="auto"/>
                  <w:vAlign w:val="center"/>
                </w:tcPr>
                <w:p w14:paraId="7F32E6EF">
                  <w:pPr>
                    <w:rPr>
                      <w:rFonts w:ascii="宋体" w:hAnsi="宋体"/>
                      <w:sz w:val="24"/>
                      <w:szCs w:val="24"/>
                    </w:rPr>
                  </w:pPr>
                  <w:r>
                    <w:rPr>
                      <w:rFonts w:hint="eastAsia" w:ascii="宋体" w:hAnsi="宋体"/>
                      <w:sz w:val="24"/>
                      <w:szCs w:val="24"/>
                    </w:rPr>
                    <w:t>支持虚拟机的整机快照（包含内存状态数据）、磁盘快照（仅包含指定磁盘状态数据）两种类型；支持快照树父子层级关系管理，还原至或删除任一快照点，均不影响其他快照点的数据；删除父快照时支持一并删除所有子快照。</w:t>
                  </w:r>
                </w:p>
              </w:tc>
            </w:tr>
            <w:tr w14:paraId="72A2A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419" w:type="dxa"/>
                  <w:vMerge w:val="continue"/>
                  <w:shd w:val="clear" w:color="auto" w:fill="auto"/>
                  <w:vAlign w:val="center"/>
                </w:tcPr>
                <w:p w14:paraId="6D871B4F">
                  <w:pPr>
                    <w:rPr>
                      <w:rFonts w:ascii="宋体" w:hAnsi="宋体"/>
                      <w:sz w:val="24"/>
                      <w:szCs w:val="24"/>
                    </w:rPr>
                  </w:pPr>
                </w:p>
              </w:tc>
              <w:tc>
                <w:tcPr>
                  <w:tcW w:w="6879" w:type="dxa"/>
                  <w:shd w:val="clear" w:color="auto" w:fill="auto"/>
                  <w:vAlign w:val="center"/>
                </w:tcPr>
                <w:p w14:paraId="401E72A8">
                  <w:pPr>
                    <w:rPr>
                      <w:rFonts w:ascii="宋体" w:hAnsi="宋体"/>
                      <w:sz w:val="24"/>
                      <w:szCs w:val="24"/>
                    </w:rPr>
                  </w:pPr>
                  <w:r>
                    <w:rPr>
                      <w:rFonts w:hint="eastAsia" w:ascii="宋体" w:hAnsi="宋体"/>
                      <w:sz w:val="24"/>
                      <w:szCs w:val="24"/>
                    </w:rPr>
                    <w:t>支持虚拟机在线迁移、离线迁移。提供仅迁移计算、仅迁移存储、整机迁移等多种迁移方式，同时支持虚拟机跨存储池类型迁移、跨集群迁移、虚拟机批量迁移。在迁移过程中支持采用密码技术保障迁移过程的保密性。提供查询虚拟机所有的历史迁移日志，包括源主机、目标主机、迁移耗时、时间、是否在线迁移、日志类型、触发类型等信息。</w:t>
                  </w:r>
                </w:p>
              </w:tc>
            </w:tr>
            <w:tr w14:paraId="0D26E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419" w:type="dxa"/>
                  <w:vMerge w:val="continue"/>
                  <w:shd w:val="clear" w:color="auto" w:fill="auto"/>
                  <w:vAlign w:val="center"/>
                </w:tcPr>
                <w:p w14:paraId="0C22680C">
                  <w:pPr>
                    <w:rPr>
                      <w:rFonts w:ascii="宋体" w:hAnsi="宋体"/>
                      <w:sz w:val="24"/>
                      <w:szCs w:val="24"/>
                    </w:rPr>
                  </w:pPr>
                </w:p>
              </w:tc>
              <w:tc>
                <w:tcPr>
                  <w:tcW w:w="6879" w:type="dxa"/>
                  <w:shd w:val="clear" w:color="auto" w:fill="auto"/>
                  <w:vAlign w:val="center"/>
                </w:tcPr>
                <w:p w14:paraId="63AA706F">
                  <w:pPr>
                    <w:rPr>
                      <w:rFonts w:ascii="宋体" w:hAnsi="宋体"/>
                      <w:sz w:val="24"/>
                      <w:szCs w:val="24"/>
                    </w:rPr>
                  </w:pPr>
                  <w:r>
                    <w:rPr>
                      <w:rFonts w:ascii="宋体" w:hAnsi="宋体"/>
                      <w:sz w:val="24"/>
                      <w:szCs w:val="24"/>
                    </w:rPr>
                    <w:t>★</w:t>
                  </w:r>
                  <w:r>
                    <w:rPr>
                      <w:rFonts w:hint="eastAsia" w:ascii="宋体" w:hAnsi="宋体"/>
                      <w:sz w:val="24"/>
                      <w:szCs w:val="24"/>
                    </w:rPr>
                    <w:t>提供跨架构、跨平台的迁移能力，支持X86、ARM架构的虚拟机OVF模板从国产虚拟化平台导出到本地，导出位置不依赖于指定的存储类型，利于跨平台复制和转移。为满足未来国产化替代的要求，需支持虚拟机在同芯片架构的资源池（例如鲲鹏和飞腾之间、Intel/AMD和海光之间）相互迁移，无需额外工具支持；支持向国产虚拟化平台导入从VMware vSphere导出的虚拟机OVA/OVF模板，提供将虚拟机从VMware vSphere一键批量迁移至国产虚拟化平台的迁移管理功能（集成在虚拟化管理平台，非提供第三方迁移工具的方式），迁移过程能够规划迁移目标位置和目标网络。</w:t>
                  </w:r>
                </w:p>
                <w:p w14:paraId="65722DB8">
                  <w:pPr>
                    <w:pStyle w:val="2"/>
                    <w:ind w:firstLine="0"/>
                  </w:pPr>
                  <w:r>
                    <w:rPr>
                      <w:rFonts w:hint="eastAsia" w:ascii="宋体" w:hAnsi="宋体"/>
                      <w:sz w:val="24"/>
                      <w:szCs w:val="24"/>
                    </w:rPr>
                    <w:t>（提供相关证明材料，承诺交付时一致）。</w:t>
                  </w:r>
                </w:p>
              </w:tc>
            </w:tr>
            <w:tr w14:paraId="54B3B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419" w:type="dxa"/>
                  <w:vMerge w:val="continue"/>
                  <w:shd w:val="clear" w:color="auto" w:fill="auto"/>
                  <w:vAlign w:val="center"/>
                </w:tcPr>
                <w:p w14:paraId="73A48A02">
                  <w:pPr>
                    <w:rPr>
                      <w:rFonts w:ascii="宋体" w:hAnsi="宋体"/>
                      <w:sz w:val="24"/>
                      <w:szCs w:val="24"/>
                    </w:rPr>
                  </w:pPr>
                </w:p>
              </w:tc>
              <w:tc>
                <w:tcPr>
                  <w:tcW w:w="6879" w:type="dxa"/>
                  <w:shd w:val="clear" w:color="auto" w:fill="auto"/>
                  <w:vAlign w:val="center"/>
                </w:tcPr>
                <w:p w14:paraId="2378C85D">
                  <w:pPr>
                    <w:rPr>
                      <w:rFonts w:ascii="宋体" w:hAnsi="宋体"/>
                      <w:sz w:val="24"/>
                      <w:szCs w:val="24"/>
                    </w:rPr>
                  </w:pPr>
                  <w:r>
                    <w:rPr>
                      <w:rFonts w:ascii="宋体" w:hAnsi="宋体"/>
                      <w:sz w:val="24"/>
                      <w:szCs w:val="24"/>
                    </w:rPr>
                    <w:t>★</w:t>
                  </w:r>
                  <w:r>
                    <w:rPr>
                      <w:rFonts w:hint="eastAsia" w:ascii="宋体" w:hAnsi="宋体"/>
                      <w:sz w:val="24"/>
                      <w:szCs w:val="24"/>
                    </w:rPr>
                    <w:t>提供资源优化功能，可以找出长期关机、闲置的虚拟机；提供资源预测功能，通过运行过程中积累的用量数据进行趋势预测，提供具体的扩容建议；提供磁盘空间清理功能,自动展示未挂载的虚拟磁盘和其他文件。</w:t>
                  </w:r>
                </w:p>
                <w:p w14:paraId="0AD287A8">
                  <w:pPr>
                    <w:rPr>
                      <w:rFonts w:ascii="宋体" w:hAnsi="宋体"/>
                      <w:sz w:val="24"/>
                      <w:szCs w:val="24"/>
                    </w:rPr>
                  </w:pPr>
                  <w:r>
                    <w:rPr>
                      <w:rFonts w:hint="eastAsia" w:ascii="宋体" w:hAnsi="宋体"/>
                      <w:sz w:val="24"/>
                      <w:szCs w:val="24"/>
                    </w:rPr>
                    <w:t>（提供相关证明材料，承诺交付时一致）。</w:t>
                  </w:r>
                </w:p>
              </w:tc>
            </w:tr>
            <w:tr w14:paraId="2BECB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419" w:type="dxa"/>
                  <w:vMerge w:val="continue"/>
                  <w:shd w:val="clear" w:color="auto" w:fill="auto"/>
                  <w:vAlign w:val="center"/>
                </w:tcPr>
                <w:p w14:paraId="33E0C8C2">
                  <w:pPr>
                    <w:rPr>
                      <w:rFonts w:ascii="宋体" w:hAnsi="宋体"/>
                      <w:sz w:val="24"/>
                      <w:szCs w:val="24"/>
                    </w:rPr>
                  </w:pPr>
                </w:p>
              </w:tc>
              <w:tc>
                <w:tcPr>
                  <w:tcW w:w="6879" w:type="dxa"/>
                  <w:shd w:val="clear" w:color="auto" w:fill="auto"/>
                  <w:vAlign w:val="center"/>
                </w:tcPr>
                <w:p w14:paraId="5AF42BA7">
                  <w:pPr>
                    <w:rPr>
                      <w:rFonts w:ascii="宋体" w:hAnsi="宋体"/>
                      <w:sz w:val="24"/>
                      <w:szCs w:val="24"/>
                    </w:rPr>
                  </w:pPr>
                  <w:r>
                    <w:rPr>
                      <w:rFonts w:hint="eastAsia" w:ascii="宋体" w:hAnsi="宋体"/>
                      <w:sz w:val="24"/>
                      <w:szCs w:val="24"/>
                    </w:rPr>
                    <w:t>提供虚拟机业务组，将相同业务属性的虚拟机实例加入业务组统一管理，支持对业务组的启动、关闭、暂停、恢复、重启等操作。针对潮汐式业务特征提供弹性伸缩组配置，支持触发扩缩容的CPU、内存平均利用率监控策略、持续时间和间隔时间策略、移出策略；支持将已创建的虚拟机加入伸缩组，并指定保护、备用等保护级别。（提供业务组管理操作、弹性伸缩组监控策略、保护级别的界面截图）</w:t>
                  </w:r>
                </w:p>
              </w:tc>
            </w:tr>
            <w:tr w14:paraId="2B40F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419" w:type="dxa"/>
                  <w:vMerge w:val="continue"/>
                  <w:shd w:val="clear" w:color="auto" w:fill="auto"/>
                  <w:vAlign w:val="center"/>
                </w:tcPr>
                <w:p w14:paraId="21D6F023">
                  <w:pPr>
                    <w:rPr>
                      <w:rFonts w:ascii="宋体" w:hAnsi="宋体"/>
                      <w:sz w:val="24"/>
                      <w:szCs w:val="24"/>
                    </w:rPr>
                  </w:pPr>
                </w:p>
              </w:tc>
              <w:tc>
                <w:tcPr>
                  <w:tcW w:w="6879" w:type="dxa"/>
                  <w:shd w:val="clear" w:color="auto" w:fill="auto"/>
                  <w:vAlign w:val="center"/>
                </w:tcPr>
                <w:p w14:paraId="35199FF4">
                  <w:pPr>
                    <w:rPr>
                      <w:rFonts w:ascii="宋体" w:hAnsi="宋体"/>
                      <w:sz w:val="24"/>
                      <w:szCs w:val="24"/>
                    </w:rPr>
                  </w:pPr>
                  <w:r>
                    <w:rPr>
                      <w:rFonts w:hint="eastAsia" w:ascii="宋体" w:hAnsi="宋体"/>
                      <w:sz w:val="24"/>
                      <w:szCs w:val="24"/>
                    </w:rPr>
                    <w:t>提供回收站功能，虚拟机等资源实例被删除后放置到回收站，允许再次恢复使用或彻底销毁；支持设置回收策略，包括冻结、关闭等回收方式，以及实例的保留时间。（提供回收站实例管理、回收策略的界面截图）</w:t>
                  </w:r>
                </w:p>
              </w:tc>
            </w:tr>
            <w:tr w14:paraId="103B9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419" w:type="dxa"/>
                  <w:vMerge w:val="restart"/>
                  <w:shd w:val="clear" w:color="auto" w:fill="auto"/>
                  <w:vAlign w:val="center"/>
                </w:tcPr>
                <w:p w14:paraId="0115A54D">
                  <w:pPr>
                    <w:rPr>
                      <w:rFonts w:ascii="宋体" w:hAnsi="宋体"/>
                      <w:sz w:val="24"/>
                      <w:szCs w:val="24"/>
                    </w:rPr>
                  </w:pPr>
                  <w:r>
                    <w:rPr>
                      <w:rFonts w:hint="eastAsia" w:ascii="宋体" w:hAnsi="宋体"/>
                      <w:sz w:val="24"/>
                      <w:szCs w:val="24"/>
                    </w:rPr>
                    <w:t>分布式存储</w:t>
                  </w:r>
                </w:p>
              </w:tc>
              <w:tc>
                <w:tcPr>
                  <w:tcW w:w="6879" w:type="dxa"/>
                  <w:shd w:val="clear" w:color="auto" w:fill="auto"/>
                  <w:vAlign w:val="center"/>
                </w:tcPr>
                <w:p w14:paraId="5DCE5235">
                  <w:pPr>
                    <w:rPr>
                      <w:rFonts w:ascii="宋体" w:hAnsi="宋体"/>
                      <w:sz w:val="24"/>
                      <w:szCs w:val="24"/>
                    </w:rPr>
                  </w:pPr>
                  <w:r>
                    <w:rPr>
                      <w:rFonts w:hint="eastAsia" w:ascii="宋体" w:hAnsi="宋体"/>
                      <w:sz w:val="24"/>
                      <w:szCs w:val="24"/>
                    </w:rPr>
                    <w:t>兼容主流的存储设备、协议和类型，支持包括本地目录、FC SAN、iSCSI SAN、NFS、NVMe、Ceph分布式存储、共享文件系统等存储类型。</w:t>
                  </w:r>
                </w:p>
              </w:tc>
            </w:tr>
            <w:tr w14:paraId="75183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419" w:type="dxa"/>
                  <w:vMerge w:val="continue"/>
                  <w:shd w:val="clear" w:color="auto" w:fill="auto"/>
                  <w:vAlign w:val="center"/>
                </w:tcPr>
                <w:p w14:paraId="327D8236">
                  <w:pPr>
                    <w:rPr>
                      <w:rFonts w:ascii="宋体" w:hAnsi="宋体"/>
                      <w:sz w:val="24"/>
                      <w:szCs w:val="24"/>
                    </w:rPr>
                  </w:pPr>
                </w:p>
              </w:tc>
              <w:tc>
                <w:tcPr>
                  <w:tcW w:w="6879" w:type="dxa"/>
                  <w:shd w:val="clear" w:color="auto" w:fill="auto"/>
                  <w:vAlign w:val="center"/>
                </w:tcPr>
                <w:p w14:paraId="12CA3B9A">
                  <w:pPr>
                    <w:rPr>
                      <w:rFonts w:ascii="宋体" w:hAnsi="宋体"/>
                      <w:sz w:val="24"/>
                      <w:szCs w:val="24"/>
                    </w:rPr>
                  </w:pPr>
                  <w:r>
                    <w:rPr>
                      <w:rFonts w:hint="eastAsia" w:ascii="宋体" w:hAnsi="宋体"/>
                      <w:sz w:val="24"/>
                      <w:szCs w:val="24"/>
                    </w:rPr>
                    <w:t>管理界面提供便捷的存储设备接入、存储资源扫描功能，避免管理员手工修改配置文件或命令行等低效方式；支持存储池增加、暂停、刷新、修改、删除、容量统计等功能，存储池卸载时无需被格式化（提供存储阵列IP接入、存储LUN扫描和关联集群，存储池管理操作的界面截图）</w:t>
                  </w:r>
                </w:p>
              </w:tc>
            </w:tr>
            <w:tr w14:paraId="71800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419" w:type="dxa"/>
                  <w:vMerge w:val="continue"/>
                  <w:shd w:val="clear" w:color="auto" w:fill="auto"/>
                  <w:vAlign w:val="center"/>
                </w:tcPr>
                <w:p w14:paraId="5B6D2463">
                  <w:pPr>
                    <w:rPr>
                      <w:rFonts w:ascii="宋体" w:hAnsi="宋体"/>
                      <w:sz w:val="24"/>
                      <w:szCs w:val="24"/>
                    </w:rPr>
                  </w:pPr>
                </w:p>
              </w:tc>
              <w:tc>
                <w:tcPr>
                  <w:tcW w:w="6879" w:type="dxa"/>
                  <w:shd w:val="clear" w:color="auto" w:fill="auto"/>
                  <w:vAlign w:val="center"/>
                </w:tcPr>
                <w:p w14:paraId="3A3B599A">
                  <w:pPr>
                    <w:rPr>
                      <w:rFonts w:ascii="宋体" w:hAnsi="宋体"/>
                      <w:sz w:val="24"/>
                      <w:szCs w:val="24"/>
                    </w:rPr>
                  </w:pPr>
                  <w:r>
                    <w:rPr>
                      <w:rFonts w:hint="eastAsia" w:ascii="宋体" w:hAnsi="宋体"/>
                      <w:sz w:val="24"/>
                      <w:szCs w:val="24"/>
                    </w:rPr>
                    <w:t>支持针对单块虚拟磁盘（非存储池）的读写双向IO速率、IOPS的Qos限速策略（提供虚拟磁盘的IO速率、IOPS限制的界面截图）</w:t>
                  </w:r>
                </w:p>
              </w:tc>
            </w:tr>
            <w:tr w14:paraId="5218B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419" w:type="dxa"/>
                  <w:vMerge w:val="continue"/>
                  <w:shd w:val="clear" w:color="auto" w:fill="auto"/>
                  <w:vAlign w:val="center"/>
                </w:tcPr>
                <w:p w14:paraId="27940C44">
                  <w:pPr>
                    <w:rPr>
                      <w:rFonts w:ascii="宋体" w:hAnsi="宋体"/>
                      <w:sz w:val="24"/>
                      <w:szCs w:val="24"/>
                    </w:rPr>
                  </w:pPr>
                </w:p>
              </w:tc>
              <w:tc>
                <w:tcPr>
                  <w:tcW w:w="6879" w:type="dxa"/>
                  <w:shd w:val="clear" w:color="auto" w:fill="auto"/>
                  <w:vAlign w:val="center"/>
                </w:tcPr>
                <w:p w14:paraId="47D16EAF">
                  <w:pPr>
                    <w:rPr>
                      <w:rFonts w:ascii="宋体" w:hAnsi="宋体"/>
                      <w:sz w:val="24"/>
                      <w:szCs w:val="24"/>
                    </w:rPr>
                  </w:pPr>
                  <w:r>
                    <w:rPr>
                      <w:rFonts w:hint="eastAsia" w:ascii="宋体" w:hAnsi="宋体"/>
                      <w:sz w:val="24"/>
                      <w:szCs w:val="24"/>
                    </w:rPr>
                    <w:t>虚拟磁盘支持高速、IDE、SCSI、SATA、USB等多种总线类型配置；支持directsync、writethrough、writeback、none等缓存方式；支持共享/非共享等类型。（提供虚拟磁盘总线类型、缓存方式、共享类型配置的界面截图）</w:t>
                  </w:r>
                </w:p>
              </w:tc>
            </w:tr>
            <w:tr w14:paraId="2784A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419" w:type="dxa"/>
                  <w:vMerge w:val="continue"/>
                  <w:shd w:val="clear" w:color="auto" w:fill="auto"/>
                  <w:vAlign w:val="center"/>
                </w:tcPr>
                <w:p w14:paraId="46064803">
                  <w:pPr>
                    <w:rPr>
                      <w:rFonts w:ascii="宋体" w:hAnsi="宋体"/>
                      <w:sz w:val="24"/>
                      <w:szCs w:val="24"/>
                    </w:rPr>
                  </w:pPr>
                </w:p>
              </w:tc>
              <w:tc>
                <w:tcPr>
                  <w:tcW w:w="6879" w:type="dxa"/>
                  <w:shd w:val="clear" w:color="auto" w:fill="auto"/>
                  <w:vAlign w:val="center"/>
                </w:tcPr>
                <w:p w14:paraId="78D7E85A">
                  <w:pPr>
                    <w:rPr>
                      <w:rFonts w:ascii="宋体" w:hAnsi="宋体"/>
                      <w:sz w:val="24"/>
                      <w:szCs w:val="24"/>
                    </w:rPr>
                  </w:pPr>
                  <w:r>
                    <w:rPr>
                      <w:rFonts w:hint="eastAsia" w:ascii="宋体" w:hAnsi="宋体"/>
                      <w:sz w:val="24"/>
                      <w:szCs w:val="24"/>
                    </w:rPr>
                    <w:t>支持管理界面内置多款主流存储设备多路径配置模板（如华为、宏杉、同有等）提供选择，能够开启多路径服务及完成参数配置，减少存储连接和管理压力。（提供存储多路径及参数配置的界面截图）</w:t>
                  </w:r>
                </w:p>
              </w:tc>
            </w:tr>
            <w:tr w14:paraId="23338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419" w:type="dxa"/>
                  <w:vMerge w:val="continue"/>
                  <w:shd w:val="clear" w:color="auto" w:fill="auto"/>
                  <w:vAlign w:val="center"/>
                </w:tcPr>
                <w:p w14:paraId="446C8042">
                  <w:pPr>
                    <w:rPr>
                      <w:rFonts w:ascii="宋体" w:hAnsi="宋体"/>
                      <w:sz w:val="24"/>
                      <w:szCs w:val="24"/>
                    </w:rPr>
                  </w:pPr>
                </w:p>
              </w:tc>
              <w:tc>
                <w:tcPr>
                  <w:tcW w:w="6879" w:type="dxa"/>
                  <w:shd w:val="clear" w:color="auto" w:fill="auto"/>
                  <w:vAlign w:val="center"/>
                </w:tcPr>
                <w:p w14:paraId="12645CCC">
                  <w:pPr>
                    <w:rPr>
                      <w:rFonts w:ascii="宋体" w:hAnsi="宋体"/>
                      <w:sz w:val="24"/>
                      <w:szCs w:val="24"/>
                    </w:rPr>
                  </w:pPr>
                  <w:r>
                    <w:rPr>
                      <w:rFonts w:hint="eastAsia" w:ascii="宋体" w:hAnsi="宋体"/>
                      <w:sz w:val="24"/>
                      <w:szCs w:val="24"/>
                    </w:rPr>
                    <w:t>支持通过界面实现分布式存储的向导式一键自动化部署，包括存储节点角色设置、存储集群网络设置、缓存盘与数据盘规划等；支持挂载基于Ceph实现的块存储作为虚拟机磁盘，支持挂载基于Ceph的分布式存储为存储池，兼容Ceph存储管理命令。</w:t>
                  </w:r>
                </w:p>
              </w:tc>
            </w:tr>
            <w:tr w14:paraId="77F59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419" w:type="dxa"/>
                  <w:vMerge w:val="continue"/>
                  <w:shd w:val="clear" w:color="auto" w:fill="auto"/>
                  <w:vAlign w:val="center"/>
                </w:tcPr>
                <w:p w14:paraId="17B269DC">
                  <w:pPr>
                    <w:rPr>
                      <w:rFonts w:ascii="宋体" w:hAnsi="宋体"/>
                      <w:sz w:val="24"/>
                      <w:szCs w:val="24"/>
                    </w:rPr>
                  </w:pPr>
                </w:p>
              </w:tc>
              <w:tc>
                <w:tcPr>
                  <w:tcW w:w="6879" w:type="dxa"/>
                  <w:shd w:val="clear" w:color="auto" w:fill="auto"/>
                  <w:vAlign w:val="center"/>
                </w:tcPr>
                <w:p w14:paraId="29CF8940">
                  <w:pPr>
                    <w:rPr>
                      <w:rFonts w:ascii="宋体" w:hAnsi="宋体"/>
                      <w:sz w:val="24"/>
                      <w:szCs w:val="24"/>
                    </w:rPr>
                  </w:pPr>
                  <w:r>
                    <w:rPr>
                      <w:rFonts w:hint="eastAsia" w:ascii="宋体" w:hAnsi="宋体"/>
                      <w:sz w:val="24"/>
                      <w:szCs w:val="24"/>
                    </w:rPr>
                    <w:t>支持同时管理X86、ARM架构等多个分布式存储集群，支持超融合、存算分离方式部署</w:t>
                  </w:r>
                </w:p>
              </w:tc>
            </w:tr>
            <w:tr w14:paraId="789A5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419" w:type="dxa"/>
                  <w:vMerge w:val="continue"/>
                  <w:shd w:val="clear" w:color="auto" w:fill="auto"/>
                  <w:vAlign w:val="center"/>
                </w:tcPr>
                <w:p w14:paraId="62189864">
                  <w:pPr>
                    <w:rPr>
                      <w:rFonts w:ascii="宋体" w:hAnsi="宋体"/>
                      <w:sz w:val="24"/>
                      <w:szCs w:val="24"/>
                    </w:rPr>
                  </w:pPr>
                </w:p>
              </w:tc>
              <w:tc>
                <w:tcPr>
                  <w:tcW w:w="6879" w:type="dxa"/>
                  <w:shd w:val="clear" w:color="auto" w:fill="auto"/>
                  <w:vAlign w:val="center"/>
                </w:tcPr>
                <w:p w14:paraId="5C5889FE">
                  <w:pPr>
                    <w:rPr>
                      <w:rFonts w:ascii="宋体" w:hAnsi="宋体"/>
                      <w:sz w:val="24"/>
                      <w:szCs w:val="24"/>
                    </w:rPr>
                  </w:pPr>
                  <w:r>
                    <w:rPr>
                      <w:rFonts w:hint="eastAsia" w:ascii="宋体" w:hAnsi="宋体"/>
                      <w:sz w:val="24"/>
                      <w:szCs w:val="24"/>
                    </w:rPr>
                    <w:t>自动获取分布式存储集群的总容量、容量分配使用情况、存储池、存储卷、硬盘、服务器节点及健康状态等，如存储集群发生异常则自动产生告警信息，支持告警列表一键导出。支持存储集群性能监控，包括集群读写IOPS、MBPS吞吐量、响应时延等。支持存储池容量使用率、OSD容量使用率、服务器节点CPU和内存使用率Top5分析，帮助分析性能瓶颈。</w:t>
                  </w:r>
                </w:p>
              </w:tc>
            </w:tr>
            <w:tr w14:paraId="12A39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419" w:type="dxa"/>
                  <w:vMerge w:val="continue"/>
                  <w:shd w:val="clear" w:color="auto" w:fill="auto"/>
                  <w:vAlign w:val="center"/>
                </w:tcPr>
                <w:p w14:paraId="5ECACF85">
                  <w:pPr>
                    <w:rPr>
                      <w:rFonts w:ascii="宋体" w:hAnsi="宋体"/>
                      <w:sz w:val="24"/>
                      <w:szCs w:val="24"/>
                    </w:rPr>
                  </w:pPr>
                </w:p>
              </w:tc>
              <w:tc>
                <w:tcPr>
                  <w:tcW w:w="6879" w:type="dxa"/>
                  <w:shd w:val="clear" w:color="auto" w:fill="auto"/>
                  <w:vAlign w:val="center"/>
                </w:tcPr>
                <w:p w14:paraId="60D77168">
                  <w:pPr>
                    <w:rPr>
                      <w:rFonts w:ascii="宋体" w:hAnsi="宋体"/>
                      <w:sz w:val="24"/>
                      <w:szCs w:val="24"/>
                    </w:rPr>
                  </w:pPr>
                  <w:r>
                    <w:rPr>
                      <w:rFonts w:ascii="宋体" w:hAnsi="宋体"/>
                      <w:sz w:val="24"/>
                      <w:szCs w:val="24"/>
                    </w:rPr>
                    <w:t>★</w:t>
                  </w:r>
                  <w:r>
                    <w:rPr>
                      <w:rFonts w:hint="eastAsia" w:ascii="宋体" w:hAnsi="宋体"/>
                      <w:sz w:val="24"/>
                      <w:szCs w:val="24"/>
                    </w:rPr>
                    <w:t>分布式存储集群支持配置多副本策略，保护数据可用性；动态增加或删除分布式存储节点、数据盘，实现存储资源在线扩容和缩容。提供存储池容量使用趋势图分析能力，支持查询存储池关联的服务器节点、数据盘、缓存盘、日志盘等信息。</w:t>
                  </w:r>
                </w:p>
                <w:p w14:paraId="4BBEF668">
                  <w:pPr>
                    <w:rPr>
                      <w:rFonts w:ascii="宋体" w:hAnsi="宋体"/>
                      <w:sz w:val="24"/>
                      <w:szCs w:val="24"/>
                    </w:rPr>
                  </w:pPr>
                  <w:r>
                    <w:rPr>
                      <w:rFonts w:hint="eastAsia" w:ascii="宋体" w:hAnsi="宋体"/>
                      <w:sz w:val="24"/>
                      <w:szCs w:val="24"/>
                    </w:rPr>
                    <w:t>（提供多副本策略、存储资源扩缩容调整、存储池关联磁盘角色的相关证明材料）。</w:t>
                  </w:r>
                </w:p>
              </w:tc>
            </w:tr>
            <w:tr w14:paraId="4C09E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419" w:type="dxa"/>
                  <w:vMerge w:val="continue"/>
                  <w:shd w:val="clear" w:color="auto" w:fill="auto"/>
                  <w:vAlign w:val="center"/>
                </w:tcPr>
                <w:p w14:paraId="1A82D4FA">
                  <w:pPr>
                    <w:rPr>
                      <w:rFonts w:ascii="宋体" w:hAnsi="宋体"/>
                      <w:sz w:val="24"/>
                      <w:szCs w:val="24"/>
                    </w:rPr>
                  </w:pPr>
                </w:p>
              </w:tc>
              <w:tc>
                <w:tcPr>
                  <w:tcW w:w="6879" w:type="dxa"/>
                  <w:shd w:val="clear" w:color="auto" w:fill="auto"/>
                  <w:vAlign w:val="center"/>
                </w:tcPr>
                <w:p w14:paraId="4A1BB1E0">
                  <w:pPr>
                    <w:rPr>
                      <w:rFonts w:ascii="宋体" w:hAnsi="宋体"/>
                      <w:sz w:val="24"/>
                      <w:szCs w:val="24"/>
                    </w:rPr>
                  </w:pPr>
                  <w:r>
                    <w:rPr>
                      <w:rFonts w:hint="eastAsia" w:ascii="宋体" w:hAnsi="宋体"/>
                      <w:sz w:val="24"/>
                      <w:szCs w:val="24"/>
                    </w:rPr>
                    <w:t>提供存储集群运维能力，包括配置一致性检查时间、数据恢复Qos等参数，防止存储均衡时影响业务性能。</w:t>
                  </w:r>
                </w:p>
              </w:tc>
            </w:tr>
            <w:tr w14:paraId="4E3E2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419" w:type="dxa"/>
                  <w:vMerge w:val="restart"/>
                  <w:shd w:val="clear" w:color="auto" w:fill="auto"/>
                  <w:vAlign w:val="center"/>
                </w:tcPr>
                <w:p w14:paraId="1C596866">
                  <w:pPr>
                    <w:rPr>
                      <w:rFonts w:ascii="宋体" w:hAnsi="宋体"/>
                      <w:sz w:val="24"/>
                      <w:szCs w:val="24"/>
                    </w:rPr>
                  </w:pPr>
                  <w:r>
                    <w:rPr>
                      <w:rFonts w:hint="eastAsia" w:ascii="宋体" w:hAnsi="宋体"/>
                      <w:sz w:val="24"/>
                      <w:szCs w:val="24"/>
                    </w:rPr>
                    <w:t>网络虚拟化</w:t>
                  </w:r>
                </w:p>
              </w:tc>
              <w:tc>
                <w:tcPr>
                  <w:tcW w:w="6879" w:type="dxa"/>
                  <w:shd w:val="clear" w:color="auto" w:fill="auto"/>
                  <w:vAlign w:val="center"/>
                </w:tcPr>
                <w:p w14:paraId="13F367A6">
                  <w:pPr>
                    <w:rPr>
                      <w:rFonts w:ascii="宋体" w:hAnsi="宋体"/>
                      <w:sz w:val="24"/>
                      <w:szCs w:val="24"/>
                    </w:rPr>
                  </w:pPr>
                  <w:r>
                    <w:rPr>
                      <w:rFonts w:hint="eastAsia" w:ascii="宋体" w:hAnsi="宋体"/>
                      <w:sz w:val="24"/>
                      <w:szCs w:val="24"/>
                    </w:rPr>
                    <w:t>提供虚拟交换机配置管理能力，单个虚拟交换机能够支持承载多个基于VLAN ID隔离的端口组（非扁平网络等概念），且虚拟交换机要求基于OpenvSwitch技术实现。</w:t>
                  </w:r>
                </w:p>
              </w:tc>
            </w:tr>
            <w:tr w14:paraId="4ACB4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419" w:type="dxa"/>
                  <w:vMerge w:val="continue"/>
                  <w:shd w:val="clear" w:color="auto" w:fill="auto"/>
                  <w:vAlign w:val="center"/>
                </w:tcPr>
                <w:p w14:paraId="4EB66899">
                  <w:pPr>
                    <w:rPr>
                      <w:rFonts w:ascii="宋体" w:hAnsi="宋体"/>
                      <w:sz w:val="24"/>
                      <w:szCs w:val="24"/>
                    </w:rPr>
                  </w:pPr>
                </w:p>
              </w:tc>
              <w:tc>
                <w:tcPr>
                  <w:tcW w:w="6879" w:type="dxa"/>
                  <w:shd w:val="clear" w:color="auto" w:fill="auto"/>
                  <w:vAlign w:val="center"/>
                </w:tcPr>
                <w:p w14:paraId="6C23DE69">
                  <w:pPr>
                    <w:rPr>
                      <w:rFonts w:ascii="宋体" w:hAnsi="宋体"/>
                      <w:sz w:val="24"/>
                      <w:szCs w:val="24"/>
                    </w:rPr>
                  </w:pPr>
                  <w:r>
                    <w:rPr>
                      <w:rFonts w:hint="eastAsia" w:ascii="宋体" w:hAnsi="宋体"/>
                      <w:sz w:val="24"/>
                      <w:szCs w:val="24"/>
                    </w:rPr>
                    <w:t>支持创建、修改、启动、暂停、删除多个虚拟交换机；支持查看指定虚拟交换机的虚拟端口信息，包括虚拟端口对应的虚拟机、MAC地址、收发字节数、收发报文数等流量信息；支持虚拟端口镜像功能，可将一个或多个源端口的数据流量转发到某一个指定目标监听端口，且可设置镜像数据包长度；通过LLDP协议通告本地网卡信息给直连的邻居网络设备并查询对端状态。</w:t>
                  </w:r>
                </w:p>
              </w:tc>
            </w:tr>
            <w:tr w14:paraId="723DF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419" w:type="dxa"/>
                  <w:vMerge w:val="continue"/>
                  <w:shd w:val="clear" w:color="auto" w:fill="auto"/>
                  <w:vAlign w:val="center"/>
                </w:tcPr>
                <w:p w14:paraId="7649BD00">
                  <w:pPr>
                    <w:rPr>
                      <w:rFonts w:ascii="宋体" w:hAnsi="宋体"/>
                      <w:sz w:val="24"/>
                      <w:szCs w:val="24"/>
                    </w:rPr>
                  </w:pPr>
                </w:p>
              </w:tc>
              <w:tc>
                <w:tcPr>
                  <w:tcW w:w="6879" w:type="dxa"/>
                  <w:shd w:val="clear" w:color="auto" w:fill="auto"/>
                  <w:vAlign w:val="center"/>
                </w:tcPr>
                <w:p w14:paraId="036E1F9A">
                  <w:pPr>
                    <w:rPr>
                      <w:rFonts w:ascii="宋体" w:hAnsi="宋体"/>
                      <w:sz w:val="24"/>
                      <w:szCs w:val="24"/>
                    </w:rPr>
                  </w:pPr>
                  <w:r>
                    <w:rPr>
                      <w:rFonts w:hint="eastAsia" w:ascii="宋体" w:hAnsi="宋体"/>
                      <w:sz w:val="24"/>
                      <w:szCs w:val="24"/>
                    </w:rPr>
                    <w:t>提供标准虚拟交换机、分布式虚拟交换机，支持查询虚拟交换机与物理网卡、端口组、虚拟机的动态网络关系拓扑图；支持基于虚拟交换机内置NETflow流量采样发送能力，管理员能通过NetFlow分析软件处理目标IP和端口的流量信息。</w:t>
                  </w:r>
                </w:p>
              </w:tc>
            </w:tr>
            <w:tr w14:paraId="274EC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419" w:type="dxa"/>
                  <w:vMerge w:val="continue"/>
                  <w:shd w:val="clear" w:color="auto" w:fill="auto"/>
                  <w:vAlign w:val="center"/>
                </w:tcPr>
                <w:p w14:paraId="10D926B0">
                  <w:pPr>
                    <w:rPr>
                      <w:rFonts w:ascii="宋体" w:hAnsi="宋体"/>
                      <w:sz w:val="24"/>
                      <w:szCs w:val="24"/>
                    </w:rPr>
                  </w:pPr>
                </w:p>
              </w:tc>
              <w:tc>
                <w:tcPr>
                  <w:tcW w:w="6879" w:type="dxa"/>
                  <w:shd w:val="clear" w:color="auto" w:fill="auto"/>
                  <w:vAlign w:val="center"/>
                </w:tcPr>
                <w:p w14:paraId="61D5F2FE">
                  <w:pPr>
                    <w:rPr>
                      <w:rFonts w:ascii="宋体" w:hAnsi="宋体"/>
                      <w:sz w:val="24"/>
                      <w:szCs w:val="24"/>
                    </w:rPr>
                  </w:pPr>
                  <w:r>
                    <w:rPr>
                      <w:rFonts w:hint="eastAsia" w:ascii="宋体" w:hAnsi="宋体"/>
                      <w:sz w:val="24"/>
                      <w:szCs w:val="24"/>
                    </w:rPr>
                    <w:t>既支持传统的VLAN网络类型，同时支持基于vxlan、geneve等隧道封装协议的Overlay网络技术；支持IP池定义和管理（包含CIDR网段、网关、DNS、IP范围等信息），包括FLAT（无VLAN标记）或VLAN类型的外部网络、负载均衡、弹性伸缩组等网络类型。</w:t>
                  </w:r>
                </w:p>
              </w:tc>
            </w:tr>
            <w:tr w14:paraId="6031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419" w:type="dxa"/>
                  <w:vMerge w:val="continue"/>
                  <w:shd w:val="clear" w:color="auto" w:fill="auto"/>
                  <w:vAlign w:val="center"/>
                </w:tcPr>
                <w:p w14:paraId="709F22A0">
                  <w:pPr>
                    <w:rPr>
                      <w:rFonts w:ascii="宋体" w:hAnsi="宋体"/>
                      <w:sz w:val="24"/>
                      <w:szCs w:val="24"/>
                    </w:rPr>
                  </w:pPr>
                </w:p>
              </w:tc>
              <w:tc>
                <w:tcPr>
                  <w:tcW w:w="6879" w:type="dxa"/>
                  <w:shd w:val="clear" w:color="auto" w:fill="auto"/>
                  <w:vAlign w:val="center"/>
                </w:tcPr>
                <w:p w14:paraId="1EE17395">
                  <w:pPr>
                    <w:rPr>
                      <w:rFonts w:ascii="宋体" w:hAnsi="宋体"/>
                      <w:sz w:val="24"/>
                      <w:szCs w:val="24"/>
                    </w:rPr>
                  </w:pPr>
                  <w:r>
                    <w:rPr>
                      <w:rFonts w:ascii="宋体" w:hAnsi="宋体"/>
                      <w:sz w:val="24"/>
                      <w:szCs w:val="24"/>
                    </w:rPr>
                    <w:t>★</w:t>
                  </w:r>
                  <w:r>
                    <w:rPr>
                      <w:rFonts w:hint="eastAsia" w:ascii="宋体" w:hAnsi="宋体"/>
                      <w:sz w:val="24"/>
                      <w:szCs w:val="24"/>
                    </w:rPr>
                    <w:t>不依赖SDN硬件交换机、不依赖VRouter路由器软件，应当基于openvswitch虚拟交换机和分布式技术实现VPC私有网络模型，提供独享的、互相隔离的虚拟网络，实现不限制数量的包括虚拟私有网络、虚拟路由器、虚拟负载均衡、安全组、浮动IP、NAT网关、VPC网络拓扑等元素。</w:t>
                  </w:r>
                </w:p>
                <w:p w14:paraId="1E68F1F1">
                  <w:pPr>
                    <w:pStyle w:val="2"/>
                    <w:ind w:firstLine="0"/>
                  </w:pPr>
                  <w:r>
                    <w:rPr>
                      <w:rFonts w:hint="eastAsia"/>
                    </w:rPr>
                    <w:t>（提供相关证明材料，承诺交付时一致）。</w:t>
                  </w:r>
                </w:p>
              </w:tc>
            </w:tr>
            <w:tr w14:paraId="17CFE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419" w:type="dxa"/>
                  <w:vMerge w:val="continue"/>
                  <w:shd w:val="clear" w:color="auto" w:fill="auto"/>
                  <w:vAlign w:val="center"/>
                </w:tcPr>
                <w:p w14:paraId="68ECBC4A">
                  <w:pPr>
                    <w:rPr>
                      <w:rFonts w:ascii="宋体" w:hAnsi="宋体"/>
                      <w:sz w:val="24"/>
                      <w:szCs w:val="24"/>
                    </w:rPr>
                  </w:pPr>
                </w:p>
              </w:tc>
              <w:tc>
                <w:tcPr>
                  <w:tcW w:w="6879" w:type="dxa"/>
                  <w:shd w:val="clear" w:color="auto" w:fill="auto"/>
                  <w:vAlign w:val="center"/>
                </w:tcPr>
                <w:p w14:paraId="052DFCC9">
                  <w:pPr>
                    <w:rPr>
                      <w:rFonts w:ascii="宋体" w:hAnsi="宋体"/>
                      <w:sz w:val="24"/>
                      <w:szCs w:val="24"/>
                    </w:rPr>
                  </w:pPr>
                  <w:r>
                    <w:rPr>
                      <w:rFonts w:ascii="宋体" w:hAnsi="宋体"/>
                      <w:sz w:val="24"/>
                      <w:szCs w:val="24"/>
                    </w:rPr>
                    <w:t>★</w:t>
                  </w:r>
                  <w:r>
                    <w:rPr>
                      <w:rFonts w:hint="eastAsia" w:ascii="宋体" w:hAnsi="宋体"/>
                      <w:sz w:val="24"/>
                      <w:szCs w:val="24"/>
                    </w:rPr>
                    <w:t>提供全局负载均衡器能力，支持单节点或双节点高可用部署，提供4-7层流量分发能力，支持HTTP/HTTPS/TCP等协议、会话保持、域名转发、证书绑定，以及最小连接/轮询/源IP等多种负载均衡策略，提供时间间隔、重试次数、超时限制等健康监控检查方式。</w:t>
                  </w:r>
                </w:p>
                <w:p w14:paraId="6918378A">
                  <w:pPr>
                    <w:rPr>
                      <w:rFonts w:ascii="宋体" w:hAnsi="宋体"/>
                      <w:sz w:val="24"/>
                      <w:szCs w:val="24"/>
                    </w:rPr>
                  </w:pPr>
                  <w:r>
                    <w:rPr>
                      <w:rFonts w:hint="eastAsia" w:ascii="宋体" w:hAnsi="宋体"/>
                      <w:sz w:val="24"/>
                      <w:szCs w:val="24"/>
                    </w:rPr>
                    <w:t>（提供相关证明材料，承诺交付时一致）。</w:t>
                  </w:r>
                </w:p>
              </w:tc>
            </w:tr>
            <w:tr w14:paraId="1405E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419" w:type="dxa"/>
                  <w:vMerge w:val="continue"/>
                  <w:shd w:val="clear" w:color="auto" w:fill="auto"/>
                  <w:vAlign w:val="center"/>
                </w:tcPr>
                <w:p w14:paraId="36341FEB">
                  <w:pPr>
                    <w:rPr>
                      <w:rFonts w:ascii="宋体" w:hAnsi="宋体"/>
                      <w:sz w:val="24"/>
                      <w:szCs w:val="24"/>
                    </w:rPr>
                  </w:pPr>
                </w:p>
              </w:tc>
              <w:tc>
                <w:tcPr>
                  <w:tcW w:w="6879" w:type="dxa"/>
                  <w:shd w:val="clear" w:color="auto" w:fill="auto"/>
                  <w:vAlign w:val="center"/>
                </w:tcPr>
                <w:p w14:paraId="21A5B0D1">
                  <w:pPr>
                    <w:rPr>
                      <w:rFonts w:ascii="宋体" w:hAnsi="宋体"/>
                      <w:sz w:val="24"/>
                      <w:szCs w:val="24"/>
                    </w:rPr>
                  </w:pPr>
                  <w:r>
                    <w:rPr>
                      <w:rFonts w:hint="eastAsia" w:ascii="宋体" w:hAnsi="宋体"/>
                      <w:sz w:val="24"/>
                      <w:szCs w:val="24"/>
                    </w:rPr>
                    <w:t>支持日志数据完整性校验、镜像完整性校验等特性（提供日志数据、镜像完整性校验的界面截图）</w:t>
                  </w:r>
                </w:p>
              </w:tc>
            </w:tr>
            <w:tr w14:paraId="5C289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419" w:type="dxa"/>
                  <w:vMerge w:val="continue"/>
                  <w:shd w:val="clear" w:color="auto" w:fill="auto"/>
                  <w:vAlign w:val="center"/>
                </w:tcPr>
                <w:p w14:paraId="128C4071">
                  <w:pPr>
                    <w:rPr>
                      <w:rFonts w:ascii="宋体" w:hAnsi="宋体"/>
                      <w:sz w:val="24"/>
                      <w:szCs w:val="24"/>
                    </w:rPr>
                  </w:pPr>
                </w:p>
              </w:tc>
              <w:tc>
                <w:tcPr>
                  <w:tcW w:w="6879" w:type="dxa"/>
                  <w:shd w:val="clear" w:color="auto" w:fill="auto"/>
                  <w:vAlign w:val="center"/>
                </w:tcPr>
                <w:p w14:paraId="76DCB9EF">
                  <w:pPr>
                    <w:rPr>
                      <w:rFonts w:ascii="宋体" w:hAnsi="宋体"/>
                      <w:sz w:val="24"/>
                      <w:szCs w:val="24"/>
                    </w:rPr>
                  </w:pPr>
                  <w:r>
                    <w:rPr>
                      <w:rFonts w:hint="eastAsia" w:ascii="宋体" w:hAnsi="宋体"/>
                      <w:sz w:val="24"/>
                      <w:szCs w:val="24"/>
                    </w:rPr>
                    <w:t>支持采用国密算法加密关键敏感数据，防止关键数据被篡改（提供主机防篡改配置的界面截图）</w:t>
                  </w:r>
                </w:p>
              </w:tc>
            </w:tr>
            <w:tr w14:paraId="3D1D6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419" w:type="dxa"/>
                  <w:vMerge w:val="continue"/>
                  <w:shd w:val="clear" w:color="auto" w:fill="auto"/>
                  <w:vAlign w:val="center"/>
                </w:tcPr>
                <w:p w14:paraId="22A0BD6F">
                  <w:pPr>
                    <w:rPr>
                      <w:rFonts w:ascii="宋体" w:hAnsi="宋体"/>
                      <w:sz w:val="24"/>
                      <w:szCs w:val="24"/>
                    </w:rPr>
                  </w:pPr>
                </w:p>
              </w:tc>
              <w:tc>
                <w:tcPr>
                  <w:tcW w:w="6879" w:type="dxa"/>
                  <w:shd w:val="clear" w:color="auto" w:fill="auto"/>
                  <w:vAlign w:val="center"/>
                </w:tcPr>
                <w:p w14:paraId="3A317BD2">
                  <w:pPr>
                    <w:rPr>
                      <w:rFonts w:ascii="宋体" w:hAnsi="宋体"/>
                      <w:sz w:val="24"/>
                      <w:szCs w:val="24"/>
                    </w:rPr>
                  </w:pPr>
                  <w:r>
                    <w:rPr>
                      <w:rFonts w:hint="eastAsia" w:ascii="宋体" w:hAnsi="宋体"/>
                      <w:sz w:val="24"/>
                      <w:szCs w:val="24"/>
                    </w:rPr>
                    <w:t>支持安全密钥（非SSH密钥对）管理，包括密钥生成、上传、计划删除、归档，支持采用安全密钥加密虚拟机磁盘（提供密钥生成与管理、采用密钥加密虚拟机磁盘的界面）</w:t>
                  </w:r>
                </w:p>
              </w:tc>
            </w:tr>
            <w:tr w14:paraId="4F887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419" w:type="dxa"/>
                  <w:vMerge w:val="continue"/>
                  <w:shd w:val="clear" w:color="auto" w:fill="auto"/>
                  <w:vAlign w:val="center"/>
                </w:tcPr>
                <w:p w14:paraId="6BA07066">
                  <w:pPr>
                    <w:rPr>
                      <w:rFonts w:ascii="宋体" w:hAnsi="宋体"/>
                      <w:sz w:val="24"/>
                      <w:szCs w:val="24"/>
                    </w:rPr>
                  </w:pPr>
                </w:p>
              </w:tc>
              <w:tc>
                <w:tcPr>
                  <w:tcW w:w="6879" w:type="dxa"/>
                  <w:shd w:val="clear" w:color="auto" w:fill="auto"/>
                  <w:vAlign w:val="center"/>
                </w:tcPr>
                <w:p w14:paraId="3A7F34F8">
                  <w:pPr>
                    <w:rPr>
                      <w:rFonts w:ascii="宋体" w:hAnsi="宋体"/>
                      <w:sz w:val="24"/>
                      <w:szCs w:val="24"/>
                    </w:rPr>
                  </w:pPr>
                  <w:r>
                    <w:rPr>
                      <w:rFonts w:hint="eastAsia" w:ascii="宋体" w:hAnsi="宋体"/>
                      <w:sz w:val="24"/>
                      <w:szCs w:val="24"/>
                    </w:rPr>
                    <w:t>宿主机提供DDoS防护能力，能够统计被攻击IP及记录，自动生成DDoS防护统计热点图（提供DDoS防护开启/关闭、被攻击防护记录及热点图的界面截图）</w:t>
                  </w:r>
                </w:p>
              </w:tc>
            </w:tr>
            <w:tr w14:paraId="38F2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419" w:type="dxa"/>
                  <w:vMerge w:val="continue"/>
                  <w:shd w:val="clear" w:color="auto" w:fill="auto"/>
                  <w:vAlign w:val="center"/>
                </w:tcPr>
                <w:p w14:paraId="5B8CF1E2">
                  <w:pPr>
                    <w:rPr>
                      <w:rFonts w:ascii="宋体" w:hAnsi="宋体"/>
                      <w:sz w:val="24"/>
                      <w:szCs w:val="24"/>
                    </w:rPr>
                  </w:pPr>
                </w:p>
              </w:tc>
              <w:tc>
                <w:tcPr>
                  <w:tcW w:w="6879" w:type="dxa"/>
                  <w:shd w:val="clear" w:color="auto" w:fill="auto"/>
                  <w:vAlign w:val="center"/>
                </w:tcPr>
                <w:p w14:paraId="4DF19CFE">
                  <w:pPr>
                    <w:rPr>
                      <w:rFonts w:ascii="宋体" w:hAnsi="宋体"/>
                      <w:sz w:val="24"/>
                      <w:szCs w:val="24"/>
                    </w:rPr>
                  </w:pPr>
                  <w:r>
                    <w:rPr>
                      <w:rFonts w:hint="eastAsia" w:ascii="宋体" w:hAnsi="宋体"/>
                      <w:sz w:val="24"/>
                      <w:szCs w:val="24"/>
                    </w:rPr>
                    <w:t>支持虚拟机IP-MAC地址绑定，有效防止违规修改IP或MAC地址、ARP欺骗攻击等非法行为（提供IP/MAC绑定配置的界面截图）</w:t>
                  </w:r>
                </w:p>
              </w:tc>
            </w:tr>
            <w:tr w14:paraId="38141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419" w:type="dxa"/>
                  <w:vMerge w:val="continue"/>
                  <w:shd w:val="clear" w:color="auto" w:fill="auto"/>
                  <w:vAlign w:val="center"/>
                </w:tcPr>
                <w:p w14:paraId="76ECC4FB">
                  <w:pPr>
                    <w:rPr>
                      <w:rFonts w:ascii="宋体" w:hAnsi="宋体"/>
                      <w:sz w:val="24"/>
                      <w:szCs w:val="24"/>
                    </w:rPr>
                  </w:pPr>
                </w:p>
              </w:tc>
              <w:tc>
                <w:tcPr>
                  <w:tcW w:w="6879" w:type="dxa"/>
                  <w:shd w:val="clear" w:color="auto" w:fill="auto"/>
                  <w:vAlign w:val="center"/>
                </w:tcPr>
                <w:p w14:paraId="1A83D30E">
                  <w:pPr>
                    <w:rPr>
                      <w:rFonts w:ascii="宋体" w:hAnsi="宋体"/>
                      <w:sz w:val="24"/>
                      <w:szCs w:val="24"/>
                    </w:rPr>
                  </w:pPr>
                  <w:r>
                    <w:rPr>
                      <w:rFonts w:hint="eastAsia" w:ascii="宋体" w:hAnsi="宋体"/>
                      <w:sz w:val="24"/>
                      <w:szCs w:val="24"/>
                    </w:rPr>
                    <w:t>支持控制虚拟机的虚拟设备挂载权限，包括USB设备、ISO、共享磁盘等（提供虚拟设备、挂载权限管控的界面截图）</w:t>
                  </w:r>
                </w:p>
              </w:tc>
            </w:tr>
            <w:tr w14:paraId="41F47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419" w:type="dxa"/>
                  <w:vMerge w:val="continue"/>
                  <w:shd w:val="clear" w:color="auto" w:fill="auto"/>
                  <w:vAlign w:val="center"/>
                </w:tcPr>
                <w:p w14:paraId="24A1D715">
                  <w:pPr>
                    <w:rPr>
                      <w:rFonts w:ascii="宋体" w:hAnsi="宋体"/>
                      <w:sz w:val="24"/>
                      <w:szCs w:val="24"/>
                    </w:rPr>
                  </w:pPr>
                </w:p>
              </w:tc>
              <w:tc>
                <w:tcPr>
                  <w:tcW w:w="6879" w:type="dxa"/>
                  <w:shd w:val="clear" w:color="auto" w:fill="auto"/>
                  <w:vAlign w:val="center"/>
                </w:tcPr>
                <w:p w14:paraId="6E89AC0D">
                  <w:pPr>
                    <w:rPr>
                      <w:rFonts w:ascii="宋体" w:hAnsi="宋体"/>
                      <w:sz w:val="24"/>
                      <w:szCs w:val="24"/>
                    </w:rPr>
                  </w:pPr>
                  <w:r>
                    <w:rPr>
                      <w:rFonts w:hint="eastAsia" w:ascii="宋体" w:hAnsi="宋体"/>
                      <w:sz w:val="24"/>
                      <w:szCs w:val="24"/>
                    </w:rPr>
                    <w:t>支持用户登录策略，包括用户连续登录失败次数、连续登录失败锁定时长、单一账号防止重复登录、指定IP地址或时间段登录等</w:t>
                  </w:r>
                </w:p>
              </w:tc>
            </w:tr>
            <w:tr w14:paraId="79714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419" w:type="dxa"/>
                  <w:vMerge w:val="continue"/>
                  <w:shd w:val="clear" w:color="auto" w:fill="auto"/>
                  <w:vAlign w:val="center"/>
                </w:tcPr>
                <w:p w14:paraId="6A6705E8">
                  <w:pPr>
                    <w:rPr>
                      <w:rFonts w:ascii="宋体" w:hAnsi="宋体"/>
                      <w:sz w:val="24"/>
                      <w:szCs w:val="24"/>
                    </w:rPr>
                  </w:pPr>
                </w:p>
              </w:tc>
              <w:tc>
                <w:tcPr>
                  <w:tcW w:w="6879" w:type="dxa"/>
                  <w:shd w:val="clear" w:color="auto" w:fill="auto"/>
                  <w:vAlign w:val="center"/>
                </w:tcPr>
                <w:p w14:paraId="3F0C1345">
                  <w:pPr>
                    <w:rPr>
                      <w:rFonts w:ascii="宋体" w:hAnsi="宋体"/>
                      <w:sz w:val="24"/>
                      <w:szCs w:val="24"/>
                    </w:rPr>
                  </w:pPr>
                  <w:r>
                    <w:rPr>
                      <w:rFonts w:hint="eastAsia" w:ascii="宋体" w:hAnsi="宋体"/>
                      <w:sz w:val="24"/>
                      <w:szCs w:val="24"/>
                    </w:rPr>
                    <w:t>支持用户密码策略，包括密码复杂性要求、密码最小长度、密码有效期等</w:t>
                  </w:r>
                </w:p>
              </w:tc>
            </w:tr>
            <w:tr w14:paraId="2B8B2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419" w:type="dxa"/>
                  <w:vMerge w:val="restart"/>
                  <w:shd w:val="clear" w:color="auto" w:fill="auto"/>
                  <w:vAlign w:val="center"/>
                </w:tcPr>
                <w:p w14:paraId="59D706EF">
                  <w:pPr>
                    <w:rPr>
                      <w:rFonts w:ascii="宋体" w:hAnsi="宋体"/>
                      <w:sz w:val="24"/>
                      <w:szCs w:val="24"/>
                    </w:rPr>
                  </w:pPr>
                  <w:r>
                    <w:rPr>
                      <w:rFonts w:hint="eastAsia" w:ascii="宋体" w:hAnsi="宋体"/>
                      <w:sz w:val="24"/>
                      <w:szCs w:val="24"/>
                    </w:rPr>
                    <w:t>可靠性</w:t>
                  </w:r>
                </w:p>
              </w:tc>
              <w:tc>
                <w:tcPr>
                  <w:tcW w:w="6879" w:type="dxa"/>
                  <w:shd w:val="clear" w:color="auto" w:fill="auto"/>
                  <w:vAlign w:val="center"/>
                </w:tcPr>
                <w:p w14:paraId="5E975ED4">
                  <w:pPr>
                    <w:rPr>
                      <w:rFonts w:ascii="宋体" w:hAnsi="宋体"/>
                      <w:sz w:val="24"/>
                      <w:szCs w:val="24"/>
                    </w:rPr>
                  </w:pPr>
                  <w:r>
                    <w:rPr>
                      <w:rFonts w:hint="eastAsia" w:ascii="宋体" w:hAnsi="宋体"/>
                      <w:sz w:val="24"/>
                      <w:szCs w:val="24"/>
                    </w:rPr>
                    <w:t>支持集群HA高可用，故障主机上的虚拟机自动在集群内的其它宿主机上恢复运行；HA心跳网络支持管理网络、存储网络、分布式存储网络，兼容物理交换机的单播、组播模式配置，仲裁方式支持IPMI、SBD磁盘等。（提供3种心跳网络、单播/组播双模式、IPMI/SBD双仲裁模式的界面截图，并承诺交付时一致）</w:t>
                  </w:r>
                </w:p>
              </w:tc>
            </w:tr>
            <w:tr w14:paraId="5EB11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419" w:type="dxa"/>
                  <w:vMerge w:val="continue"/>
                  <w:shd w:val="clear" w:color="auto" w:fill="auto"/>
                  <w:vAlign w:val="center"/>
                </w:tcPr>
                <w:p w14:paraId="4BDC2C76">
                  <w:pPr>
                    <w:rPr>
                      <w:rFonts w:ascii="宋体" w:hAnsi="宋体"/>
                      <w:sz w:val="24"/>
                      <w:szCs w:val="24"/>
                    </w:rPr>
                  </w:pPr>
                </w:p>
              </w:tc>
              <w:tc>
                <w:tcPr>
                  <w:tcW w:w="6879" w:type="dxa"/>
                  <w:shd w:val="clear" w:color="auto" w:fill="auto"/>
                  <w:vAlign w:val="center"/>
                </w:tcPr>
                <w:p w14:paraId="0398F87F">
                  <w:pPr>
                    <w:rPr>
                      <w:rFonts w:ascii="宋体" w:hAnsi="宋体"/>
                      <w:sz w:val="24"/>
                      <w:szCs w:val="24"/>
                    </w:rPr>
                  </w:pPr>
                  <w:r>
                    <w:rPr>
                      <w:rFonts w:ascii="宋体" w:hAnsi="宋体"/>
                      <w:sz w:val="24"/>
                      <w:szCs w:val="24"/>
                    </w:rPr>
                    <w:t>★</w:t>
                  </w:r>
                  <w:r>
                    <w:rPr>
                      <w:rFonts w:hint="eastAsia" w:ascii="宋体" w:hAnsi="宋体"/>
                      <w:sz w:val="24"/>
                      <w:szCs w:val="24"/>
                    </w:rPr>
                    <w:t>支持DRS动态资源调整功能，管理员根据业务的负载策略和规划，灵活设置CPU、内存、存储资源利用率的监控阈值、持续时间和间隔，实现主机资源利用率自动均衡；支持DPM电源智能管理，通过持续监测CPU、内存利用率，在触发低阈值时自动关闭回收利用率低的宿主机，触发高阈值时自动唤醒处于睡眠状态的宿主机。</w:t>
                  </w:r>
                </w:p>
                <w:p w14:paraId="7F5D98F8">
                  <w:pPr>
                    <w:rPr>
                      <w:rFonts w:ascii="宋体" w:hAnsi="宋体"/>
                      <w:sz w:val="24"/>
                      <w:szCs w:val="24"/>
                    </w:rPr>
                  </w:pPr>
                  <w:r>
                    <w:rPr>
                      <w:rFonts w:hint="eastAsia" w:ascii="宋体" w:hAnsi="宋体"/>
                      <w:sz w:val="24"/>
                      <w:szCs w:val="24"/>
                    </w:rPr>
                    <w:t>（提供相关证明材料，承诺交付时一致）。</w:t>
                  </w:r>
                </w:p>
              </w:tc>
            </w:tr>
            <w:tr w14:paraId="3A21D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419" w:type="dxa"/>
                  <w:vMerge w:val="continue"/>
                  <w:shd w:val="clear" w:color="auto" w:fill="auto"/>
                  <w:vAlign w:val="center"/>
                </w:tcPr>
                <w:p w14:paraId="7935EB58">
                  <w:pPr>
                    <w:rPr>
                      <w:rFonts w:ascii="宋体" w:hAnsi="宋体"/>
                      <w:sz w:val="24"/>
                      <w:szCs w:val="24"/>
                    </w:rPr>
                  </w:pPr>
                </w:p>
              </w:tc>
              <w:tc>
                <w:tcPr>
                  <w:tcW w:w="6879" w:type="dxa"/>
                  <w:shd w:val="clear" w:color="auto" w:fill="auto"/>
                  <w:vAlign w:val="center"/>
                </w:tcPr>
                <w:p w14:paraId="490EB364">
                  <w:pPr>
                    <w:rPr>
                      <w:rFonts w:ascii="宋体" w:hAnsi="宋体"/>
                      <w:sz w:val="24"/>
                      <w:szCs w:val="24"/>
                    </w:rPr>
                  </w:pPr>
                  <w:r>
                    <w:rPr>
                      <w:rFonts w:hint="eastAsia" w:ascii="宋体" w:hAnsi="宋体"/>
                      <w:sz w:val="24"/>
                      <w:szCs w:val="24"/>
                    </w:rPr>
                    <w:t>允许配置虚拟机与宿主机的亲和性（必须运行于指定宿主机、禁止运行于指定宿主机、不应在指定宿主机上运行、应当在指定宿主机运行等）、虚拟机与虚拟机的亲和性（聚集/互斥）规则，约束业务的调度位置提升可用性。</w:t>
                  </w:r>
                </w:p>
              </w:tc>
            </w:tr>
            <w:tr w14:paraId="40BE2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419" w:type="dxa"/>
                  <w:vMerge w:val="continue"/>
                  <w:shd w:val="clear" w:color="auto" w:fill="auto"/>
                  <w:vAlign w:val="center"/>
                </w:tcPr>
                <w:p w14:paraId="12D00F4A">
                  <w:pPr>
                    <w:rPr>
                      <w:rFonts w:ascii="宋体" w:hAnsi="宋体"/>
                      <w:sz w:val="24"/>
                      <w:szCs w:val="24"/>
                    </w:rPr>
                  </w:pPr>
                </w:p>
              </w:tc>
              <w:tc>
                <w:tcPr>
                  <w:tcW w:w="6879" w:type="dxa"/>
                  <w:shd w:val="clear" w:color="auto" w:fill="auto"/>
                  <w:vAlign w:val="center"/>
                </w:tcPr>
                <w:p w14:paraId="1F106FC7">
                  <w:pPr>
                    <w:rPr>
                      <w:rFonts w:ascii="宋体" w:hAnsi="宋体"/>
                      <w:sz w:val="24"/>
                      <w:szCs w:val="24"/>
                    </w:rPr>
                  </w:pPr>
                  <w:r>
                    <w:rPr>
                      <w:rFonts w:hint="eastAsia" w:ascii="宋体" w:hAnsi="宋体"/>
                      <w:sz w:val="24"/>
                      <w:szCs w:val="24"/>
                    </w:rPr>
                    <w:t>针对虚拟磁盘提供IO悬挂超时时长配置，防止因存储链路抖动导致大规模虚拟机只读的风险。</w:t>
                  </w:r>
                </w:p>
              </w:tc>
            </w:tr>
            <w:tr w14:paraId="4442E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419" w:type="dxa"/>
                  <w:shd w:val="clear" w:color="auto" w:fill="auto"/>
                  <w:vAlign w:val="center"/>
                </w:tcPr>
                <w:p w14:paraId="3C1C2FA7">
                  <w:pPr>
                    <w:rPr>
                      <w:rFonts w:ascii="宋体" w:hAnsi="宋体"/>
                      <w:sz w:val="24"/>
                      <w:szCs w:val="24"/>
                    </w:rPr>
                  </w:pPr>
                  <w:r>
                    <w:rPr>
                      <w:rFonts w:hint="eastAsia" w:ascii="宋体" w:hAnsi="宋体"/>
                      <w:sz w:val="24"/>
                      <w:szCs w:val="24"/>
                    </w:rPr>
                    <w:t>售后服务</w:t>
                  </w:r>
                </w:p>
              </w:tc>
              <w:tc>
                <w:tcPr>
                  <w:tcW w:w="6879" w:type="dxa"/>
                  <w:shd w:val="clear" w:color="auto" w:fill="auto"/>
                  <w:vAlign w:val="center"/>
                </w:tcPr>
                <w:p w14:paraId="31AAD143">
                  <w:pPr>
                    <w:rPr>
                      <w:rFonts w:ascii="宋体" w:hAnsi="宋体"/>
                      <w:sz w:val="24"/>
                      <w:szCs w:val="24"/>
                    </w:rPr>
                  </w:pPr>
                  <w:r>
                    <w:rPr>
                      <w:rFonts w:hint="eastAsia" w:ascii="宋体" w:hAnsi="宋体"/>
                      <w:sz w:val="24"/>
                      <w:szCs w:val="24"/>
                    </w:rPr>
                    <w:t>提供5年7×24小时技术支持及上门服务。</w:t>
                  </w:r>
                </w:p>
              </w:tc>
            </w:tr>
          </w:tbl>
          <w:p w14:paraId="681F5228">
            <w:pPr>
              <w:spacing w:after="160" w:line="278" w:lineRule="auto"/>
              <w:rPr>
                <w:rFonts w:ascii="宋体" w:hAnsi="等线"/>
                <w:sz w:val="24"/>
              </w:rPr>
            </w:pPr>
          </w:p>
        </w:tc>
      </w:tr>
    </w:tbl>
    <w:p w14:paraId="2033B227"/>
    <w:p w14:paraId="3B786F9E">
      <w:pPr>
        <w:pStyle w:val="2"/>
      </w:pPr>
    </w:p>
    <w:p w14:paraId="2468B822"/>
    <w:p w14:paraId="3FFACE76">
      <w:pPr>
        <w:pStyle w:val="2"/>
      </w:pPr>
    </w:p>
    <w:p w14:paraId="6E7C4AB9"/>
    <w:tbl>
      <w:tblPr>
        <w:tblStyle w:val="59"/>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7"/>
        <w:gridCol w:w="6725"/>
      </w:tblGrid>
      <w:tr w14:paraId="59C29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302" w:type="dxa"/>
            <w:gridSpan w:val="2"/>
            <w:shd w:val="clear" w:color="auto" w:fill="auto"/>
            <w:vAlign w:val="center"/>
          </w:tcPr>
          <w:p w14:paraId="112C4C41">
            <w:pPr>
              <w:keepNext/>
              <w:keepLines/>
              <w:jc w:val="center"/>
              <w:outlineLvl w:val="1"/>
              <w:rPr>
                <w:rFonts w:ascii="宋体" w:hAnsi="宋体"/>
                <w:sz w:val="24"/>
                <w:szCs w:val="24"/>
              </w:rPr>
            </w:pPr>
            <w:bookmarkStart w:id="32" w:name="_Hlk171408414"/>
            <w:r>
              <w:rPr>
                <w:rFonts w:hint="eastAsia" w:ascii="等线 Light" w:hAnsi="等线 Light"/>
                <w:b/>
                <w:bCs/>
                <w:sz w:val="30"/>
                <w:szCs w:val="32"/>
              </w:rPr>
              <w:t>存储系统</w:t>
            </w:r>
          </w:p>
        </w:tc>
      </w:tr>
      <w:tr w14:paraId="59635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shd w:val="clear" w:color="auto" w:fill="auto"/>
            <w:vAlign w:val="center"/>
          </w:tcPr>
          <w:p w14:paraId="68D01695">
            <w:pPr>
              <w:rPr>
                <w:rFonts w:ascii="宋体" w:hAnsi="宋体"/>
                <w:sz w:val="24"/>
                <w:szCs w:val="24"/>
              </w:rPr>
            </w:pPr>
            <w:r>
              <w:rPr>
                <w:rFonts w:ascii="宋体" w:hAnsi="宋体"/>
                <w:sz w:val="24"/>
                <w:szCs w:val="24"/>
              </w:rPr>
              <w:t>技术指标</w:t>
            </w:r>
          </w:p>
        </w:tc>
        <w:tc>
          <w:tcPr>
            <w:tcW w:w="6725" w:type="dxa"/>
            <w:shd w:val="clear" w:color="auto" w:fill="auto"/>
            <w:vAlign w:val="center"/>
          </w:tcPr>
          <w:p w14:paraId="3DC8C40A">
            <w:pPr>
              <w:rPr>
                <w:rFonts w:ascii="宋体" w:hAnsi="宋体"/>
                <w:sz w:val="24"/>
                <w:szCs w:val="24"/>
              </w:rPr>
            </w:pPr>
            <w:r>
              <w:rPr>
                <w:rFonts w:ascii="宋体" w:hAnsi="宋体"/>
                <w:sz w:val="24"/>
                <w:szCs w:val="24"/>
              </w:rPr>
              <w:t>具体参数</w:t>
            </w:r>
          </w:p>
        </w:tc>
      </w:tr>
      <w:tr w14:paraId="7F698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Merge w:val="restart"/>
            <w:shd w:val="clear" w:color="auto" w:fill="auto"/>
            <w:vAlign w:val="center"/>
          </w:tcPr>
          <w:p w14:paraId="09C18F59">
            <w:pPr>
              <w:rPr>
                <w:rFonts w:ascii="宋体" w:hAnsi="宋体"/>
                <w:sz w:val="24"/>
                <w:szCs w:val="24"/>
              </w:rPr>
            </w:pPr>
            <w:r>
              <w:rPr>
                <w:rFonts w:hint="eastAsia" w:ascii="宋体" w:hAnsi="宋体"/>
                <w:sz w:val="24"/>
                <w:szCs w:val="24"/>
              </w:rPr>
              <w:t>架构</w:t>
            </w:r>
          </w:p>
        </w:tc>
        <w:tc>
          <w:tcPr>
            <w:tcW w:w="6725" w:type="dxa"/>
            <w:shd w:val="clear" w:color="auto" w:fill="auto"/>
            <w:vAlign w:val="center"/>
          </w:tcPr>
          <w:p w14:paraId="7D3EB8DB">
            <w:pPr>
              <w:rPr>
                <w:rFonts w:ascii="宋体" w:hAnsi="宋体"/>
                <w:sz w:val="24"/>
                <w:szCs w:val="24"/>
              </w:rPr>
            </w:pPr>
            <w:r>
              <w:rPr>
                <w:rFonts w:hint="eastAsia" w:ascii="宋体" w:hAnsi="宋体"/>
                <w:sz w:val="24"/>
                <w:szCs w:val="24"/>
              </w:rPr>
              <w:t>集中式存储，双控磁盘阵列架构；</w:t>
            </w:r>
          </w:p>
        </w:tc>
      </w:tr>
      <w:tr w14:paraId="058D0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Merge w:val="continue"/>
            <w:vAlign w:val="center"/>
          </w:tcPr>
          <w:p w14:paraId="49186E05">
            <w:pPr>
              <w:rPr>
                <w:rFonts w:ascii="宋体" w:hAnsi="宋体"/>
                <w:sz w:val="24"/>
                <w:szCs w:val="24"/>
              </w:rPr>
            </w:pPr>
          </w:p>
        </w:tc>
        <w:tc>
          <w:tcPr>
            <w:tcW w:w="6725" w:type="dxa"/>
            <w:shd w:val="clear" w:color="auto" w:fill="auto"/>
            <w:vAlign w:val="center"/>
          </w:tcPr>
          <w:p w14:paraId="14DB3BD4">
            <w:pPr>
              <w:rPr>
                <w:rFonts w:ascii="宋体" w:hAnsi="宋体"/>
                <w:sz w:val="24"/>
                <w:szCs w:val="24"/>
              </w:rPr>
            </w:pPr>
            <w:r>
              <w:rPr>
                <w:rFonts w:hint="eastAsia" w:ascii="宋体" w:hAnsi="宋体"/>
                <w:sz w:val="24"/>
                <w:szCs w:val="24"/>
              </w:rPr>
              <w:t>SAN+NAS统一存储，要求支持配置NFS、CIFS、FC SAN、iSCSI、FCoE协议(非添加外置存储网关实现</w:t>
            </w:r>
            <w:r>
              <w:rPr>
                <w:rFonts w:ascii="宋体" w:hAnsi="宋体"/>
                <w:sz w:val="24"/>
                <w:szCs w:val="24"/>
              </w:rPr>
              <w:t>)</w:t>
            </w:r>
            <w:r>
              <w:rPr>
                <w:rFonts w:hint="eastAsia" w:ascii="宋体" w:hAnsi="宋体"/>
                <w:sz w:val="24"/>
                <w:szCs w:val="24"/>
              </w:rPr>
              <w:t>；</w:t>
            </w:r>
          </w:p>
        </w:tc>
      </w:tr>
      <w:tr w14:paraId="67C17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Merge w:val="restart"/>
            <w:shd w:val="clear" w:color="auto" w:fill="auto"/>
            <w:vAlign w:val="center"/>
          </w:tcPr>
          <w:p w14:paraId="5F3A7F01">
            <w:pPr>
              <w:rPr>
                <w:rFonts w:ascii="宋体" w:hAnsi="宋体"/>
                <w:sz w:val="24"/>
                <w:szCs w:val="24"/>
              </w:rPr>
            </w:pPr>
            <w:r>
              <w:rPr>
                <w:rFonts w:hint="eastAsia" w:ascii="宋体" w:hAnsi="宋体"/>
                <w:sz w:val="24"/>
                <w:szCs w:val="24"/>
              </w:rPr>
              <w:t>控制器</w:t>
            </w:r>
          </w:p>
        </w:tc>
        <w:tc>
          <w:tcPr>
            <w:tcW w:w="6725" w:type="dxa"/>
            <w:shd w:val="clear" w:color="auto" w:fill="auto"/>
            <w:vAlign w:val="center"/>
          </w:tcPr>
          <w:p w14:paraId="1DAAD661">
            <w:pPr>
              <w:rPr>
                <w:rFonts w:ascii="宋体" w:hAnsi="宋体"/>
                <w:sz w:val="24"/>
                <w:szCs w:val="24"/>
              </w:rPr>
            </w:pPr>
            <w:r>
              <w:rPr>
                <w:rFonts w:hint="eastAsia" w:ascii="宋体" w:hAnsi="宋体"/>
                <w:sz w:val="24"/>
                <w:szCs w:val="24"/>
              </w:rPr>
              <w:t>冗余双控制器集群结构，控制器需采用Active-Active模式，单个控制器具备同时提供FC SAN+NAS功能；支持多个控制器集群模式；</w:t>
            </w:r>
          </w:p>
        </w:tc>
      </w:tr>
      <w:tr w14:paraId="080E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Merge w:val="continue"/>
            <w:vAlign w:val="center"/>
          </w:tcPr>
          <w:p w14:paraId="46232ECA">
            <w:pPr>
              <w:rPr>
                <w:rFonts w:ascii="宋体" w:hAnsi="宋体"/>
                <w:sz w:val="24"/>
                <w:szCs w:val="24"/>
              </w:rPr>
            </w:pPr>
          </w:p>
        </w:tc>
        <w:tc>
          <w:tcPr>
            <w:tcW w:w="6725" w:type="dxa"/>
            <w:shd w:val="clear" w:color="auto" w:fill="auto"/>
            <w:vAlign w:val="center"/>
          </w:tcPr>
          <w:p w14:paraId="2B8AD9C5">
            <w:pPr>
              <w:rPr>
                <w:rFonts w:ascii="宋体" w:hAnsi="宋体"/>
                <w:sz w:val="24"/>
                <w:szCs w:val="24"/>
              </w:rPr>
            </w:pPr>
            <w:r>
              <w:rPr>
                <w:rFonts w:hint="eastAsia" w:ascii="宋体" w:hAnsi="宋体"/>
                <w:sz w:val="24"/>
                <w:szCs w:val="24"/>
              </w:rPr>
              <w:t>配置NFS、CIFS、FC SAN、iSCSI协议，支持FCoE、pNFS等传输协议，双控CPU总核数不少于16。</w:t>
            </w:r>
          </w:p>
        </w:tc>
      </w:tr>
      <w:tr w14:paraId="5C9CC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Merge w:val="continue"/>
            <w:vAlign w:val="center"/>
          </w:tcPr>
          <w:p w14:paraId="4B19FD9F">
            <w:pPr>
              <w:rPr>
                <w:rFonts w:ascii="宋体" w:hAnsi="宋体"/>
                <w:sz w:val="24"/>
                <w:szCs w:val="24"/>
              </w:rPr>
            </w:pPr>
          </w:p>
        </w:tc>
        <w:tc>
          <w:tcPr>
            <w:tcW w:w="6725" w:type="dxa"/>
            <w:shd w:val="clear" w:color="auto" w:fill="auto"/>
            <w:vAlign w:val="center"/>
          </w:tcPr>
          <w:p w14:paraId="07A8B10C">
            <w:pPr>
              <w:rPr>
                <w:rFonts w:ascii="宋体" w:hAnsi="宋体"/>
                <w:sz w:val="24"/>
                <w:szCs w:val="24"/>
              </w:rPr>
            </w:pPr>
            <w:r>
              <w:rPr>
                <w:rFonts w:hint="eastAsia" w:ascii="宋体" w:hAnsi="宋体"/>
                <w:sz w:val="24"/>
                <w:szCs w:val="24"/>
              </w:rPr>
              <w:t>控制器数量：2个；</w:t>
            </w:r>
          </w:p>
        </w:tc>
      </w:tr>
      <w:tr w14:paraId="0F806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Merge w:val="continue"/>
            <w:shd w:val="clear" w:color="auto" w:fill="auto"/>
            <w:vAlign w:val="center"/>
          </w:tcPr>
          <w:p w14:paraId="093A3F21">
            <w:pPr>
              <w:rPr>
                <w:rFonts w:ascii="宋体" w:hAnsi="宋体"/>
                <w:sz w:val="24"/>
                <w:szCs w:val="24"/>
              </w:rPr>
            </w:pPr>
          </w:p>
        </w:tc>
        <w:tc>
          <w:tcPr>
            <w:tcW w:w="6725" w:type="dxa"/>
            <w:shd w:val="clear" w:color="auto" w:fill="auto"/>
            <w:vAlign w:val="center"/>
          </w:tcPr>
          <w:p w14:paraId="12705779">
            <w:pPr>
              <w:rPr>
                <w:rFonts w:ascii="宋体" w:hAnsi="宋体"/>
                <w:sz w:val="24"/>
                <w:szCs w:val="24"/>
              </w:rPr>
            </w:pPr>
            <w:r>
              <w:rPr>
                <w:rFonts w:hint="eastAsia" w:ascii="宋体" w:hAnsi="宋体"/>
                <w:sz w:val="24"/>
                <w:szCs w:val="24"/>
              </w:rPr>
              <w:t>控制器缓存：不少于</w:t>
            </w:r>
            <w:r>
              <w:rPr>
                <w:rFonts w:ascii="宋体" w:hAnsi="宋体"/>
                <w:sz w:val="24"/>
                <w:szCs w:val="24"/>
              </w:rPr>
              <w:t>2TB</w:t>
            </w:r>
            <w:r>
              <w:rPr>
                <w:rFonts w:hint="eastAsia" w:ascii="宋体" w:hAnsi="宋体"/>
                <w:sz w:val="24"/>
                <w:szCs w:val="24"/>
              </w:rPr>
              <w:t>；</w:t>
            </w:r>
          </w:p>
        </w:tc>
      </w:tr>
      <w:tr w14:paraId="794C6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Merge w:val="continue"/>
            <w:shd w:val="clear" w:color="auto" w:fill="auto"/>
            <w:vAlign w:val="center"/>
          </w:tcPr>
          <w:p w14:paraId="6CC3C38A">
            <w:pPr>
              <w:rPr>
                <w:rFonts w:ascii="宋体" w:hAnsi="宋体"/>
                <w:sz w:val="24"/>
                <w:szCs w:val="24"/>
              </w:rPr>
            </w:pPr>
          </w:p>
        </w:tc>
        <w:tc>
          <w:tcPr>
            <w:tcW w:w="6725" w:type="dxa"/>
            <w:shd w:val="clear" w:color="auto" w:fill="auto"/>
            <w:vAlign w:val="center"/>
          </w:tcPr>
          <w:p w14:paraId="01ECF10E">
            <w:pPr>
              <w:rPr>
                <w:rFonts w:ascii="宋体" w:hAnsi="宋体"/>
                <w:sz w:val="24"/>
                <w:szCs w:val="24"/>
              </w:rPr>
            </w:pPr>
            <w:r>
              <w:rPr>
                <w:rFonts w:hint="eastAsia" w:ascii="宋体" w:hAnsi="宋体"/>
                <w:sz w:val="24"/>
                <w:szCs w:val="24"/>
              </w:rPr>
              <w:t>★控制器可实现横向集群扩展（无需网关），单个集群控制器数量不少于24个。</w:t>
            </w:r>
          </w:p>
          <w:p w14:paraId="3B11AA86">
            <w:pPr>
              <w:rPr>
                <w:rFonts w:ascii="宋体" w:hAnsi="宋体"/>
                <w:sz w:val="24"/>
                <w:szCs w:val="24"/>
              </w:rPr>
            </w:pPr>
            <w:r>
              <w:rPr>
                <w:rFonts w:hint="eastAsia" w:ascii="宋体" w:hAnsi="宋体"/>
                <w:sz w:val="24"/>
                <w:szCs w:val="24"/>
              </w:rPr>
              <w:t>（提供相关证明材料，承诺交付时一致）。</w:t>
            </w:r>
          </w:p>
        </w:tc>
      </w:tr>
      <w:tr w14:paraId="55A68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Merge w:val="restart"/>
            <w:shd w:val="clear" w:color="auto" w:fill="auto"/>
            <w:vAlign w:val="center"/>
          </w:tcPr>
          <w:p w14:paraId="6D112B94">
            <w:pPr>
              <w:rPr>
                <w:rFonts w:ascii="宋体" w:hAnsi="宋体"/>
                <w:sz w:val="24"/>
                <w:szCs w:val="24"/>
              </w:rPr>
            </w:pPr>
            <w:r>
              <w:rPr>
                <w:rFonts w:hint="eastAsia" w:ascii="宋体" w:hAnsi="宋体"/>
                <w:sz w:val="24"/>
                <w:szCs w:val="24"/>
              </w:rPr>
              <w:t>硬盘</w:t>
            </w:r>
          </w:p>
        </w:tc>
        <w:tc>
          <w:tcPr>
            <w:tcW w:w="6725" w:type="dxa"/>
            <w:shd w:val="clear" w:color="auto" w:fill="auto"/>
            <w:vAlign w:val="center"/>
          </w:tcPr>
          <w:p w14:paraId="6D575957">
            <w:pPr>
              <w:rPr>
                <w:rFonts w:ascii="宋体" w:hAnsi="宋体"/>
                <w:sz w:val="24"/>
                <w:szCs w:val="24"/>
              </w:rPr>
            </w:pPr>
            <w:r>
              <w:rPr>
                <w:rFonts w:hint="eastAsia" w:ascii="宋体" w:hAnsi="宋体"/>
                <w:sz w:val="24"/>
                <w:szCs w:val="24"/>
              </w:rPr>
              <w:t>支持全局动态热备盘，根据磁盘容量需求，合理配置全局动态备盘数目，且在无需重新启动系统的条件下，能自动用事先配置的热备份硬盘接替故障硬盘实现连续工作；热备盘位置不固定，且重构后无需回构；</w:t>
            </w:r>
          </w:p>
        </w:tc>
      </w:tr>
      <w:tr w14:paraId="56F65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Merge w:val="continue"/>
            <w:vAlign w:val="center"/>
          </w:tcPr>
          <w:p w14:paraId="23940053">
            <w:pPr>
              <w:rPr>
                <w:rFonts w:ascii="宋体" w:hAnsi="宋体"/>
                <w:sz w:val="24"/>
                <w:szCs w:val="24"/>
              </w:rPr>
            </w:pPr>
          </w:p>
        </w:tc>
        <w:tc>
          <w:tcPr>
            <w:tcW w:w="6725" w:type="dxa"/>
            <w:shd w:val="clear" w:color="auto" w:fill="auto"/>
            <w:vAlign w:val="center"/>
          </w:tcPr>
          <w:p w14:paraId="3EF78F0D">
            <w:pPr>
              <w:rPr>
                <w:rFonts w:ascii="宋体" w:hAnsi="宋体"/>
                <w:sz w:val="24"/>
                <w:szCs w:val="24"/>
              </w:rPr>
            </w:pPr>
            <w:r>
              <w:rPr>
                <w:rFonts w:hint="eastAsia" w:ascii="宋体" w:hAnsi="宋体"/>
                <w:sz w:val="24"/>
                <w:szCs w:val="24"/>
              </w:rPr>
              <w:t>▲硬盘数量：NL SAS 硬盘不少于48块，单块容量不少于10TB；</w:t>
            </w:r>
          </w:p>
        </w:tc>
      </w:tr>
      <w:tr w14:paraId="1C0F1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577" w:type="dxa"/>
            <w:vMerge w:val="restart"/>
            <w:shd w:val="clear" w:color="auto" w:fill="auto"/>
            <w:vAlign w:val="center"/>
          </w:tcPr>
          <w:p w14:paraId="0B0AA31A">
            <w:pPr>
              <w:rPr>
                <w:rFonts w:ascii="宋体" w:hAnsi="宋体"/>
                <w:sz w:val="24"/>
                <w:szCs w:val="24"/>
              </w:rPr>
            </w:pPr>
            <w:r>
              <w:rPr>
                <w:rFonts w:hint="eastAsia" w:ascii="宋体" w:hAnsi="宋体"/>
                <w:sz w:val="24"/>
                <w:szCs w:val="24"/>
              </w:rPr>
              <w:t>RAID保护机制</w:t>
            </w:r>
          </w:p>
        </w:tc>
        <w:tc>
          <w:tcPr>
            <w:tcW w:w="6725" w:type="dxa"/>
            <w:shd w:val="clear" w:color="auto" w:fill="auto"/>
            <w:vAlign w:val="center"/>
          </w:tcPr>
          <w:p w14:paraId="4B0607F8">
            <w:pPr>
              <w:rPr>
                <w:rFonts w:ascii="宋体" w:hAnsi="宋体"/>
                <w:sz w:val="24"/>
                <w:szCs w:val="24"/>
              </w:rPr>
            </w:pPr>
            <w:r>
              <w:rPr>
                <w:rFonts w:hint="eastAsia" w:ascii="宋体" w:hAnsi="宋体"/>
                <w:sz w:val="24"/>
                <w:szCs w:val="24"/>
              </w:rPr>
              <w:t>为保障安全性，实现</w:t>
            </w:r>
            <w:r>
              <w:rPr>
                <w:rFonts w:ascii="宋体" w:hAnsi="宋体"/>
                <w:sz w:val="24"/>
                <w:szCs w:val="24"/>
              </w:rPr>
              <w:t>RAID三重校验功能，写惩罚</w:t>
            </w:r>
            <w:r>
              <w:rPr>
                <w:rFonts w:hint="eastAsia" w:ascii="宋体" w:hAnsi="宋体"/>
                <w:sz w:val="24"/>
                <w:szCs w:val="24"/>
              </w:rPr>
              <w:t>小于等于</w:t>
            </w:r>
            <w:r>
              <w:rPr>
                <w:rFonts w:ascii="宋体" w:hAnsi="宋体"/>
                <w:sz w:val="24"/>
                <w:szCs w:val="24"/>
              </w:rPr>
              <w:t>2，在同一RAID组中，可任意3块硬盘同时故障而不影响数据完整性；</w:t>
            </w:r>
          </w:p>
        </w:tc>
      </w:tr>
      <w:tr w14:paraId="354F0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577" w:type="dxa"/>
            <w:vMerge w:val="continue"/>
            <w:shd w:val="clear" w:color="auto" w:fill="auto"/>
            <w:vAlign w:val="center"/>
          </w:tcPr>
          <w:p w14:paraId="4BD3DBBC">
            <w:pPr>
              <w:rPr>
                <w:rFonts w:ascii="宋体" w:hAnsi="宋体"/>
                <w:sz w:val="24"/>
                <w:szCs w:val="24"/>
              </w:rPr>
            </w:pPr>
          </w:p>
        </w:tc>
        <w:tc>
          <w:tcPr>
            <w:tcW w:w="6725" w:type="dxa"/>
            <w:shd w:val="clear" w:color="auto" w:fill="auto"/>
            <w:vAlign w:val="center"/>
          </w:tcPr>
          <w:p w14:paraId="34C5BA05">
            <w:pPr>
              <w:rPr>
                <w:rFonts w:ascii="宋体" w:hAnsi="宋体"/>
                <w:sz w:val="24"/>
                <w:szCs w:val="24"/>
              </w:rPr>
            </w:pPr>
            <w:r>
              <w:rPr>
                <w:rFonts w:ascii="宋体" w:hAnsi="宋体"/>
                <w:sz w:val="24"/>
                <w:szCs w:val="24"/>
              </w:rPr>
              <w:t>RAID组内任意个数磁盘在线增加RAID组(不影响性能的情况下，分钟级增加),在线扩充容量或缩小容量</w:t>
            </w:r>
            <w:r>
              <w:rPr>
                <w:rFonts w:hint="eastAsia" w:ascii="宋体" w:hAnsi="宋体"/>
                <w:sz w:val="24"/>
                <w:szCs w:val="24"/>
              </w:rPr>
              <w:t>。</w:t>
            </w:r>
          </w:p>
        </w:tc>
      </w:tr>
      <w:tr w14:paraId="0FDC5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center"/>
          </w:tcPr>
          <w:p w14:paraId="1EE84CF4">
            <w:pPr>
              <w:rPr>
                <w:rFonts w:ascii="宋体" w:hAnsi="宋体"/>
                <w:sz w:val="24"/>
                <w:szCs w:val="24"/>
              </w:rPr>
            </w:pPr>
            <w:r>
              <w:rPr>
                <w:rFonts w:hint="eastAsia" w:ascii="宋体" w:hAnsi="宋体"/>
                <w:sz w:val="24"/>
                <w:szCs w:val="24"/>
              </w:rPr>
              <w:t>数据传输端口</w:t>
            </w:r>
          </w:p>
        </w:tc>
        <w:tc>
          <w:tcPr>
            <w:tcW w:w="6725" w:type="dxa"/>
            <w:shd w:val="clear" w:color="auto" w:fill="auto"/>
            <w:vAlign w:val="center"/>
          </w:tcPr>
          <w:p w14:paraId="151219EA">
            <w:pPr>
              <w:rPr>
                <w:rFonts w:ascii="宋体" w:hAnsi="宋体"/>
                <w:sz w:val="24"/>
                <w:szCs w:val="24"/>
              </w:rPr>
            </w:pPr>
            <w:r>
              <w:rPr>
                <w:rFonts w:hint="eastAsia" w:ascii="宋体" w:hAnsi="宋体"/>
                <w:sz w:val="24"/>
                <w:szCs w:val="24"/>
              </w:rPr>
              <w:t>端口数量：本次配置25Gb光口8个；</w:t>
            </w:r>
          </w:p>
        </w:tc>
      </w:tr>
      <w:tr w14:paraId="73FC7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shd w:val="clear" w:color="auto" w:fill="auto"/>
            <w:vAlign w:val="center"/>
          </w:tcPr>
          <w:p w14:paraId="36602629">
            <w:pPr>
              <w:rPr>
                <w:rFonts w:ascii="宋体" w:hAnsi="宋体"/>
                <w:sz w:val="24"/>
                <w:szCs w:val="24"/>
              </w:rPr>
            </w:pPr>
            <w:r>
              <w:rPr>
                <w:rFonts w:hint="eastAsia" w:ascii="宋体" w:hAnsi="宋体"/>
                <w:sz w:val="24"/>
                <w:szCs w:val="24"/>
              </w:rPr>
              <w:t>分布式数据卷</w:t>
            </w:r>
          </w:p>
        </w:tc>
        <w:tc>
          <w:tcPr>
            <w:tcW w:w="6725" w:type="dxa"/>
            <w:shd w:val="clear" w:color="auto" w:fill="auto"/>
            <w:vAlign w:val="center"/>
          </w:tcPr>
          <w:p w14:paraId="420D01E2">
            <w:pPr>
              <w:rPr>
                <w:rFonts w:ascii="宋体" w:hAnsi="宋体"/>
                <w:sz w:val="24"/>
                <w:szCs w:val="24"/>
              </w:rPr>
            </w:pPr>
            <w:r>
              <w:rPr>
                <w:rFonts w:hint="eastAsia" w:ascii="宋体" w:hAnsi="宋体"/>
                <w:sz w:val="24"/>
                <w:szCs w:val="24"/>
              </w:rPr>
              <w:t>配置分布式NAS卷功能，支持单一命名空间；单一卷容量≥20PB，支持文件数量≥2000亿（提供相关证明）。卷的大小可以动态扩展，无需停机。实现Windows（CIFS）和Linux（NFS）客户能同时访问同一NAS数据卷。</w:t>
            </w:r>
          </w:p>
        </w:tc>
      </w:tr>
      <w:tr w14:paraId="61E87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Merge w:val="restart"/>
            <w:shd w:val="clear" w:color="auto" w:fill="auto"/>
            <w:vAlign w:val="center"/>
          </w:tcPr>
          <w:p w14:paraId="3A3CF227">
            <w:pPr>
              <w:rPr>
                <w:rFonts w:ascii="宋体" w:hAnsi="宋体"/>
                <w:sz w:val="24"/>
                <w:szCs w:val="24"/>
              </w:rPr>
            </w:pPr>
            <w:r>
              <w:rPr>
                <w:rFonts w:hint="eastAsia" w:ascii="宋体" w:hAnsi="宋体"/>
                <w:sz w:val="24"/>
                <w:szCs w:val="24"/>
              </w:rPr>
              <w:t>热点数据分层</w:t>
            </w:r>
          </w:p>
        </w:tc>
        <w:tc>
          <w:tcPr>
            <w:tcW w:w="6725" w:type="dxa"/>
            <w:shd w:val="clear" w:color="auto" w:fill="auto"/>
            <w:vAlign w:val="center"/>
          </w:tcPr>
          <w:p w14:paraId="11D28A52">
            <w:pPr>
              <w:rPr>
                <w:rFonts w:ascii="宋体" w:hAnsi="宋体"/>
                <w:sz w:val="24"/>
                <w:szCs w:val="24"/>
              </w:rPr>
            </w:pPr>
            <w:r>
              <w:rPr>
                <w:rFonts w:hint="eastAsia" w:ascii="宋体" w:hAnsi="宋体"/>
                <w:sz w:val="24"/>
                <w:szCs w:val="24"/>
              </w:rPr>
              <w:t>支持机械盘与SSD盘智能分层，可以将热点数据自动缓存至SDD盘，实现热点数据的加速。数据分层以4KB粒度为单位以匹配业务数据块粒度。数据分层功能必须支持重复数据删除；</w:t>
            </w:r>
          </w:p>
        </w:tc>
      </w:tr>
      <w:tr w14:paraId="68649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Merge w:val="continue"/>
            <w:shd w:val="clear" w:color="auto" w:fill="auto"/>
            <w:vAlign w:val="center"/>
          </w:tcPr>
          <w:p w14:paraId="4151D6CC">
            <w:pPr>
              <w:rPr>
                <w:rFonts w:ascii="宋体" w:hAnsi="宋体"/>
                <w:sz w:val="24"/>
                <w:szCs w:val="24"/>
              </w:rPr>
            </w:pPr>
          </w:p>
        </w:tc>
        <w:tc>
          <w:tcPr>
            <w:tcW w:w="6725" w:type="dxa"/>
            <w:shd w:val="clear" w:color="auto" w:fill="auto"/>
            <w:vAlign w:val="center"/>
          </w:tcPr>
          <w:p w14:paraId="1EF9668B">
            <w:pPr>
              <w:rPr>
                <w:rFonts w:ascii="宋体" w:hAnsi="宋体"/>
                <w:sz w:val="24"/>
                <w:szCs w:val="24"/>
              </w:rPr>
            </w:pPr>
            <w:r>
              <w:rPr>
                <w:rFonts w:hint="eastAsia" w:ascii="宋体" w:hAnsi="宋体"/>
                <w:sz w:val="24"/>
                <w:szCs w:val="24"/>
              </w:rPr>
              <w:t>支持SSD数据可自动分层至共有云存储，包括阿里云，AWS，Azure等公有云对象存储，对于前端应用透明。</w:t>
            </w:r>
          </w:p>
        </w:tc>
      </w:tr>
      <w:tr w14:paraId="3FB2D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shd w:val="clear" w:color="auto" w:fill="auto"/>
            <w:vAlign w:val="center"/>
          </w:tcPr>
          <w:p w14:paraId="12F1BE82">
            <w:pPr>
              <w:rPr>
                <w:rFonts w:ascii="宋体" w:hAnsi="宋体"/>
                <w:sz w:val="24"/>
                <w:szCs w:val="24"/>
              </w:rPr>
            </w:pPr>
            <w:r>
              <w:rPr>
                <w:rFonts w:hint="eastAsia" w:ascii="宋体" w:hAnsi="宋体"/>
                <w:sz w:val="24"/>
                <w:szCs w:val="24"/>
              </w:rPr>
              <w:t>存储QoS</w:t>
            </w:r>
          </w:p>
        </w:tc>
        <w:tc>
          <w:tcPr>
            <w:tcW w:w="6725" w:type="dxa"/>
            <w:shd w:val="clear" w:color="auto" w:fill="auto"/>
            <w:vAlign w:val="center"/>
          </w:tcPr>
          <w:p w14:paraId="34F86E6B">
            <w:pPr>
              <w:rPr>
                <w:rFonts w:ascii="宋体" w:hAnsi="宋体"/>
                <w:sz w:val="24"/>
                <w:szCs w:val="24"/>
              </w:rPr>
            </w:pPr>
            <w:r>
              <w:rPr>
                <w:rFonts w:hint="eastAsia" w:ascii="宋体" w:hAnsi="宋体"/>
                <w:sz w:val="24"/>
                <w:szCs w:val="24"/>
              </w:rPr>
              <w:t>提供针对前端不同级别的应用提供存储资源的优先分配功能；具备良好的功能管理机制，可以根据应用负载，动态调整存储系统对不同应用访问I/O的优先级，调整粒度包括每个应用卷的最大、最小、高峰IOPS及带宽等；</w:t>
            </w:r>
          </w:p>
        </w:tc>
      </w:tr>
      <w:tr w14:paraId="587CF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shd w:val="clear" w:color="auto" w:fill="auto"/>
            <w:vAlign w:val="center"/>
          </w:tcPr>
          <w:p w14:paraId="096ABB32">
            <w:pPr>
              <w:rPr>
                <w:rFonts w:ascii="宋体" w:hAnsi="宋体"/>
                <w:sz w:val="24"/>
                <w:szCs w:val="24"/>
              </w:rPr>
            </w:pPr>
            <w:r>
              <w:rPr>
                <w:rFonts w:hint="eastAsia" w:ascii="宋体" w:hAnsi="宋体"/>
                <w:sz w:val="24"/>
                <w:szCs w:val="24"/>
              </w:rPr>
              <w:t>数据后缀过滤</w:t>
            </w:r>
          </w:p>
        </w:tc>
        <w:tc>
          <w:tcPr>
            <w:tcW w:w="6725" w:type="dxa"/>
            <w:shd w:val="clear" w:color="auto" w:fill="auto"/>
            <w:vAlign w:val="center"/>
          </w:tcPr>
          <w:p w14:paraId="576A4C63">
            <w:pPr>
              <w:rPr>
                <w:rFonts w:ascii="宋体" w:hAnsi="宋体"/>
                <w:sz w:val="24"/>
                <w:szCs w:val="24"/>
              </w:rPr>
            </w:pPr>
            <w:r>
              <w:rPr>
                <w:rFonts w:hint="eastAsia" w:ascii="宋体" w:hAnsi="宋体"/>
                <w:sz w:val="24"/>
                <w:szCs w:val="24"/>
              </w:rPr>
              <w:t>★配置文件数据存放的后缀过滤功能，根据文件格式，如：.doc、.xml等来定义被允许或被拒绝存放到存储数据卷中；</w:t>
            </w:r>
          </w:p>
          <w:p w14:paraId="414B0851">
            <w:pPr>
              <w:rPr>
                <w:rFonts w:ascii="宋体" w:hAnsi="宋体"/>
                <w:sz w:val="24"/>
                <w:szCs w:val="24"/>
              </w:rPr>
            </w:pPr>
            <w:r>
              <w:rPr>
                <w:rFonts w:hint="eastAsia" w:ascii="宋体" w:hAnsi="宋体"/>
                <w:sz w:val="24"/>
                <w:szCs w:val="24"/>
              </w:rPr>
              <w:t>（提供相关证明材料，承诺交付时一致）。</w:t>
            </w:r>
          </w:p>
        </w:tc>
      </w:tr>
      <w:tr w14:paraId="08C59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shd w:val="clear" w:color="auto" w:fill="auto"/>
            <w:vAlign w:val="center"/>
          </w:tcPr>
          <w:p w14:paraId="183BAF8A">
            <w:pPr>
              <w:rPr>
                <w:rFonts w:ascii="宋体" w:hAnsi="宋体"/>
                <w:sz w:val="24"/>
                <w:szCs w:val="24"/>
              </w:rPr>
            </w:pPr>
            <w:r>
              <w:rPr>
                <w:rFonts w:hint="eastAsia" w:ascii="宋体" w:hAnsi="宋体"/>
                <w:sz w:val="24"/>
                <w:szCs w:val="24"/>
              </w:rPr>
              <w:t>对象和NAS互通</w:t>
            </w:r>
          </w:p>
        </w:tc>
        <w:tc>
          <w:tcPr>
            <w:tcW w:w="6725" w:type="dxa"/>
            <w:shd w:val="clear" w:color="auto" w:fill="auto"/>
            <w:vAlign w:val="center"/>
          </w:tcPr>
          <w:p w14:paraId="21525375">
            <w:pPr>
              <w:rPr>
                <w:rFonts w:ascii="宋体" w:hAnsi="宋体"/>
                <w:sz w:val="24"/>
                <w:szCs w:val="24"/>
              </w:rPr>
            </w:pPr>
            <w:r>
              <w:rPr>
                <w:rFonts w:hint="eastAsia" w:ascii="宋体" w:hAnsi="宋体"/>
                <w:sz w:val="24"/>
                <w:szCs w:val="24"/>
              </w:rPr>
              <w:t>★支持S</w:t>
            </w:r>
            <w:r>
              <w:rPr>
                <w:rFonts w:ascii="宋体" w:hAnsi="宋体"/>
                <w:sz w:val="24"/>
                <w:szCs w:val="24"/>
              </w:rPr>
              <w:t>3</w:t>
            </w:r>
            <w:r>
              <w:rPr>
                <w:rFonts w:hint="eastAsia" w:ascii="宋体" w:hAnsi="宋体"/>
                <w:sz w:val="24"/>
                <w:szCs w:val="24"/>
              </w:rPr>
              <w:t>对象协议（原生支持，并非采用容器服务/虚拟机实现），要求同一个卷同时支持NAS和S</w:t>
            </w:r>
            <w:r>
              <w:rPr>
                <w:rFonts w:ascii="宋体" w:hAnsi="宋体"/>
                <w:sz w:val="24"/>
                <w:szCs w:val="24"/>
              </w:rPr>
              <w:t>3</w:t>
            </w:r>
            <w:r>
              <w:rPr>
                <w:rFonts w:hint="eastAsia" w:ascii="宋体" w:hAnsi="宋体"/>
                <w:sz w:val="24"/>
                <w:szCs w:val="24"/>
              </w:rPr>
              <w:t>访问。</w:t>
            </w:r>
          </w:p>
          <w:p w14:paraId="5E43E36F">
            <w:pPr>
              <w:rPr>
                <w:rFonts w:ascii="宋体" w:hAnsi="宋体"/>
                <w:sz w:val="24"/>
                <w:szCs w:val="24"/>
              </w:rPr>
            </w:pPr>
            <w:r>
              <w:rPr>
                <w:rFonts w:hint="eastAsia" w:ascii="宋体" w:hAnsi="宋体"/>
                <w:sz w:val="24"/>
                <w:szCs w:val="24"/>
              </w:rPr>
              <w:t>（提供相关证明材料，承诺交付时一致）。</w:t>
            </w:r>
          </w:p>
        </w:tc>
      </w:tr>
      <w:tr w14:paraId="4709E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shd w:val="clear" w:color="auto" w:fill="auto"/>
            <w:vAlign w:val="center"/>
          </w:tcPr>
          <w:p w14:paraId="2AF0652E">
            <w:pPr>
              <w:rPr>
                <w:rFonts w:ascii="宋体" w:hAnsi="宋体"/>
                <w:sz w:val="24"/>
                <w:szCs w:val="24"/>
              </w:rPr>
            </w:pPr>
            <w:r>
              <w:rPr>
                <w:rFonts w:hint="eastAsia" w:ascii="宋体" w:hAnsi="宋体"/>
                <w:sz w:val="24"/>
                <w:szCs w:val="24"/>
              </w:rPr>
              <w:t>NAS多协议互通</w:t>
            </w:r>
          </w:p>
        </w:tc>
        <w:tc>
          <w:tcPr>
            <w:tcW w:w="6725" w:type="dxa"/>
            <w:shd w:val="clear" w:color="auto" w:fill="auto"/>
            <w:vAlign w:val="center"/>
          </w:tcPr>
          <w:p w14:paraId="1823FE2F">
            <w:pPr>
              <w:rPr>
                <w:rFonts w:ascii="宋体" w:hAnsi="宋体"/>
                <w:sz w:val="24"/>
                <w:szCs w:val="24"/>
              </w:rPr>
            </w:pPr>
            <w:r>
              <w:rPr>
                <w:rFonts w:hint="eastAsia" w:ascii="宋体" w:hAnsi="宋体"/>
                <w:sz w:val="24"/>
                <w:szCs w:val="24"/>
              </w:rPr>
              <w:t xml:space="preserve">★支持NFS(v3、v4、NFSv4.1） 和 pNFS </w:t>
            </w:r>
            <w:r>
              <w:rPr>
                <w:rFonts w:ascii="宋体" w:hAnsi="宋体"/>
                <w:sz w:val="24"/>
                <w:szCs w:val="24"/>
              </w:rPr>
              <w:t>(</w:t>
            </w:r>
            <w:r>
              <w:rPr>
                <w:rFonts w:hint="eastAsia" w:ascii="宋体" w:hAnsi="宋体"/>
                <w:sz w:val="24"/>
                <w:szCs w:val="24"/>
              </w:rPr>
              <w:t>并行NFS)协议、CIFS/SMB等</w:t>
            </w:r>
            <w:r>
              <w:rPr>
                <w:rFonts w:ascii="宋体" w:hAnsi="宋体"/>
                <w:sz w:val="24"/>
                <w:szCs w:val="24"/>
              </w:rPr>
              <w:t>协议许可；要求可针对同一个卷实现实现跨平台（NFS与SMB）的卷共享访问；</w:t>
            </w:r>
          </w:p>
          <w:p w14:paraId="76C70BA5">
            <w:pPr>
              <w:rPr>
                <w:rFonts w:ascii="宋体" w:hAnsi="宋体"/>
                <w:sz w:val="24"/>
                <w:szCs w:val="24"/>
              </w:rPr>
            </w:pPr>
            <w:r>
              <w:rPr>
                <w:rFonts w:hint="eastAsia" w:ascii="宋体" w:hAnsi="宋体"/>
                <w:sz w:val="24"/>
                <w:szCs w:val="24"/>
              </w:rPr>
              <w:t>（提供相关证明材料，承诺交付时一致）。</w:t>
            </w:r>
          </w:p>
        </w:tc>
      </w:tr>
      <w:tr w14:paraId="4AEEA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shd w:val="clear" w:color="auto" w:fill="auto"/>
            <w:vAlign w:val="center"/>
          </w:tcPr>
          <w:p w14:paraId="4E6A8485">
            <w:pPr>
              <w:rPr>
                <w:rFonts w:ascii="宋体" w:hAnsi="宋体"/>
                <w:sz w:val="24"/>
                <w:szCs w:val="24"/>
              </w:rPr>
            </w:pPr>
            <w:r>
              <w:rPr>
                <w:rFonts w:hint="eastAsia" w:ascii="宋体" w:hAnsi="宋体"/>
                <w:sz w:val="24"/>
                <w:szCs w:val="24"/>
              </w:rPr>
              <w:t>分布式NAS卷</w:t>
            </w:r>
          </w:p>
        </w:tc>
        <w:tc>
          <w:tcPr>
            <w:tcW w:w="6725" w:type="dxa"/>
            <w:shd w:val="clear" w:color="auto" w:fill="auto"/>
            <w:vAlign w:val="center"/>
          </w:tcPr>
          <w:p w14:paraId="0A9A579D">
            <w:pPr>
              <w:rPr>
                <w:rFonts w:ascii="宋体" w:hAnsi="宋体"/>
                <w:sz w:val="24"/>
                <w:szCs w:val="24"/>
              </w:rPr>
            </w:pPr>
            <w:r>
              <w:rPr>
                <w:rFonts w:hint="eastAsia" w:ascii="宋体" w:hAnsi="宋体"/>
                <w:sz w:val="24"/>
                <w:szCs w:val="24"/>
              </w:rPr>
              <w:t>★支持</w:t>
            </w:r>
            <w:r>
              <w:rPr>
                <w:rFonts w:ascii="宋体" w:hAnsi="宋体"/>
                <w:sz w:val="24"/>
                <w:szCs w:val="24"/>
              </w:rPr>
              <w:t>分布式</w:t>
            </w:r>
            <w:r>
              <w:rPr>
                <w:rFonts w:hint="eastAsia" w:ascii="宋体" w:hAnsi="宋体"/>
                <w:sz w:val="24"/>
                <w:szCs w:val="24"/>
              </w:rPr>
              <w:t xml:space="preserve">横向扩展 </w:t>
            </w:r>
            <w:r>
              <w:rPr>
                <w:rFonts w:ascii="宋体" w:hAnsi="宋体"/>
                <w:sz w:val="24"/>
                <w:szCs w:val="24"/>
              </w:rPr>
              <w:t>NAS卷功能，</w:t>
            </w:r>
            <w:r>
              <w:rPr>
                <w:rFonts w:hint="eastAsia" w:ascii="宋体" w:hAnsi="宋体"/>
                <w:sz w:val="24"/>
                <w:szCs w:val="24"/>
              </w:rPr>
              <w:t>分布式卷要求能跨越所有控制器节点，并且提供自动负载均衡能力</w:t>
            </w:r>
            <w:r>
              <w:rPr>
                <w:rFonts w:ascii="宋体" w:hAnsi="宋体"/>
                <w:sz w:val="24"/>
                <w:szCs w:val="24"/>
              </w:rPr>
              <w:t>；要求单一</w:t>
            </w:r>
            <w:r>
              <w:rPr>
                <w:rFonts w:hint="eastAsia" w:ascii="宋体" w:hAnsi="宋体"/>
                <w:sz w:val="24"/>
                <w:szCs w:val="24"/>
              </w:rPr>
              <w:t>分布式</w:t>
            </w:r>
            <w:r>
              <w:rPr>
                <w:rFonts w:ascii="宋体" w:hAnsi="宋体"/>
                <w:sz w:val="24"/>
                <w:szCs w:val="24"/>
              </w:rPr>
              <w:t>NAS卷容量</w:t>
            </w:r>
            <w:r>
              <w:rPr>
                <w:rFonts w:hint="eastAsia" w:ascii="宋体" w:hAnsi="宋体"/>
                <w:sz w:val="24"/>
                <w:szCs w:val="24"/>
              </w:rPr>
              <w:t>≥</w:t>
            </w:r>
            <w:r>
              <w:rPr>
                <w:rFonts w:ascii="宋体" w:hAnsi="宋体"/>
                <w:sz w:val="24"/>
                <w:szCs w:val="24"/>
              </w:rPr>
              <w:t>20PB，支持文件数量</w:t>
            </w:r>
            <w:r>
              <w:rPr>
                <w:rFonts w:hint="eastAsia" w:ascii="宋体" w:hAnsi="宋体"/>
                <w:sz w:val="24"/>
                <w:szCs w:val="24"/>
              </w:rPr>
              <w:t>≥4</w:t>
            </w:r>
            <w:r>
              <w:rPr>
                <w:rFonts w:ascii="宋体" w:hAnsi="宋体"/>
                <w:sz w:val="24"/>
                <w:szCs w:val="24"/>
              </w:rPr>
              <w:t>000亿；</w:t>
            </w:r>
          </w:p>
          <w:p w14:paraId="01C543AB">
            <w:pPr>
              <w:rPr>
                <w:rFonts w:ascii="宋体" w:hAnsi="宋体"/>
                <w:sz w:val="24"/>
                <w:szCs w:val="24"/>
              </w:rPr>
            </w:pPr>
            <w:r>
              <w:rPr>
                <w:rFonts w:hint="eastAsia" w:ascii="宋体" w:hAnsi="宋体"/>
                <w:sz w:val="24"/>
                <w:szCs w:val="24"/>
              </w:rPr>
              <w:t>（提供相关证明材料，承诺交付时一致）。</w:t>
            </w:r>
          </w:p>
        </w:tc>
      </w:tr>
      <w:tr w14:paraId="636A4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shd w:val="clear" w:color="auto" w:fill="auto"/>
            <w:vAlign w:val="center"/>
          </w:tcPr>
          <w:p w14:paraId="7E72980A">
            <w:pPr>
              <w:rPr>
                <w:rFonts w:ascii="宋体" w:hAnsi="宋体"/>
                <w:sz w:val="24"/>
                <w:szCs w:val="24"/>
              </w:rPr>
            </w:pPr>
            <w:r>
              <w:rPr>
                <w:rFonts w:hint="eastAsia" w:ascii="宋体" w:hAnsi="宋体"/>
                <w:sz w:val="24"/>
                <w:szCs w:val="24"/>
              </w:rPr>
              <w:t>存储快照</w:t>
            </w:r>
          </w:p>
        </w:tc>
        <w:tc>
          <w:tcPr>
            <w:tcW w:w="6725" w:type="dxa"/>
            <w:shd w:val="clear" w:color="auto" w:fill="auto"/>
            <w:vAlign w:val="center"/>
          </w:tcPr>
          <w:p w14:paraId="680614C3">
            <w:pPr>
              <w:rPr>
                <w:rFonts w:ascii="宋体" w:hAnsi="宋体"/>
                <w:sz w:val="24"/>
                <w:szCs w:val="24"/>
              </w:rPr>
            </w:pPr>
            <w:r>
              <w:rPr>
                <w:rFonts w:hint="eastAsia" w:ascii="宋体" w:hAnsi="宋体"/>
                <w:sz w:val="24"/>
                <w:szCs w:val="24"/>
              </w:rPr>
              <w:t>提供存储快照功能，配置相应快照软件，支持针对主流应用（如：Oracle、SQL、Exchange、SAP等）和虚拟化环境（如VMware、Citrix、Hyper-V等）的一致性快速备份和恢复，软件协议应支持无限前端主机和CPU个数；单个数据卷快照数量支持1000个以上；整个系统支持200万个以上快照。</w:t>
            </w:r>
          </w:p>
        </w:tc>
      </w:tr>
      <w:tr w14:paraId="351AA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shd w:val="clear" w:color="auto" w:fill="auto"/>
            <w:vAlign w:val="center"/>
          </w:tcPr>
          <w:p w14:paraId="3A395D6F">
            <w:pPr>
              <w:rPr>
                <w:rFonts w:ascii="宋体" w:hAnsi="宋体"/>
                <w:sz w:val="24"/>
                <w:szCs w:val="24"/>
              </w:rPr>
            </w:pPr>
            <w:r>
              <w:rPr>
                <w:rFonts w:hint="eastAsia" w:ascii="宋体" w:hAnsi="宋体"/>
                <w:sz w:val="24"/>
                <w:szCs w:val="24"/>
              </w:rPr>
              <w:t>重复数据删除</w:t>
            </w:r>
          </w:p>
        </w:tc>
        <w:tc>
          <w:tcPr>
            <w:tcW w:w="6725" w:type="dxa"/>
            <w:shd w:val="clear" w:color="auto" w:fill="auto"/>
            <w:vAlign w:val="center"/>
          </w:tcPr>
          <w:p w14:paraId="08454035">
            <w:pPr>
              <w:rPr>
                <w:rFonts w:ascii="宋体" w:hAnsi="宋体"/>
                <w:sz w:val="24"/>
                <w:szCs w:val="24"/>
              </w:rPr>
            </w:pPr>
            <w:r>
              <w:rPr>
                <w:rFonts w:hint="eastAsia" w:ascii="宋体" w:hAnsi="宋体"/>
                <w:sz w:val="24"/>
                <w:szCs w:val="24"/>
              </w:rPr>
              <w:t>提供在线\线后重复数据删除功能，支持SAN和NAS多种数据；</w:t>
            </w:r>
          </w:p>
          <w:p w14:paraId="46DC9A0A">
            <w:pPr>
              <w:rPr>
                <w:rFonts w:ascii="宋体" w:hAnsi="宋体"/>
                <w:sz w:val="24"/>
                <w:szCs w:val="24"/>
              </w:rPr>
            </w:pPr>
            <w:r>
              <w:rPr>
                <w:rFonts w:hint="eastAsia" w:ascii="宋体" w:hAnsi="宋体"/>
                <w:sz w:val="24"/>
                <w:szCs w:val="24"/>
              </w:rPr>
              <w:t>采用数据块级别去重技术（非文件级去重，数据块粒度应不大于</w:t>
            </w:r>
            <w:r>
              <w:rPr>
                <w:rFonts w:ascii="宋体" w:hAnsi="宋体"/>
                <w:sz w:val="24"/>
                <w:szCs w:val="24"/>
              </w:rPr>
              <w:t>4</w:t>
            </w:r>
            <w:r>
              <w:rPr>
                <w:rFonts w:hint="eastAsia" w:ascii="宋体" w:hAnsi="宋体"/>
                <w:sz w:val="24"/>
                <w:szCs w:val="24"/>
              </w:rPr>
              <w:t>KB），对任何类型，任何协议的数据（包括SAN数据块和NAS数据），都可以透明地进行重复数据删除；</w:t>
            </w:r>
          </w:p>
          <w:p w14:paraId="30256095">
            <w:pPr>
              <w:rPr>
                <w:rFonts w:ascii="宋体" w:hAnsi="宋体"/>
                <w:sz w:val="24"/>
                <w:szCs w:val="24"/>
              </w:rPr>
            </w:pPr>
            <w:r>
              <w:rPr>
                <w:rFonts w:hint="eastAsia" w:ascii="宋体" w:hAnsi="宋体"/>
                <w:sz w:val="24"/>
                <w:szCs w:val="24"/>
              </w:rPr>
              <w:t>支持缓存消重智能感知功能，提高内存利用率及访问响应；</w:t>
            </w:r>
          </w:p>
          <w:p w14:paraId="445BAE37">
            <w:pPr>
              <w:rPr>
                <w:rFonts w:ascii="宋体" w:hAnsi="宋体"/>
                <w:sz w:val="24"/>
                <w:szCs w:val="24"/>
              </w:rPr>
            </w:pPr>
            <w:r>
              <w:rPr>
                <w:rFonts w:hint="eastAsia" w:ascii="宋体" w:hAnsi="宋体"/>
                <w:sz w:val="24"/>
                <w:szCs w:val="24"/>
              </w:rPr>
              <w:t>重复数据删除功能可按需开启和关闭。</w:t>
            </w:r>
          </w:p>
        </w:tc>
      </w:tr>
      <w:tr w14:paraId="03688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shd w:val="clear" w:color="auto" w:fill="auto"/>
            <w:vAlign w:val="center"/>
          </w:tcPr>
          <w:p w14:paraId="2AD9F8BA">
            <w:pPr>
              <w:rPr>
                <w:rFonts w:ascii="宋体" w:hAnsi="宋体"/>
                <w:sz w:val="24"/>
                <w:szCs w:val="24"/>
              </w:rPr>
            </w:pPr>
            <w:r>
              <w:rPr>
                <w:rFonts w:hint="eastAsia" w:ascii="宋体" w:hAnsi="宋体"/>
                <w:sz w:val="24"/>
                <w:szCs w:val="24"/>
              </w:rPr>
              <w:t>数据压缩</w:t>
            </w:r>
          </w:p>
        </w:tc>
        <w:tc>
          <w:tcPr>
            <w:tcW w:w="6725" w:type="dxa"/>
            <w:shd w:val="clear" w:color="auto" w:fill="auto"/>
            <w:vAlign w:val="center"/>
          </w:tcPr>
          <w:p w14:paraId="17C41C03">
            <w:pPr>
              <w:rPr>
                <w:rFonts w:ascii="宋体" w:hAnsi="宋体"/>
                <w:sz w:val="24"/>
                <w:szCs w:val="24"/>
              </w:rPr>
            </w:pPr>
            <w:r>
              <w:rPr>
                <w:rFonts w:hint="eastAsia" w:ascii="宋体" w:hAnsi="宋体"/>
                <w:sz w:val="24"/>
                <w:szCs w:val="24"/>
              </w:rPr>
              <w:t>提供在线\线后数据压缩，要求支持SAN和NAS多种数据。</w:t>
            </w:r>
          </w:p>
        </w:tc>
      </w:tr>
      <w:tr w14:paraId="75732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shd w:val="clear" w:color="auto" w:fill="auto"/>
            <w:vAlign w:val="center"/>
          </w:tcPr>
          <w:p w14:paraId="436D5F92">
            <w:pPr>
              <w:rPr>
                <w:rFonts w:ascii="宋体" w:hAnsi="宋体"/>
                <w:sz w:val="24"/>
                <w:szCs w:val="24"/>
              </w:rPr>
            </w:pPr>
            <w:r>
              <w:rPr>
                <w:rFonts w:hint="eastAsia" w:ascii="宋体" w:hAnsi="宋体"/>
                <w:sz w:val="24"/>
                <w:szCs w:val="24"/>
              </w:rPr>
              <w:t>WORM文件级锁定</w:t>
            </w:r>
          </w:p>
        </w:tc>
        <w:tc>
          <w:tcPr>
            <w:tcW w:w="6725" w:type="dxa"/>
            <w:shd w:val="clear" w:color="auto" w:fill="auto"/>
            <w:vAlign w:val="center"/>
          </w:tcPr>
          <w:p w14:paraId="46DDCF95">
            <w:pPr>
              <w:rPr>
                <w:rFonts w:ascii="宋体" w:hAnsi="宋体"/>
                <w:sz w:val="24"/>
                <w:szCs w:val="24"/>
              </w:rPr>
            </w:pPr>
            <w:r>
              <w:rPr>
                <w:rFonts w:hint="eastAsia" w:ascii="宋体" w:hAnsi="宋体"/>
                <w:sz w:val="24"/>
                <w:szCs w:val="24"/>
              </w:rPr>
              <w:t>支持合规性和企业数据保留要求，支持数据一写多读功能。</w:t>
            </w:r>
          </w:p>
        </w:tc>
      </w:tr>
      <w:tr w14:paraId="511FF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shd w:val="clear" w:color="auto" w:fill="auto"/>
            <w:vAlign w:val="center"/>
          </w:tcPr>
          <w:p w14:paraId="2972A92E">
            <w:pPr>
              <w:rPr>
                <w:rFonts w:ascii="宋体" w:hAnsi="宋体"/>
                <w:sz w:val="24"/>
                <w:szCs w:val="24"/>
              </w:rPr>
            </w:pPr>
            <w:r>
              <w:rPr>
                <w:rFonts w:hint="eastAsia" w:ascii="宋体" w:hAnsi="宋体"/>
                <w:sz w:val="24"/>
                <w:szCs w:val="24"/>
              </w:rPr>
              <w:t>设备兼容性</w:t>
            </w:r>
          </w:p>
        </w:tc>
        <w:tc>
          <w:tcPr>
            <w:tcW w:w="6725" w:type="dxa"/>
            <w:shd w:val="clear" w:color="auto" w:fill="auto"/>
            <w:vAlign w:val="center"/>
          </w:tcPr>
          <w:p w14:paraId="384512CB">
            <w:pPr>
              <w:rPr>
                <w:rFonts w:ascii="宋体" w:hAnsi="宋体"/>
                <w:sz w:val="24"/>
                <w:szCs w:val="24"/>
              </w:rPr>
            </w:pPr>
            <w:r>
              <w:rPr>
                <w:rFonts w:hint="eastAsia" w:ascii="宋体" w:hAnsi="宋体"/>
                <w:sz w:val="24"/>
                <w:szCs w:val="24"/>
              </w:rPr>
              <w:t>支持Windows server、UNIX、LINUX、HP-UNIX、AIX、Solaris、VMware、Citrix、SuSE及Redhat等平台，支持多种高可用集群系统，并包含以上平台的多路径负载均衡软件。</w:t>
            </w:r>
          </w:p>
        </w:tc>
      </w:tr>
      <w:tr w14:paraId="7B729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shd w:val="clear" w:color="auto" w:fill="auto"/>
            <w:vAlign w:val="center"/>
          </w:tcPr>
          <w:p w14:paraId="091FBB89">
            <w:pPr>
              <w:rPr>
                <w:rFonts w:ascii="宋体" w:hAnsi="宋体"/>
                <w:sz w:val="24"/>
                <w:szCs w:val="24"/>
              </w:rPr>
            </w:pPr>
            <w:r>
              <w:rPr>
                <w:rFonts w:hint="eastAsia" w:ascii="宋体" w:hAnsi="宋体"/>
                <w:sz w:val="24"/>
                <w:szCs w:val="24"/>
              </w:rPr>
              <w:t>数据复制</w:t>
            </w:r>
          </w:p>
        </w:tc>
        <w:tc>
          <w:tcPr>
            <w:tcW w:w="6725" w:type="dxa"/>
            <w:shd w:val="clear" w:color="auto" w:fill="auto"/>
            <w:vAlign w:val="center"/>
          </w:tcPr>
          <w:p w14:paraId="08306868">
            <w:pPr>
              <w:rPr>
                <w:rFonts w:ascii="宋体" w:hAnsi="宋体"/>
                <w:sz w:val="24"/>
                <w:szCs w:val="24"/>
              </w:rPr>
            </w:pPr>
            <w:r>
              <w:rPr>
                <w:rFonts w:hint="eastAsia" w:ascii="宋体" w:hAnsi="宋体"/>
                <w:sz w:val="24"/>
                <w:szCs w:val="24"/>
              </w:rPr>
              <w:t>支持数据跨低端-中端-高端平台远程复制功能，用于不同型号、不同档次的存储设备之间进行数据复制。</w:t>
            </w:r>
          </w:p>
        </w:tc>
      </w:tr>
      <w:tr w14:paraId="556A6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shd w:val="clear" w:color="auto" w:fill="auto"/>
            <w:vAlign w:val="center"/>
          </w:tcPr>
          <w:p w14:paraId="1D37D411">
            <w:pPr>
              <w:rPr>
                <w:rFonts w:ascii="宋体" w:hAnsi="宋体"/>
                <w:sz w:val="24"/>
                <w:szCs w:val="24"/>
              </w:rPr>
            </w:pPr>
            <w:r>
              <w:rPr>
                <w:rFonts w:hint="eastAsia" w:ascii="宋体" w:hAnsi="宋体"/>
                <w:sz w:val="24"/>
                <w:szCs w:val="24"/>
              </w:rPr>
              <w:t>可管理性</w:t>
            </w:r>
          </w:p>
        </w:tc>
        <w:tc>
          <w:tcPr>
            <w:tcW w:w="6725" w:type="dxa"/>
            <w:shd w:val="clear" w:color="auto" w:fill="auto"/>
            <w:vAlign w:val="center"/>
          </w:tcPr>
          <w:p w14:paraId="117C407F">
            <w:pPr>
              <w:rPr>
                <w:rFonts w:ascii="宋体" w:hAnsi="宋体"/>
                <w:sz w:val="24"/>
                <w:szCs w:val="24"/>
              </w:rPr>
            </w:pPr>
            <w:r>
              <w:rPr>
                <w:rFonts w:hint="eastAsia" w:ascii="宋体" w:hAnsi="宋体"/>
                <w:sz w:val="24"/>
                <w:szCs w:val="24"/>
              </w:rPr>
              <w:t>配置存储系统管理软件进行集中管理；能够提供SNMP，Syslog运维接口；能通过WEB、控制台、GUI界面方式对磁盘阵列的各项指标进行管理、调整和监测；支持中文管理界面。</w:t>
            </w:r>
          </w:p>
        </w:tc>
      </w:tr>
      <w:tr w14:paraId="2E58E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shd w:val="clear" w:color="auto" w:fill="auto"/>
            <w:vAlign w:val="center"/>
          </w:tcPr>
          <w:p w14:paraId="0660491B">
            <w:pPr>
              <w:rPr>
                <w:rFonts w:ascii="宋体" w:hAnsi="宋体"/>
                <w:sz w:val="24"/>
                <w:szCs w:val="24"/>
              </w:rPr>
            </w:pPr>
            <w:r>
              <w:rPr>
                <w:rFonts w:hint="eastAsia" w:ascii="宋体" w:hAnsi="宋体"/>
                <w:sz w:val="24"/>
                <w:szCs w:val="24"/>
              </w:rPr>
              <w:t>可用性</w:t>
            </w:r>
          </w:p>
        </w:tc>
        <w:tc>
          <w:tcPr>
            <w:tcW w:w="6725" w:type="dxa"/>
            <w:shd w:val="clear" w:color="auto" w:fill="auto"/>
            <w:vAlign w:val="center"/>
          </w:tcPr>
          <w:p w14:paraId="65B4FB71">
            <w:pPr>
              <w:rPr>
                <w:rFonts w:ascii="宋体" w:hAnsi="宋体"/>
                <w:sz w:val="24"/>
                <w:szCs w:val="24"/>
              </w:rPr>
            </w:pPr>
            <w:r>
              <w:rPr>
                <w:rFonts w:hint="eastAsia" w:ascii="宋体" w:hAnsi="宋体"/>
                <w:sz w:val="24"/>
                <w:szCs w:val="24"/>
              </w:rPr>
              <w:t>配置冗余电源、冗余风扇、冗余控制器；必须支持在线可热插拔更换；</w:t>
            </w:r>
          </w:p>
          <w:p w14:paraId="06A8B630">
            <w:pPr>
              <w:rPr>
                <w:rFonts w:ascii="宋体" w:hAnsi="宋体"/>
                <w:sz w:val="24"/>
                <w:szCs w:val="24"/>
              </w:rPr>
            </w:pPr>
            <w:r>
              <w:rPr>
                <w:rFonts w:hint="eastAsia" w:ascii="宋体" w:hAnsi="宋体"/>
                <w:sz w:val="24"/>
                <w:szCs w:val="24"/>
              </w:rPr>
              <w:t>保证系统内无任何单点错误的隐患，提供可以证明本次投标存储设备高于99.9999%的证明文件。</w:t>
            </w:r>
          </w:p>
        </w:tc>
      </w:tr>
      <w:tr w14:paraId="23C60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shd w:val="clear" w:color="auto" w:fill="auto"/>
            <w:vAlign w:val="center"/>
          </w:tcPr>
          <w:p w14:paraId="61E28103">
            <w:pPr>
              <w:rPr>
                <w:rFonts w:ascii="宋体" w:hAnsi="宋体"/>
                <w:sz w:val="24"/>
                <w:szCs w:val="24"/>
              </w:rPr>
            </w:pPr>
            <w:r>
              <w:rPr>
                <w:rFonts w:hint="eastAsia" w:ascii="宋体" w:hAnsi="宋体"/>
                <w:sz w:val="24"/>
                <w:szCs w:val="24"/>
              </w:rPr>
              <w:t>存储系统管理软件功能要求</w:t>
            </w:r>
          </w:p>
        </w:tc>
        <w:tc>
          <w:tcPr>
            <w:tcW w:w="6725" w:type="dxa"/>
            <w:shd w:val="clear" w:color="auto" w:fill="auto"/>
            <w:vAlign w:val="center"/>
          </w:tcPr>
          <w:p w14:paraId="5193BA1A">
            <w:pPr>
              <w:rPr>
                <w:rFonts w:ascii="宋体" w:hAnsi="宋体"/>
                <w:sz w:val="24"/>
                <w:szCs w:val="24"/>
              </w:rPr>
            </w:pPr>
            <w:r>
              <w:rPr>
                <w:rFonts w:hint="eastAsia" w:ascii="宋体" w:hAnsi="宋体"/>
                <w:sz w:val="24"/>
                <w:szCs w:val="24"/>
              </w:rPr>
              <w:t>统一存储，原生支持FCP,iSCSI,CIFS,NFS,FCoE,pNFS协议，无需外部网关设备；支持不同型号存储节点组成统一集群；支持分布式卷；支持集群内数据跨节点任意迁移，不借助第三方软硬件，不中断应用；支持SAN和NAS数据的在线重复数据删除，且最小颗粒度≤4K，支持按需开启和关闭；支持SAN和NAS数据的在线压缩，支持按需开启和关闭；支持存储级QoS，可对文件、卷、LUN分别定义其最大IOPS和吞吐量。</w:t>
            </w:r>
          </w:p>
        </w:tc>
      </w:tr>
      <w:tr w14:paraId="30E08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shd w:val="clear" w:color="auto" w:fill="auto"/>
            <w:vAlign w:val="center"/>
          </w:tcPr>
          <w:p w14:paraId="5761203C">
            <w:pPr>
              <w:rPr>
                <w:rFonts w:ascii="宋体" w:hAnsi="宋体"/>
                <w:sz w:val="24"/>
                <w:szCs w:val="24"/>
              </w:rPr>
            </w:pPr>
            <w:r>
              <w:rPr>
                <w:rFonts w:hint="eastAsia" w:ascii="宋体" w:hAnsi="宋体"/>
                <w:sz w:val="24"/>
                <w:szCs w:val="24"/>
              </w:rPr>
              <w:t>售后服务</w:t>
            </w:r>
          </w:p>
        </w:tc>
        <w:tc>
          <w:tcPr>
            <w:tcW w:w="6725" w:type="dxa"/>
            <w:shd w:val="clear" w:color="auto" w:fill="auto"/>
            <w:vAlign w:val="center"/>
          </w:tcPr>
          <w:p w14:paraId="30D26F46">
            <w:pPr>
              <w:rPr>
                <w:rFonts w:ascii="宋体" w:hAnsi="宋体"/>
                <w:sz w:val="24"/>
                <w:szCs w:val="24"/>
              </w:rPr>
            </w:pPr>
            <w:r>
              <w:rPr>
                <w:rFonts w:hint="eastAsia" w:ascii="宋体" w:hAnsi="宋体"/>
                <w:sz w:val="24"/>
                <w:szCs w:val="24"/>
              </w:rPr>
              <w:t>提供5年7×24小时技术支持及上门服务。</w:t>
            </w:r>
          </w:p>
        </w:tc>
      </w:tr>
      <w:bookmarkEnd w:id="32"/>
    </w:tbl>
    <w:p w14:paraId="7D6A2C69">
      <w:pPr>
        <w:pStyle w:val="2"/>
        <w:ind w:firstLine="0"/>
        <w:rPr>
          <w:rFonts w:ascii="等线 Light" w:hAnsi="等线 Light"/>
          <w:b/>
          <w:bCs/>
          <w:sz w:val="30"/>
          <w:szCs w:val="32"/>
        </w:rPr>
      </w:pPr>
    </w:p>
    <w:p w14:paraId="1458E4EC">
      <w:pPr>
        <w:rPr>
          <w:rFonts w:ascii="等线 Light" w:hAnsi="等线 Light"/>
          <w:b/>
          <w:bCs/>
          <w:sz w:val="30"/>
          <w:szCs w:val="32"/>
        </w:rPr>
      </w:pPr>
    </w:p>
    <w:p w14:paraId="64266D03">
      <w:pPr>
        <w:pStyle w:val="2"/>
        <w:ind w:firstLine="0"/>
        <w:rPr>
          <w:rFonts w:ascii="等线 Light" w:hAnsi="等线 Light"/>
          <w:b/>
          <w:bCs/>
          <w:sz w:val="30"/>
          <w:szCs w:val="32"/>
        </w:rPr>
      </w:pPr>
    </w:p>
    <w:p w14:paraId="423AD1CD">
      <w:pPr>
        <w:rPr>
          <w:rFonts w:ascii="等线 Light" w:hAnsi="等线 Light"/>
          <w:b/>
          <w:bCs/>
          <w:sz w:val="30"/>
          <w:szCs w:val="32"/>
        </w:rPr>
      </w:pPr>
    </w:p>
    <w:p w14:paraId="2AA18621">
      <w:pPr>
        <w:pStyle w:val="2"/>
      </w:pPr>
    </w:p>
    <w:tbl>
      <w:tblPr>
        <w:tblStyle w:val="5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6928"/>
      </w:tblGrid>
      <w:tr w14:paraId="59DAB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shd w:val="clear" w:color="auto" w:fill="auto"/>
            <w:vAlign w:val="center"/>
          </w:tcPr>
          <w:p w14:paraId="67C2E393">
            <w:pPr>
              <w:keepNext/>
              <w:keepLines/>
              <w:spacing w:before="100" w:beforeAutospacing="1" w:after="100" w:afterAutospacing="1" w:line="278" w:lineRule="auto"/>
              <w:jc w:val="center"/>
              <w:outlineLvl w:val="1"/>
              <w:rPr>
                <w:rFonts w:ascii="等线" w:hAnsi="等线"/>
              </w:rPr>
            </w:pPr>
            <w:r>
              <w:rPr>
                <w:rFonts w:hint="eastAsia" w:ascii="等线 Light" w:hAnsi="等线 Light"/>
                <w:b/>
                <w:bCs/>
                <w:sz w:val="30"/>
                <w:szCs w:val="32"/>
              </w:rPr>
              <w:t>交换机</w:t>
            </w:r>
          </w:p>
        </w:tc>
      </w:tr>
      <w:tr w14:paraId="5C37F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4" w:type="dxa"/>
            <w:shd w:val="clear" w:color="auto" w:fill="auto"/>
            <w:vAlign w:val="center"/>
          </w:tcPr>
          <w:p w14:paraId="5EF62966">
            <w:pPr>
              <w:spacing w:after="160" w:line="278" w:lineRule="auto"/>
              <w:rPr>
                <w:rFonts w:ascii="等线" w:hAnsi="等线"/>
              </w:rPr>
            </w:pPr>
            <w:r>
              <w:rPr>
                <w:rFonts w:ascii="等线" w:hAnsi="等线"/>
              </w:rPr>
              <w:t>技术指标</w:t>
            </w:r>
          </w:p>
        </w:tc>
        <w:tc>
          <w:tcPr>
            <w:tcW w:w="6928" w:type="dxa"/>
            <w:shd w:val="clear" w:color="auto" w:fill="auto"/>
            <w:vAlign w:val="center"/>
          </w:tcPr>
          <w:p w14:paraId="0FA6E627">
            <w:pPr>
              <w:spacing w:after="160" w:line="278" w:lineRule="auto"/>
              <w:rPr>
                <w:rFonts w:ascii="等线" w:hAnsi="等线"/>
              </w:rPr>
            </w:pPr>
            <w:r>
              <w:rPr>
                <w:rFonts w:ascii="等线" w:hAnsi="等线"/>
              </w:rPr>
              <w:t>具体参数</w:t>
            </w:r>
          </w:p>
        </w:tc>
      </w:tr>
      <w:tr w14:paraId="356E0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4" w:type="dxa"/>
            <w:vMerge w:val="restart"/>
            <w:shd w:val="clear" w:color="auto" w:fill="auto"/>
            <w:vAlign w:val="center"/>
          </w:tcPr>
          <w:p w14:paraId="6DC07980">
            <w:pPr>
              <w:spacing w:after="160" w:line="278" w:lineRule="auto"/>
              <w:rPr>
                <w:rFonts w:ascii="等线" w:hAnsi="等线"/>
              </w:rPr>
            </w:pPr>
            <w:r>
              <w:rPr>
                <w:rFonts w:hint="eastAsia" w:ascii="等线" w:hAnsi="等线"/>
              </w:rPr>
              <w:t>▲硬件指标</w:t>
            </w:r>
          </w:p>
        </w:tc>
        <w:tc>
          <w:tcPr>
            <w:tcW w:w="6928" w:type="dxa"/>
            <w:shd w:val="clear" w:color="auto" w:fill="auto"/>
            <w:vAlign w:val="center"/>
          </w:tcPr>
          <w:p w14:paraId="5A95F6EB">
            <w:pPr>
              <w:spacing w:after="160" w:line="278" w:lineRule="auto"/>
              <w:rPr>
                <w:rFonts w:ascii="等线" w:hAnsi="等线"/>
              </w:rPr>
            </w:pPr>
            <w:r>
              <w:rPr>
                <w:rFonts w:hint="eastAsia" w:ascii="等线" w:hAnsi="等线"/>
              </w:rPr>
              <w:t>支持并实配25Gb接口数≥48，100bG接口数量≥8</w:t>
            </w:r>
          </w:p>
        </w:tc>
      </w:tr>
      <w:tr w14:paraId="25D1E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4" w:type="dxa"/>
            <w:vMerge w:val="continue"/>
            <w:shd w:val="clear" w:color="auto" w:fill="auto"/>
            <w:vAlign w:val="center"/>
          </w:tcPr>
          <w:p w14:paraId="6BB4B3D8">
            <w:pPr>
              <w:spacing w:after="160" w:line="278" w:lineRule="auto"/>
              <w:rPr>
                <w:rFonts w:ascii="等线" w:hAnsi="等线"/>
              </w:rPr>
            </w:pPr>
          </w:p>
        </w:tc>
        <w:tc>
          <w:tcPr>
            <w:tcW w:w="6928" w:type="dxa"/>
            <w:shd w:val="clear" w:color="auto" w:fill="auto"/>
            <w:vAlign w:val="center"/>
          </w:tcPr>
          <w:p w14:paraId="09F6C082">
            <w:pPr>
              <w:spacing w:after="160" w:line="278" w:lineRule="auto"/>
              <w:rPr>
                <w:rFonts w:ascii="等线" w:hAnsi="等线"/>
              </w:rPr>
            </w:pPr>
            <w:r>
              <w:rPr>
                <w:rFonts w:hint="eastAsia" w:ascii="等线" w:hAnsi="等线"/>
              </w:rPr>
              <w:t>交换容量≥</w:t>
            </w:r>
            <w:r>
              <w:rPr>
                <w:rFonts w:ascii="等线" w:hAnsi="等线"/>
              </w:rPr>
              <w:t>4.8Tbps/96Tbps</w:t>
            </w:r>
            <w:r>
              <w:rPr>
                <w:rFonts w:hint="eastAsia" w:ascii="等线" w:hAnsi="等线"/>
              </w:rPr>
              <w:t>。</w:t>
            </w:r>
          </w:p>
        </w:tc>
      </w:tr>
      <w:tr w14:paraId="2FE09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4" w:type="dxa"/>
            <w:vMerge w:val="continue"/>
            <w:shd w:val="clear" w:color="auto" w:fill="auto"/>
            <w:vAlign w:val="center"/>
          </w:tcPr>
          <w:p w14:paraId="76942715">
            <w:pPr>
              <w:spacing w:after="160" w:line="278" w:lineRule="auto"/>
              <w:rPr>
                <w:rFonts w:ascii="等线" w:hAnsi="等线"/>
              </w:rPr>
            </w:pPr>
          </w:p>
        </w:tc>
        <w:tc>
          <w:tcPr>
            <w:tcW w:w="6928" w:type="dxa"/>
            <w:shd w:val="clear" w:color="auto" w:fill="auto"/>
            <w:vAlign w:val="center"/>
          </w:tcPr>
          <w:p w14:paraId="109E231B">
            <w:pPr>
              <w:spacing w:after="160" w:line="278" w:lineRule="auto"/>
              <w:rPr>
                <w:rFonts w:ascii="等线" w:hAnsi="等线"/>
              </w:rPr>
            </w:pPr>
            <w:r>
              <w:rPr>
                <w:rFonts w:hint="eastAsia" w:ascii="等线" w:hAnsi="等线"/>
              </w:rPr>
              <w:t>包转发率≥</w:t>
            </w:r>
            <w:r>
              <w:rPr>
                <w:rFonts w:ascii="等线" w:hAnsi="等线"/>
              </w:rPr>
              <w:t>2000Mpps</w:t>
            </w:r>
            <w:r>
              <w:rPr>
                <w:rFonts w:hint="eastAsia" w:ascii="等线" w:hAnsi="等线"/>
              </w:rPr>
              <w:t>。</w:t>
            </w:r>
          </w:p>
        </w:tc>
      </w:tr>
      <w:tr w14:paraId="2AFD9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4" w:type="dxa"/>
            <w:shd w:val="clear" w:color="auto" w:fill="auto"/>
            <w:vAlign w:val="center"/>
          </w:tcPr>
          <w:p w14:paraId="4FA1115E">
            <w:pPr>
              <w:spacing w:after="160" w:line="278" w:lineRule="auto"/>
              <w:rPr>
                <w:rFonts w:ascii="等线" w:hAnsi="等线"/>
              </w:rPr>
            </w:pPr>
            <w:r>
              <w:rPr>
                <w:rFonts w:hint="eastAsia" w:ascii="等线" w:hAnsi="等线"/>
              </w:rPr>
              <w:t>售后服务</w:t>
            </w:r>
          </w:p>
        </w:tc>
        <w:tc>
          <w:tcPr>
            <w:tcW w:w="6928" w:type="dxa"/>
            <w:shd w:val="clear" w:color="auto" w:fill="auto"/>
            <w:vAlign w:val="center"/>
          </w:tcPr>
          <w:p w14:paraId="2DD39E95">
            <w:pPr>
              <w:spacing w:after="160" w:line="278" w:lineRule="auto"/>
              <w:rPr>
                <w:rFonts w:ascii="等线" w:hAnsi="等线"/>
              </w:rPr>
            </w:pPr>
            <w:r>
              <w:rPr>
                <w:rFonts w:hint="eastAsia" w:ascii="等线" w:hAnsi="等线"/>
              </w:rPr>
              <w:t>提供</w:t>
            </w:r>
            <w:r>
              <w:rPr>
                <w:rFonts w:ascii="等线" w:hAnsi="等线"/>
              </w:rPr>
              <w:t>5</w:t>
            </w:r>
            <w:r>
              <w:rPr>
                <w:rFonts w:hint="eastAsia" w:ascii="等线" w:hAnsi="等线"/>
              </w:rPr>
              <w:t>年7×</w:t>
            </w:r>
            <w:r>
              <w:rPr>
                <w:rFonts w:ascii="等线" w:hAnsi="等线"/>
              </w:rPr>
              <w:t>24</w:t>
            </w:r>
            <w:r>
              <w:rPr>
                <w:rFonts w:hint="eastAsia" w:ascii="等线" w:hAnsi="等线"/>
              </w:rPr>
              <w:t>小时技术支持及上门服务。</w:t>
            </w:r>
          </w:p>
        </w:tc>
      </w:tr>
    </w:tbl>
    <w:p w14:paraId="57660DB7">
      <w:pPr>
        <w:rPr>
          <w:rFonts w:ascii="宋体" w:hAnsi="等线"/>
          <w:sz w:val="24"/>
        </w:rPr>
      </w:pPr>
    </w:p>
    <w:p w14:paraId="4EC8147D">
      <w:pPr>
        <w:pStyle w:val="2"/>
        <w:rPr>
          <w:rFonts w:ascii="宋体" w:hAnsi="等线"/>
          <w:sz w:val="24"/>
        </w:rPr>
      </w:pPr>
    </w:p>
    <w:p w14:paraId="0B10033E">
      <w:pPr>
        <w:rPr>
          <w:rFonts w:ascii="宋体" w:hAnsi="等线"/>
          <w:sz w:val="24"/>
        </w:rPr>
      </w:pPr>
    </w:p>
    <w:p w14:paraId="09606ABE">
      <w:pPr>
        <w:pStyle w:val="2"/>
        <w:rPr>
          <w:rFonts w:ascii="宋体" w:hAnsi="等线"/>
          <w:sz w:val="24"/>
        </w:rPr>
      </w:pPr>
    </w:p>
    <w:p w14:paraId="4A360C2C"/>
    <w:tbl>
      <w:tblPr>
        <w:tblStyle w:val="59"/>
        <w:tblW w:w="85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1"/>
        <w:gridCol w:w="7014"/>
      </w:tblGrid>
      <w:tr w14:paraId="14307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5" w:type="dxa"/>
            <w:gridSpan w:val="2"/>
            <w:vAlign w:val="center"/>
          </w:tcPr>
          <w:p w14:paraId="283EFB0B">
            <w:pPr>
              <w:keepNext/>
              <w:keepLines/>
              <w:spacing w:before="100" w:beforeAutospacing="1" w:after="100" w:afterAutospacing="1" w:line="278" w:lineRule="auto"/>
              <w:jc w:val="center"/>
              <w:outlineLvl w:val="1"/>
              <w:rPr>
                <w:rFonts w:ascii="等线" w:hAnsi="等线"/>
              </w:rPr>
            </w:pPr>
            <w:bookmarkStart w:id="33" w:name="_Hlk170736583"/>
            <w:r>
              <w:rPr>
                <w:rFonts w:hint="eastAsia" w:ascii="等线 Light" w:hAnsi="等线 Light"/>
                <w:b/>
                <w:bCs/>
                <w:sz w:val="30"/>
                <w:szCs w:val="32"/>
              </w:rPr>
              <w:t>其他服务</w:t>
            </w:r>
          </w:p>
        </w:tc>
      </w:tr>
      <w:tr w14:paraId="3D2B0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11" w:type="dxa"/>
            <w:vAlign w:val="center"/>
          </w:tcPr>
          <w:p w14:paraId="07603F17">
            <w:pPr>
              <w:spacing w:after="160" w:line="278" w:lineRule="auto"/>
              <w:rPr>
                <w:rFonts w:ascii="等线" w:hAnsi="等线"/>
              </w:rPr>
            </w:pPr>
            <w:r>
              <w:rPr>
                <w:rFonts w:ascii="等线" w:hAnsi="等线"/>
              </w:rPr>
              <w:t>技术指标</w:t>
            </w:r>
          </w:p>
        </w:tc>
        <w:tc>
          <w:tcPr>
            <w:tcW w:w="7014" w:type="dxa"/>
            <w:vAlign w:val="center"/>
          </w:tcPr>
          <w:p w14:paraId="313208B4">
            <w:pPr>
              <w:spacing w:after="160" w:line="278" w:lineRule="auto"/>
              <w:rPr>
                <w:rFonts w:ascii="等线" w:hAnsi="等线"/>
              </w:rPr>
            </w:pPr>
            <w:r>
              <w:rPr>
                <w:rFonts w:ascii="等线" w:hAnsi="等线"/>
              </w:rPr>
              <w:t>具体参数</w:t>
            </w:r>
          </w:p>
        </w:tc>
      </w:tr>
      <w:tr w14:paraId="1F206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11" w:type="dxa"/>
            <w:vAlign w:val="center"/>
          </w:tcPr>
          <w:p w14:paraId="09D51922">
            <w:pPr>
              <w:spacing w:after="160" w:line="278" w:lineRule="auto"/>
              <w:rPr>
                <w:rFonts w:ascii="等线" w:hAnsi="等线"/>
              </w:rPr>
            </w:pPr>
            <w:r>
              <w:rPr>
                <w:rFonts w:hint="eastAsia" w:ascii="等线" w:hAnsi="等线"/>
              </w:rPr>
              <w:t>安装调试服务</w:t>
            </w:r>
          </w:p>
        </w:tc>
        <w:tc>
          <w:tcPr>
            <w:tcW w:w="7014" w:type="dxa"/>
            <w:vAlign w:val="center"/>
          </w:tcPr>
          <w:p w14:paraId="1218C843">
            <w:pPr>
              <w:spacing w:after="160" w:line="278" w:lineRule="auto"/>
              <w:rPr>
                <w:rFonts w:ascii="等线" w:hAnsi="等线"/>
              </w:rPr>
            </w:pPr>
            <w:r>
              <w:rPr>
                <w:rFonts w:hint="eastAsia" w:ascii="等线" w:hAnsi="等线"/>
              </w:rPr>
              <w:t>根据现场情况完成所有设备安装及调试。整套系统交付。提供所有说明书及交付文档。</w:t>
            </w:r>
          </w:p>
        </w:tc>
      </w:tr>
      <w:tr w14:paraId="68FE8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11" w:type="dxa"/>
            <w:vAlign w:val="center"/>
          </w:tcPr>
          <w:p w14:paraId="7FCDE955">
            <w:pPr>
              <w:spacing w:after="160" w:line="278" w:lineRule="auto"/>
              <w:rPr>
                <w:rFonts w:ascii="等线" w:hAnsi="等线"/>
              </w:rPr>
            </w:pPr>
            <w:r>
              <w:rPr>
                <w:rFonts w:hint="eastAsia" w:ascii="等线" w:hAnsi="等线"/>
              </w:rPr>
              <w:t>技术支持服务</w:t>
            </w:r>
          </w:p>
        </w:tc>
        <w:tc>
          <w:tcPr>
            <w:tcW w:w="7014" w:type="dxa"/>
            <w:vAlign w:val="center"/>
          </w:tcPr>
          <w:p w14:paraId="07516D5F">
            <w:pPr>
              <w:spacing w:after="160" w:line="278" w:lineRule="auto"/>
              <w:rPr>
                <w:rFonts w:ascii="等线" w:hAnsi="等线"/>
              </w:rPr>
            </w:pPr>
            <w:r>
              <w:rPr>
                <w:rFonts w:hint="eastAsia" w:ascii="等线" w:hAnsi="等线"/>
              </w:rPr>
              <w:t>提供整个项目从验收交付起5年技术支持服务。服务内容包含软硬件联调、远程或现场服务、设备运行状况巡检、硬件保修服务、备品备件服务、软件调试与升级服务，升级建议服务等。</w:t>
            </w:r>
          </w:p>
        </w:tc>
      </w:tr>
      <w:bookmarkEnd w:id="33"/>
      <w:tr w14:paraId="1423A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11" w:type="dxa"/>
            <w:vAlign w:val="center"/>
          </w:tcPr>
          <w:p w14:paraId="609DE620">
            <w:pPr>
              <w:spacing w:after="160" w:line="278" w:lineRule="auto"/>
              <w:rPr>
                <w:rFonts w:ascii="等线" w:hAnsi="等线"/>
              </w:rPr>
            </w:pPr>
            <w:r>
              <w:rPr>
                <w:rFonts w:hint="eastAsia" w:ascii="等线" w:hAnsi="等线"/>
              </w:rPr>
              <w:t>数据迁移服务</w:t>
            </w:r>
          </w:p>
        </w:tc>
        <w:tc>
          <w:tcPr>
            <w:tcW w:w="7014" w:type="dxa"/>
            <w:vAlign w:val="center"/>
          </w:tcPr>
          <w:p w14:paraId="55350F20">
            <w:pPr>
              <w:spacing w:after="160" w:line="278" w:lineRule="auto"/>
              <w:rPr>
                <w:rFonts w:ascii="等线" w:hAnsi="等线"/>
              </w:rPr>
            </w:pPr>
            <w:r>
              <w:rPr>
                <w:rFonts w:hint="eastAsia" w:ascii="等线" w:hAnsi="等线"/>
              </w:rPr>
              <w:t>将原有业务系统的数据从原有硬件设备系统中迁移至新购系统，并确保业务的连续性。迁移对象主要包括数据库系统、文件、服务等。</w:t>
            </w:r>
          </w:p>
          <w:p w14:paraId="188EE913">
            <w:pPr>
              <w:spacing w:after="160" w:line="278" w:lineRule="auto"/>
              <w:rPr>
                <w:rFonts w:ascii="等线" w:hAnsi="等线"/>
              </w:rPr>
            </w:pPr>
            <w:r>
              <w:rPr>
                <w:rFonts w:hint="eastAsia" w:ascii="等线" w:hAnsi="等线"/>
              </w:rPr>
              <w:t>根据用户业务系统的特点，提供迁移实施方案和迁移后的验证方案，确保数据完整性。</w:t>
            </w:r>
          </w:p>
          <w:p w14:paraId="7234B6CC">
            <w:pPr>
              <w:spacing w:after="160" w:line="278" w:lineRule="auto"/>
              <w:rPr>
                <w:rFonts w:ascii="等线" w:hAnsi="等线"/>
              </w:rPr>
            </w:pPr>
            <w:r>
              <w:rPr>
                <w:rFonts w:hint="eastAsia" w:ascii="等线" w:hAnsi="等线"/>
              </w:rPr>
              <w:t>根据用户当前的使用情况，提供合理的优化方案。</w:t>
            </w:r>
          </w:p>
          <w:p w14:paraId="6EC85980">
            <w:pPr>
              <w:spacing w:after="160" w:line="278" w:lineRule="auto"/>
              <w:rPr>
                <w:rFonts w:ascii="等线" w:hAnsi="等线"/>
              </w:rPr>
            </w:pPr>
            <w:r>
              <w:rPr>
                <w:rFonts w:hint="eastAsia" w:ascii="等线" w:hAnsi="等线"/>
              </w:rPr>
              <w:t>图书馆服务器待迁移列表：</w:t>
            </w:r>
          </w:p>
          <w:tbl>
            <w:tblPr>
              <w:tblStyle w:val="60"/>
              <w:tblW w:w="6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3"/>
              <w:gridCol w:w="1224"/>
              <w:gridCol w:w="1559"/>
              <w:gridCol w:w="1843"/>
            </w:tblGrid>
            <w:tr w14:paraId="27EC9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13" w:type="dxa"/>
                  <w:noWrap/>
                  <w:vAlign w:val="center"/>
                </w:tcPr>
                <w:p w14:paraId="6ED83545">
                  <w:pPr>
                    <w:spacing w:after="160" w:line="278" w:lineRule="auto"/>
                    <w:rPr>
                      <w:rFonts w:ascii="等线" w:hAnsi="等线"/>
                    </w:rPr>
                  </w:pPr>
                  <w:r>
                    <w:rPr>
                      <w:rFonts w:hint="eastAsia" w:ascii="等线" w:hAnsi="等线"/>
                    </w:rPr>
                    <w:t>当前虚拟服务器</w:t>
                  </w:r>
                </w:p>
              </w:tc>
              <w:tc>
                <w:tcPr>
                  <w:tcW w:w="1224" w:type="dxa"/>
                  <w:noWrap/>
                  <w:vAlign w:val="center"/>
                </w:tcPr>
                <w:p w14:paraId="567658E5">
                  <w:pPr>
                    <w:spacing w:after="160" w:line="278" w:lineRule="auto"/>
                    <w:rPr>
                      <w:rFonts w:ascii="等线" w:hAnsi="等线"/>
                    </w:rPr>
                  </w:pPr>
                  <w:r>
                    <w:rPr>
                      <w:rFonts w:hint="eastAsia" w:ascii="等线" w:hAnsi="等线"/>
                    </w:rPr>
                    <w:t>当前系统</w:t>
                  </w:r>
                </w:p>
              </w:tc>
              <w:tc>
                <w:tcPr>
                  <w:tcW w:w="1559" w:type="dxa"/>
                  <w:noWrap/>
                  <w:vAlign w:val="center"/>
                </w:tcPr>
                <w:p w14:paraId="0C1B0BAF">
                  <w:pPr>
                    <w:spacing w:after="160" w:line="278" w:lineRule="auto"/>
                    <w:rPr>
                      <w:rFonts w:ascii="等线" w:hAnsi="等线"/>
                    </w:rPr>
                  </w:pPr>
                  <w:r>
                    <w:rPr>
                      <w:rFonts w:hint="eastAsia" w:ascii="等线" w:hAnsi="等线"/>
                    </w:rPr>
                    <w:t>当前配置</w:t>
                  </w:r>
                </w:p>
              </w:tc>
              <w:tc>
                <w:tcPr>
                  <w:tcW w:w="1843" w:type="dxa"/>
                  <w:noWrap/>
                  <w:vAlign w:val="center"/>
                </w:tcPr>
                <w:p w14:paraId="1B0EA23F">
                  <w:pPr>
                    <w:spacing w:after="160" w:line="278" w:lineRule="auto"/>
                    <w:rPr>
                      <w:rFonts w:ascii="等线" w:hAnsi="等线"/>
                    </w:rPr>
                  </w:pPr>
                  <w:r>
                    <w:rPr>
                      <w:rFonts w:hint="eastAsia" w:ascii="等线" w:hAnsi="等线"/>
                    </w:rPr>
                    <w:t>预留空间（T）</w:t>
                  </w:r>
                </w:p>
              </w:tc>
            </w:tr>
            <w:tr w14:paraId="6F821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13" w:type="dxa"/>
                  <w:noWrap/>
                  <w:vAlign w:val="center"/>
                </w:tcPr>
                <w:p w14:paraId="31239D1A">
                  <w:pPr>
                    <w:spacing w:after="160" w:line="278" w:lineRule="auto"/>
                    <w:rPr>
                      <w:rFonts w:ascii="等线" w:hAnsi="等线"/>
                    </w:rPr>
                  </w:pPr>
                  <w:r>
                    <w:rPr>
                      <w:rFonts w:hint="eastAsia" w:ascii="等线" w:hAnsi="等线"/>
                    </w:rPr>
                    <w:t>Lib-*MicroMsg</w:t>
                  </w:r>
                </w:p>
              </w:tc>
              <w:tc>
                <w:tcPr>
                  <w:tcW w:w="1224" w:type="dxa"/>
                  <w:noWrap/>
                  <w:vAlign w:val="center"/>
                </w:tcPr>
                <w:p w14:paraId="7408BE4F">
                  <w:pPr>
                    <w:spacing w:after="160" w:line="278" w:lineRule="auto"/>
                    <w:rPr>
                      <w:rFonts w:ascii="等线" w:hAnsi="等线"/>
                    </w:rPr>
                  </w:pPr>
                  <w:r>
                    <w:rPr>
                      <w:rFonts w:hint="eastAsia" w:ascii="等线" w:hAnsi="等线"/>
                    </w:rPr>
                    <w:t>2008 R2</w:t>
                  </w:r>
                </w:p>
              </w:tc>
              <w:tc>
                <w:tcPr>
                  <w:tcW w:w="1559" w:type="dxa"/>
                  <w:noWrap/>
                  <w:vAlign w:val="center"/>
                </w:tcPr>
                <w:p w14:paraId="6692932E">
                  <w:pPr>
                    <w:spacing w:after="160" w:line="278" w:lineRule="auto"/>
                    <w:rPr>
                      <w:rFonts w:ascii="等线" w:hAnsi="等线"/>
                    </w:rPr>
                  </w:pPr>
                  <w:r>
                    <w:rPr>
                      <w:rFonts w:hint="eastAsia" w:ascii="等线" w:hAnsi="等线"/>
                    </w:rPr>
                    <w:t>8 vCPU 16G</w:t>
                  </w:r>
                </w:p>
              </w:tc>
              <w:tc>
                <w:tcPr>
                  <w:tcW w:w="1843" w:type="dxa"/>
                  <w:noWrap/>
                  <w:vAlign w:val="center"/>
                </w:tcPr>
                <w:p w14:paraId="7B4E6E14">
                  <w:pPr>
                    <w:spacing w:after="160" w:line="278" w:lineRule="auto"/>
                    <w:rPr>
                      <w:rFonts w:ascii="等线" w:hAnsi="等线"/>
                    </w:rPr>
                  </w:pPr>
                  <w:r>
                    <w:rPr>
                      <w:rFonts w:hint="eastAsia" w:ascii="等线" w:hAnsi="等线"/>
                    </w:rPr>
                    <w:t>0.5</w:t>
                  </w:r>
                </w:p>
              </w:tc>
            </w:tr>
            <w:tr w14:paraId="182D7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13" w:type="dxa"/>
                  <w:noWrap/>
                  <w:vAlign w:val="center"/>
                </w:tcPr>
                <w:p w14:paraId="4632D637">
                  <w:pPr>
                    <w:spacing w:after="160" w:line="278" w:lineRule="auto"/>
                    <w:rPr>
                      <w:rFonts w:ascii="等线" w:hAnsi="等线"/>
                    </w:rPr>
                  </w:pPr>
                  <w:r>
                    <w:rPr>
                      <w:rFonts w:hint="eastAsia" w:ascii="等线" w:hAnsi="等线"/>
                    </w:rPr>
                    <w:t>Lib-*MobileLib</w:t>
                  </w:r>
                </w:p>
              </w:tc>
              <w:tc>
                <w:tcPr>
                  <w:tcW w:w="1224" w:type="dxa"/>
                  <w:noWrap/>
                  <w:vAlign w:val="center"/>
                </w:tcPr>
                <w:p w14:paraId="3EE0C23C">
                  <w:pPr>
                    <w:spacing w:after="160" w:line="278" w:lineRule="auto"/>
                    <w:rPr>
                      <w:rFonts w:ascii="等线" w:hAnsi="等线"/>
                    </w:rPr>
                  </w:pPr>
                  <w:r>
                    <w:rPr>
                      <w:rFonts w:hint="eastAsia" w:ascii="等线" w:hAnsi="等线"/>
                    </w:rPr>
                    <w:t>2003 R2</w:t>
                  </w:r>
                </w:p>
              </w:tc>
              <w:tc>
                <w:tcPr>
                  <w:tcW w:w="1559" w:type="dxa"/>
                  <w:noWrap/>
                  <w:vAlign w:val="center"/>
                </w:tcPr>
                <w:p w14:paraId="7E49ED87">
                  <w:pPr>
                    <w:spacing w:after="160" w:line="278" w:lineRule="auto"/>
                    <w:rPr>
                      <w:rFonts w:ascii="等线" w:hAnsi="等线"/>
                    </w:rPr>
                  </w:pPr>
                  <w:r>
                    <w:rPr>
                      <w:rFonts w:hint="eastAsia" w:ascii="等线" w:hAnsi="等线"/>
                    </w:rPr>
                    <w:t>4 vCPU 8G</w:t>
                  </w:r>
                </w:p>
              </w:tc>
              <w:tc>
                <w:tcPr>
                  <w:tcW w:w="1843" w:type="dxa"/>
                  <w:noWrap/>
                  <w:vAlign w:val="center"/>
                </w:tcPr>
                <w:p w14:paraId="4943C0DF">
                  <w:pPr>
                    <w:spacing w:after="160" w:line="278" w:lineRule="auto"/>
                    <w:rPr>
                      <w:rFonts w:ascii="等线" w:hAnsi="等线"/>
                    </w:rPr>
                  </w:pPr>
                  <w:r>
                    <w:rPr>
                      <w:rFonts w:hint="eastAsia" w:ascii="等线" w:hAnsi="等线"/>
                    </w:rPr>
                    <w:t>0.5</w:t>
                  </w:r>
                </w:p>
              </w:tc>
            </w:tr>
            <w:tr w14:paraId="0404E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13" w:type="dxa"/>
                  <w:noWrap/>
                  <w:vAlign w:val="center"/>
                </w:tcPr>
                <w:p w14:paraId="481C4289">
                  <w:pPr>
                    <w:spacing w:after="160" w:line="278" w:lineRule="auto"/>
                    <w:rPr>
                      <w:rFonts w:ascii="等线" w:hAnsi="等线"/>
                    </w:rPr>
                  </w:pPr>
                  <w:r>
                    <w:rPr>
                      <w:rFonts w:hint="eastAsia" w:ascii="等线" w:hAnsi="等线"/>
                    </w:rPr>
                    <w:t>Lib-*newOPAC181113</w:t>
                  </w:r>
                </w:p>
              </w:tc>
              <w:tc>
                <w:tcPr>
                  <w:tcW w:w="1224" w:type="dxa"/>
                  <w:noWrap/>
                  <w:vAlign w:val="center"/>
                </w:tcPr>
                <w:p w14:paraId="1F49ED40">
                  <w:pPr>
                    <w:spacing w:after="160" w:line="278" w:lineRule="auto"/>
                    <w:rPr>
                      <w:rFonts w:ascii="等线" w:hAnsi="等线"/>
                    </w:rPr>
                  </w:pPr>
                  <w:r>
                    <w:rPr>
                      <w:rFonts w:hint="eastAsia" w:ascii="等线" w:hAnsi="等线"/>
                    </w:rPr>
                    <w:t>2008 R2</w:t>
                  </w:r>
                </w:p>
              </w:tc>
              <w:tc>
                <w:tcPr>
                  <w:tcW w:w="1559" w:type="dxa"/>
                  <w:noWrap/>
                  <w:vAlign w:val="center"/>
                </w:tcPr>
                <w:p w14:paraId="61C4F525">
                  <w:pPr>
                    <w:spacing w:after="160" w:line="278" w:lineRule="auto"/>
                    <w:rPr>
                      <w:rFonts w:ascii="等线" w:hAnsi="等线"/>
                    </w:rPr>
                  </w:pPr>
                  <w:r>
                    <w:rPr>
                      <w:rFonts w:hint="eastAsia" w:ascii="等线" w:hAnsi="等线"/>
                    </w:rPr>
                    <w:t>4 vCPU 8G</w:t>
                  </w:r>
                </w:p>
              </w:tc>
              <w:tc>
                <w:tcPr>
                  <w:tcW w:w="1843" w:type="dxa"/>
                  <w:noWrap/>
                  <w:vAlign w:val="center"/>
                </w:tcPr>
                <w:p w14:paraId="0B785923">
                  <w:pPr>
                    <w:spacing w:after="160" w:line="278" w:lineRule="auto"/>
                    <w:rPr>
                      <w:rFonts w:ascii="等线" w:hAnsi="等线"/>
                    </w:rPr>
                  </w:pPr>
                  <w:r>
                    <w:rPr>
                      <w:rFonts w:hint="eastAsia" w:ascii="等线" w:hAnsi="等线"/>
                    </w:rPr>
                    <w:t>0.5</w:t>
                  </w:r>
                </w:p>
              </w:tc>
            </w:tr>
            <w:tr w14:paraId="369DB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13" w:type="dxa"/>
                  <w:noWrap/>
                  <w:vAlign w:val="center"/>
                </w:tcPr>
                <w:p w14:paraId="2AAC805E">
                  <w:pPr>
                    <w:spacing w:after="160" w:line="278" w:lineRule="auto"/>
                    <w:rPr>
                      <w:rFonts w:ascii="等线" w:hAnsi="等线"/>
                    </w:rPr>
                  </w:pPr>
                  <w:r>
                    <w:rPr>
                      <w:rFonts w:hint="eastAsia" w:ascii="等线" w:hAnsi="等线"/>
                    </w:rPr>
                    <w:t>Lib-*NewTTDB</w:t>
                  </w:r>
                </w:p>
              </w:tc>
              <w:tc>
                <w:tcPr>
                  <w:tcW w:w="1224" w:type="dxa"/>
                  <w:noWrap/>
                  <w:vAlign w:val="center"/>
                </w:tcPr>
                <w:p w14:paraId="3C3EEDDC">
                  <w:pPr>
                    <w:spacing w:after="160" w:line="278" w:lineRule="auto"/>
                    <w:rPr>
                      <w:rFonts w:ascii="等线" w:hAnsi="等线"/>
                    </w:rPr>
                  </w:pPr>
                  <w:r>
                    <w:rPr>
                      <w:rFonts w:hint="eastAsia" w:ascii="等线" w:hAnsi="等线"/>
                    </w:rPr>
                    <w:t>2003 R2</w:t>
                  </w:r>
                </w:p>
              </w:tc>
              <w:tc>
                <w:tcPr>
                  <w:tcW w:w="1559" w:type="dxa"/>
                  <w:noWrap/>
                  <w:vAlign w:val="center"/>
                </w:tcPr>
                <w:p w14:paraId="3A0375A8">
                  <w:pPr>
                    <w:spacing w:after="160" w:line="278" w:lineRule="auto"/>
                    <w:rPr>
                      <w:rFonts w:ascii="等线" w:hAnsi="等线"/>
                    </w:rPr>
                  </w:pPr>
                  <w:r>
                    <w:rPr>
                      <w:rFonts w:hint="eastAsia" w:ascii="等线" w:hAnsi="等线"/>
                    </w:rPr>
                    <w:t>8 vCPU 8G</w:t>
                  </w:r>
                </w:p>
              </w:tc>
              <w:tc>
                <w:tcPr>
                  <w:tcW w:w="1843" w:type="dxa"/>
                  <w:noWrap/>
                  <w:vAlign w:val="center"/>
                </w:tcPr>
                <w:p w14:paraId="70046EAD">
                  <w:pPr>
                    <w:spacing w:after="160" w:line="278" w:lineRule="auto"/>
                    <w:rPr>
                      <w:rFonts w:ascii="等线" w:hAnsi="等线"/>
                    </w:rPr>
                  </w:pPr>
                  <w:r>
                    <w:rPr>
                      <w:rFonts w:hint="eastAsia" w:ascii="等线" w:hAnsi="等线"/>
                    </w:rPr>
                    <w:t>1</w:t>
                  </w:r>
                </w:p>
              </w:tc>
            </w:tr>
            <w:tr w14:paraId="3F31C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13" w:type="dxa"/>
                  <w:noWrap/>
                  <w:vAlign w:val="center"/>
                </w:tcPr>
                <w:p w14:paraId="09983E9F">
                  <w:pPr>
                    <w:spacing w:after="160" w:line="278" w:lineRule="auto"/>
                    <w:rPr>
                      <w:rFonts w:ascii="等线" w:hAnsi="等线"/>
                    </w:rPr>
                  </w:pPr>
                  <w:r>
                    <w:rPr>
                      <w:rFonts w:hint="eastAsia" w:ascii="等线" w:hAnsi="等线"/>
                    </w:rPr>
                    <w:t>Lib-Bks</w:t>
                  </w:r>
                </w:p>
              </w:tc>
              <w:tc>
                <w:tcPr>
                  <w:tcW w:w="1224" w:type="dxa"/>
                  <w:noWrap/>
                  <w:vAlign w:val="center"/>
                </w:tcPr>
                <w:p w14:paraId="46078414">
                  <w:pPr>
                    <w:spacing w:after="160" w:line="278" w:lineRule="auto"/>
                    <w:rPr>
                      <w:rFonts w:ascii="等线" w:hAnsi="等线"/>
                    </w:rPr>
                  </w:pPr>
                  <w:r>
                    <w:rPr>
                      <w:rFonts w:hint="eastAsia" w:ascii="等线" w:hAnsi="等线"/>
                    </w:rPr>
                    <w:t>2003 R2</w:t>
                  </w:r>
                </w:p>
              </w:tc>
              <w:tc>
                <w:tcPr>
                  <w:tcW w:w="1559" w:type="dxa"/>
                  <w:noWrap/>
                  <w:vAlign w:val="center"/>
                </w:tcPr>
                <w:p w14:paraId="61F987FF">
                  <w:pPr>
                    <w:spacing w:after="160" w:line="278" w:lineRule="auto"/>
                    <w:rPr>
                      <w:rFonts w:ascii="等线" w:hAnsi="等线"/>
                    </w:rPr>
                  </w:pPr>
                  <w:r>
                    <w:rPr>
                      <w:rFonts w:hint="eastAsia" w:ascii="等线" w:hAnsi="等线"/>
                    </w:rPr>
                    <w:t>8 vCPU 8G</w:t>
                  </w:r>
                </w:p>
              </w:tc>
              <w:tc>
                <w:tcPr>
                  <w:tcW w:w="1843" w:type="dxa"/>
                  <w:noWrap/>
                  <w:vAlign w:val="center"/>
                </w:tcPr>
                <w:p w14:paraId="04A5E23F">
                  <w:pPr>
                    <w:spacing w:after="160" w:line="278" w:lineRule="auto"/>
                    <w:rPr>
                      <w:rFonts w:ascii="等线" w:hAnsi="等线"/>
                    </w:rPr>
                  </w:pPr>
                  <w:r>
                    <w:rPr>
                      <w:rFonts w:hint="eastAsia" w:ascii="等线" w:hAnsi="等线"/>
                    </w:rPr>
                    <w:t>1</w:t>
                  </w:r>
                </w:p>
              </w:tc>
            </w:tr>
            <w:tr w14:paraId="7363D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13" w:type="dxa"/>
                  <w:noWrap/>
                  <w:vAlign w:val="center"/>
                </w:tcPr>
                <w:p w14:paraId="53A2B63F">
                  <w:pPr>
                    <w:spacing w:after="160" w:line="278" w:lineRule="auto"/>
                    <w:rPr>
                      <w:rFonts w:ascii="等线" w:hAnsi="等线"/>
                    </w:rPr>
                  </w:pPr>
                  <w:r>
                    <w:rPr>
                      <w:rFonts w:hint="eastAsia" w:ascii="等线" w:hAnsi="等线"/>
                    </w:rPr>
                    <w:t>Lib-BotuService</w:t>
                  </w:r>
                </w:p>
              </w:tc>
              <w:tc>
                <w:tcPr>
                  <w:tcW w:w="1224" w:type="dxa"/>
                  <w:noWrap/>
                  <w:vAlign w:val="center"/>
                </w:tcPr>
                <w:p w14:paraId="695CEB83">
                  <w:pPr>
                    <w:spacing w:after="160" w:line="278" w:lineRule="auto"/>
                    <w:rPr>
                      <w:rFonts w:ascii="等线" w:hAnsi="等线"/>
                    </w:rPr>
                  </w:pPr>
                  <w:r>
                    <w:rPr>
                      <w:rFonts w:hint="eastAsia" w:ascii="等线" w:hAnsi="等线"/>
                    </w:rPr>
                    <w:t>2008 R2</w:t>
                  </w:r>
                </w:p>
              </w:tc>
              <w:tc>
                <w:tcPr>
                  <w:tcW w:w="1559" w:type="dxa"/>
                  <w:noWrap/>
                  <w:vAlign w:val="center"/>
                </w:tcPr>
                <w:p w14:paraId="79D93953">
                  <w:pPr>
                    <w:spacing w:after="160" w:line="278" w:lineRule="auto"/>
                    <w:rPr>
                      <w:rFonts w:ascii="等线" w:hAnsi="等线"/>
                    </w:rPr>
                  </w:pPr>
                  <w:r>
                    <w:rPr>
                      <w:rFonts w:hint="eastAsia" w:ascii="等线" w:hAnsi="等线"/>
                    </w:rPr>
                    <w:t>8 vCPU 16G</w:t>
                  </w:r>
                </w:p>
              </w:tc>
              <w:tc>
                <w:tcPr>
                  <w:tcW w:w="1843" w:type="dxa"/>
                  <w:noWrap/>
                  <w:vAlign w:val="center"/>
                </w:tcPr>
                <w:p w14:paraId="575CA879">
                  <w:pPr>
                    <w:spacing w:after="160" w:line="278" w:lineRule="auto"/>
                    <w:rPr>
                      <w:rFonts w:ascii="等线" w:hAnsi="等线"/>
                    </w:rPr>
                  </w:pPr>
                  <w:r>
                    <w:rPr>
                      <w:rFonts w:hint="eastAsia" w:ascii="等线" w:hAnsi="等线"/>
                    </w:rPr>
                    <w:t>0.5</w:t>
                  </w:r>
                </w:p>
              </w:tc>
            </w:tr>
            <w:tr w14:paraId="30C24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13" w:type="dxa"/>
                  <w:noWrap/>
                  <w:vAlign w:val="center"/>
                </w:tcPr>
                <w:p w14:paraId="40356D7D">
                  <w:pPr>
                    <w:spacing w:after="160" w:line="278" w:lineRule="auto"/>
                    <w:rPr>
                      <w:rFonts w:ascii="等线" w:hAnsi="等线"/>
                    </w:rPr>
                  </w:pPr>
                  <w:r>
                    <w:rPr>
                      <w:rFonts w:hint="eastAsia" w:ascii="等线" w:hAnsi="等线"/>
                    </w:rPr>
                    <w:t>Lib-Boxueyizhi</w:t>
                  </w:r>
                </w:p>
              </w:tc>
              <w:tc>
                <w:tcPr>
                  <w:tcW w:w="1224" w:type="dxa"/>
                  <w:noWrap/>
                  <w:vAlign w:val="center"/>
                </w:tcPr>
                <w:p w14:paraId="7007BA1C">
                  <w:pPr>
                    <w:spacing w:after="160" w:line="278" w:lineRule="auto"/>
                    <w:rPr>
                      <w:rFonts w:ascii="等线" w:hAnsi="等线"/>
                    </w:rPr>
                  </w:pPr>
                  <w:r>
                    <w:rPr>
                      <w:rFonts w:hint="eastAsia" w:ascii="等线" w:hAnsi="等线"/>
                    </w:rPr>
                    <w:t>2008 R2</w:t>
                  </w:r>
                </w:p>
              </w:tc>
              <w:tc>
                <w:tcPr>
                  <w:tcW w:w="1559" w:type="dxa"/>
                  <w:noWrap/>
                  <w:vAlign w:val="center"/>
                </w:tcPr>
                <w:p w14:paraId="21FE3B69">
                  <w:pPr>
                    <w:spacing w:after="160" w:line="278" w:lineRule="auto"/>
                    <w:rPr>
                      <w:rFonts w:ascii="等线" w:hAnsi="等线"/>
                    </w:rPr>
                  </w:pPr>
                  <w:r>
                    <w:rPr>
                      <w:rFonts w:hint="eastAsia" w:ascii="等线" w:hAnsi="等线"/>
                    </w:rPr>
                    <w:t>4 vCPU 8G</w:t>
                  </w:r>
                </w:p>
              </w:tc>
              <w:tc>
                <w:tcPr>
                  <w:tcW w:w="1843" w:type="dxa"/>
                  <w:noWrap/>
                  <w:vAlign w:val="center"/>
                </w:tcPr>
                <w:p w14:paraId="3F2BCC53">
                  <w:pPr>
                    <w:spacing w:after="160" w:line="278" w:lineRule="auto"/>
                    <w:rPr>
                      <w:rFonts w:ascii="等线" w:hAnsi="等线"/>
                    </w:rPr>
                  </w:pPr>
                  <w:r>
                    <w:rPr>
                      <w:rFonts w:hint="eastAsia" w:ascii="等线" w:hAnsi="等线"/>
                    </w:rPr>
                    <w:t>1</w:t>
                  </w:r>
                </w:p>
              </w:tc>
            </w:tr>
            <w:tr w14:paraId="6B6F2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13" w:type="dxa"/>
                  <w:noWrap/>
                  <w:vAlign w:val="center"/>
                </w:tcPr>
                <w:p w14:paraId="7F749A17">
                  <w:pPr>
                    <w:spacing w:after="160" w:line="278" w:lineRule="auto"/>
                    <w:rPr>
                      <w:rFonts w:ascii="等线" w:hAnsi="等线"/>
                    </w:rPr>
                  </w:pPr>
                  <w:r>
                    <w:rPr>
                      <w:rFonts w:hint="eastAsia" w:ascii="等线" w:hAnsi="等线"/>
                    </w:rPr>
                    <w:t>Lib-CNKI</w:t>
                  </w:r>
                </w:p>
              </w:tc>
              <w:tc>
                <w:tcPr>
                  <w:tcW w:w="1224" w:type="dxa"/>
                  <w:noWrap/>
                  <w:vAlign w:val="center"/>
                </w:tcPr>
                <w:p w14:paraId="4586D777">
                  <w:pPr>
                    <w:spacing w:after="160" w:line="278" w:lineRule="auto"/>
                    <w:rPr>
                      <w:rFonts w:ascii="等线" w:hAnsi="等线"/>
                    </w:rPr>
                  </w:pPr>
                  <w:r>
                    <w:rPr>
                      <w:rFonts w:hint="eastAsia" w:ascii="等线" w:hAnsi="等线"/>
                    </w:rPr>
                    <w:t>2008 R2</w:t>
                  </w:r>
                </w:p>
              </w:tc>
              <w:tc>
                <w:tcPr>
                  <w:tcW w:w="1559" w:type="dxa"/>
                  <w:noWrap/>
                  <w:vAlign w:val="center"/>
                </w:tcPr>
                <w:p w14:paraId="62EA844D">
                  <w:pPr>
                    <w:spacing w:after="160" w:line="278" w:lineRule="auto"/>
                    <w:rPr>
                      <w:rFonts w:ascii="等线" w:hAnsi="等线"/>
                    </w:rPr>
                  </w:pPr>
                  <w:r>
                    <w:rPr>
                      <w:rFonts w:hint="eastAsia" w:ascii="等线" w:hAnsi="等线"/>
                    </w:rPr>
                    <w:t>8 vCPU 16G</w:t>
                  </w:r>
                </w:p>
              </w:tc>
              <w:tc>
                <w:tcPr>
                  <w:tcW w:w="1843" w:type="dxa"/>
                  <w:noWrap/>
                  <w:vAlign w:val="center"/>
                </w:tcPr>
                <w:p w14:paraId="089E3B18">
                  <w:pPr>
                    <w:spacing w:after="160" w:line="278" w:lineRule="auto"/>
                    <w:rPr>
                      <w:rFonts w:ascii="等线" w:hAnsi="等线"/>
                    </w:rPr>
                  </w:pPr>
                  <w:r>
                    <w:rPr>
                      <w:rFonts w:hint="eastAsia" w:ascii="等线" w:hAnsi="等线"/>
                    </w:rPr>
                    <w:t>100</w:t>
                  </w:r>
                </w:p>
              </w:tc>
            </w:tr>
            <w:tr w14:paraId="074C3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13" w:type="dxa"/>
                  <w:noWrap/>
                  <w:vAlign w:val="center"/>
                </w:tcPr>
                <w:p w14:paraId="0C69F57F">
                  <w:pPr>
                    <w:spacing w:after="160" w:line="278" w:lineRule="auto"/>
                    <w:rPr>
                      <w:rFonts w:ascii="等线" w:hAnsi="等线"/>
                    </w:rPr>
                  </w:pPr>
                  <w:r>
                    <w:rPr>
                      <w:rFonts w:hint="eastAsia" w:ascii="等线" w:hAnsi="等线"/>
                    </w:rPr>
                    <w:t>Lib-EbooksMake</w:t>
                  </w:r>
                </w:p>
              </w:tc>
              <w:tc>
                <w:tcPr>
                  <w:tcW w:w="1224" w:type="dxa"/>
                  <w:noWrap/>
                  <w:vAlign w:val="center"/>
                </w:tcPr>
                <w:p w14:paraId="0F9BCFA3">
                  <w:pPr>
                    <w:spacing w:after="160" w:line="278" w:lineRule="auto"/>
                    <w:rPr>
                      <w:rFonts w:ascii="等线" w:hAnsi="等线"/>
                    </w:rPr>
                  </w:pPr>
                  <w:r>
                    <w:rPr>
                      <w:rFonts w:hint="eastAsia" w:ascii="等线" w:hAnsi="等线"/>
                    </w:rPr>
                    <w:t>2008 R2</w:t>
                  </w:r>
                </w:p>
              </w:tc>
              <w:tc>
                <w:tcPr>
                  <w:tcW w:w="1559" w:type="dxa"/>
                  <w:noWrap/>
                  <w:vAlign w:val="center"/>
                </w:tcPr>
                <w:p w14:paraId="59462542">
                  <w:pPr>
                    <w:spacing w:after="160" w:line="278" w:lineRule="auto"/>
                    <w:rPr>
                      <w:rFonts w:ascii="等线" w:hAnsi="等线"/>
                    </w:rPr>
                  </w:pPr>
                  <w:r>
                    <w:rPr>
                      <w:rFonts w:hint="eastAsia" w:ascii="等线" w:hAnsi="等线"/>
                    </w:rPr>
                    <w:t>8 vCPU 16G</w:t>
                  </w:r>
                </w:p>
              </w:tc>
              <w:tc>
                <w:tcPr>
                  <w:tcW w:w="1843" w:type="dxa"/>
                  <w:noWrap/>
                  <w:vAlign w:val="center"/>
                </w:tcPr>
                <w:p w14:paraId="0D820007">
                  <w:pPr>
                    <w:spacing w:after="160" w:line="278" w:lineRule="auto"/>
                    <w:rPr>
                      <w:rFonts w:ascii="等线" w:hAnsi="等线"/>
                    </w:rPr>
                  </w:pPr>
                  <w:r>
                    <w:rPr>
                      <w:rFonts w:hint="eastAsia" w:ascii="等线" w:hAnsi="等线"/>
                    </w:rPr>
                    <w:t>10</w:t>
                  </w:r>
                </w:p>
              </w:tc>
            </w:tr>
            <w:tr w14:paraId="668E0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13" w:type="dxa"/>
                  <w:noWrap/>
                  <w:vAlign w:val="center"/>
                </w:tcPr>
                <w:p w14:paraId="0F0BD41E">
                  <w:pPr>
                    <w:spacing w:after="160" w:line="278" w:lineRule="auto"/>
                    <w:rPr>
                      <w:rFonts w:ascii="等线" w:hAnsi="等线"/>
                    </w:rPr>
                  </w:pPr>
                  <w:r>
                    <w:rPr>
                      <w:rFonts w:hint="eastAsia" w:ascii="等线" w:hAnsi="等线"/>
                    </w:rPr>
                    <w:t>Lib-Jintu</w:t>
                  </w:r>
                </w:p>
              </w:tc>
              <w:tc>
                <w:tcPr>
                  <w:tcW w:w="1224" w:type="dxa"/>
                  <w:noWrap/>
                  <w:vAlign w:val="center"/>
                </w:tcPr>
                <w:p w14:paraId="11EE149D">
                  <w:pPr>
                    <w:spacing w:after="160" w:line="278" w:lineRule="auto"/>
                    <w:rPr>
                      <w:rFonts w:ascii="等线" w:hAnsi="等线"/>
                    </w:rPr>
                  </w:pPr>
                  <w:r>
                    <w:rPr>
                      <w:rFonts w:hint="eastAsia" w:ascii="等线" w:hAnsi="等线"/>
                    </w:rPr>
                    <w:t>2003 R2</w:t>
                  </w:r>
                </w:p>
              </w:tc>
              <w:tc>
                <w:tcPr>
                  <w:tcW w:w="1559" w:type="dxa"/>
                  <w:noWrap/>
                  <w:vAlign w:val="center"/>
                </w:tcPr>
                <w:p w14:paraId="6321A52A">
                  <w:pPr>
                    <w:spacing w:after="160" w:line="278" w:lineRule="auto"/>
                    <w:rPr>
                      <w:rFonts w:ascii="等线" w:hAnsi="等线"/>
                    </w:rPr>
                  </w:pPr>
                  <w:r>
                    <w:rPr>
                      <w:rFonts w:hint="eastAsia" w:ascii="等线" w:hAnsi="等线"/>
                    </w:rPr>
                    <w:t>8 vCPU 8G</w:t>
                  </w:r>
                </w:p>
              </w:tc>
              <w:tc>
                <w:tcPr>
                  <w:tcW w:w="1843" w:type="dxa"/>
                  <w:noWrap/>
                  <w:vAlign w:val="center"/>
                </w:tcPr>
                <w:p w14:paraId="3ACF8C2B">
                  <w:pPr>
                    <w:spacing w:after="160" w:line="278" w:lineRule="auto"/>
                    <w:rPr>
                      <w:rFonts w:ascii="等线" w:hAnsi="等线"/>
                    </w:rPr>
                  </w:pPr>
                  <w:r>
                    <w:rPr>
                      <w:rFonts w:hint="eastAsia" w:ascii="等线" w:hAnsi="等线"/>
                    </w:rPr>
                    <w:t>1</w:t>
                  </w:r>
                </w:p>
              </w:tc>
            </w:tr>
            <w:tr w14:paraId="18733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13" w:type="dxa"/>
                  <w:noWrap/>
                  <w:vAlign w:val="center"/>
                </w:tcPr>
                <w:p w14:paraId="711C7350">
                  <w:pPr>
                    <w:spacing w:after="160" w:line="278" w:lineRule="auto"/>
                    <w:rPr>
                      <w:rFonts w:ascii="等线" w:hAnsi="等线"/>
                    </w:rPr>
                  </w:pPr>
                  <w:r>
                    <w:rPr>
                      <w:rFonts w:hint="eastAsia" w:ascii="等线" w:hAnsi="等线"/>
                    </w:rPr>
                    <w:t>Lib-Juhe</w:t>
                  </w:r>
                </w:p>
              </w:tc>
              <w:tc>
                <w:tcPr>
                  <w:tcW w:w="1224" w:type="dxa"/>
                  <w:noWrap/>
                  <w:vAlign w:val="center"/>
                </w:tcPr>
                <w:p w14:paraId="160C304F">
                  <w:pPr>
                    <w:spacing w:after="160" w:line="278" w:lineRule="auto"/>
                    <w:rPr>
                      <w:rFonts w:ascii="等线" w:hAnsi="等线"/>
                    </w:rPr>
                  </w:pPr>
                  <w:r>
                    <w:rPr>
                      <w:rFonts w:hint="eastAsia" w:ascii="等线" w:hAnsi="等线"/>
                    </w:rPr>
                    <w:t>2008 R2</w:t>
                  </w:r>
                </w:p>
              </w:tc>
              <w:tc>
                <w:tcPr>
                  <w:tcW w:w="1559" w:type="dxa"/>
                  <w:noWrap/>
                  <w:vAlign w:val="center"/>
                </w:tcPr>
                <w:p w14:paraId="73F57AF4">
                  <w:pPr>
                    <w:spacing w:after="160" w:line="278" w:lineRule="auto"/>
                    <w:rPr>
                      <w:rFonts w:ascii="等线" w:hAnsi="等线"/>
                    </w:rPr>
                  </w:pPr>
                  <w:r>
                    <w:rPr>
                      <w:rFonts w:hint="eastAsia" w:ascii="等线" w:hAnsi="等线"/>
                    </w:rPr>
                    <w:t>8 vCPU 16G</w:t>
                  </w:r>
                </w:p>
              </w:tc>
              <w:tc>
                <w:tcPr>
                  <w:tcW w:w="1843" w:type="dxa"/>
                  <w:noWrap/>
                  <w:vAlign w:val="center"/>
                </w:tcPr>
                <w:p w14:paraId="12340468">
                  <w:pPr>
                    <w:spacing w:after="160" w:line="278" w:lineRule="auto"/>
                    <w:rPr>
                      <w:rFonts w:ascii="等线" w:hAnsi="等线"/>
                    </w:rPr>
                  </w:pPr>
                  <w:r>
                    <w:rPr>
                      <w:rFonts w:hint="eastAsia" w:ascii="等线" w:hAnsi="等线"/>
                    </w:rPr>
                    <w:t>1</w:t>
                  </w:r>
                </w:p>
              </w:tc>
            </w:tr>
            <w:tr w14:paraId="523BD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13" w:type="dxa"/>
                  <w:noWrap/>
                  <w:vAlign w:val="center"/>
                </w:tcPr>
                <w:p w14:paraId="725B72E5">
                  <w:pPr>
                    <w:spacing w:after="160" w:line="278" w:lineRule="auto"/>
                    <w:rPr>
                      <w:rFonts w:ascii="等线" w:hAnsi="等线"/>
                    </w:rPr>
                  </w:pPr>
                  <w:r>
                    <w:rPr>
                      <w:rFonts w:hint="eastAsia" w:ascii="等线" w:hAnsi="等线"/>
                    </w:rPr>
                    <w:t>Lib-Lanbotu</w:t>
                  </w:r>
                </w:p>
              </w:tc>
              <w:tc>
                <w:tcPr>
                  <w:tcW w:w="1224" w:type="dxa"/>
                  <w:noWrap/>
                  <w:vAlign w:val="center"/>
                </w:tcPr>
                <w:p w14:paraId="24AA8549">
                  <w:pPr>
                    <w:spacing w:after="160" w:line="278" w:lineRule="auto"/>
                    <w:rPr>
                      <w:rFonts w:ascii="等线" w:hAnsi="等线"/>
                    </w:rPr>
                  </w:pPr>
                  <w:r>
                    <w:rPr>
                      <w:rFonts w:hint="eastAsia" w:ascii="等线" w:hAnsi="等线"/>
                    </w:rPr>
                    <w:t>2008 R2</w:t>
                  </w:r>
                </w:p>
              </w:tc>
              <w:tc>
                <w:tcPr>
                  <w:tcW w:w="1559" w:type="dxa"/>
                  <w:noWrap/>
                  <w:vAlign w:val="center"/>
                </w:tcPr>
                <w:p w14:paraId="2D7C5091">
                  <w:pPr>
                    <w:spacing w:after="160" w:line="278" w:lineRule="auto"/>
                    <w:rPr>
                      <w:rFonts w:ascii="等线" w:hAnsi="等线"/>
                    </w:rPr>
                  </w:pPr>
                  <w:r>
                    <w:rPr>
                      <w:rFonts w:hint="eastAsia" w:ascii="等线" w:hAnsi="等线"/>
                    </w:rPr>
                    <w:t>8 vCPU 8G</w:t>
                  </w:r>
                </w:p>
              </w:tc>
              <w:tc>
                <w:tcPr>
                  <w:tcW w:w="1843" w:type="dxa"/>
                  <w:noWrap/>
                  <w:vAlign w:val="center"/>
                </w:tcPr>
                <w:p w14:paraId="68D07ECB">
                  <w:pPr>
                    <w:spacing w:after="160" w:line="278" w:lineRule="auto"/>
                    <w:rPr>
                      <w:rFonts w:ascii="等线" w:hAnsi="等线"/>
                    </w:rPr>
                  </w:pPr>
                  <w:r>
                    <w:rPr>
                      <w:rFonts w:hint="eastAsia" w:ascii="等线" w:hAnsi="等线"/>
                    </w:rPr>
                    <w:t>1</w:t>
                  </w:r>
                </w:p>
              </w:tc>
            </w:tr>
            <w:tr w14:paraId="48F6B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13" w:type="dxa"/>
                  <w:noWrap/>
                  <w:vAlign w:val="center"/>
                </w:tcPr>
                <w:p w14:paraId="218C3DD8">
                  <w:pPr>
                    <w:spacing w:after="160" w:line="278" w:lineRule="auto"/>
                    <w:rPr>
                      <w:rFonts w:ascii="等线" w:hAnsi="等线"/>
                    </w:rPr>
                  </w:pPr>
                  <w:r>
                    <w:rPr>
                      <w:rFonts w:hint="eastAsia" w:ascii="等线" w:hAnsi="等线"/>
                    </w:rPr>
                    <w:t>Lib-LSPbackup</w:t>
                  </w:r>
                </w:p>
              </w:tc>
              <w:tc>
                <w:tcPr>
                  <w:tcW w:w="1224" w:type="dxa"/>
                  <w:noWrap/>
                  <w:vAlign w:val="center"/>
                </w:tcPr>
                <w:p w14:paraId="25C9A566">
                  <w:pPr>
                    <w:spacing w:after="160" w:line="278" w:lineRule="auto"/>
                    <w:rPr>
                      <w:rFonts w:ascii="等线" w:hAnsi="等线"/>
                    </w:rPr>
                  </w:pPr>
                  <w:r>
                    <w:rPr>
                      <w:rFonts w:hint="eastAsia" w:ascii="等线" w:hAnsi="等线"/>
                    </w:rPr>
                    <w:t>2012 R2</w:t>
                  </w:r>
                </w:p>
              </w:tc>
              <w:tc>
                <w:tcPr>
                  <w:tcW w:w="1559" w:type="dxa"/>
                  <w:noWrap/>
                  <w:vAlign w:val="center"/>
                </w:tcPr>
                <w:p w14:paraId="1FAB22E8">
                  <w:pPr>
                    <w:spacing w:after="160" w:line="278" w:lineRule="auto"/>
                    <w:rPr>
                      <w:rFonts w:ascii="等线" w:hAnsi="等线"/>
                    </w:rPr>
                  </w:pPr>
                  <w:r>
                    <w:rPr>
                      <w:rFonts w:hint="eastAsia" w:ascii="等线" w:hAnsi="等线"/>
                    </w:rPr>
                    <w:t>16 vCPU 32G</w:t>
                  </w:r>
                </w:p>
              </w:tc>
              <w:tc>
                <w:tcPr>
                  <w:tcW w:w="1843" w:type="dxa"/>
                  <w:noWrap/>
                  <w:vAlign w:val="center"/>
                </w:tcPr>
                <w:p w14:paraId="20A4E77F">
                  <w:pPr>
                    <w:spacing w:after="160" w:line="278" w:lineRule="auto"/>
                    <w:rPr>
                      <w:rFonts w:ascii="等线" w:hAnsi="等线"/>
                    </w:rPr>
                  </w:pPr>
                  <w:r>
                    <w:rPr>
                      <w:rFonts w:hint="eastAsia" w:ascii="等线" w:hAnsi="等线"/>
                    </w:rPr>
                    <w:t>0.5</w:t>
                  </w:r>
                </w:p>
              </w:tc>
            </w:tr>
            <w:tr w14:paraId="6A934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13" w:type="dxa"/>
                  <w:noWrap/>
                  <w:vAlign w:val="center"/>
                </w:tcPr>
                <w:p w14:paraId="709D73AE">
                  <w:pPr>
                    <w:spacing w:after="160" w:line="278" w:lineRule="auto"/>
                    <w:rPr>
                      <w:rFonts w:ascii="等线" w:hAnsi="等线"/>
                    </w:rPr>
                  </w:pPr>
                  <w:r>
                    <w:rPr>
                      <w:rFonts w:hint="eastAsia" w:ascii="等线" w:hAnsi="等线"/>
                    </w:rPr>
                    <w:t>Lib-LSPconnect</w:t>
                  </w:r>
                </w:p>
              </w:tc>
              <w:tc>
                <w:tcPr>
                  <w:tcW w:w="1224" w:type="dxa"/>
                  <w:noWrap/>
                  <w:vAlign w:val="center"/>
                </w:tcPr>
                <w:p w14:paraId="4A086717">
                  <w:pPr>
                    <w:spacing w:after="160" w:line="278" w:lineRule="auto"/>
                    <w:rPr>
                      <w:rFonts w:ascii="等线" w:hAnsi="等线"/>
                    </w:rPr>
                  </w:pPr>
                  <w:r>
                    <w:rPr>
                      <w:rFonts w:hint="eastAsia" w:ascii="等线" w:hAnsi="等线"/>
                    </w:rPr>
                    <w:t>2012 R2</w:t>
                  </w:r>
                </w:p>
              </w:tc>
              <w:tc>
                <w:tcPr>
                  <w:tcW w:w="1559" w:type="dxa"/>
                  <w:noWrap/>
                  <w:vAlign w:val="center"/>
                </w:tcPr>
                <w:p w14:paraId="7944B593">
                  <w:pPr>
                    <w:spacing w:after="160" w:line="278" w:lineRule="auto"/>
                    <w:rPr>
                      <w:rFonts w:ascii="等线" w:hAnsi="等线"/>
                    </w:rPr>
                  </w:pPr>
                  <w:r>
                    <w:rPr>
                      <w:rFonts w:hint="eastAsia" w:ascii="等线" w:hAnsi="等线"/>
                    </w:rPr>
                    <w:t>16 vCPU 32G</w:t>
                  </w:r>
                </w:p>
              </w:tc>
              <w:tc>
                <w:tcPr>
                  <w:tcW w:w="1843" w:type="dxa"/>
                  <w:noWrap/>
                  <w:vAlign w:val="center"/>
                </w:tcPr>
                <w:p w14:paraId="2343EB09">
                  <w:pPr>
                    <w:spacing w:after="160" w:line="278" w:lineRule="auto"/>
                    <w:rPr>
                      <w:rFonts w:ascii="等线" w:hAnsi="等线"/>
                    </w:rPr>
                  </w:pPr>
                  <w:r>
                    <w:rPr>
                      <w:rFonts w:hint="eastAsia" w:ascii="等线" w:hAnsi="等线"/>
                    </w:rPr>
                    <w:t>0.5</w:t>
                  </w:r>
                </w:p>
              </w:tc>
            </w:tr>
            <w:tr w14:paraId="2224C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13" w:type="dxa"/>
                  <w:noWrap/>
                  <w:vAlign w:val="center"/>
                </w:tcPr>
                <w:p w14:paraId="4A25221F">
                  <w:pPr>
                    <w:spacing w:after="160" w:line="278" w:lineRule="auto"/>
                    <w:rPr>
                      <w:rFonts w:ascii="等线" w:hAnsi="等线"/>
                    </w:rPr>
                  </w:pPr>
                  <w:r>
                    <w:rPr>
                      <w:rFonts w:hint="eastAsia" w:ascii="等线" w:hAnsi="等线"/>
                    </w:rPr>
                    <w:t>Lib-Shutu</w:t>
                  </w:r>
                </w:p>
              </w:tc>
              <w:tc>
                <w:tcPr>
                  <w:tcW w:w="1224" w:type="dxa"/>
                  <w:noWrap/>
                  <w:vAlign w:val="center"/>
                </w:tcPr>
                <w:p w14:paraId="6C4CC39F">
                  <w:pPr>
                    <w:spacing w:after="160" w:line="278" w:lineRule="auto"/>
                    <w:rPr>
                      <w:rFonts w:ascii="等线" w:hAnsi="等线"/>
                    </w:rPr>
                  </w:pPr>
                  <w:r>
                    <w:rPr>
                      <w:rFonts w:hint="eastAsia" w:ascii="等线" w:hAnsi="等线"/>
                    </w:rPr>
                    <w:t>2003 R2</w:t>
                  </w:r>
                </w:p>
              </w:tc>
              <w:tc>
                <w:tcPr>
                  <w:tcW w:w="1559" w:type="dxa"/>
                  <w:noWrap/>
                  <w:vAlign w:val="center"/>
                </w:tcPr>
                <w:p w14:paraId="22FC9336">
                  <w:pPr>
                    <w:spacing w:after="160" w:line="278" w:lineRule="auto"/>
                    <w:rPr>
                      <w:rFonts w:ascii="等线" w:hAnsi="等线"/>
                    </w:rPr>
                  </w:pPr>
                  <w:r>
                    <w:rPr>
                      <w:rFonts w:hint="eastAsia" w:ascii="等线" w:hAnsi="等线"/>
                    </w:rPr>
                    <w:t>8 vCPU 8G</w:t>
                  </w:r>
                </w:p>
              </w:tc>
              <w:tc>
                <w:tcPr>
                  <w:tcW w:w="1843" w:type="dxa"/>
                  <w:noWrap/>
                  <w:vAlign w:val="center"/>
                </w:tcPr>
                <w:p w14:paraId="63949887">
                  <w:pPr>
                    <w:spacing w:after="160" w:line="278" w:lineRule="auto"/>
                    <w:rPr>
                      <w:rFonts w:ascii="等线" w:hAnsi="等线"/>
                    </w:rPr>
                  </w:pPr>
                  <w:r>
                    <w:rPr>
                      <w:rFonts w:hint="eastAsia" w:ascii="等线" w:hAnsi="等线"/>
                    </w:rPr>
                    <w:t>1</w:t>
                  </w:r>
                </w:p>
              </w:tc>
            </w:tr>
            <w:tr w14:paraId="049C8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13" w:type="dxa"/>
                  <w:noWrap/>
                  <w:vAlign w:val="center"/>
                </w:tcPr>
                <w:p w14:paraId="56F78D2C">
                  <w:pPr>
                    <w:spacing w:after="160" w:line="278" w:lineRule="auto"/>
                    <w:rPr>
                      <w:rFonts w:ascii="等线" w:hAnsi="等线"/>
                    </w:rPr>
                  </w:pPr>
                  <w:r>
                    <w:rPr>
                      <w:rFonts w:hint="eastAsia" w:ascii="等线" w:hAnsi="等线"/>
                    </w:rPr>
                    <w:t>Lib-WanfangVideo</w:t>
                  </w:r>
                </w:p>
              </w:tc>
              <w:tc>
                <w:tcPr>
                  <w:tcW w:w="1224" w:type="dxa"/>
                  <w:noWrap/>
                  <w:vAlign w:val="center"/>
                </w:tcPr>
                <w:p w14:paraId="218F5B61">
                  <w:pPr>
                    <w:spacing w:after="160" w:line="278" w:lineRule="auto"/>
                    <w:rPr>
                      <w:rFonts w:ascii="等线" w:hAnsi="等线"/>
                    </w:rPr>
                  </w:pPr>
                  <w:r>
                    <w:rPr>
                      <w:rFonts w:hint="eastAsia" w:ascii="等线" w:hAnsi="等线"/>
                    </w:rPr>
                    <w:t>2003 R2</w:t>
                  </w:r>
                </w:p>
              </w:tc>
              <w:tc>
                <w:tcPr>
                  <w:tcW w:w="1559" w:type="dxa"/>
                  <w:noWrap/>
                  <w:vAlign w:val="center"/>
                </w:tcPr>
                <w:p w14:paraId="7DC800B3">
                  <w:pPr>
                    <w:spacing w:after="160" w:line="278" w:lineRule="auto"/>
                    <w:rPr>
                      <w:rFonts w:ascii="等线" w:hAnsi="等线"/>
                    </w:rPr>
                  </w:pPr>
                  <w:r>
                    <w:rPr>
                      <w:rFonts w:hint="eastAsia" w:ascii="等线" w:hAnsi="等线"/>
                    </w:rPr>
                    <w:t>8 vCPU 8G</w:t>
                  </w:r>
                </w:p>
              </w:tc>
              <w:tc>
                <w:tcPr>
                  <w:tcW w:w="1843" w:type="dxa"/>
                  <w:noWrap/>
                  <w:vAlign w:val="center"/>
                </w:tcPr>
                <w:p w14:paraId="3249F514">
                  <w:pPr>
                    <w:spacing w:after="160" w:line="278" w:lineRule="auto"/>
                    <w:rPr>
                      <w:rFonts w:ascii="等线" w:hAnsi="等线"/>
                    </w:rPr>
                  </w:pPr>
                  <w:r>
                    <w:rPr>
                      <w:rFonts w:hint="eastAsia" w:ascii="等线" w:hAnsi="等线"/>
                    </w:rPr>
                    <w:t>1</w:t>
                  </w:r>
                </w:p>
              </w:tc>
            </w:tr>
            <w:tr w14:paraId="75135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13" w:type="dxa"/>
                  <w:noWrap/>
                  <w:vAlign w:val="center"/>
                </w:tcPr>
                <w:p w14:paraId="0CC79E9D">
                  <w:pPr>
                    <w:spacing w:after="160" w:line="278" w:lineRule="auto"/>
                    <w:rPr>
                      <w:rFonts w:ascii="等线" w:hAnsi="等线"/>
                    </w:rPr>
                  </w:pPr>
                  <w:r>
                    <w:rPr>
                      <w:rFonts w:hint="eastAsia" w:ascii="等线" w:hAnsi="等线"/>
                    </w:rPr>
                    <w:t>Lib-Youyue</w:t>
                  </w:r>
                </w:p>
              </w:tc>
              <w:tc>
                <w:tcPr>
                  <w:tcW w:w="1224" w:type="dxa"/>
                  <w:noWrap/>
                  <w:vAlign w:val="center"/>
                </w:tcPr>
                <w:p w14:paraId="16FC7663">
                  <w:pPr>
                    <w:spacing w:after="160" w:line="278" w:lineRule="auto"/>
                    <w:rPr>
                      <w:rFonts w:ascii="等线" w:hAnsi="等线"/>
                    </w:rPr>
                  </w:pPr>
                  <w:r>
                    <w:rPr>
                      <w:rFonts w:hint="eastAsia" w:ascii="等线" w:hAnsi="等线"/>
                    </w:rPr>
                    <w:t>2003 R2</w:t>
                  </w:r>
                </w:p>
              </w:tc>
              <w:tc>
                <w:tcPr>
                  <w:tcW w:w="1559" w:type="dxa"/>
                  <w:noWrap/>
                  <w:vAlign w:val="center"/>
                </w:tcPr>
                <w:p w14:paraId="034E4A51">
                  <w:pPr>
                    <w:spacing w:after="160" w:line="278" w:lineRule="auto"/>
                    <w:rPr>
                      <w:rFonts w:ascii="等线" w:hAnsi="等线"/>
                    </w:rPr>
                  </w:pPr>
                  <w:r>
                    <w:rPr>
                      <w:rFonts w:hint="eastAsia" w:ascii="等线" w:hAnsi="等线"/>
                    </w:rPr>
                    <w:t>8 vCPU 8G</w:t>
                  </w:r>
                </w:p>
              </w:tc>
              <w:tc>
                <w:tcPr>
                  <w:tcW w:w="1843" w:type="dxa"/>
                  <w:noWrap/>
                  <w:vAlign w:val="center"/>
                </w:tcPr>
                <w:p w14:paraId="1BACA265">
                  <w:pPr>
                    <w:spacing w:after="160" w:line="278" w:lineRule="auto"/>
                    <w:rPr>
                      <w:rFonts w:ascii="等线" w:hAnsi="等线"/>
                    </w:rPr>
                  </w:pPr>
                  <w:r>
                    <w:rPr>
                      <w:rFonts w:hint="eastAsia" w:ascii="等线" w:hAnsi="等线"/>
                    </w:rPr>
                    <w:t>1</w:t>
                  </w:r>
                </w:p>
              </w:tc>
            </w:tr>
            <w:tr w14:paraId="6CFFC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13" w:type="dxa"/>
                  <w:noWrap/>
                  <w:vAlign w:val="center"/>
                </w:tcPr>
                <w:p w14:paraId="3C2A37E9">
                  <w:pPr>
                    <w:spacing w:after="160" w:line="278" w:lineRule="auto"/>
                    <w:rPr>
                      <w:rFonts w:ascii="等线" w:hAnsi="等线"/>
                    </w:rPr>
                  </w:pPr>
                  <w:r>
                    <w:rPr>
                      <w:rFonts w:hint="eastAsia" w:ascii="等线" w:hAnsi="等线"/>
                    </w:rPr>
                    <w:t>L-use190103</w:t>
                  </w:r>
                </w:p>
              </w:tc>
              <w:tc>
                <w:tcPr>
                  <w:tcW w:w="1224" w:type="dxa"/>
                  <w:noWrap/>
                  <w:vAlign w:val="center"/>
                </w:tcPr>
                <w:p w14:paraId="487125F6">
                  <w:pPr>
                    <w:spacing w:after="160" w:line="278" w:lineRule="auto"/>
                    <w:rPr>
                      <w:rFonts w:ascii="等线" w:hAnsi="等线"/>
                    </w:rPr>
                  </w:pPr>
                  <w:r>
                    <w:rPr>
                      <w:rFonts w:hint="eastAsia" w:ascii="等线" w:hAnsi="等线"/>
                    </w:rPr>
                    <w:t>2008 R2</w:t>
                  </w:r>
                </w:p>
              </w:tc>
              <w:tc>
                <w:tcPr>
                  <w:tcW w:w="1559" w:type="dxa"/>
                  <w:noWrap/>
                  <w:vAlign w:val="center"/>
                </w:tcPr>
                <w:p w14:paraId="36926828">
                  <w:pPr>
                    <w:spacing w:after="160" w:line="278" w:lineRule="auto"/>
                    <w:rPr>
                      <w:rFonts w:ascii="等线" w:hAnsi="等线"/>
                    </w:rPr>
                  </w:pPr>
                  <w:r>
                    <w:rPr>
                      <w:rFonts w:hint="eastAsia" w:ascii="等线" w:hAnsi="等线"/>
                    </w:rPr>
                    <w:t>8 vCPU 16G</w:t>
                  </w:r>
                </w:p>
              </w:tc>
              <w:tc>
                <w:tcPr>
                  <w:tcW w:w="1843" w:type="dxa"/>
                  <w:noWrap/>
                  <w:vAlign w:val="center"/>
                </w:tcPr>
                <w:p w14:paraId="7334FD23">
                  <w:pPr>
                    <w:spacing w:after="160" w:line="278" w:lineRule="auto"/>
                    <w:rPr>
                      <w:rFonts w:ascii="等线" w:hAnsi="等线"/>
                    </w:rPr>
                  </w:pPr>
                  <w:r>
                    <w:rPr>
                      <w:rFonts w:hint="eastAsia" w:ascii="等线" w:hAnsi="等线"/>
                    </w:rPr>
                    <w:t>3</w:t>
                  </w:r>
                </w:p>
              </w:tc>
            </w:tr>
            <w:tr w14:paraId="3A28F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13" w:type="dxa"/>
                  <w:noWrap/>
                  <w:vAlign w:val="center"/>
                </w:tcPr>
                <w:p w14:paraId="400DC4A5">
                  <w:pPr>
                    <w:spacing w:after="160" w:line="278" w:lineRule="auto"/>
                    <w:rPr>
                      <w:rFonts w:ascii="等线" w:hAnsi="等线"/>
                    </w:rPr>
                  </w:pPr>
                  <w:r>
                    <w:rPr>
                      <w:rFonts w:hint="eastAsia" w:ascii="等线" w:hAnsi="等线"/>
                    </w:rPr>
                    <w:t>F-test181217</w:t>
                  </w:r>
                </w:p>
              </w:tc>
              <w:tc>
                <w:tcPr>
                  <w:tcW w:w="1224" w:type="dxa"/>
                  <w:noWrap/>
                  <w:vAlign w:val="center"/>
                </w:tcPr>
                <w:p w14:paraId="4BEADE5F">
                  <w:pPr>
                    <w:spacing w:after="160" w:line="278" w:lineRule="auto"/>
                    <w:rPr>
                      <w:rFonts w:ascii="等线" w:hAnsi="等线"/>
                    </w:rPr>
                  </w:pPr>
                  <w:r>
                    <w:rPr>
                      <w:rFonts w:hint="eastAsia" w:ascii="等线" w:hAnsi="等线"/>
                    </w:rPr>
                    <w:t>2008 R2</w:t>
                  </w:r>
                </w:p>
              </w:tc>
              <w:tc>
                <w:tcPr>
                  <w:tcW w:w="1559" w:type="dxa"/>
                  <w:noWrap/>
                  <w:vAlign w:val="center"/>
                </w:tcPr>
                <w:p w14:paraId="0C5BB422">
                  <w:pPr>
                    <w:spacing w:after="160" w:line="278" w:lineRule="auto"/>
                    <w:rPr>
                      <w:rFonts w:ascii="等线" w:hAnsi="等线"/>
                    </w:rPr>
                  </w:pPr>
                  <w:r>
                    <w:rPr>
                      <w:rFonts w:hint="eastAsia" w:ascii="等线" w:hAnsi="等线"/>
                    </w:rPr>
                    <w:t>8 vCPU 16G</w:t>
                  </w:r>
                </w:p>
              </w:tc>
              <w:tc>
                <w:tcPr>
                  <w:tcW w:w="1843" w:type="dxa"/>
                  <w:noWrap/>
                  <w:vAlign w:val="center"/>
                </w:tcPr>
                <w:p w14:paraId="02FAB1A6">
                  <w:pPr>
                    <w:spacing w:after="160" w:line="278" w:lineRule="auto"/>
                    <w:rPr>
                      <w:rFonts w:ascii="等线" w:hAnsi="等线"/>
                    </w:rPr>
                  </w:pPr>
                  <w:r>
                    <w:rPr>
                      <w:rFonts w:hint="eastAsia" w:ascii="等线" w:hAnsi="等线"/>
                    </w:rPr>
                    <w:t>3</w:t>
                  </w:r>
                </w:p>
              </w:tc>
            </w:tr>
            <w:tr w14:paraId="60886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13" w:type="dxa"/>
                  <w:noWrap/>
                  <w:vAlign w:val="center"/>
                </w:tcPr>
                <w:p w14:paraId="1760A4A4">
                  <w:pPr>
                    <w:spacing w:after="160" w:line="278" w:lineRule="auto"/>
                    <w:rPr>
                      <w:rFonts w:ascii="等线" w:hAnsi="等线"/>
                    </w:rPr>
                  </w:pPr>
                  <w:r>
                    <w:rPr>
                      <w:rFonts w:hint="eastAsia" w:ascii="等线" w:hAnsi="等线"/>
                    </w:rPr>
                    <w:t>nLib-JiGouKu</w:t>
                  </w:r>
                </w:p>
              </w:tc>
              <w:tc>
                <w:tcPr>
                  <w:tcW w:w="1224" w:type="dxa"/>
                  <w:noWrap/>
                  <w:vAlign w:val="center"/>
                </w:tcPr>
                <w:p w14:paraId="1C41602C">
                  <w:pPr>
                    <w:spacing w:after="160" w:line="278" w:lineRule="auto"/>
                    <w:rPr>
                      <w:rFonts w:ascii="等线" w:hAnsi="等线"/>
                    </w:rPr>
                  </w:pPr>
                  <w:r>
                    <w:rPr>
                      <w:rFonts w:hint="eastAsia" w:ascii="等线" w:hAnsi="等线"/>
                    </w:rPr>
                    <w:t>2008 R2</w:t>
                  </w:r>
                </w:p>
              </w:tc>
              <w:tc>
                <w:tcPr>
                  <w:tcW w:w="1559" w:type="dxa"/>
                  <w:noWrap/>
                  <w:vAlign w:val="center"/>
                </w:tcPr>
                <w:p w14:paraId="26A708AE">
                  <w:pPr>
                    <w:spacing w:after="160" w:line="278" w:lineRule="auto"/>
                    <w:rPr>
                      <w:rFonts w:ascii="等线" w:hAnsi="等线"/>
                    </w:rPr>
                  </w:pPr>
                  <w:r>
                    <w:rPr>
                      <w:rFonts w:hint="eastAsia" w:ascii="等线" w:hAnsi="等线"/>
                    </w:rPr>
                    <w:t>16 vCPU 16G</w:t>
                  </w:r>
                </w:p>
              </w:tc>
              <w:tc>
                <w:tcPr>
                  <w:tcW w:w="1843" w:type="dxa"/>
                  <w:noWrap/>
                  <w:vAlign w:val="center"/>
                </w:tcPr>
                <w:p w14:paraId="4C73829C">
                  <w:pPr>
                    <w:spacing w:after="160" w:line="278" w:lineRule="auto"/>
                    <w:rPr>
                      <w:rFonts w:ascii="等线" w:hAnsi="等线"/>
                    </w:rPr>
                  </w:pPr>
                  <w:r>
                    <w:rPr>
                      <w:rFonts w:hint="eastAsia" w:ascii="等线" w:hAnsi="等线"/>
                    </w:rPr>
                    <w:t>1</w:t>
                  </w:r>
                </w:p>
              </w:tc>
            </w:tr>
            <w:tr w14:paraId="76521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13" w:type="dxa"/>
                  <w:noWrap/>
                  <w:vAlign w:val="center"/>
                </w:tcPr>
                <w:p w14:paraId="0156F9BA">
                  <w:pPr>
                    <w:spacing w:after="160" w:line="278" w:lineRule="auto"/>
                    <w:rPr>
                      <w:rFonts w:ascii="等线" w:hAnsi="等线"/>
                    </w:rPr>
                  </w:pPr>
                  <w:r>
                    <w:rPr>
                      <w:rFonts w:hint="eastAsia" w:ascii="等线" w:hAnsi="等线"/>
                    </w:rPr>
                    <w:t>nLib-soul</w:t>
                  </w:r>
                </w:p>
              </w:tc>
              <w:tc>
                <w:tcPr>
                  <w:tcW w:w="1224" w:type="dxa"/>
                  <w:noWrap/>
                  <w:vAlign w:val="center"/>
                </w:tcPr>
                <w:p w14:paraId="1EE00B89">
                  <w:pPr>
                    <w:spacing w:after="160" w:line="278" w:lineRule="auto"/>
                    <w:rPr>
                      <w:rFonts w:ascii="等线" w:hAnsi="等线"/>
                    </w:rPr>
                  </w:pPr>
                  <w:r>
                    <w:rPr>
                      <w:rFonts w:hint="eastAsia" w:ascii="等线" w:hAnsi="等线"/>
                    </w:rPr>
                    <w:t>2008 R2</w:t>
                  </w:r>
                </w:p>
              </w:tc>
              <w:tc>
                <w:tcPr>
                  <w:tcW w:w="1559" w:type="dxa"/>
                  <w:noWrap/>
                  <w:vAlign w:val="center"/>
                </w:tcPr>
                <w:p w14:paraId="6F7ADA69">
                  <w:pPr>
                    <w:spacing w:after="160" w:line="278" w:lineRule="auto"/>
                    <w:rPr>
                      <w:rFonts w:ascii="等线" w:hAnsi="等线"/>
                    </w:rPr>
                  </w:pPr>
                  <w:r>
                    <w:rPr>
                      <w:rFonts w:hint="eastAsia" w:ascii="等线" w:hAnsi="等线"/>
                    </w:rPr>
                    <w:t>16 vCPU 16G</w:t>
                  </w:r>
                </w:p>
              </w:tc>
              <w:tc>
                <w:tcPr>
                  <w:tcW w:w="1843" w:type="dxa"/>
                  <w:noWrap/>
                  <w:vAlign w:val="center"/>
                </w:tcPr>
                <w:p w14:paraId="371FB0DD">
                  <w:pPr>
                    <w:spacing w:after="160" w:line="278" w:lineRule="auto"/>
                    <w:rPr>
                      <w:rFonts w:ascii="等线" w:hAnsi="等线"/>
                    </w:rPr>
                  </w:pPr>
                  <w:r>
                    <w:rPr>
                      <w:rFonts w:hint="eastAsia" w:ascii="等线" w:hAnsi="等线"/>
                    </w:rPr>
                    <w:t>1</w:t>
                  </w:r>
                </w:p>
              </w:tc>
            </w:tr>
            <w:tr w14:paraId="07FB9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13" w:type="dxa"/>
                  <w:noWrap/>
                  <w:vAlign w:val="center"/>
                </w:tcPr>
                <w:p w14:paraId="65C5F00B">
                  <w:pPr>
                    <w:spacing w:after="160" w:line="278" w:lineRule="auto"/>
                    <w:rPr>
                      <w:rFonts w:ascii="等线" w:hAnsi="等线"/>
                    </w:rPr>
                  </w:pPr>
                  <w:r>
                    <w:rPr>
                      <w:rFonts w:hint="eastAsia" w:ascii="等线" w:hAnsi="等线"/>
                    </w:rPr>
                    <w:t>nLib-GerResearch</w:t>
                  </w:r>
                </w:p>
              </w:tc>
              <w:tc>
                <w:tcPr>
                  <w:tcW w:w="1224" w:type="dxa"/>
                  <w:noWrap/>
                  <w:vAlign w:val="center"/>
                </w:tcPr>
                <w:p w14:paraId="0C8ABA37">
                  <w:pPr>
                    <w:spacing w:after="160" w:line="278" w:lineRule="auto"/>
                    <w:rPr>
                      <w:rFonts w:ascii="等线" w:hAnsi="等线"/>
                    </w:rPr>
                  </w:pPr>
                  <w:r>
                    <w:rPr>
                      <w:rFonts w:hint="eastAsia" w:ascii="等线" w:hAnsi="等线"/>
                    </w:rPr>
                    <w:t>2008 R2</w:t>
                  </w:r>
                </w:p>
              </w:tc>
              <w:tc>
                <w:tcPr>
                  <w:tcW w:w="1559" w:type="dxa"/>
                  <w:noWrap/>
                  <w:vAlign w:val="center"/>
                </w:tcPr>
                <w:p w14:paraId="2063CEA0">
                  <w:pPr>
                    <w:spacing w:after="160" w:line="278" w:lineRule="auto"/>
                    <w:rPr>
                      <w:rFonts w:ascii="等线" w:hAnsi="等线"/>
                    </w:rPr>
                  </w:pPr>
                  <w:r>
                    <w:rPr>
                      <w:rFonts w:hint="eastAsia" w:ascii="等线" w:hAnsi="等线"/>
                    </w:rPr>
                    <w:t>16 vCPU 16G</w:t>
                  </w:r>
                </w:p>
              </w:tc>
              <w:tc>
                <w:tcPr>
                  <w:tcW w:w="1843" w:type="dxa"/>
                  <w:noWrap/>
                  <w:vAlign w:val="center"/>
                </w:tcPr>
                <w:p w14:paraId="06B4A5CB">
                  <w:pPr>
                    <w:spacing w:after="160" w:line="278" w:lineRule="auto"/>
                    <w:rPr>
                      <w:rFonts w:ascii="等线" w:hAnsi="等线"/>
                    </w:rPr>
                  </w:pPr>
                  <w:r>
                    <w:rPr>
                      <w:rFonts w:hint="eastAsia" w:ascii="等线" w:hAnsi="等线"/>
                    </w:rPr>
                    <w:t>1</w:t>
                  </w:r>
                </w:p>
              </w:tc>
            </w:tr>
            <w:tr w14:paraId="1855E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13" w:type="dxa"/>
                  <w:noWrap/>
                  <w:vAlign w:val="center"/>
                </w:tcPr>
                <w:p w14:paraId="6495FC0A">
                  <w:pPr>
                    <w:spacing w:after="160" w:line="278" w:lineRule="auto"/>
                    <w:rPr>
                      <w:rFonts w:ascii="等线" w:hAnsi="等线"/>
                    </w:rPr>
                  </w:pPr>
                  <w:r>
                    <w:rPr>
                      <w:rFonts w:hint="eastAsia" w:ascii="等线" w:hAnsi="等线"/>
                    </w:rPr>
                    <w:t>nLib-TeSeZJ</w:t>
                  </w:r>
                </w:p>
              </w:tc>
              <w:tc>
                <w:tcPr>
                  <w:tcW w:w="1224" w:type="dxa"/>
                  <w:noWrap/>
                  <w:vAlign w:val="center"/>
                </w:tcPr>
                <w:p w14:paraId="4A8F449A">
                  <w:pPr>
                    <w:spacing w:after="160" w:line="278" w:lineRule="auto"/>
                    <w:rPr>
                      <w:rFonts w:ascii="等线" w:hAnsi="等线"/>
                    </w:rPr>
                  </w:pPr>
                  <w:r>
                    <w:rPr>
                      <w:rFonts w:hint="eastAsia" w:ascii="等线" w:hAnsi="等线"/>
                    </w:rPr>
                    <w:t>2008 R2</w:t>
                  </w:r>
                </w:p>
              </w:tc>
              <w:tc>
                <w:tcPr>
                  <w:tcW w:w="1559" w:type="dxa"/>
                  <w:noWrap/>
                  <w:vAlign w:val="center"/>
                </w:tcPr>
                <w:p w14:paraId="256970CF">
                  <w:pPr>
                    <w:spacing w:after="160" w:line="278" w:lineRule="auto"/>
                    <w:rPr>
                      <w:rFonts w:ascii="等线" w:hAnsi="等线"/>
                    </w:rPr>
                  </w:pPr>
                  <w:r>
                    <w:rPr>
                      <w:rFonts w:hint="eastAsia" w:ascii="等线" w:hAnsi="等线"/>
                    </w:rPr>
                    <w:t>16 vCPU 16G</w:t>
                  </w:r>
                </w:p>
              </w:tc>
              <w:tc>
                <w:tcPr>
                  <w:tcW w:w="1843" w:type="dxa"/>
                  <w:noWrap/>
                  <w:vAlign w:val="center"/>
                </w:tcPr>
                <w:p w14:paraId="786F3478">
                  <w:pPr>
                    <w:spacing w:after="160" w:line="278" w:lineRule="auto"/>
                    <w:rPr>
                      <w:rFonts w:ascii="等线" w:hAnsi="等线"/>
                    </w:rPr>
                  </w:pPr>
                  <w:r>
                    <w:rPr>
                      <w:rFonts w:hint="eastAsia" w:ascii="等线" w:hAnsi="等线"/>
                    </w:rPr>
                    <w:t>1</w:t>
                  </w:r>
                </w:p>
              </w:tc>
            </w:tr>
            <w:tr w14:paraId="2AE54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13" w:type="dxa"/>
                  <w:noWrap/>
                  <w:vAlign w:val="center"/>
                </w:tcPr>
                <w:p w14:paraId="62064252">
                  <w:pPr>
                    <w:spacing w:after="160" w:line="278" w:lineRule="auto"/>
                    <w:rPr>
                      <w:rFonts w:ascii="等线" w:hAnsi="等线"/>
                    </w:rPr>
                  </w:pPr>
                  <w:r>
                    <w:rPr>
                      <w:rFonts w:hint="eastAsia" w:ascii="等线" w:hAnsi="等线"/>
                    </w:rPr>
                    <w:t xml:space="preserve">nLib-RFID </w:t>
                  </w:r>
                </w:p>
              </w:tc>
              <w:tc>
                <w:tcPr>
                  <w:tcW w:w="1224" w:type="dxa"/>
                  <w:noWrap/>
                  <w:vAlign w:val="center"/>
                </w:tcPr>
                <w:p w14:paraId="72FCCF8C">
                  <w:pPr>
                    <w:spacing w:after="160" w:line="278" w:lineRule="auto"/>
                    <w:rPr>
                      <w:rFonts w:ascii="等线" w:hAnsi="等线"/>
                    </w:rPr>
                  </w:pPr>
                  <w:r>
                    <w:rPr>
                      <w:rFonts w:hint="eastAsia" w:ascii="等线" w:hAnsi="等线"/>
                    </w:rPr>
                    <w:t>2008 R2</w:t>
                  </w:r>
                </w:p>
              </w:tc>
              <w:tc>
                <w:tcPr>
                  <w:tcW w:w="1559" w:type="dxa"/>
                  <w:noWrap/>
                  <w:vAlign w:val="center"/>
                </w:tcPr>
                <w:p w14:paraId="46A58DB3">
                  <w:pPr>
                    <w:spacing w:after="160" w:line="278" w:lineRule="auto"/>
                    <w:rPr>
                      <w:rFonts w:ascii="等线" w:hAnsi="等线"/>
                    </w:rPr>
                  </w:pPr>
                  <w:r>
                    <w:rPr>
                      <w:rFonts w:hint="eastAsia" w:ascii="等线" w:hAnsi="等线"/>
                    </w:rPr>
                    <w:t>16 vCPU 16G</w:t>
                  </w:r>
                </w:p>
              </w:tc>
              <w:tc>
                <w:tcPr>
                  <w:tcW w:w="1843" w:type="dxa"/>
                  <w:noWrap/>
                  <w:vAlign w:val="center"/>
                </w:tcPr>
                <w:p w14:paraId="361655C4">
                  <w:pPr>
                    <w:spacing w:after="160" w:line="278" w:lineRule="auto"/>
                    <w:rPr>
                      <w:rFonts w:ascii="等线" w:hAnsi="等线"/>
                    </w:rPr>
                  </w:pPr>
                  <w:r>
                    <w:rPr>
                      <w:rFonts w:hint="eastAsia" w:ascii="等线" w:hAnsi="等线"/>
                    </w:rPr>
                    <w:t>0.5</w:t>
                  </w:r>
                </w:p>
              </w:tc>
            </w:tr>
            <w:tr w14:paraId="52302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13" w:type="dxa"/>
                  <w:noWrap/>
                  <w:vAlign w:val="center"/>
                </w:tcPr>
                <w:p w14:paraId="0A934937">
                  <w:pPr>
                    <w:spacing w:after="160" w:line="278" w:lineRule="auto"/>
                    <w:rPr>
                      <w:rFonts w:ascii="等线" w:hAnsi="等线"/>
                    </w:rPr>
                  </w:pPr>
                  <w:r>
                    <w:rPr>
                      <w:rFonts w:hint="eastAsia" w:ascii="等线" w:hAnsi="等线"/>
                    </w:rPr>
                    <w:t>nLib-AFDServer</w:t>
                  </w:r>
                </w:p>
              </w:tc>
              <w:tc>
                <w:tcPr>
                  <w:tcW w:w="1224" w:type="dxa"/>
                  <w:noWrap/>
                  <w:vAlign w:val="center"/>
                </w:tcPr>
                <w:p w14:paraId="5BFC6004">
                  <w:pPr>
                    <w:spacing w:after="160" w:line="278" w:lineRule="auto"/>
                    <w:rPr>
                      <w:rFonts w:ascii="等线" w:hAnsi="等线"/>
                    </w:rPr>
                  </w:pPr>
                  <w:r>
                    <w:rPr>
                      <w:rFonts w:hint="eastAsia" w:ascii="等线" w:hAnsi="等线"/>
                    </w:rPr>
                    <w:t>2008 R2</w:t>
                  </w:r>
                </w:p>
              </w:tc>
              <w:tc>
                <w:tcPr>
                  <w:tcW w:w="1559" w:type="dxa"/>
                  <w:noWrap/>
                  <w:vAlign w:val="center"/>
                </w:tcPr>
                <w:p w14:paraId="7444ACD0">
                  <w:pPr>
                    <w:spacing w:after="160" w:line="278" w:lineRule="auto"/>
                    <w:rPr>
                      <w:rFonts w:ascii="等线" w:hAnsi="等线"/>
                    </w:rPr>
                  </w:pPr>
                  <w:r>
                    <w:rPr>
                      <w:rFonts w:hint="eastAsia" w:ascii="等线" w:hAnsi="等线"/>
                    </w:rPr>
                    <w:t>16 vCPU 16G</w:t>
                  </w:r>
                </w:p>
              </w:tc>
              <w:tc>
                <w:tcPr>
                  <w:tcW w:w="1843" w:type="dxa"/>
                  <w:noWrap/>
                  <w:vAlign w:val="center"/>
                </w:tcPr>
                <w:p w14:paraId="28D08DEB">
                  <w:pPr>
                    <w:spacing w:after="160" w:line="278" w:lineRule="auto"/>
                    <w:rPr>
                      <w:rFonts w:ascii="等线" w:hAnsi="等线"/>
                    </w:rPr>
                  </w:pPr>
                  <w:r>
                    <w:rPr>
                      <w:rFonts w:hint="eastAsia" w:ascii="等线" w:hAnsi="等线"/>
                    </w:rPr>
                    <w:t>0.5</w:t>
                  </w:r>
                </w:p>
              </w:tc>
            </w:tr>
            <w:tr w14:paraId="47B6D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13" w:type="dxa"/>
                  <w:noWrap/>
                  <w:vAlign w:val="center"/>
                </w:tcPr>
                <w:p w14:paraId="064B5EA3">
                  <w:pPr>
                    <w:spacing w:after="160" w:line="278" w:lineRule="auto"/>
                    <w:rPr>
                      <w:rFonts w:ascii="等线" w:hAnsi="等线"/>
                    </w:rPr>
                  </w:pPr>
                  <w:r>
                    <w:rPr>
                      <w:rFonts w:hint="eastAsia" w:ascii="等线" w:hAnsi="等线"/>
                    </w:rPr>
                    <w:t>nLib-HengShu</w:t>
                  </w:r>
                </w:p>
              </w:tc>
              <w:tc>
                <w:tcPr>
                  <w:tcW w:w="1224" w:type="dxa"/>
                  <w:noWrap/>
                  <w:vAlign w:val="center"/>
                </w:tcPr>
                <w:p w14:paraId="7BA283A9">
                  <w:pPr>
                    <w:spacing w:after="160" w:line="278" w:lineRule="auto"/>
                    <w:rPr>
                      <w:rFonts w:ascii="等线" w:hAnsi="等线"/>
                    </w:rPr>
                  </w:pPr>
                  <w:r>
                    <w:rPr>
                      <w:rFonts w:hint="eastAsia" w:ascii="等线" w:hAnsi="等线"/>
                    </w:rPr>
                    <w:t>2008 R2</w:t>
                  </w:r>
                </w:p>
              </w:tc>
              <w:tc>
                <w:tcPr>
                  <w:tcW w:w="1559" w:type="dxa"/>
                  <w:noWrap/>
                  <w:vAlign w:val="center"/>
                </w:tcPr>
                <w:p w14:paraId="442E3CE2">
                  <w:pPr>
                    <w:spacing w:after="160" w:line="278" w:lineRule="auto"/>
                    <w:rPr>
                      <w:rFonts w:ascii="等线" w:hAnsi="等线"/>
                    </w:rPr>
                  </w:pPr>
                  <w:r>
                    <w:rPr>
                      <w:rFonts w:hint="eastAsia" w:ascii="等线" w:hAnsi="等线"/>
                    </w:rPr>
                    <w:t>16 vCPU 16G</w:t>
                  </w:r>
                </w:p>
              </w:tc>
              <w:tc>
                <w:tcPr>
                  <w:tcW w:w="1843" w:type="dxa"/>
                  <w:noWrap/>
                  <w:vAlign w:val="center"/>
                </w:tcPr>
                <w:p w14:paraId="1E0ECAC4">
                  <w:pPr>
                    <w:spacing w:after="160" w:line="278" w:lineRule="auto"/>
                    <w:rPr>
                      <w:rFonts w:ascii="等线" w:hAnsi="等线"/>
                    </w:rPr>
                  </w:pPr>
                  <w:r>
                    <w:rPr>
                      <w:rFonts w:hint="eastAsia" w:ascii="等线" w:hAnsi="等线"/>
                    </w:rPr>
                    <w:t>0.5</w:t>
                  </w:r>
                </w:p>
              </w:tc>
            </w:tr>
            <w:tr w14:paraId="50D2A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13" w:type="dxa"/>
                  <w:noWrap/>
                  <w:vAlign w:val="center"/>
                </w:tcPr>
                <w:p w14:paraId="071413D8">
                  <w:pPr>
                    <w:spacing w:after="160" w:line="278" w:lineRule="auto"/>
                    <w:rPr>
                      <w:rFonts w:ascii="等线" w:hAnsi="等线"/>
                    </w:rPr>
                  </w:pPr>
                  <w:r>
                    <w:rPr>
                      <w:rFonts w:hint="eastAsia" w:ascii="等线" w:hAnsi="等线"/>
                    </w:rPr>
                    <w:t>nLib-Backup</w:t>
                  </w:r>
                </w:p>
              </w:tc>
              <w:tc>
                <w:tcPr>
                  <w:tcW w:w="1224" w:type="dxa"/>
                  <w:noWrap/>
                  <w:vAlign w:val="center"/>
                </w:tcPr>
                <w:p w14:paraId="2C31F11A">
                  <w:pPr>
                    <w:spacing w:after="160" w:line="278" w:lineRule="auto"/>
                    <w:rPr>
                      <w:rFonts w:ascii="等线" w:hAnsi="等线"/>
                    </w:rPr>
                  </w:pPr>
                  <w:r>
                    <w:rPr>
                      <w:rFonts w:hint="eastAsia" w:ascii="等线" w:hAnsi="等线"/>
                    </w:rPr>
                    <w:t>2008 R2</w:t>
                  </w:r>
                </w:p>
              </w:tc>
              <w:tc>
                <w:tcPr>
                  <w:tcW w:w="1559" w:type="dxa"/>
                  <w:noWrap/>
                  <w:vAlign w:val="center"/>
                </w:tcPr>
                <w:p w14:paraId="075DCF57">
                  <w:pPr>
                    <w:spacing w:after="160" w:line="278" w:lineRule="auto"/>
                    <w:rPr>
                      <w:rFonts w:ascii="等线" w:hAnsi="等线"/>
                    </w:rPr>
                  </w:pPr>
                  <w:r>
                    <w:rPr>
                      <w:rFonts w:hint="eastAsia" w:ascii="等线" w:hAnsi="等线"/>
                    </w:rPr>
                    <w:t>16 vCPU 16G</w:t>
                  </w:r>
                </w:p>
              </w:tc>
              <w:tc>
                <w:tcPr>
                  <w:tcW w:w="1843" w:type="dxa"/>
                  <w:noWrap/>
                  <w:vAlign w:val="center"/>
                </w:tcPr>
                <w:p w14:paraId="213AE15C">
                  <w:pPr>
                    <w:spacing w:after="160" w:line="278" w:lineRule="auto"/>
                    <w:rPr>
                      <w:rFonts w:ascii="等线" w:hAnsi="等线"/>
                    </w:rPr>
                  </w:pPr>
                  <w:r>
                    <w:rPr>
                      <w:rFonts w:hint="eastAsia" w:ascii="等线" w:hAnsi="等线"/>
                    </w:rPr>
                    <w:t>3</w:t>
                  </w:r>
                </w:p>
              </w:tc>
            </w:tr>
            <w:tr w14:paraId="21590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13" w:type="dxa"/>
                  <w:noWrap/>
                  <w:vAlign w:val="center"/>
                </w:tcPr>
                <w:p w14:paraId="5F5C9A74">
                  <w:pPr>
                    <w:spacing w:after="160" w:line="278" w:lineRule="auto"/>
                    <w:rPr>
                      <w:rFonts w:ascii="等线" w:hAnsi="等线"/>
                    </w:rPr>
                  </w:pPr>
                </w:p>
              </w:tc>
              <w:tc>
                <w:tcPr>
                  <w:tcW w:w="1224" w:type="dxa"/>
                  <w:noWrap/>
                  <w:vAlign w:val="center"/>
                </w:tcPr>
                <w:p w14:paraId="2F8C8352">
                  <w:pPr>
                    <w:spacing w:after="160" w:line="278" w:lineRule="auto"/>
                    <w:rPr>
                      <w:rFonts w:ascii="等线" w:hAnsi="等线"/>
                    </w:rPr>
                  </w:pPr>
                </w:p>
              </w:tc>
              <w:tc>
                <w:tcPr>
                  <w:tcW w:w="1559" w:type="dxa"/>
                  <w:noWrap/>
                  <w:vAlign w:val="center"/>
                </w:tcPr>
                <w:p w14:paraId="197B2645">
                  <w:pPr>
                    <w:spacing w:after="160" w:line="278" w:lineRule="auto"/>
                    <w:rPr>
                      <w:rFonts w:ascii="等线" w:hAnsi="等线"/>
                    </w:rPr>
                  </w:pPr>
                </w:p>
              </w:tc>
              <w:tc>
                <w:tcPr>
                  <w:tcW w:w="1843" w:type="dxa"/>
                  <w:noWrap/>
                  <w:vAlign w:val="center"/>
                </w:tcPr>
                <w:p w14:paraId="16F6817D">
                  <w:pPr>
                    <w:spacing w:after="160" w:line="278" w:lineRule="auto"/>
                    <w:rPr>
                      <w:rFonts w:ascii="等线" w:hAnsi="等线"/>
                    </w:rPr>
                  </w:pPr>
                  <w:r>
                    <w:rPr>
                      <w:rFonts w:hint="eastAsia" w:ascii="等线" w:hAnsi="等线"/>
                    </w:rPr>
                    <w:t>136.5</w:t>
                  </w:r>
                </w:p>
              </w:tc>
            </w:tr>
          </w:tbl>
          <w:p w14:paraId="4E33A281">
            <w:pPr>
              <w:spacing w:after="160" w:line="278" w:lineRule="auto"/>
              <w:rPr>
                <w:rFonts w:ascii="等线" w:hAnsi="等线"/>
              </w:rPr>
            </w:pPr>
            <w:r>
              <w:rPr>
                <w:rFonts w:hint="eastAsia" w:ascii="等线" w:hAnsi="等线"/>
              </w:rPr>
              <w:t>迁移要求：</w:t>
            </w:r>
          </w:p>
          <w:p w14:paraId="12B7AE16">
            <w:pPr>
              <w:spacing w:after="160" w:line="278" w:lineRule="auto"/>
              <w:rPr>
                <w:rFonts w:ascii="等线" w:hAnsi="等线"/>
              </w:rPr>
            </w:pPr>
            <w:r>
              <w:rPr>
                <w:rFonts w:hint="eastAsia" w:ascii="等线" w:hAnsi="等线"/>
              </w:rPr>
              <w:t>1、在新系统中创建如上表对应虚拟服务器；</w:t>
            </w:r>
          </w:p>
          <w:p w14:paraId="71D20998">
            <w:pPr>
              <w:spacing w:after="160" w:line="278" w:lineRule="auto"/>
              <w:rPr>
                <w:rFonts w:ascii="等线" w:hAnsi="等线"/>
              </w:rPr>
            </w:pPr>
            <w:r>
              <w:rPr>
                <w:rFonts w:hint="eastAsia" w:ascii="等线" w:hAnsi="等线"/>
              </w:rPr>
              <w:t>2、将原系统中虚拟服务器中的数据、程序、服务迁移到新系统中的虚拟服务器；</w:t>
            </w:r>
          </w:p>
          <w:p w14:paraId="43467620">
            <w:pPr>
              <w:spacing w:after="160" w:line="278" w:lineRule="auto"/>
              <w:rPr>
                <w:rFonts w:ascii="等线" w:hAnsi="等线"/>
              </w:rPr>
            </w:pPr>
            <w:r>
              <w:rPr>
                <w:rFonts w:hint="eastAsia" w:ascii="等线" w:hAnsi="等线"/>
              </w:rPr>
              <w:t>3、配合图书馆及应用服务商恢复服务。</w:t>
            </w:r>
          </w:p>
        </w:tc>
      </w:tr>
      <w:bookmarkEnd w:id="28"/>
    </w:tbl>
    <w:p w14:paraId="23440989">
      <w:pPr>
        <w:pStyle w:val="2"/>
        <w:ind w:firstLine="0"/>
        <w:rPr>
          <w:rFonts w:ascii="仿宋" w:hAnsi="仿宋" w:eastAsia="仿宋"/>
          <w:b/>
          <w:bCs/>
          <w:color w:val="000000" w:themeColor="text1"/>
          <w:sz w:val="28"/>
          <w:szCs w:val="28"/>
          <w14:textFill>
            <w14:solidFill>
              <w14:schemeClr w14:val="tx1"/>
            </w14:solidFill>
          </w14:textFill>
        </w:rPr>
      </w:pPr>
    </w:p>
    <w:p w14:paraId="18F96F72">
      <w:pPr>
        <w:rPr>
          <w:rFonts w:ascii="仿宋" w:hAnsi="仿宋" w:eastAsia="仿宋"/>
          <w:b/>
          <w:bCs/>
          <w:color w:val="000000" w:themeColor="text1"/>
          <w:sz w:val="28"/>
          <w:szCs w:val="28"/>
          <w14:textFill>
            <w14:solidFill>
              <w14:schemeClr w14:val="tx1"/>
            </w14:solidFill>
          </w14:textFill>
        </w:rPr>
      </w:pPr>
    </w:p>
    <w:p w14:paraId="1479F386">
      <w:pPr>
        <w:pStyle w:val="2"/>
        <w:ind w:firstLine="0"/>
        <w:rPr>
          <w:rFonts w:ascii="仿宋" w:hAnsi="仿宋" w:eastAsia="仿宋"/>
          <w:b/>
          <w:bCs/>
          <w:color w:val="000000" w:themeColor="text1"/>
          <w:sz w:val="28"/>
          <w:szCs w:val="28"/>
          <w14:textFill>
            <w14:solidFill>
              <w14:schemeClr w14:val="tx1"/>
            </w14:solidFill>
          </w14:textFill>
        </w:rPr>
      </w:pPr>
    </w:p>
    <w:p w14:paraId="3E8CE3CF">
      <w:pPr>
        <w:rPr>
          <w:rFonts w:ascii="仿宋" w:hAnsi="仿宋" w:eastAsia="仿宋"/>
          <w:b/>
          <w:bCs/>
          <w:color w:val="000000" w:themeColor="text1"/>
          <w:sz w:val="28"/>
          <w:szCs w:val="28"/>
          <w14:textFill>
            <w14:solidFill>
              <w14:schemeClr w14:val="tx1"/>
            </w14:solidFill>
          </w14:textFill>
        </w:rPr>
      </w:pPr>
    </w:p>
    <w:p w14:paraId="5DCDF4B1">
      <w:pPr>
        <w:pStyle w:val="2"/>
        <w:ind w:firstLine="0"/>
      </w:pPr>
    </w:p>
    <w:tbl>
      <w:tblPr>
        <w:tblStyle w:val="59"/>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5"/>
        <w:gridCol w:w="6863"/>
      </w:tblGrid>
      <w:tr w14:paraId="5AF676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528" w:type="dxa"/>
            <w:gridSpan w:val="2"/>
            <w:tcBorders>
              <w:top w:val="single" w:color="auto" w:sz="4" w:space="0"/>
              <w:left w:val="single" w:color="auto" w:sz="4" w:space="0"/>
              <w:bottom w:val="single" w:color="auto" w:sz="4" w:space="0"/>
              <w:right w:val="single" w:color="auto" w:sz="4" w:space="0"/>
            </w:tcBorders>
            <w:vAlign w:val="center"/>
          </w:tcPr>
          <w:p w14:paraId="378BDA83">
            <w:pPr>
              <w:spacing w:after="160" w:line="278" w:lineRule="auto"/>
              <w:jc w:val="center"/>
              <w:rPr>
                <w:rFonts w:ascii="等线" w:hAnsi="等线"/>
              </w:rPr>
            </w:pPr>
            <w:bookmarkStart w:id="34" w:name="_Hlk97039632"/>
            <w:r>
              <w:rPr>
                <w:rFonts w:hint="eastAsia" w:ascii="等线 Light" w:hAnsi="等线 Light"/>
                <w:b/>
                <w:bCs/>
                <w:sz w:val="30"/>
                <w:szCs w:val="32"/>
              </w:rPr>
              <w:t>服务要求</w:t>
            </w:r>
          </w:p>
        </w:tc>
      </w:tr>
      <w:tr w14:paraId="0BB609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65" w:type="dxa"/>
            <w:tcBorders>
              <w:top w:val="single" w:color="auto" w:sz="4" w:space="0"/>
              <w:left w:val="single" w:color="auto" w:sz="4" w:space="0"/>
              <w:bottom w:val="single" w:color="auto" w:sz="4" w:space="0"/>
              <w:right w:val="single" w:color="auto" w:sz="4" w:space="0"/>
            </w:tcBorders>
            <w:vAlign w:val="center"/>
          </w:tcPr>
          <w:p w14:paraId="1C0F2D68">
            <w:pPr>
              <w:spacing w:after="160" w:line="278" w:lineRule="auto"/>
              <w:rPr>
                <w:rFonts w:ascii="等线" w:hAnsi="等线"/>
              </w:rPr>
            </w:pPr>
            <w:r>
              <w:rPr>
                <w:rFonts w:hint="eastAsia" w:ascii="等线" w:hAnsi="等线"/>
              </w:rPr>
              <w:t>交付时间</w:t>
            </w:r>
          </w:p>
        </w:tc>
        <w:tc>
          <w:tcPr>
            <w:tcW w:w="6863" w:type="dxa"/>
            <w:tcBorders>
              <w:top w:val="single" w:color="auto" w:sz="4" w:space="0"/>
              <w:left w:val="single" w:color="auto" w:sz="4" w:space="0"/>
              <w:bottom w:val="single" w:color="auto" w:sz="4" w:space="0"/>
              <w:right w:val="single" w:color="auto" w:sz="4" w:space="0"/>
            </w:tcBorders>
            <w:vAlign w:val="center"/>
          </w:tcPr>
          <w:p w14:paraId="2479307D">
            <w:pPr>
              <w:spacing w:after="160" w:line="278" w:lineRule="auto"/>
              <w:rPr>
                <w:rFonts w:ascii="等线" w:hAnsi="等线"/>
              </w:rPr>
            </w:pPr>
            <w:r>
              <w:rPr>
                <w:rFonts w:hint="eastAsia" w:ascii="等线" w:hAnsi="等线"/>
              </w:rPr>
              <w:t>合同签订后20个工作日内</w:t>
            </w:r>
          </w:p>
        </w:tc>
      </w:tr>
      <w:tr w14:paraId="0A3D47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65" w:type="dxa"/>
            <w:tcBorders>
              <w:top w:val="single" w:color="auto" w:sz="4" w:space="0"/>
              <w:left w:val="single" w:color="auto" w:sz="4" w:space="0"/>
              <w:bottom w:val="single" w:color="auto" w:sz="4" w:space="0"/>
              <w:right w:val="single" w:color="auto" w:sz="4" w:space="0"/>
            </w:tcBorders>
            <w:vAlign w:val="center"/>
          </w:tcPr>
          <w:p w14:paraId="0DDC4710">
            <w:pPr>
              <w:spacing w:after="160" w:line="278" w:lineRule="auto"/>
              <w:rPr>
                <w:rFonts w:ascii="等线" w:hAnsi="等线"/>
              </w:rPr>
            </w:pPr>
            <w:r>
              <w:rPr>
                <w:rFonts w:hint="eastAsia" w:ascii="等线" w:hAnsi="等线"/>
              </w:rPr>
              <w:t>交付地点</w:t>
            </w:r>
          </w:p>
        </w:tc>
        <w:tc>
          <w:tcPr>
            <w:tcW w:w="6863" w:type="dxa"/>
            <w:tcBorders>
              <w:top w:val="single" w:color="auto" w:sz="4" w:space="0"/>
              <w:left w:val="single" w:color="auto" w:sz="4" w:space="0"/>
              <w:bottom w:val="single" w:color="auto" w:sz="4" w:space="0"/>
              <w:right w:val="single" w:color="auto" w:sz="4" w:space="0"/>
            </w:tcBorders>
            <w:vAlign w:val="center"/>
          </w:tcPr>
          <w:p w14:paraId="2EC1D99C">
            <w:pPr>
              <w:spacing w:after="160" w:line="278" w:lineRule="auto"/>
              <w:rPr>
                <w:rFonts w:ascii="等线" w:hAnsi="等线"/>
              </w:rPr>
            </w:pPr>
            <w:r>
              <w:rPr>
                <w:rFonts w:hint="eastAsia" w:ascii="等线" w:hAnsi="等线"/>
              </w:rPr>
              <w:t>采购人指定地点</w:t>
            </w:r>
          </w:p>
        </w:tc>
      </w:tr>
      <w:bookmarkEnd w:id="34"/>
      <w:tr w14:paraId="6105EA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65" w:type="dxa"/>
            <w:tcBorders>
              <w:top w:val="single" w:color="auto" w:sz="4" w:space="0"/>
              <w:left w:val="single" w:color="auto" w:sz="4" w:space="0"/>
              <w:bottom w:val="single" w:color="auto" w:sz="4" w:space="0"/>
              <w:right w:val="single" w:color="auto" w:sz="4" w:space="0"/>
            </w:tcBorders>
            <w:vAlign w:val="center"/>
          </w:tcPr>
          <w:p w14:paraId="2DFEFC31">
            <w:pPr>
              <w:spacing w:after="160" w:line="278" w:lineRule="auto"/>
              <w:rPr>
                <w:rFonts w:ascii="等线" w:hAnsi="等线"/>
              </w:rPr>
            </w:pPr>
            <w:r>
              <w:rPr>
                <w:rFonts w:hint="eastAsia" w:ascii="等线" w:hAnsi="等线"/>
              </w:rPr>
              <w:t>▲质保期</w:t>
            </w:r>
          </w:p>
        </w:tc>
        <w:tc>
          <w:tcPr>
            <w:tcW w:w="6863" w:type="dxa"/>
            <w:tcBorders>
              <w:top w:val="single" w:color="auto" w:sz="4" w:space="0"/>
              <w:left w:val="single" w:color="auto" w:sz="4" w:space="0"/>
              <w:bottom w:val="single" w:color="auto" w:sz="4" w:space="0"/>
              <w:right w:val="single" w:color="auto" w:sz="4" w:space="0"/>
            </w:tcBorders>
            <w:vAlign w:val="center"/>
          </w:tcPr>
          <w:p w14:paraId="18832802">
            <w:pPr>
              <w:spacing w:after="160" w:line="278" w:lineRule="auto"/>
              <w:rPr>
                <w:rFonts w:ascii="等线" w:hAnsi="等线"/>
              </w:rPr>
            </w:pPr>
            <w:r>
              <w:rPr>
                <w:rFonts w:hint="eastAsia" w:ascii="等线" w:hAnsi="等线"/>
              </w:rPr>
              <w:t>中标后提供5年原厂质保函，项目验收合格后开始计算</w:t>
            </w:r>
          </w:p>
        </w:tc>
      </w:tr>
      <w:tr w14:paraId="0CDC65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65" w:type="dxa"/>
            <w:tcBorders>
              <w:top w:val="single" w:color="auto" w:sz="4" w:space="0"/>
              <w:left w:val="single" w:color="auto" w:sz="4" w:space="0"/>
              <w:bottom w:val="single" w:color="auto" w:sz="4" w:space="0"/>
              <w:right w:val="single" w:color="auto" w:sz="4" w:space="0"/>
            </w:tcBorders>
            <w:vAlign w:val="center"/>
          </w:tcPr>
          <w:p w14:paraId="00910DD2">
            <w:pPr>
              <w:spacing w:after="160" w:line="278" w:lineRule="auto"/>
              <w:rPr>
                <w:rFonts w:ascii="等线" w:hAnsi="等线"/>
              </w:rPr>
            </w:pPr>
            <w:r>
              <w:rPr>
                <w:rFonts w:hint="eastAsia" w:ascii="等线" w:hAnsi="等线"/>
              </w:rPr>
              <w:t>服务标准、期限、效率</w:t>
            </w:r>
          </w:p>
        </w:tc>
        <w:tc>
          <w:tcPr>
            <w:tcW w:w="6863" w:type="dxa"/>
            <w:tcBorders>
              <w:top w:val="single" w:color="auto" w:sz="4" w:space="0"/>
              <w:left w:val="single" w:color="auto" w:sz="4" w:space="0"/>
              <w:bottom w:val="single" w:color="auto" w:sz="4" w:space="0"/>
              <w:right w:val="single" w:color="auto" w:sz="4" w:space="0"/>
            </w:tcBorders>
            <w:vAlign w:val="center"/>
          </w:tcPr>
          <w:p w14:paraId="364E6995">
            <w:pPr>
              <w:spacing w:after="160" w:line="278" w:lineRule="auto"/>
              <w:rPr>
                <w:rFonts w:ascii="等线" w:hAnsi="等线"/>
              </w:rPr>
            </w:pPr>
            <w:r>
              <w:rPr>
                <w:rFonts w:hint="eastAsia" w:ascii="等线" w:hAnsi="等线"/>
              </w:rPr>
              <w:t>1.在质保期内，供应商应对货物出现的质量及安全问题负责处理解决并承担一切费用。</w:t>
            </w:r>
          </w:p>
          <w:p w14:paraId="3CAA2877">
            <w:pPr>
              <w:spacing w:after="160" w:line="278" w:lineRule="auto"/>
              <w:rPr>
                <w:rFonts w:ascii="等线" w:hAnsi="等线"/>
              </w:rPr>
            </w:pPr>
            <w:r>
              <w:rPr>
                <w:rFonts w:hint="eastAsia" w:ascii="等线" w:hAnsi="等线"/>
              </w:rPr>
              <w:t>2.质保期内出现无法排除的故障，供应商需无条件更换同型号产品。</w:t>
            </w:r>
          </w:p>
          <w:p w14:paraId="404828C7">
            <w:pPr>
              <w:spacing w:after="160" w:line="278" w:lineRule="auto"/>
              <w:rPr>
                <w:rFonts w:ascii="等线" w:hAnsi="等线"/>
              </w:rPr>
            </w:pPr>
            <w:r>
              <w:rPr>
                <w:rFonts w:hint="eastAsia" w:ascii="等线" w:hAnsi="等线"/>
              </w:rPr>
              <w:t>3.质保期满后，供应商继续为采购人服务，仅收取零配件成本费。</w:t>
            </w:r>
          </w:p>
          <w:p w14:paraId="2F4336B4">
            <w:pPr>
              <w:spacing w:after="160" w:line="278" w:lineRule="auto"/>
              <w:rPr>
                <w:rFonts w:ascii="等线" w:hAnsi="等线"/>
              </w:rPr>
            </w:pPr>
            <w:r>
              <w:rPr>
                <w:rFonts w:hint="eastAsia" w:ascii="等线" w:hAnsi="等线"/>
              </w:rPr>
              <w:t>4.因人为因素出现的故障不在免费保修范围内。</w:t>
            </w:r>
          </w:p>
          <w:p w14:paraId="56E1E467">
            <w:pPr>
              <w:spacing w:after="160" w:line="278" w:lineRule="auto"/>
              <w:rPr>
                <w:rFonts w:ascii="等线" w:hAnsi="等线"/>
              </w:rPr>
            </w:pPr>
            <w:r>
              <w:rPr>
                <w:rFonts w:hint="eastAsia" w:ascii="等线" w:hAnsi="等线"/>
              </w:rPr>
              <w:t>5.设备最终用户为浙江外国语学院，生产日期不早于2024年6月，中标后签订合同前需出具原厂服务承诺函</w:t>
            </w:r>
          </w:p>
        </w:tc>
      </w:tr>
      <w:tr w14:paraId="47F776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65" w:type="dxa"/>
            <w:tcBorders>
              <w:top w:val="single" w:color="auto" w:sz="4" w:space="0"/>
              <w:left w:val="single" w:color="auto" w:sz="4" w:space="0"/>
              <w:bottom w:val="single" w:color="auto" w:sz="4" w:space="0"/>
              <w:right w:val="single" w:color="auto" w:sz="4" w:space="0"/>
            </w:tcBorders>
            <w:vAlign w:val="center"/>
          </w:tcPr>
          <w:p w14:paraId="480D7736">
            <w:pPr>
              <w:spacing w:after="160" w:line="278" w:lineRule="auto"/>
              <w:rPr>
                <w:rFonts w:ascii="等线" w:hAnsi="等线"/>
              </w:rPr>
            </w:pPr>
            <w:r>
              <w:rPr>
                <w:rFonts w:hint="eastAsia" w:ascii="等线" w:hAnsi="等线"/>
              </w:rPr>
              <w:t>验收标准</w:t>
            </w:r>
          </w:p>
        </w:tc>
        <w:tc>
          <w:tcPr>
            <w:tcW w:w="6863" w:type="dxa"/>
            <w:tcBorders>
              <w:top w:val="single" w:color="auto" w:sz="4" w:space="0"/>
              <w:left w:val="single" w:color="auto" w:sz="4" w:space="0"/>
              <w:bottom w:val="single" w:color="auto" w:sz="4" w:space="0"/>
              <w:right w:val="single" w:color="auto" w:sz="4" w:space="0"/>
            </w:tcBorders>
            <w:vAlign w:val="center"/>
          </w:tcPr>
          <w:p w14:paraId="254254C5">
            <w:pPr>
              <w:spacing w:after="160" w:line="278" w:lineRule="auto"/>
              <w:rPr>
                <w:rFonts w:ascii="等线" w:hAnsi="等线"/>
              </w:rPr>
            </w:pPr>
            <w:r>
              <w:rPr>
                <w:rFonts w:hint="eastAsia" w:ascii="等线" w:hAnsi="等线"/>
              </w:rPr>
              <w:t>1.验收由采购人负责实施；</w:t>
            </w:r>
          </w:p>
          <w:p w14:paraId="47A1136F">
            <w:pPr>
              <w:spacing w:after="160" w:line="278" w:lineRule="auto"/>
              <w:rPr>
                <w:rFonts w:ascii="等线" w:hAnsi="等线"/>
              </w:rPr>
            </w:pPr>
            <w:r>
              <w:rPr>
                <w:rFonts w:hint="eastAsia" w:ascii="等线" w:hAnsi="等线"/>
              </w:rPr>
              <w:t>2.验收依据：</w:t>
            </w:r>
          </w:p>
          <w:p w14:paraId="6FA0108B">
            <w:pPr>
              <w:spacing w:after="160" w:line="278" w:lineRule="auto"/>
              <w:rPr>
                <w:rFonts w:ascii="等线" w:hAnsi="等线"/>
              </w:rPr>
            </w:pPr>
            <w:r>
              <w:rPr>
                <w:rFonts w:hint="eastAsia" w:ascii="等线" w:hAnsi="等线"/>
              </w:rPr>
              <w:t>2.1合同、磋商文件、响应文件；</w:t>
            </w:r>
          </w:p>
          <w:p w14:paraId="2D40A2CD">
            <w:pPr>
              <w:spacing w:after="160" w:line="278" w:lineRule="auto"/>
              <w:rPr>
                <w:rFonts w:ascii="等线" w:hAnsi="等线"/>
              </w:rPr>
            </w:pPr>
            <w:r>
              <w:rPr>
                <w:rFonts w:hint="eastAsia" w:ascii="等线" w:hAnsi="等线"/>
              </w:rPr>
              <w:t>2.2供应商提供的技术规格、经采购人认可的合同货物的有效检验文件；</w:t>
            </w:r>
          </w:p>
          <w:p w14:paraId="47D84C23">
            <w:pPr>
              <w:spacing w:after="160" w:line="278" w:lineRule="auto"/>
              <w:rPr>
                <w:rFonts w:ascii="等线" w:hAnsi="等线"/>
              </w:rPr>
            </w:pPr>
            <w:r>
              <w:rPr>
                <w:rFonts w:hint="eastAsia" w:ascii="等线" w:hAnsi="等线"/>
              </w:rPr>
              <w:t>2.3供应商响应文件中提供的经采购人认可的合同货物的验收标准（符合中国有关的国家、地方、行业标准）和检测办法及相应检测手段。</w:t>
            </w:r>
          </w:p>
          <w:p w14:paraId="330386BA">
            <w:pPr>
              <w:spacing w:after="160" w:line="278" w:lineRule="auto"/>
              <w:rPr>
                <w:rFonts w:ascii="等线" w:hAnsi="等线"/>
              </w:rPr>
            </w:pPr>
            <w:r>
              <w:rPr>
                <w:rFonts w:hint="eastAsia" w:ascii="等线" w:hAnsi="等线"/>
              </w:rPr>
              <w:t>3.供应商应派员在所供货物到采购人处时进行到货验收，有需要时能联系产品制造商到场共同验收，若发现任何损坏及质量问题，供应商负责妥善处理直至采购人满意，由此产生的费用由供应商承担。</w:t>
            </w:r>
          </w:p>
          <w:p w14:paraId="51B4C5E6">
            <w:pPr>
              <w:spacing w:after="160" w:line="278" w:lineRule="auto"/>
              <w:rPr>
                <w:rFonts w:ascii="等线" w:hAnsi="等线"/>
              </w:rPr>
            </w:pPr>
            <w:r>
              <w:rPr>
                <w:rFonts w:hint="eastAsia" w:ascii="等线" w:hAnsi="等线"/>
              </w:rPr>
              <w:t>4.验收合格的条件：</w:t>
            </w:r>
          </w:p>
          <w:p w14:paraId="5E4B8E88">
            <w:pPr>
              <w:spacing w:after="160" w:line="278" w:lineRule="auto"/>
              <w:rPr>
                <w:rFonts w:ascii="等线" w:hAnsi="等线"/>
              </w:rPr>
            </w:pPr>
            <w:r>
              <w:rPr>
                <w:rFonts w:hint="eastAsia" w:ascii="等线" w:hAnsi="等线"/>
              </w:rPr>
              <w:t>4.1所供货物符合产品标准和合同的要求；</w:t>
            </w:r>
          </w:p>
          <w:p w14:paraId="6C2FF717">
            <w:pPr>
              <w:spacing w:after="160" w:line="278" w:lineRule="auto"/>
              <w:rPr>
                <w:rFonts w:ascii="等线" w:hAnsi="等线"/>
              </w:rPr>
            </w:pPr>
            <w:r>
              <w:rPr>
                <w:rFonts w:hint="eastAsia" w:ascii="等线" w:hAnsi="等线"/>
              </w:rPr>
              <w:t>4.2在进行测试和验收过程中发现的问题已被解决并得到采购人的认可；</w:t>
            </w:r>
          </w:p>
          <w:p w14:paraId="408FB8CC">
            <w:pPr>
              <w:spacing w:after="160" w:line="278" w:lineRule="auto"/>
              <w:rPr>
                <w:rFonts w:ascii="等线" w:hAnsi="等线"/>
              </w:rPr>
            </w:pPr>
            <w:r>
              <w:rPr>
                <w:rFonts w:hint="eastAsia" w:ascii="等线" w:hAnsi="等线"/>
              </w:rPr>
              <w:t>4.3合同中规定的所有货物和材料均已交付；</w:t>
            </w:r>
          </w:p>
          <w:p w14:paraId="0880011C">
            <w:pPr>
              <w:spacing w:after="160" w:line="278" w:lineRule="auto"/>
              <w:rPr>
                <w:rFonts w:ascii="等线" w:hAnsi="等线"/>
              </w:rPr>
            </w:pPr>
            <w:r>
              <w:rPr>
                <w:rFonts w:hint="eastAsia" w:ascii="等线" w:hAnsi="等线"/>
              </w:rPr>
              <w:t>4.4所供货物已通过使用单位组织的验收；</w:t>
            </w:r>
          </w:p>
          <w:p w14:paraId="6F3F6551">
            <w:pPr>
              <w:spacing w:after="160" w:line="278" w:lineRule="auto"/>
              <w:rPr>
                <w:rFonts w:ascii="等线" w:hAnsi="等线"/>
              </w:rPr>
            </w:pPr>
            <w:r>
              <w:rPr>
                <w:rFonts w:hint="eastAsia" w:ascii="等线" w:hAnsi="等线"/>
              </w:rPr>
              <w:t>4.5所有相关的技术文件及资料均已提交并得到接受。</w:t>
            </w:r>
          </w:p>
        </w:tc>
      </w:tr>
      <w:tr w14:paraId="7CE46A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65" w:type="dxa"/>
            <w:tcBorders>
              <w:top w:val="single" w:color="auto" w:sz="4" w:space="0"/>
              <w:left w:val="single" w:color="auto" w:sz="4" w:space="0"/>
              <w:bottom w:val="single" w:color="auto" w:sz="4" w:space="0"/>
              <w:right w:val="single" w:color="auto" w:sz="4" w:space="0"/>
            </w:tcBorders>
            <w:vAlign w:val="center"/>
          </w:tcPr>
          <w:p w14:paraId="310CD081">
            <w:pPr>
              <w:spacing w:after="160" w:line="278" w:lineRule="auto"/>
              <w:rPr>
                <w:rFonts w:ascii="等线" w:hAnsi="等线"/>
              </w:rPr>
            </w:pPr>
            <w:r>
              <w:rPr>
                <w:rFonts w:hint="eastAsia" w:ascii="等线" w:hAnsi="等线"/>
              </w:rPr>
              <w:t>其他技术、服务要求</w:t>
            </w:r>
          </w:p>
        </w:tc>
        <w:tc>
          <w:tcPr>
            <w:tcW w:w="6863" w:type="dxa"/>
            <w:tcBorders>
              <w:top w:val="single" w:color="auto" w:sz="4" w:space="0"/>
              <w:left w:val="single" w:color="auto" w:sz="4" w:space="0"/>
              <w:bottom w:val="single" w:color="auto" w:sz="4" w:space="0"/>
              <w:right w:val="single" w:color="auto" w:sz="4" w:space="0"/>
            </w:tcBorders>
            <w:vAlign w:val="center"/>
          </w:tcPr>
          <w:p w14:paraId="42CD6D34">
            <w:pPr>
              <w:spacing w:after="160" w:line="278" w:lineRule="auto"/>
              <w:rPr>
                <w:rFonts w:ascii="等线" w:hAnsi="等线"/>
              </w:rPr>
            </w:pPr>
            <w:r>
              <w:rPr>
                <w:rFonts w:hint="eastAsia" w:ascii="等线" w:hAnsi="等线"/>
              </w:rPr>
              <w:t>▲1.供应商</w:t>
            </w:r>
            <w:r>
              <w:rPr>
                <w:rFonts w:hint="eastAsia" w:ascii="等线" w:hAnsi="等线"/>
                <w:highlight w:val="none"/>
              </w:rPr>
              <w:t>应按</w:t>
            </w:r>
            <w:r>
              <w:rPr>
                <w:rFonts w:hint="eastAsia" w:ascii="等线" w:hAnsi="等线"/>
                <w:highlight w:val="none"/>
                <w:lang w:val="en-US" w:eastAsia="zh-CN"/>
              </w:rPr>
              <w:t>招标</w:t>
            </w:r>
            <w:r>
              <w:rPr>
                <w:rFonts w:hint="eastAsia" w:ascii="等线" w:hAnsi="等线"/>
                <w:highlight w:val="none"/>
              </w:rPr>
              <w:t>文件</w:t>
            </w:r>
            <w:r>
              <w:rPr>
                <w:rFonts w:hint="eastAsia" w:ascii="等线" w:hAnsi="等线"/>
              </w:rPr>
              <w:t>规定的货物性能、技术要求、质量标准向采购人提供未经使用的全新产品，符合国家法律法规规定和技术规格、质量标准的出厂原装合格产品。</w:t>
            </w:r>
          </w:p>
          <w:p w14:paraId="46DD41C8">
            <w:pPr>
              <w:spacing w:after="160" w:line="278" w:lineRule="auto"/>
              <w:rPr>
                <w:rFonts w:ascii="等线" w:hAnsi="等线"/>
              </w:rPr>
            </w:pPr>
            <w:r>
              <w:rPr>
                <w:rFonts w:hint="eastAsia" w:ascii="等线" w:hAnsi="等线"/>
              </w:rPr>
              <w:t>2.技术支持：</w:t>
            </w:r>
          </w:p>
          <w:p w14:paraId="26555AA1">
            <w:pPr>
              <w:spacing w:after="160" w:line="278" w:lineRule="auto"/>
              <w:rPr>
                <w:rFonts w:ascii="等线" w:hAnsi="等线"/>
              </w:rPr>
            </w:pPr>
            <w:r>
              <w:rPr>
                <w:rFonts w:hint="eastAsia" w:ascii="等线" w:hAnsi="等线"/>
              </w:rPr>
              <w:t>供应商应及时提供合同货物软件的升级，提供合同货物新功能和应用的资料。</w:t>
            </w:r>
          </w:p>
          <w:p w14:paraId="2ED7907C">
            <w:pPr>
              <w:spacing w:after="160" w:line="278" w:lineRule="auto"/>
              <w:rPr>
                <w:rFonts w:ascii="等线" w:hAnsi="等线"/>
              </w:rPr>
            </w:pPr>
            <w:r>
              <w:rPr>
                <w:rFonts w:hint="eastAsia" w:ascii="等线" w:hAnsi="等线"/>
              </w:rPr>
              <w:t xml:space="preserve">3.安装调试： </w:t>
            </w:r>
          </w:p>
          <w:p w14:paraId="60352DAF">
            <w:pPr>
              <w:spacing w:after="160" w:line="278" w:lineRule="auto"/>
              <w:rPr>
                <w:rFonts w:ascii="等线" w:hAnsi="等线"/>
              </w:rPr>
            </w:pPr>
            <w:r>
              <w:rPr>
                <w:rFonts w:hint="eastAsia" w:ascii="等线" w:hAnsi="等线"/>
              </w:rPr>
              <w:t>3.1安装地点：采购人指定地点；</w:t>
            </w:r>
          </w:p>
          <w:p w14:paraId="16EFA7F1">
            <w:pPr>
              <w:spacing w:after="160" w:line="278" w:lineRule="auto"/>
              <w:rPr>
                <w:rFonts w:ascii="等线" w:hAnsi="等线"/>
              </w:rPr>
            </w:pPr>
            <w:r>
              <w:rPr>
                <w:rFonts w:hint="eastAsia" w:ascii="等线" w:hAnsi="等线"/>
              </w:rPr>
              <w:t>3.2安装完成时间：接到采购人通知后在规定时间内完成安装和调试，如在规定的时间内由于供应商的原因不能完成安装和调试，供应商应承担由此给采购人造成的损失；</w:t>
            </w:r>
          </w:p>
          <w:p w14:paraId="36398892">
            <w:pPr>
              <w:spacing w:after="160" w:line="278" w:lineRule="auto"/>
              <w:rPr>
                <w:rFonts w:ascii="等线" w:hAnsi="等线"/>
              </w:rPr>
            </w:pPr>
            <w:r>
              <w:rPr>
                <w:rFonts w:hint="eastAsia" w:ascii="等线" w:hAnsi="等线"/>
              </w:rPr>
              <w:t>3.3如供应商委托国内代理（或其他机构）负责安装或配合安装应在签约时指明，但供应商仍要对合同货物及其安装质量负全部责任；</w:t>
            </w:r>
          </w:p>
          <w:p w14:paraId="513E2F9F">
            <w:pPr>
              <w:spacing w:after="160" w:line="278" w:lineRule="auto"/>
              <w:rPr>
                <w:rFonts w:ascii="等线" w:hAnsi="等线"/>
              </w:rPr>
            </w:pPr>
            <w:r>
              <w:rPr>
                <w:rFonts w:hint="eastAsia" w:ascii="等线" w:hAnsi="等线"/>
              </w:rPr>
              <w:t>3.4安装标准：符合我国国家有关技术规范要求和技术标准，所有的软件和硬件必须保证同时安装到位；</w:t>
            </w:r>
          </w:p>
          <w:p w14:paraId="74CF8057">
            <w:pPr>
              <w:spacing w:after="160" w:line="278" w:lineRule="auto"/>
              <w:rPr>
                <w:rFonts w:ascii="等线" w:hAnsi="等线"/>
              </w:rPr>
            </w:pPr>
            <w:r>
              <w:rPr>
                <w:rFonts w:hint="eastAsia" w:ascii="等线" w:hAnsi="等线"/>
              </w:rPr>
              <w:t>3.5供应商提供合同货物的安装服务；</w:t>
            </w:r>
          </w:p>
          <w:p w14:paraId="64000127">
            <w:pPr>
              <w:spacing w:after="160" w:line="278" w:lineRule="auto"/>
              <w:rPr>
                <w:rFonts w:ascii="等线" w:hAnsi="等线"/>
              </w:rPr>
            </w:pPr>
            <w:r>
              <w:rPr>
                <w:rFonts w:hint="eastAsia" w:ascii="等线" w:hAnsi="等线"/>
              </w:rPr>
              <w:t>3.6供应商在响应文件中应提供安装调试计划、对安装场地和环境的要求。</w:t>
            </w:r>
          </w:p>
          <w:p w14:paraId="3CCD2A79">
            <w:pPr>
              <w:spacing w:after="160" w:line="278" w:lineRule="auto"/>
              <w:rPr>
                <w:rFonts w:ascii="等线" w:hAnsi="等线"/>
              </w:rPr>
            </w:pPr>
            <w:r>
              <w:rPr>
                <w:rFonts w:hint="eastAsia" w:ascii="等线" w:hAnsi="等线"/>
              </w:rPr>
              <w:t>4.供应商应提供质保期满后主要零部件报价单、质保期满后维护费、软件升级及其相关服务内容；</w:t>
            </w:r>
          </w:p>
          <w:p w14:paraId="2829950D">
            <w:pPr>
              <w:spacing w:after="160" w:line="278" w:lineRule="auto"/>
              <w:rPr>
                <w:rFonts w:ascii="等线" w:hAnsi="等线"/>
              </w:rPr>
            </w:pPr>
            <w:r>
              <w:rPr>
                <w:rFonts w:hint="eastAsia" w:ascii="等线" w:hAnsi="等线"/>
              </w:rPr>
              <w:t>5.供货时提供有关的全套技术文件。</w:t>
            </w:r>
          </w:p>
          <w:p w14:paraId="5E63CF75">
            <w:pPr>
              <w:spacing w:after="160" w:line="278" w:lineRule="auto"/>
              <w:rPr>
                <w:rFonts w:ascii="等线" w:hAnsi="等线"/>
              </w:rPr>
            </w:pPr>
            <w:r>
              <w:rPr>
                <w:rFonts w:hint="eastAsia" w:ascii="等线" w:hAnsi="等线"/>
              </w:rPr>
              <w:t>6.供应商应保证所提供的货物或其中任何一部分均不会侵犯第三方的知识产权。</w:t>
            </w:r>
          </w:p>
        </w:tc>
      </w:tr>
    </w:tbl>
    <w:p w14:paraId="62E0A17D">
      <w:pPr>
        <w:pStyle w:val="40"/>
      </w:pPr>
    </w:p>
    <w:p w14:paraId="177CA391"/>
    <w:p w14:paraId="00ADAE98">
      <w:pPr>
        <w:spacing w:line="360" w:lineRule="auto"/>
        <w:rPr>
          <w:rFonts w:ascii="仿宋" w:hAnsi="仿宋" w:eastAsia="仿宋"/>
          <w:b/>
          <w:bCs/>
          <w:color w:val="000000" w:themeColor="text1"/>
          <w:sz w:val="28"/>
          <w:szCs w:val="28"/>
          <w14:textFill>
            <w14:solidFill>
              <w14:schemeClr w14:val="tx1"/>
            </w14:solidFill>
          </w14:textFill>
        </w:rPr>
      </w:pPr>
    </w:p>
    <w:p w14:paraId="579C7E82">
      <w:pPr>
        <w:spacing w:line="360" w:lineRule="auto"/>
        <w:rPr>
          <w:rFonts w:ascii="仿宋" w:hAnsi="仿宋" w:eastAsia="仿宋"/>
          <w:b/>
          <w:bCs/>
          <w:color w:val="000000" w:themeColor="text1"/>
          <w:sz w:val="28"/>
          <w:szCs w:val="28"/>
          <w14:textFill>
            <w14:solidFill>
              <w14:schemeClr w14:val="tx1"/>
            </w14:solidFill>
          </w14:textFill>
        </w:rPr>
      </w:pPr>
    </w:p>
    <w:p w14:paraId="004DE1ED">
      <w:pPr>
        <w:spacing w:line="360" w:lineRule="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商务要求表</w:t>
      </w:r>
    </w:p>
    <w:tbl>
      <w:tblPr>
        <w:tblStyle w:val="5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14:paraId="56E25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62C3566D">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▲项目工期（交货期）及地点</w:t>
            </w:r>
          </w:p>
        </w:tc>
        <w:tc>
          <w:tcPr>
            <w:tcW w:w="6775" w:type="dxa"/>
            <w:tcBorders>
              <w:top w:val="single" w:color="auto" w:sz="4" w:space="0"/>
              <w:left w:val="single" w:color="auto" w:sz="4" w:space="0"/>
              <w:bottom w:val="single" w:color="auto" w:sz="4" w:space="0"/>
              <w:right w:val="single" w:color="auto" w:sz="4" w:space="0"/>
            </w:tcBorders>
            <w:shd w:val="clear" w:color="auto" w:fill="auto"/>
            <w:vAlign w:val="center"/>
          </w:tcPr>
          <w:p w14:paraId="00486517">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自合同签订之日起20工作日内交付完工</w:t>
            </w:r>
          </w:p>
          <w:p w14:paraId="50190D6B">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交货地点：用户指定地点。</w:t>
            </w:r>
          </w:p>
        </w:tc>
      </w:tr>
      <w:tr w14:paraId="41A8B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2E758747">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▲付款条件（明确是否需要履约保证金）</w:t>
            </w:r>
          </w:p>
        </w:tc>
        <w:tc>
          <w:tcPr>
            <w:tcW w:w="6775" w:type="dxa"/>
            <w:tcBorders>
              <w:top w:val="single" w:color="auto" w:sz="4" w:space="0"/>
              <w:left w:val="single" w:color="auto" w:sz="4" w:space="0"/>
              <w:bottom w:val="single" w:color="auto" w:sz="4" w:space="0"/>
              <w:right w:val="single" w:color="auto" w:sz="4" w:space="0"/>
            </w:tcBorders>
            <w:shd w:val="clear" w:color="auto" w:fill="auto"/>
            <w:vAlign w:val="center"/>
          </w:tcPr>
          <w:p w14:paraId="6A8F1A5E">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付款方式：在合同生效以及具备实施条件后7个工作日内，采购人向中标人支付合同总价的40%作为预付款，余款在项目设备安装调试完成且经采购人验收合格后20日内一次性结清。</w:t>
            </w:r>
          </w:p>
          <w:p w14:paraId="00F4B1FC">
            <w:pPr>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本项目无需缴纳履约保证金。</w:t>
            </w:r>
          </w:p>
        </w:tc>
      </w:tr>
      <w:tr w14:paraId="15E8F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7460DAAF">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违约责任及争议解决方式</w:t>
            </w:r>
          </w:p>
        </w:tc>
        <w:tc>
          <w:tcPr>
            <w:tcW w:w="6775" w:type="dxa"/>
            <w:tcBorders>
              <w:top w:val="single" w:color="auto" w:sz="4" w:space="0"/>
              <w:left w:val="single" w:color="auto" w:sz="4" w:space="0"/>
              <w:bottom w:val="single" w:color="auto" w:sz="4" w:space="0"/>
              <w:right w:val="single" w:color="auto" w:sz="4" w:space="0"/>
            </w:tcBorders>
            <w:vAlign w:val="center"/>
          </w:tcPr>
          <w:p w14:paraId="4D5F9B18">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无特别说明，按“第五章  浙江省政府采购合同主要条款指引”相关违约责任及争议解决方式内容。</w:t>
            </w:r>
          </w:p>
        </w:tc>
      </w:tr>
      <w:tr w14:paraId="0F53D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tcBorders>
              <w:top w:val="single" w:color="auto" w:sz="4" w:space="0"/>
              <w:left w:val="single" w:color="auto" w:sz="4" w:space="0"/>
              <w:bottom w:val="single" w:color="auto" w:sz="4" w:space="0"/>
              <w:right w:val="single" w:color="auto" w:sz="4" w:space="0"/>
            </w:tcBorders>
            <w:vAlign w:val="center"/>
          </w:tcPr>
          <w:p w14:paraId="6C2D8004">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售</w:t>
            </w:r>
          </w:p>
          <w:p w14:paraId="46373CB9">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后</w:t>
            </w:r>
          </w:p>
          <w:p w14:paraId="5754A16C">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服务</w:t>
            </w:r>
          </w:p>
        </w:tc>
        <w:tc>
          <w:tcPr>
            <w:tcW w:w="1305" w:type="dxa"/>
            <w:tcBorders>
              <w:top w:val="single" w:color="auto" w:sz="4" w:space="0"/>
              <w:left w:val="single" w:color="auto" w:sz="4" w:space="0"/>
              <w:bottom w:val="single" w:color="auto" w:sz="4" w:space="0"/>
              <w:right w:val="single" w:color="auto" w:sz="4" w:space="0"/>
            </w:tcBorders>
            <w:vAlign w:val="center"/>
          </w:tcPr>
          <w:p w14:paraId="0BB686C2">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响应情况</w:t>
            </w:r>
          </w:p>
        </w:tc>
        <w:tc>
          <w:tcPr>
            <w:tcW w:w="6775" w:type="dxa"/>
            <w:tcBorders>
              <w:top w:val="single" w:color="auto" w:sz="4" w:space="0"/>
              <w:left w:val="single" w:color="auto" w:sz="4" w:space="0"/>
              <w:bottom w:val="single" w:color="auto" w:sz="4" w:space="0"/>
              <w:right w:val="single" w:color="auto" w:sz="4" w:space="0"/>
            </w:tcBorders>
            <w:shd w:val="clear" w:color="auto" w:fill="auto"/>
            <w:vAlign w:val="center"/>
          </w:tcPr>
          <w:p w14:paraId="2F4BB793">
            <w:pP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、质保期间，每年提供4次巡检服务。</w:t>
            </w:r>
          </w:p>
          <w:p w14:paraId="6F35E0BE">
            <w:pP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、如在使用过程中发生质量问题，供应商维修响应时间：2小时电话响应，1个工作日内到现场勘查，给出维修方案。若需更换配件，配件到位3个工作日内上门更换。</w:t>
            </w:r>
          </w:p>
        </w:tc>
      </w:tr>
      <w:tr w14:paraId="73B77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7BF5EA06">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履约能力</w:t>
            </w:r>
          </w:p>
        </w:tc>
        <w:tc>
          <w:tcPr>
            <w:tcW w:w="1305" w:type="dxa"/>
            <w:tcBorders>
              <w:top w:val="single" w:color="auto" w:sz="4" w:space="0"/>
              <w:left w:val="single" w:color="auto" w:sz="4" w:space="0"/>
              <w:bottom w:val="single" w:color="auto" w:sz="4" w:space="0"/>
              <w:right w:val="single" w:color="auto" w:sz="4" w:space="0"/>
            </w:tcBorders>
            <w:vAlign w:val="center"/>
          </w:tcPr>
          <w:p w14:paraId="15CCFE59">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投标人技术力量情况</w:t>
            </w:r>
          </w:p>
        </w:tc>
        <w:tc>
          <w:tcPr>
            <w:tcW w:w="6775" w:type="dxa"/>
            <w:tcBorders>
              <w:top w:val="single" w:color="auto" w:sz="4" w:space="0"/>
              <w:left w:val="single" w:color="auto" w:sz="4" w:space="0"/>
              <w:bottom w:val="single" w:color="auto" w:sz="4" w:space="0"/>
              <w:right w:val="single" w:color="auto" w:sz="4" w:space="0"/>
            </w:tcBorders>
            <w:shd w:val="clear" w:color="auto" w:fill="auto"/>
            <w:vAlign w:val="center"/>
          </w:tcPr>
          <w:p w14:paraId="1F2E2532">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提供ISO27701隐私信息管理体系认证证书；</w:t>
            </w:r>
          </w:p>
          <w:p w14:paraId="6662B575">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提供ISO22301业务连续性管理体系认证证书；</w:t>
            </w:r>
          </w:p>
          <w:p w14:paraId="2DD1B330">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提供ISO20000信息技术服务管理体系认证证书；</w:t>
            </w:r>
          </w:p>
          <w:p w14:paraId="16C3B09E">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提供ISO27001信息安全管理体系认证证书；</w:t>
            </w:r>
          </w:p>
          <w:p w14:paraId="7A78123F">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提供服务器性能监控类软件著作权登记证书。</w:t>
            </w:r>
          </w:p>
        </w:tc>
      </w:tr>
      <w:tr w14:paraId="10918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3127DCB8">
            <w:pPr>
              <w:widowControl/>
              <w:jc w:val="left"/>
              <w:rPr>
                <w:rFonts w:ascii="仿宋" w:hAnsi="仿宋" w:eastAsia="仿宋" w:cs="仿宋_GB2312"/>
                <w:b/>
                <w:color w:val="000000" w:themeColor="text1"/>
                <w:sz w:val="28"/>
                <w:szCs w:val="2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58EB21A7">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经验或业绩要求</w:t>
            </w:r>
          </w:p>
        </w:tc>
        <w:tc>
          <w:tcPr>
            <w:tcW w:w="6775" w:type="dxa"/>
            <w:tcBorders>
              <w:top w:val="single" w:color="auto" w:sz="4" w:space="0"/>
              <w:left w:val="single" w:color="auto" w:sz="4" w:space="0"/>
              <w:bottom w:val="single" w:color="auto" w:sz="4" w:space="0"/>
              <w:right w:val="single" w:color="auto" w:sz="4" w:space="0"/>
            </w:tcBorders>
            <w:shd w:val="clear" w:color="auto" w:fill="auto"/>
            <w:vAlign w:val="center"/>
          </w:tcPr>
          <w:p w14:paraId="398CFA2A">
            <w:pPr>
              <w:pStyle w:val="2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投标人提供</w:t>
            </w:r>
            <w:r>
              <w:rPr>
                <w:rFonts w:hint="eastAsia" w:ascii="仿宋" w:hAnsi="仿宋" w:eastAsia="仿宋" w:cs="宋体"/>
                <w:kern w:val="0"/>
                <w:sz w:val="28"/>
                <w:szCs w:val="28"/>
              </w:rPr>
              <w:t>2021年1月1日起至投标截止时间止（以合同签订时间为准）</w:t>
            </w:r>
            <w:r>
              <w:rPr>
                <w:rFonts w:hint="eastAsia" w:ascii="仿宋" w:hAnsi="仿宋" w:eastAsia="仿宋"/>
                <w:color w:val="000000" w:themeColor="text1"/>
                <w:sz w:val="28"/>
                <w:szCs w:val="28"/>
                <w14:textFill>
                  <w14:solidFill>
                    <w14:schemeClr w14:val="tx1"/>
                  </w14:solidFill>
                </w14:textFill>
              </w:rPr>
              <w:t>同类合同业绩（以提供的合同及验收证明扫描件为准）。</w:t>
            </w:r>
          </w:p>
        </w:tc>
      </w:tr>
    </w:tbl>
    <w:p w14:paraId="04ADA8B3">
      <w:pPr>
        <w:widowControl/>
        <w:jc w:val="left"/>
        <w:rPr>
          <w:rFonts w:ascii="仿宋" w:hAnsi="仿宋" w:eastAsia="仿宋" w:cs="仿宋"/>
          <w:b/>
          <w:bCs/>
          <w:color w:val="000000" w:themeColor="text1"/>
          <w:spacing w:val="30"/>
          <w:sz w:val="28"/>
          <w:szCs w:val="28"/>
          <w14:textFill>
            <w14:solidFill>
              <w14:schemeClr w14:val="tx1"/>
            </w14:solidFill>
          </w14:textFill>
        </w:rPr>
      </w:pPr>
      <w:r>
        <w:rPr>
          <w:rFonts w:ascii="仿宋" w:hAnsi="仿宋" w:eastAsia="仿宋" w:cs="仿宋"/>
          <w:b/>
          <w:bCs/>
          <w:color w:val="000000" w:themeColor="text1"/>
          <w:spacing w:val="30"/>
          <w:sz w:val="28"/>
          <w:szCs w:val="28"/>
          <w14:textFill>
            <w14:solidFill>
              <w14:schemeClr w14:val="tx1"/>
            </w14:solidFill>
          </w14:textFill>
        </w:rPr>
        <w:br w:type="page"/>
      </w:r>
    </w:p>
    <w:p w14:paraId="5997898E">
      <w:pPr>
        <w:pStyle w:val="31"/>
        <w:spacing w:before="120" w:after="120" w:line="360" w:lineRule="auto"/>
        <w:jc w:val="center"/>
        <w:outlineLvl w:val="0"/>
        <w:rPr>
          <w:rFonts w:hAnsi="宋体"/>
          <w:b/>
          <w:color w:val="000000" w:themeColor="text1"/>
          <w:sz w:val="36"/>
          <w:szCs w:val="36"/>
          <w14:textFill>
            <w14:solidFill>
              <w14:schemeClr w14:val="tx1"/>
            </w14:solidFill>
          </w14:textFill>
        </w:rPr>
      </w:pPr>
      <w:bookmarkStart w:id="35" w:name="_Toc26308"/>
      <w:r>
        <w:rPr>
          <w:rFonts w:hint="eastAsia" w:hAnsi="宋体"/>
          <w:b/>
          <w:color w:val="000000" w:themeColor="text1"/>
          <w:sz w:val="36"/>
          <w:szCs w:val="36"/>
          <w14:textFill>
            <w14:solidFill>
              <w14:schemeClr w14:val="tx1"/>
            </w14:solidFill>
          </w14:textFill>
        </w:rPr>
        <w:t>第五章 浙江省政府采购合同主要条款指引</w:t>
      </w:r>
      <w:bookmarkEnd w:id="29"/>
      <w:bookmarkEnd w:id="35"/>
    </w:p>
    <w:p w14:paraId="43F53389">
      <w:pPr>
        <w:rPr>
          <w:color w:val="000000" w:themeColor="text1"/>
          <w14:textFill>
            <w14:solidFill>
              <w14:schemeClr w14:val="tx1"/>
            </w14:solidFill>
          </w14:textFill>
        </w:rPr>
      </w:pPr>
    </w:p>
    <w:p w14:paraId="0C5FE438">
      <w:pPr>
        <w:pStyle w:val="31"/>
        <w:snapToGrid w:val="0"/>
        <w:spacing w:before="120" w:after="120" w:line="360" w:lineRule="auto"/>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合同编号：        </w:t>
      </w:r>
    </w:p>
    <w:p w14:paraId="0A0B564F">
      <w:pPr>
        <w:pStyle w:val="31"/>
        <w:snapToGrid w:val="0"/>
        <w:spacing w:before="120" w:after="120" w:line="360" w:lineRule="auto"/>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确认书号：</w:t>
      </w:r>
    </w:p>
    <w:p w14:paraId="55B85B66">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甲方</w:t>
      </w:r>
      <w:r>
        <w:rPr>
          <w:rFonts w:hint="eastAsia" w:ascii="仿宋" w:hAnsi="仿宋" w:eastAsia="仿宋"/>
          <w:color w:val="000000" w:themeColor="text1"/>
          <w:sz w:val="30"/>
          <w:szCs w:val="30"/>
          <w14:textFill>
            <w14:solidFill>
              <w14:schemeClr w14:val="tx1"/>
            </w14:solidFill>
          </w14:textFill>
        </w:rPr>
        <w:t xml:space="preserve">（采购人）： </w:t>
      </w:r>
    </w:p>
    <w:p w14:paraId="2F8087B6">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乙方</w:t>
      </w:r>
      <w:r>
        <w:rPr>
          <w:rFonts w:hint="eastAsia" w:ascii="仿宋" w:hAnsi="仿宋" w:eastAsia="仿宋"/>
          <w:color w:val="000000" w:themeColor="text1"/>
          <w:sz w:val="30"/>
          <w:szCs w:val="30"/>
          <w14:textFill>
            <w14:solidFill>
              <w14:schemeClr w14:val="tx1"/>
            </w14:solidFill>
          </w14:textFill>
        </w:rPr>
        <w:t xml:space="preserve">（供应商）： </w:t>
      </w:r>
    </w:p>
    <w:p w14:paraId="032CD34C">
      <w:pPr>
        <w:pStyle w:val="31"/>
        <w:adjustRightInd w:val="0"/>
        <w:snapToGrid w:val="0"/>
        <w:spacing w:before="120" w:after="120" w:line="460" w:lineRule="exact"/>
        <w:ind w:firstLine="594"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甲、乙双方根据浙江省政府采购中心关于</w:t>
      </w:r>
      <w:r>
        <w:rPr>
          <w:rFonts w:hint="eastAsia" w:ascii="仿宋" w:hAnsi="仿宋" w:eastAsia="仿宋"/>
          <w:color w:val="000000" w:themeColor="text1"/>
          <w:sz w:val="30"/>
          <w:szCs w:val="30"/>
          <w14:textFill>
            <w14:solidFill>
              <w14:schemeClr w14:val="tx1"/>
            </w14:solidFill>
          </w14:textFill>
        </w:rPr>
        <w:t>项目编号为      的</w:t>
      </w:r>
      <w:r>
        <w:rPr>
          <w:rFonts w:hint="eastAsia" w:ascii="仿宋" w:hAnsi="仿宋" w:eastAsia="仿宋"/>
          <w:snapToGrid w:val="0"/>
          <w:color w:val="000000" w:themeColor="text1"/>
          <w:sz w:val="30"/>
          <w:szCs w:val="30"/>
          <w14:textFill>
            <w14:solidFill>
              <w14:schemeClr w14:val="tx1"/>
            </w14:solidFill>
          </w14:textFill>
        </w:rPr>
        <w:t>（标项及名称）项目公开招标的结果，签署本合同。</w:t>
      </w:r>
    </w:p>
    <w:p w14:paraId="43CEA8EA">
      <w:pPr>
        <w:pStyle w:val="31"/>
        <w:adjustRightInd w:val="0"/>
        <w:snapToGrid w:val="0"/>
        <w:spacing w:before="120" w:after="120" w:line="460" w:lineRule="exact"/>
        <w:ind w:firstLine="641" w:firstLineChars="213"/>
        <w:rPr>
          <w:rFonts w:ascii="仿宋" w:hAnsi="仿宋" w:eastAsia="仿宋"/>
          <w:b/>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一、项目内容</w:t>
      </w:r>
      <w:r>
        <w:rPr>
          <w:rFonts w:hint="eastAsia" w:ascii="仿宋" w:hAnsi="仿宋" w:eastAsia="仿宋"/>
          <w:b/>
          <w:color w:val="000000" w:themeColor="text1"/>
          <w:sz w:val="30"/>
          <w:szCs w:val="30"/>
          <w14:textFill>
            <w14:solidFill>
              <w14:schemeClr w14:val="tx1"/>
            </w14:solidFill>
          </w14:textFill>
        </w:rPr>
        <w:t>及合同价格</w:t>
      </w:r>
    </w:p>
    <w:p w14:paraId="6D995C0C">
      <w:pPr>
        <w:pStyle w:val="31"/>
        <w:adjustRightInd w:val="0"/>
        <w:snapToGrid w:val="0"/>
        <w:spacing w:before="120" w:after="120" w:line="460" w:lineRule="exact"/>
        <w:ind w:firstLine="639" w:firstLineChars="213"/>
        <w:jc w:val="righ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金额单位：元 </w:t>
      </w:r>
    </w:p>
    <w:tbl>
      <w:tblPr>
        <w:tblStyle w:val="59"/>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1C2EA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39" w:type="dxa"/>
            <w:tcBorders>
              <w:top w:val="single" w:color="auto" w:sz="4" w:space="0"/>
              <w:left w:val="single" w:color="auto" w:sz="4" w:space="0"/>
              <w:bottom w:val="single" w:color="auto" w:sz="4" w:space="0"/>
              <w:right w:val="single" w:color="auto" w:sz="4" w:space="0"/>
            </w:tcBorders>
            <w:vAlign w:val="center"/>
          </w:tcPr>
          <w:p w14:paraId="7DC5B723">
            <w:pPr>
              <w:pStyle w:val="31"/>
              <w:snapToGrid w:val="0"/>
              <w:spacing w:before="120" w:after="12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项目名称</w:t>
            </w:r>
          </w:p>
        </w:tc>
        <w:tc>
          <w:tcPr>
            <w:tcW w:w="3239" w:type="dxa"/>
            <w:tcBorders>
              <w:top w:val="single" w:color="auto" w:sz="4" w:space="0"/>
              <w:left w:val="single" w:color="auto" w:sz="4" w:space="0"/>
              <w:bottom w:val="single" w:color="auto" w:sz="4" w:space="0"/>
              <w:right w:val="single" w:color="auto" w:sz="4" w:space="0"/>
            </w:tcBorders>
            <w:vAlign w:val="center"/>
          </w:tcPr>
          <w:p w14:paraId="5B6C0E71">
            <w:pPr>
              <w:pStyle w:val="31"/>
              <w:snapToGrid w:val="0"/>
              <w:spacing w:before="120" w:after="12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243A1D09">
            <w:pPr>
              <w:pStyle w:val="31"/>
              <w:snapToGrid w:val="0"/>
              <w:spacing w:before="120" w:after="120"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7950B4EA">
            <w:pPr>
              <w:pStyle w:val="31"/>
              <w:snapToGrid w:val="0"/>
              <w:spacing w:before="120" w:after="120"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3DEAA806">
            <w:pPr>
              <w:pStyle w:val="31"/>
              <w:snapToGrid w:val="0"/>
              <w:spacing w:before="120" w:after="12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总价</w:t>
            </w:r>
          </w:p>
        </w:tc>
      </w:tr>
      <w:tr w14:paraId="6C3B9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39" w:type="dxa"/>
            <w:tcBorders>
              <w:top w:val="single" w:color="auto" w:sz="4" w:space="0"/>
              <w:left w:val="single" w:color="auto" w:sz="4" w:space="0"/>
              <w:bottom w:val="single" w:color="auto" w:sz="4" w:space="0"/>
              <w:right w:val="single" w:color="auto" w:sz="4" w:space="0"/>
            </w:tcBorders>
          </w:tcPr>
          <w:p w14:paraId="384DBAE7">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3239" w:type="dxa"/>
            <w:tcBorders>
              <w:top w:val="single" w:color="auto" w:sz="4" w:space="0"/>
              <w:left w:val="single" w:color="auto" w:sz="4" w:space="0"/>
              <w:bottom w:val="single" w:color="auto" w:sz="4" w:space="0"/>
              <w:right w:val="single" w:color="auto" w:sz="4" w:space="0"/>
            </w:tcBorders>
          </w:tcPr>
          <w:p w14:paraId="725F95A3">
            <w:pPr>
              <w:spacing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14:paraId="1641F47C">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5EAAFFD3">
            <w:pPr>
              <w:pStyle w:val="432"/>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c>
          <w:tcPr>
            <w:tcW w:w="1212" w:type="dxa"/>
            <w:tcBorders>
              <w:top w:val="single" w:color="auto" w:sz="4" w:space="0"/>
              <w:left w:val="single" w:color="auto" w:sz="4" w:space="0"/>
              <w:bottom w:val="single" w:color="auto" w:sz="4" w:space="0"/>
              <w:right w:val="single" w:color="auto" w:sz="4" w:space="0"/>
            </w:tcBorders>
          </w:tcPr>
          <w:p w14:paraId="112083D5">
            <w:pPr>
              <w:pStyle w:val="432"/>
              <w:spacing w:after="120" w:line="460" w:lineRule="exact"/>
              <w:ind w:left="1890"/>
              <w:rPr>
                <w:rFonts w:ascii="仿宋" w:hAnsi="仿宋" w:eastAsia="仿宋"/>
                <w:color w:val="000000" w:themeColor="text1"/>
                <w:kern w:val="2"/>
                <w:sz w:val="30"/>
                <w:szCs w:val="30"/>
                <w14:textFill>
                  <w14:solidFill>
                    <w14:schemeClr w14:val="tx1"/>
                  </w14:solidFill>
                </w14:textFill>
              </w:rPr>
            </w:pPr>
          </w:p>
        </w:tc>
      </w:tr>
      <w:tr w14:paraId="13B4A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78" w:type="dxa"/>
            <w:gridSpan w:val="2"/>
            <w:tcBorders>
              <w:top w:val="single" w:color="auto" w:sz="4" w:space="0"/>
              <w:left w:val="single" w:color="auto" w:sz="4" w:space="0"/>
              <w:bottom w:val="single" w:color="auto" w:sz="4" w:space="0"/>
              <w:right w:val="single" w:color="auto" w:sz="4" w:space="0"/>
            </w:tcBorders>
          </w:tcPr>
          <w:p w14:paraId="20DDE401">
            <w:pPr>
              <w:pStyle w:val="31"/>
              <w:snapToGrid w:val="0"/>
              <w:spacing w:before="120" w:after="120" w:line="460" w:lineRule="exact"/>
              <w:ind w:firstLine="639" w:firstLineChars="213"/>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            计</w:t>
            </w:r>
          </w:p>
        </w:tc>
        <w:tc>
          <w:tcPr>
            <w:tcW w:w="1080" w:type="dxa"/>
            <w:tcBorders>
              <w:top w:val="single" w:color="auto" w:sz="4" w:space="0"/>
              <w:left w:val="single" w:color="auto" w:sz="4" w:space="0"/>
              <w:bottom w:val="single" w:color="auto" w:sz="4" w:space="0"/>
              <w:right w:val="single" w:color="auto" w:sz="4" w:space="0"/>
            </w:tcBorders>
          </w:tcPr>
          <w:p w14:paraId="56CA1745">
            <w:pPr>
              <w:pStyle w:val="31"/>
              <w:snapToGrid w:val="0"/>
              <w:spacing w:before="120" w:after="120" w:line="460" w:lineRule="exact"/>
              <w:ind w:firstLine="639" w:firstLineChars="213"/>
              <w:jc w:val="center"/>
              <w:rPr>
                <w:rFonts w:ascii="仿宋" w:hAnsi="仿宋" w:eastAsia="仿宋"/>
                <w:color w:val="000000" w:themeColor="text1"/>
                <w:sz w:val="30"/>
                <w:szCs w:val="30"/>
                <w14:textFill>
                  <w14:solidFill>
                    <w14:schemeClr w14:val="tx1"/>
                  </w14:solidFill>
                </w14:textFill>
              </w:rPr>
            </w:pPr>
          </w:p>
        </w:tc>
        <w:tc>
          <w:tcPr>
            <w:tcW w:w="2472" w:type="dxa"/>
            <w:gridSpan w:val="2"/>
            <w:tcBorders>
              <w:top w:val="single" w:color="auto" w:sz="4" w:space="0"/>
              <w:left w:val="single" w:color="auto" w:sz="4" w:space="0"/>
              <w:bottom w:val="single" w:color="auto" w:sz="4" w:space="0"/>
              <w:right w:val="single" w:color="auto" w:sz="4" w:space="0"/>
            </w:tcBorders>
          </w:tcPr>
          <w:p w14:paraId="1EBD2EF4">
            <w:pPr>
              <w:pStyle w:val="432"/>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r>
      <w:tr w14:paraId="45C40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0" w:type="dxa"/>
            <w:gridSpan w:val="5"/>
            <w:tcBorders>
              <w:top w:val="single" w:color="auto" w:sz="4" w:space="0"/>
              <w:left w:val="single" w:color="auto" w:sz="4" w:space="0"/>
              <w:bottom w:val="single" w:color="auto" w:sz="4" w:space="0"/>
              <w:right w:val="single" w:color="auto" w:sz="4" w:space="0"/>
            </w:tcBorders>
          </w:tcPr>
          <w:p w14:paraId="72BF2D2F">
            <w:pPr>
              <w:pStyle w:val="31"/>
              <w:snapToGrid w:val="0"/>
              <w:spacing w:before="120" w:after="120"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合同总价大写：                              小写：￥</w:t>
            </w:r>
          </w:p>
        </w:tc>
      </w:tr>
    </w:tbl>
    <w:p w14:paraId="432CFA4C">
      <w:pPr>
        <w:pStyle w:val="31"/>
        <w:snapToGrid w:val="0"/>
        <w:spacing w:before="120" w:beforeLines="0" w:after="120" w:line="460" w:lineRule="exact"/>
        <w:ind w:left="-178" w:leftChars="-85" w:firstLine="639" w:firstLineChars="213"/>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注：1.项目具体技术需求及采购人地址等详见招标文件、投标文件以及询标记录。</w:t>
      </w:r>
    </w:p>
    <w:p w14:paraId="084A3DBC">
      <w:pPr>
        <w:spacing w:line="460" w:lineRule="exact"/>
        <w:ind w:firstLine="639" w:firstLineChars="213"/>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2.以上合同总价包含项目达到预期使用效果所需的一切费用。</w:t>
      </w:r>
    </w:p>
    <w:p w14:paraId="3CEE70B6">
      <w:pPr>
        <w:pStyle w:val="31"/>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二、技术资料</w:t>
      </w:r>
    </w:p>
    <w:p w14:paraId="5AD4E8BE">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1.乙方应按招标文件规定的时间向甲方提供使用项目的有关技术资料。</w:t>
      </w:r>
    </w:p>
    <w:p w14:paraId="5DA1C34A">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9D586E0">
      <w:pPr>
        <w:pStyle w:val="31"/>
        <w:adjustRightInd w:val="0"/>
        <w:snapToGrid w:val="0"/>
        <w:spacing w:before="120" w:after="120"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三、知识产权</w:t>
      </w:r>
    </w:p>
    <w:p w14:paraId="39E430C1">
      <w:pPr>
        <w:pStyle w:val="31"/>
        <w:adjustRightInd w:val="0"/>
        <w:snapToGrid w:val="0"/>
        <w:spacing w:before="120" w:after="120"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乙方应保证所提供的货物或其任何一部分均不会侵犯任何第三方的知识产权</w:t>
      </w:r>
      <w:r>
        <w:rPr>
          <w:rFonts w:hint="eastAsia" w:ascii="仿宋" w:hAnsi="仿宋" w:eastAsia="仿宋"/>
          <w:bCs/>
          <w:snapToGrid w:val="0"/>
          <w:color w:val="000000" w:themeColor="text1"/>
          <w:sz w:val="30"/>
          <w:szCs w:val="30"/>
          <w14:textFill>
            <w14:solidFill>
              <w14:schemeClr w14:val="tx1"/>
            </w14:solidFill>
          </w14:textFill>
        </w:rPr>
        <w:t>。</w:t>
      </w:r>
    </w:p>
    <w:p w14:paraId="032EA752">
      <w:pPr>
        <w:pStyle w:val="31"/>
        <w:adjustRightInd w:val="0"/>
        <w:snapToGrid w:val="0"/>
        <w:spacing w:before="120" w:after="120" w:line="460" w:lineRule="exact"/>
        <w:ind w:firstLine="596" w:firstLineChars="198"/>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四、产权担保</w:t>
      </w:r>
    </w:p>
    <w:p w14:paraId="6E995856">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乙方保证所交付的货物的所有权完全属于乙方且无任何抵押、查封等产权瑕疵。</w:t>
      </w:r>
    </w:p>
    <w:p w14:paraId="136407EA">
      <w:pPr>
        <w:pStyle w:val="31"/>
        <w:adjustRightInd w:val="0"/>
        <w:snapToGrid w:val="0"/>
        <w:spacing w:before="120" w:after="120"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五、转包或分包</w:t>
      </w:r>
    </w:p>
    <w:p w14:paraId="36381F38">
      <w:pPr>
        <w:adjustRightInd w:val="0"/>
        <w:snapToGrid w:val="0"/>
        <w:spacing w:before="120" w:beforeLines="50" w:after="120"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不允许转包。</w:t>
      </w:r>
    </w:p>
    <w:p w14:paraId="2C066773">
      <w:pPr>
        <w:adjustRightInd w:val="0"/>
        <w:snapToGrid w:val="0"/>
        <w:spacing w:before="120" w:beforeLines="50" w:after="120" w:afterLines="50" w:line="460" w:lineRule="exact"/>
        <w:ind w:firstLine="639" w:firstLineChars="213"/>
        <w:rPr>
          <w:rFonts w:ascii="仿宋" w:hAnsi="仿宋" w:eastAsia="仿宋"/>
          <w:snapToGrid w:val="0"/>
          <w:color w:val="000000" w:themeColor="text1"/>
          <w:kern w:val="0"/>
          <w:sz w:val="30"/>
          <w:szCs w:val="30"/>
          <w:u w:val="single"/>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允许分包部分</w:t>
      </w:r>
      <w:r>
        <w:rPr>
          <w:rFonts w:hint="eastAsia" w:ascii="仿宋" w:hAnsi="仿宋" w:eastAsia="仿宋"/>
          <w:snapToGrid w:val="0"/>
          <w:color w:val="000000" w:themeColor="text1"/>
          <w:kern w:val="0"/>
          <w:sz w:val="30"/>
          <w:szCs w:val="30"/>
          <w:u w:val="single"/>
          <w14:textFill>
            <w14:solidFill>
              <w14:schemeClr w14:val="tx1"/>
            </w14:solidFill>
          </w14:textFill>
        </w:rPr>
        <w:t xml:space="preserve">               。</w:t>
      </w:r>
    </w:p>
    <w:p w14:paraId="2C0F9F9C">
      <w:pPr>
        <w:adjustRightInd w:val="0"/>
        <w:snapToGrid w:val="0"/>
        <w:spacing w:before="120" w:beforeLines="50" w:after="120" w:afterLines="50" w:line="460" w:lineRule="exact"/>
        <w:ind w:firstLine="600" w:firstLineChars="200"/>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如乙方将项目转包或将不允许分包部分就行了分包，甲方有权解除合同，没收履约保证金并追究乙方的违约责任。</w:t>
      </w:r>
    </w:p>
    <w:p w14:paraId="07EA5548">
      <w:pPr>
        <w:pStyle w:val="31"/>
        <w:adjustRightInd w:val="0"/>
        <w:snapToGrid w:val="0"/>
        <w:spacing w:before="120" w:after="120" w:line="460" w:lineRule="exact"/>
        <w:ind w:firstLine="641"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六、质保期和履约保证金</w:t>
      </w:r>
    </w:p>
    <w:p w14:paraId="42FECF00">
      <w:pPr>
        <w:pStyle w:val="31"/>
        <w:adjustRightInd w:val="0"/>
        <w:snapToGrid w:val="0"/>
        <w:spacing w:before="120" w:after="120" w:line="460" w:lineRule="exact"/>
        <w:ind w:firstLine="600" w:firstLineChars="200"/>
        <w:jc w:val="left"/>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1.质保期年。（自项目验收合格交付使用之日起计）</w:t>
      </w:r>
    </w:p>
    <w:p w14:paraId="1E0E220E">
      <w:pPr>
        <w:pStyle w:val="31"/>
        <w:adjustRightInd w:val="0"/>
        <w:snapToGrid w:val="0"/>
        <w:spacing w:before="120" w:after="120"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2.履约保证金元。[履约保证金交至采购人处，在合同约定交货验收合格满（   ）个月之日起5个工作日内无息退还]</w:t>
      </w:r>
    </w:p>
    <w:p w14:paraId="057D3D4F">
      <w:pPr>
        <w:pStyle w:val="31"/>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七、项目工期及实施地点</w:t>
      </w:r>
    </w:p>
    <w:p w14:paraId="154B800D">
      <w:pPr>
        <w:pStyle w:val="31"/>
        <w:adjustRightInd w:val="0"/>
        <w:snapToGrid w:val="0"/>
        <w:spacing w:before="120" w:after="120"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1.交货期：</w:t>
      </w:r>
    </w:p>
    <w:p w14:paraId="39DB9FD7">
      <w:pPr>
        <w:pStyle w:val="31"/>
        <w:adjustRightInd w:val="0"/>
        <w:snapToGrid w:val="0"/>
        <w:spacing w:before="120" w:after="120" w:line="460" w:lineRule="exact"/>
        <w:ind w:firstLine="639"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2.实施地点：</w:t>
      </w:r>
    </w:p>
    <w:p w14:paraId="7AEDC073">
      <w:pPr>
        <w:pStyle w:val="31"/>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八、货款支付</w:t>
      </w:r>
    </w:p>
    <w:p w14:paraId="46C5AA04">
      <w:pPr>
        <w:spacing w:line="360" w:lineRule="auto"/>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 xml:space="preserve"> 付款方式：（根据采购文件“第四部分商务要求表付款条件”内容填写）</w:t>
      </w:r>
    </w:p>
    <w:p w14:paraId="6ED9AAE1">
      <w:pPr>
        <w:adjustRightInd w:val="0"/>
        <w:snapToGrid w:val="0"/>
        <w:spacing w:before="120" w:beforeLines="50" w:after="120" w:afterLines="50" w:line="460" w:lineRule="exact"/>
        <w:ind w:firstLine="641" w:firstLineChars="213"/>
        <w:rPr>
          <w:rFonts w:ascii="仿宋" w:hAnsi="仿宋" w:eastAsia="仿宋"/>
          <w:b/>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kern w:val="0"/>
          <w:sz w:val="30"/>
          <w:szCs w:val="30"/>
          <w14:textFill>
            <w14:solidFill>
              <w14:schemeClr w14:val="tx1"/>
            </w14:solidFill>
          </w14:textFill>
        </w:rPr>
        <w:t>九、税费</w:t>
      </w:r>
    </w:p>
    <w:p w14:paraId="3C55ECC6">
      <w:pPr>
        <w:adjustRightInd w:val="0"/>
        <w:snapToGrid w:val="0"/>
        <w:spacing w:before="120" w:beforeLines="50" w:after="120"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本合同执行中相关的一切税费均由乙方负担。</w:t>
      </w:r>
    </w:p>
    <w:p w14:paraId="7554D308">
      <w:pPr>
        <w:pStyle w:val="31"/>
        <w:adjustRightInd w:val="0"/>
        <w:snapToGrid w:val="0"/>
        <w:spacing w:before="120" w:after="120" w:line="460" w:lineRule="exact"/>
        <w:ind w:firstLine="596" w:firstLineChars="198"/>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十、质量保证及售后服务</w:t>
      </w:r>
    </w:p>
    <w:p w14:paraId="6D24DDB7">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w:t>
      </w:r>
    </w:p>
    <w:p w14:paraId="738B1976">
      <w:pPr>
        <w:pStyle w:val="31"/>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十一、调试和验收</w:t>
      </w:r>
    </w:p>
    <w:p w14:paraId="0285CB8D">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0E00C6CA">
      <w:pPr>
        <w:pStyle w:val="31"/>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十二、货物包装</w:t>
      </w:r>
    </w:p>
    <w:p w14:paraId="765F41A2">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6DBF7255">
      <w:pPr>
        <w:pStyle w:val="31"/>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十三、违约责任</w:t>
      </w:r>
    </w:p>
    <w:p w14:paraId="7711C751">
      <w:pPr>
        <w:pStyle w:val="31"/>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1.甲方无正当理由拒收验收项目的，甲方向乙方偿付拒收合同总价的百分之五违约金。</w:t>
      </w:r>
    </w:p>
    <w:p w14:paraId="0AFEC84F">
      <w:pPr>
        <w:pStyle w:val="31"/>
        <w:adjustRightInd w:val="0"/>
        <w:snapToGrid w:val="0"/>
        <w:spacing w:before="120" w:after="120" w:line="460" w:lineRule="exact"/>
        <w:ind w:left="1"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2. 甲方收到乙方提供的发票，结合验收情况，验收合格的，在15日内将采购资金支付到乙方约定账户。</w:t>
      </w:r>
    </w:p>
    <w:p w14:paraId="002B11B7">
      <w:pPr>
        <w:pStyle w:val="31"/>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甲方无故逾期验收和办理合同款项支付手续的,甲方应按逾期付款总额每日万分之五向乙方支付违约金。</w:t>
      </w:r>
    </w:p>
    <w:p w14:paraId="50078E7C">
      <w:pPr>
        <w:pStyle w:val="31"/>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0AE25E0C">
      <w:pPr>
        <w:pStyle w:val="31"/>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6CD9204F">
      <w:pPr>
        <w:pStyle w:val="31"/>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5.解除合同应按《浙江省政府采购合同暂行办法》向财政备案。</w:t>
      </w:r>
    </w:p>
    <w:p w14:paraId="1AE23226">
      <w:pPr>
        <w:pStyle w:val="31"/>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十四、不可抗力事件处理</w:t>
      </w:r>
    </w:p>
    <w:p w14:paraId="14203B2A">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1.在合同有效期内，任何一方因不可抗力事件导致不能履行合同，则合同履行期可延长，其延长期与不可抗力影响期相同。</w:t>
      </w:r>
    </w:p>
    <w:p w14:paraId="25389330">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2.不可抗力事件发生后，应立即通知对方，并寄送有关权威机构出具的证明。</w:t>
      </w:r>
    </w:p>
    <w:p w14:paraId="6EE26E8A">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3.不可抗力事件延续120天以上，双方应通过友好协商，确定是否继续履行合同。</w:t>
      </w:r>
    </w:p>
    <w:p w14:paraId="4EF88515">
      <w:pPr>
        <w:pStyle w:val="31"/>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十五、诉讼</w:t>
      </w:r>
    </w:p>
    <w:p w14:paraId="33B14320">
      <w:pPr>
        <w:pStyle w:val="31"/>
        <w:adjustRightInd w:val="0"/>
        <w:snapToGrid w:val="0"/>
        <w:spacing w:before="120" w:after="120" w:line="460" w:lineRule="exact"/>
        <w:ind w:left="2"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双方在执行合同中所发生的一切争议，应通过协商解决。如协商不成，可向甲方所在地法院起诉。</w:t>
      </w:r>
    </w:p>
    <w:p w14:paraId="4090674C">
      <w:pPr>
        <w:pStyle w:val="31"/>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十六、合同生效及其它</w:t>
      </w:r>
    </w:p>
    <w:p w14:paraId="37CDCFB5">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1.合同经甲、乙两方签名并加盖单位公章后生效。</w:t>
      </w:r>
    </w:p>
    <w:p w14:paraId="1E371339">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2.合同执行中涉及采购资金和采购内容修改或补充的，须双方经财政部门审批，并签书面补充协议，经报政府采购监督管理部门备案后，方可作为主合同不可分割的一部分。</w:t>
      </w:r>
    </w:p>
    <w:p w14:paraId="2E0DDF76">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3.招标文件、投标文件与本合同具有同等法律效力。</w:t>
      </w:r>
    </w:p>
    <w:p w14:paraId="0C78A25E">
      <w:pPr>
        <w:pStyle w:val="31"/>
        <w:adjustRightInd w:val="0"/>
        <w:snapToGrid w:val="0"/>
        <w:spacing w:before="120" w:after="120" w:line="460" w:lineRule="exact"/>
        <w:ind w:firstLine="59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156AD08">
      <w:pPr>
        <w:pStyle w:val="31"/>
        <w:adjustRightInd w:val="0"/>
        <w:snapToGrid w:val="0"/>
        <w:spacing w:before="120" w:after="120"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5.本合同未尽事宜，遵照《中华人民共和国民法典》有关条文执行。</w:t>
      </w:r>
    </w:p>
    <w:p w14:paraId="2BB83BC9">
      <w:pPr>
        <w:pStyle w:val="31"/>
        <w:adjustRightInd w:val="0"/>
        <w:snapToGrid w:val="0"/>
        <w:spacing w:before="120" w:beforeLines="0" w:after="120" w:line="460" w:lineRule="exact"/>
        <w:ind w:left="2" w:leftChars="1"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6.本合同一式四份，具有同等法律效力，甲、乙两方各执二份。</w:t>
      </w:r>
    </w:p>
    <w:p w14:paraId="4E4591AC">
      <w:pPr>
        <w:pStyle w:val="31"/>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p>
    <w:p w14:paraId="7C691B23">
      <w:pPr>
        <w:pStyle w:val="31"/>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甲方（盖章）：                                   </w:t>
      </w:r>
    </w:p>
    <w:p w14:paraId="6DA219C0">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07337DB6">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法定（授权）代表人：                   </w:t>
      </w:r>
    </w:p>
    <w:p w14:paraId="3CA816E2">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签名日期：     年   月   日           </w:t>
      </w:r>
    </w:p>
    <w:p w14:paraId="3D63027E">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14:paraId="16014F3D">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乙方（盖章）：</w:t>
      </w:r>
    </w:p>
    <w:p w14:paraId="0E19A19F">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5AF94B7A">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开户行：</w:t>
      </w:r>
    </w:p>
    <w:p w14:paraId="2AF9111B">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开户帐号：</w:t>
      </w:r>
    </w:p>
    <w:p w14:paraId="2F33D65B">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法定（授权）代表人：</w:t>
      </w:r>
    </w:p>
    <w:p w14:paraId="666F4D9A">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签名日期：      年   月   日</w:t>
      </w:r>
    </w:p>
    <w:p w14:paraId="6428728E">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14:paraId="2A7243AE">
      <w:pPr>
        <w:rPr>
          <w:color w:val="000000" w:themeColor="text1"/>
          <w:szCs w:val="30"/>
          <w14:textFill>
            <w14:solidFill>
              <w14:schemeClr w14:val="tx1"/>
            </w14:solidFill>
          </w14:textFill>
        </w:rPr>
      </w:pPr>
    </w:p>
    <w:p w14:paraId="5CB52399">
      <w:pPr>
        <w:pStyle w:val="31"/>
        <w:spacing w:before="120" w:after="120" w:line="360" w:lineRule="auto"/>
        <w:jc w:val="center"/>
        <w:outlineLvl w:val="0"/>
        <w:rPr>
          <w:rFonts w:hAnsi="宋体"/>
          <w:b/>
          <w:color w:val="000000" w:themeColor="text1"/>
          <w:sz w:val="36"/>
          <w:szCs w:val="36"/>
          <w14:textFill>
            <w14:solidFill>
              <w14:schemeClr w14:val="tx1"/>
            </w14:solidFill>
          </w14:textFill>
        </w:rPr>
      </w:pPr>
      <w:r>
        <w:rPr>
          <w:rFonts w:hint="eastAsia" w:ascii="仿宋_GB2312" w:eastAsia="仿宋_GB2312"/>
          <w:snapToGrid w:val="0"/>
          <w:color w:val="000000" w:themeColor="text1"/>
          <w:kern w:val="0"/>
          <w:sz w:val="30"/>
          <w:szCs w:val="30"/>
          <w14:textFill>
            <w14:solidFill>
              <w14:schemeClr w14:val="tx1"/>
            </w14:solidFill>
          </w14:textFill>
        </w:rPr>
        <w:br w:type="page"/>
      </w:r>
      <w:bookmarkStart w:id="36" w:name="_Toc22013"/>
      <w:r>
        <w:rPr>
          <w:rFonts w:hint="eastAsia" w:hAnsi="宋体"/>
          <w:b/>
          <w:color w:val="000000" w:themeColor="text1"/>
          <w:sz w:val="36"/>
          <w:szCs w:val="36"/>
          <w14:textFill>
            <w14:solidFill>
              <w14:schemeClr w14:val="tx1"/>
            </w14:solidFill>
          </w14:textFill>
        </w:rPr>
        <w:t>第六章 投标文件格式附件</w:t>
      </w:r>
      <w:bookmarkEnd w:id="36"/>
    </w:p>
    <w:p w14:paraId="62D00E6B">
      <w:pPr>
        <w:pStyle w:val="31"/>
        <w:spacing w:before="120" w:after="120" w:line="360" w:lineRule="auto"/>
        <w:jc w:val="center"/>
        <w:rPr>
          <w:rFonts w:hAnsi="宋体" w:eastAsia="仿宋_GB2312"/>
          <w:b/>
          <w:color w:val="000000" w:themeColor="text1"/>
          <w:sz w:val="36"/>
          <w:szCs w:val="36"/>
          <w14:textFill>
            <w14:solidFill>
              <w14:schemeClr w14:val="tx1"/>
            </w14:solidFill>
          </w14:textFill>
        </w:rPr>
      </w:pPr>
    </w:p>
    <w:p w14:paraId="5909CC35">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83835A7">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4C002FB">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1E88A01">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F437A06">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B0B8ED8">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0A1EA20">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165100B">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A559EA6">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922D6D2">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16996F7">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5F2E0AB">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F1E4406">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F5A3F75">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ECD652B">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028DCF4">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862FD89">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F8EB41D">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FD4ED4E">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AB8FC70">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AA8147F">
      <w:pPr>
        <w:snapToGrid w:val="0"/>
        <w:spacing w:before="120" w:beforeLines="50" w:after="50"/>
        <w:rPr>
          <w:rFonts w:ascii="仿宋" w:hAnsi="仿宋" w:eastAsia="仿宋"/>
          <w:color w:val="000000" w:themeColor="text1"/>
          <w:sz w:val="30"/>
          <w:szCs w:val="30"/>
          <w14:textFill>
            <w14:solidFill>
              <w14:schemeClr w14:val="tx1"/>
            </w14:solidFill>
          </w14:textFill>
        </w:rPr>
      </w:pPr>
    </w:p>
    <w:p w14:paraId="0BA851F2">
      <w:pPr>
        <w:snapToGrid w:val="0"/>
        <w:spacing w:before="120" w:beforeLines="50" w:after="5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b/>
          <w:color w:val="000000" w:themeColor="text1"/>
          <w:sz w:val="30"/>
          <w:szCs w:val="30"/>
          <w14:textFill>
            <w14:solidFill>
              <w14:schemeClr w14:val="tx1"/>
            </w14:solidFill>
          </w14:textFill>
        </w:rPr>
        <w:t xml:space="preserve">：                                          </w:t>
      </w:r>
    </w:p>
    <w:p w14:paraId="14BFBC1F">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bookmarkStart w:id="37" w:name="PO_1000000445_PM002_2"/>
      <w:r>
        <w:rPr>
          <w:rFonts w:hint="eastAsia" w:ascii="仿宋" w:hAnsi="仿宋" w:eastAsia="仿宋"/>
          <w:b/>
          <w:color w:val="000000" w:themeColor="text1"/>
          <w:spacing w:val="40"/>
          <w:sz w:val="52"/>
          <w:szCs w:val="52"/>
          <w14:textFill>
            <w14:solidFill>
              <w14:schemeClr w14:val="tx1"/>
            </w14:solidFill>
          </w14:textFill>
        </w:rPr>
        <w:t>浙江外国语学院图书馆机房建设项目</w:t>
      </w:r>
      <w:bookmarkEnd w:id="37"/>
    </w:p>
    <w:p w14:paraId="437B6588">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38" w:name="PO_15528_PM001_2"/>
      <w:r>
        <w:rPr>
          <w:rFonts w:hint="eastAsia" w:ascii="仿宋" w:hAnsi="仿宋" w:eastAsia="仿宋"/>
          <w:color w:val="000000" w:themeColor="text1"/>
          <w:sz w:val="36"/>
          <w:szCs w:val="36"/>
          <w14:textFill>
            <w14:solidFill>
              <w14:schemeClr w14:val="tx1"/>
            </w14:solidFill>
          </w14:textFill>
        </w:rPr>
        <w:t>ZZCG2024X-GK-150</w:t>
      </w:r>
      <w:bookmarkEnd w:id="38"/>
      <w:r>
        <w:rPr>
          <w:rFonts w:hint="eastAsia" w:ascii="仿宋" w:hAnsi="仿宋" w:eastAsia="仿宋"/>
          <w:color w:val="000000" w:themeColor="text1"/>
          <w:sz w:val="36"/>
          <w:szCs w:val="36"/>
          <w14:textFill>
            <w14:solidFill>
              <w14:schemeClr w14:val="tx1"/>
            </w14:solidFill>
          </w14:textFill>
        </w:rPr>
        <w:t>（标项  ）</w:t>
      </w:r>
    </w:p>
    <w:p w14:paraId="43A73131">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20169A86">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资</w:t>
      </w:r>
    </w:p>
    <w:p w14:paraId="09A4D3C3">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254D5747">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格</w:t>
      </w:r>
    </w:p>
    <w:p w14:paraId="10659F70">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56447B52">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61C57ADC">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1EA60003">
      <w:pPr>
        <w:spacing w:after="100" w:afterAutospacing="1" w:line="800" w:lineRule="exact"/>
        <w:ind w:right="-108"/>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7FBC867B">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785D31C6">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36A07D94">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3506763B">
      <w:pPr>
        <w:snapToGrid w:val="0"/>
        <w:spacing w:before="50" w:after="50"/>
        <w:rPr>
          <w:rFonts w:ascii="仿宋" w:hAnsi="仿宋" w:eastAsia="仿宋"/>
          <w:b/>
          <w:bCs/>
          <w:sz w:val="36"/>
          <w:szCs w:val="36"/>
        </w:rPr>
      </w:pPr>
      <w:r>
        <w:rPr>
          <w:rFonts w:hint="eastAsia" w:ascii="仿宋" w:hAnsi="仿宋" w:eastAsia="仿宋"/>
          <w:b/>
          <w:color w:val="000000" w:themeColor="text1"/>
          <w:kern w:val="0"/>
          <w:sz w:val="36"/>
          <w:szCs w:val="36"/>
          <w14:textFill>
            <w14:solidFill>
              <w14:schemeClr w14:val="tx1"/>
            </w14:solidFill>
          </w14:textFill>
        </w:rPr>
        <w:br w:type="page"/>
      </w:r>
      <w:r>
        <w:rPr>
          <w:rFonts w:hint="eastAsia" w:ascii="仿宋" w:hAnsi="仿宋" w:eastAsia="仿宋"/>
          <w:b/>
          <w:sz w:val="36"/>
          <w:szCs w:val="36"/>
        </w:rPr>
        <w:t>1、</w:t>
      </w:r>
      <w:r>
        <w:rPr>
          <w:rFonts w:hint="eastAsia" w:ascii="仿宋" w:hAnsi="仿宋" w:eastAsia="仿宋"/>
          <w:b/>
          <w:bCs/>
          <w:sz w:val="36"/>
          <w:szCs w:val="36"/>
        </w:rPr>
        <w:t>资格文件目录</w:t>
      </w:r>
    </w:p>
    <w:p w14:paraId="00D2F6E6">
      <w:pPr>
        <w:snapToGrid w:val="0"/>
        <w:spacing w:before="50" w:after="50"/>
        <w:rPr>
          <w:rFonts w:ascii="仿宋" w:hAnsi="仿宋" w:eastAsia="仿宋"/>
          <w:sz w:val="30"/>
          <w:szCs w:val="30"/>
        </w:rPr>
      </w:pPr>
    </w:p>
    <w:p w14:paraId="5ECBDF06">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（1）声明书 (格式见附件2)；</w:t>
      </w:r>
    </w:p>
    <w:p w14:paraId="4DF9335D">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（2）法定代表人授权委托书(以非联合体形式投标的提供，格式见附件3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)或法定代表人身份证明（法定代表人代表投标人投标的提供，格式见附件3</w:t>
      </w:r>
      <w:r>
        <w:rPr>
          <w:rFonts w:ascii="仿宋" w:hAnsi="仿宋" w:eastAsia="仿宋"/>
          <w:sz w:val="30"/>
          <w:szCs w:val="30"/>
        </w:rPr>
        <w:t>-2</w:t>
      </w:r>
      <w:r>
        <w:rPr>
          <w:rFonts w:hint="eastAsia" w:ascii="仿宋" w:hAnsi="仿宋" w:eastAsia="仿宋"/>
          <w:sz w:val="30"/>
          <w:szCs w:val="30"/>
        </w:rPr>
        <w:t>）或联合投标授权委托书（以联合体形式投标的提供，格式见附件</w:t>
      </w:r>
      <w:r>
        <w:rPr>
          <w:rFonts w:ascii="仿宋" w:hAnsi="仿宋" w:eastAsia="仿宋"/>
          <w:sz w:val="30"/>
          <w:szCs w:val="30"/>
        </w:rPr>
        <w:t>5</w:t>
      </w:r>
      <w:r>
        <w:rPr>
          <w:rFonts w:hint="eastAsia" w:ascii="仿宋" w:hAnsi="仿宋" w:eastAsia="仿宋"/>
          <w:sz w:val="30"/>
          <w:szCs w:val="30"/>
        </w:rPr>
        <w:t>）；</w:t>
      </w:r>
    </w:p>
    <w:p w14:paraId="525EFE6B">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572C2B74">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（4）联合投标协议书（以联合体形式投标的须提供，格式见附件4）;</w:t>
      </w:r>
    </w:p>
    <w:p w14:paraId="6097674F">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5</w:t>
      </w:r>
      <w:r>
        <w:rPr>
          <w:rFonts w:hint="eastAsia" w:ascii="仿宋" w:hAnsi="仿宋" w:eastAsia="仿宋"/>
          <w:sz w:val="30"/>
          <w:szCs w:val="30"/>
        </w:rPr>
        <w:t>）分包意向协议（以分包方式履行合同的须提供，格式见附件6）</w:t>
      </w:r>
    </w:p>
    <w:p w14:paraId="41D4B916">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w:t>
      </w:r>
      <w:r>
        <w:rPr>
          <w:rFonts w:hint="eastAsia" w:ascii="仿宋" w:hAnsi="仿宋" w:eastAsia="仿宋"/>
          <w:bCs/>
          <w:sz w:val="30"/>
          <w:szCs w:val="30"/>
        </w:rPr>
        <w:t>监狱企业证明文件</w:t>
      </w:r>
      <w:r>
        <w:rPr>
          <w:rFonts w:hint="eastAsia" w:ascii="仿宋" w:hAnsi="仿宋" w:eastAsia="仿宋"/>
          <w:sz w:val="30"/>
          <w:szCs w:val="30"/>
        </w:rPr>
        <w:t>（若需要）；</w:t>
      </w:r>
    </w:p>
    <w:p w14:paraId="31AFEF70">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（7）提供采购公告中符合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14:paraId="7055C137">
      <w:pPr>
        <w:pStyle w:val="34"/>
        <w:snapToGrid w:val="0"/>
        <w:spacing w:after="120" w:line="460" w:lineRule="exact"/>
        <w:ind w:left="5250" w:firstLine="600" w:firstLineChars="200"/>
        <w:rPr>
          <w:rFonts w:ascii="仿宋" w:hAnsi="仿宋" w:eastAsia="仿宋"/>
          <w:sz w:val="30"/>
          <w:szCs w:val="30"/>
        </w:rPr>
      </w:pPr>
    </w:p>
    <w:p w14:paraId="49FE72EE">
      <w:pPr>
        <w:snapToGrid w:val="0"/>
        <w:spacing w:line="460" w:lineRule="exact"/>
        <w:ind w:firstLine="588" w:firstLineChars="196"/>
        <w:jc w:val="left"/>
        <w:rPr>
          <w:rFonts w:ascii="仿宋" w:hAnsi="仿宋" w:eastAsia="仿宋"/>
          <w:sz w:val="30"/>
          <w:szCs w:val="30"/>
        </w:rPr>
      </w:pPr>
    </w:p>
    <w:p w14:paraId="444B6D22">
      <w:pPr>
        <w:widowControl/>
        <w:jc w:val="left"/>
        <w:rPr>
          <w:rFonts w:ascii="仿宋" w:hAnsi="仿宋" w:eastAsia="仿宋"/>
          <w:bCs/>
          <w:sz w:val="28"/>
          <w:szCs w:val="28"/>
        </w:rPr>
      </w:pPr>
      <w:r>
        <w:rPr>
          <w:rFonts w:ascii="仿宋" w:hAnsi="仿宋" w:eastAsia="仿宋"/>
          <w:bCs/>
          <w:sz w:val="28"/>
          <w:szCs w:val="28"/>
        </w:rPr>
        <w:br w:type="page"/>
      </w:r>
    </w:p>
    <w:p w14:paraId="4E726952">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▲投标人须知（九）投标无效的情形中“1.投标人未能提供合格的资格文件”包括但不限于下列情形：</w:t>
      </w:r>
    </w:p>
    <w:p w14:paraId="4B3F0415">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14:paraId="2ED74DF9">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未提供声明书或声明书未盖投标人公章；</w:t>
      </w:r>
    </w:p>
    <w:p w14:paraId="7E012F5C">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联合体形式投标的，未分别提供联合体各方声明书</w:t>
      </w:r>
      <w:r>
        <w:rPr>
          <w:rFonts w:hint="eastAsia" w:ascii="仿宋" w:hAnsi="仿宋" w:eastAsia="仿宋"/>
          <w:bCs/>
          <w:sz w:val="30"/>
          <w:szCs w:val="30"/>
        </w:rPr>
        <w:t>或声明书未盖投标人公章</w:t>
      </w:r>
      <w:r>
        <w:rPr>
          <w:rFonts w:hint="eastAsia" w:ascii="仿宋" w:hAnsi="仿宋" w:eastAsia="仿宋"/>
          <w:sz w:val="30"/>
          <w:szCs w:val="30"/>
        </w:rPr>
        <w:t>；</w:t>
      </w:r>
    </w:p>
    <w:p w14:paraId="1E276FCB">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法定代表人授权书或法定代表人身份证明或联合投标授权委托书：</w:t>
      </w:r>
    </w:p>
    <w:p w14:paraId="7E33F8BB">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以非联合体形式投标的，未提供法定代表人授权委托书或委托书</w:t>
      </w:r>
      <w:r>
        <w:rPr>
          <w:rFonts w:hint="eastAsia" w:ascii="仿宋" w:hAnsi="仿宋" w:eastAsia="仿宋"/>
          <w:bCs/>
          <w:sz w:val="30"/>
          <w:szCs w:val="30"/>
        </w:rPr>
        <w:t>无法定代表人签章或未盖投标人公章；</w:t>
      </w:r>
      <w:r>
        <w:rPr>
          <w:rFonts w:hint="eastAsia" w:ascii="仿宋" w:hAnsi="仿宋" w:eastAsia="仿宋"/>
          <w:sz w:val="30"/>
          <w:szCs w:val="30"/>
        </w:rPr>
        <w:t>法定代表人代表投标人投标的，</w:t>
      </w:r>
      <w:r>
        <w:rPr>
          <w:rFonts w:hint="eastAsia" w:ascii="仿宋" w:hAnsi="仿宋" w:eastAsia="仿宋"/>
          <w:bCs/>
          <w:sz w:val="30"/>
          <w:szCs w:val="30"/>
        </w:rPr>
        <w:t>未提供身份证或身份证不在有效期内或未签章；</w:t>
      </w:r>
    </w:p>
    <w:p w14:paraId="660A7435">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联合体形式投标的，未提供联合投标授权委托书或委托书</w:t>
      </w:r>
      <w:r>
        <w:rPr>
          <w:rFonts w:hint="eastAsia" w:ascii="仿宋" w:hAnsi="仿宋" w:eastAsia="仿宋"/>
          <w:bCs/>
          <w:sz w:val="30"/>
          <w:szCs w:val="30"/>
        </w:rPr>
        <w:t>无联合体各方法定代表人签章或未盖联合体各方公章；</w:t>
      </w:r>
    </w:p>
    <w:p w14:paraId="7337E2CC">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14:paraId="5AA33D90">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未提供营业执照或营业执照不在有效期内或未盖投标人公章；</w:t>
      </w:r>
    </w:p>
    <w:p w14:paraId="29CE1EB4">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联合体形式投标的，未提供联合体各方</w:t>
      </w:r>
      <w:r>
        <w:rPr>
          <w:rFonts w:hint="eastAsia" w:ascii="仿宋" w:hAnsi="仿宋" w:eastAsia="仿宋"/>
          <w:bCs/>
          <w:sz w:val="30"/>
          <w:szCs w:val="30"/>
        </w:rPr>
        <w:t>营业执照或营业执照不在有效期内或未盖投标人公章</w:t>
      </w:r>
      <w:r>
        <w:rPr>
          <w:rFonts w:hint="eastAsia" w:ascii="仿宋" w:hAnsi="仿宋" w:eastAsia="仿宋"/>
          <w:sz w:val="30"/>
          <w:szCs w:val="30"/>
        </w:rPr>
        <w:t>；</w:t>
      </w:r>
    </w:p>
    <w:p w14:paraId="482DFBC7">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事业单位投标的，未提供事业单位法人证书或事业单位法人证书不在有效期内或未盖投标人公章；自然人投标的，未提供身份证或身份证不在有效期内或未签章；</w:t>
      </w:r>
    </w:p>
    <w:p w14:paraId="4E79CA2A">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联合投标协议书：</w:t>
      </w:r>
    </w:p>
    <w:p w14:paraId="0D43DFAB">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14:paraId="4ED8A8FC">
      <w:pPr>
        <w:snapToGrid w:val="0"/>
        <w:spacing w:line="460" w:lineRule="exact"/>
        <w:ind w:firstLine="446" w:firstLineChars="148"/>
        <w:jc w:val="left"/>
        <w:outlineLvl w:val="1"/>
        <w:rPr>
          <w:rFonts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sz w:val="30"/>
          <w:szCs w:val="30"/>
        </w:rPr>
        <w:t xml:space="preserve"> 投标人的特定条件证明材料：</w:t>
      </w:r>
    </w:p>
    <w:p w14:paraId="6D901B2B">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合格投标人的资格要求中有投标人的特定条件的，未提供符合投标人特定条件证明材料或证明材</w:t>
      </w:r>
      <w:r>
        <w:rPr>
          <w:rFonts w:hint="eastAsia" w:ascii="仿宋" w:hAnsi="仿宋" w:eastAsia="仿宋"/>
          <w:bCs/>
          <w:sz w:val="30"/>
          <w:szCs w:val="30"/>
        </w:rPr>
        <w:t>料不在有效期内或未盖投标人公章；</w:t>
      </w:r>
    </w:p>
    <w:p w14:paraId="0DAB4651">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中小企业声明函：</w:t>
      </w:r>
    </w:p>
    <w:p w14:paraId="225C2459">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项目专门面向中小企业的，未提供中小企业声明函或中小企业声明函中未完整填写标的名称、企业名称、从业人员、营业收入、资产总额或未盖投标人公章；</w:t>
      </w:r>
    </w:p>
    <w:p w14:paraId="04EBD9CD">
      <w:pPr>
        <w:snapToGrid w:val="0"/>
        <w:spacing w:line="460" w:lineRule="exact"/>
        <w:ind w:firstLine="461" w:firstLineChars="148"/>
        <w:jc w:val="left"/>
        <w:outlineLvl w:val="1"/>
        <w:rPr>
          <w:rFonts w:ascii="仿宋" w:hAnsi="仿宋" w:eastAsia="仿宋"/>
          <w:sz w:val="30"/>
          <w:szCs w:val="30"/>
        </w:rPr>
      </w:pPr>
      <w:r>
        <w:rPr>
          <w:rFonts w:hint="eastAsia" w:ascii="仿宋" w:hAnsi="仿宋" w:eastAsia="仿宋"/>
          <w:spacing w:val="6"/>
          <w:sz w:val="30"/>
          <w:szCs w:val="30"/>
        </w:rPr>
        <w:t>残疾人福利性单位投标的，</w:t>
      </w:r>
      <w:r>
        <w:rPr>
          <w:rFonts w:hint="eastAsia" w:ascii="仿宋" w:hAnsi="仿宋" w:eastAsia="仿宋"/>
          <w:bCs/>
          <w:sz w:val="30"/>
          <w:szCs w:val="30"/>
        </w:rPr>
        <w:t>未提供残疾人福利性单位声明函或未盖投标人公章；监狱企业投标的，未提供由省级以上监狱管理局、戒毒管理局（含新疆生产建设兵团）出具的属于监狱企业的证明文件；</w:t>
      </w:r>
    </w:p>
    <w:p w14:paraId="0FC9A6CB">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分包意向协议:</w:t>
      </w:r>
    </w:p>
    <w:p w14:paraId="7ADCE90B">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未盖投标人与分包供应商公章或</w:t>
      </w:r>
      <w:r>
        <w:rPr>
          <w:rFonts w:hint="eastAsia" w:ascii="仿宋" w:hAnsi="仿宋" w:eastAsia="仿宋"/>
          <w:sz w:val="30"/>
          <w:szCs w:val="30"/>
        </w:rPr>
        <w:t>未列明分包供应商承担的工作、合同金额占比。</w:t>
      </w:r>
    </w:p>
    <w:p w14:paraId="320FE252">
      <w:pPr>
        <w:pStyle w:val="31"/>
        <w:snapToGrid w:val="0"/>
        <w:spacing w:before="120" w:after="120" w:line="240" w:lineRule="auto"/>
        <w:rPr>
          <w:rFonts w:ascii="仿宋" w:hAnsi="仿宋" w:eastAsia="仿宋"/>
          <w:sz w:val="30"/>
          <w:szCs w:val="30"/>
        </w:rPr>
      </w:pPr>
    </w:p>
    <w:p w14:paraId="121CBB83">
      <w:pPr>
        <w:pStyle w:val="31"/>
        <w:snapToGrid w:val="0"/>
        <w:spacing w:before="120" w:after="120" w:line="240" w:lineRule="auto"/>
        <w:rPr>
          <w:rFonts w:ascii="仿宋" w:hAnsi="仿宋" w:eastAsia="仿宋"/>
          <w:sz w:val="30"/>
          <w:szCs w:val="30"/>
        </w:rPr>
      </w:pPr>
    </w:p>
    <w:p w14:paraId="4B5DBBE2">
      <w:pPr>
        <w:snapToGrid w:val="0"/>
        <w:spacing w:before="50" w:after="120" w:afterLines="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附件2：</w:t>
      </w:r>
    </w:p>
    <w:p w14:paraId="77855528">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14:paraId="450DEC2B">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14:paraId="6F40722A">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我方愿意参加贵方组织的</w:t>
      </w:r>
      <w:bookmarkStart w:id="39" w:name="PO_3000002632_PM002"/>
      <w:r>
        <w:rPr>
          <w:rFonts w:hint="eastAsia" w:ascii="仿宋" w:hAnsi="仿宋" w:eastAsia="仿宋"/>
          <w:b/>
          <w:sz w:val="30"/>
          <w:szCs w:val="30"/>
          <w:u w:val="single"/>
        </w:rPr>
        <w:t>浙江外国语学院图书馆机房建设项目</w:t>
      </w:r>
      <w:bookmarkEnd w:id="39"/>
      <w:r>
        <w:rPr>
          <w:rFonts w:hint="eastAsia" w:ascii="仿宋" w:hAnsi="仿宋" w:eastAsia="仿宋"/>
          <w:sz w:val="30"/>
          <w:szCs w:val="30"/>
          <w:u w:val="single"/>
        </w:rPr>
        <w:t>（编号为</w:t>
      </w:r>
      <w:bookmarkStart w:id="40" w:name="PO_15528_PM001_3"/>
      <w:r>
        <w:rPr>
          <w:rFonts w:hint="eastAsia" w:ascii="仿宋" w:hAnsi="仿宋" w:eastAsia="仿宋"/>
          <w:sz w:val="30"/>
          <w:szCs w:val="30"/>
          <w:u w:val="single"/>
        </w:rPr>
        <w:t>ZZCG2024X-GK-150</w:t>
      </w:r>
      <w:bookmarkEnd w:id="40"/>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14:paraId="67D80AE4">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w:t>
      </w:r>
    </w:p>
    <w:p w14:paraId="7E47264E">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14:paraId="0C3EE9B5">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14:paraId="7E35820C">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14:paraId="7B4E3CFB">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14:paraId="14887BA3">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w:t>
      </w:r>
    </w:p>
    <w:p w14:paraId="71B12305">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14:paraId="29F40AE4">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单位负责人为同一人或者存在直接控股、管理关系的不同供应商， 参加同一合同项下的政府采购活动</w:t>
      </w:r>
      <w:r>
        <w:rPr>
          <w:rFonts w:hint="eastAsia" w:ascii="仿宋" w:hAnsi="仿宋" w:eastAsia="仿宋"/>
          <w:sz w:val="30"/>
          <w:szCs w:val="30"/>
        </w:rPr>
        <w:t>的情况</w:t>
      </w:r>
      <w:r>
        <w:rPr>
          <w:rFonts w:ascii="仿宋" w:hAnsi="仿宋" w:eastAsia="仿宋"/>
          <w:sz w:val="30"/>
          <w:szCs w:val="30"/>
        </w:rPr>
        <w:t>。</w:t>
      </w:r>
    </w:p>
    <w:p w14:paraId="25C4A7E3">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为采购项目提供整体设计、规范编制或者项目管理、监理、检测等服务</w:t>
      </w:r>
      <w:r>
        <w:rPr>
          <w:rFonts w:hint="eastAsia" w:ascii="仿宋" w:hAnsi="仿宋" w:eastAsia="仿宋"/>
          <w:sz w:val="30"/>
          <w:szCs w:val="30"/>
        </w:rPr>
        <w:t>后</w:t>
      </w:r>
      <w:r>
        <w:rPr>
          <w:rFonts w:ascii="仿宋" w:hAnsi="仿宋" w:eastAsia="仿宋"/>
          <w:sz w:val="30"/>
          <w:szCs w:val="30"/>
        </w:rPr>
        <w:t>再参加该采购项目的其他采购活动</w:t>
      </w:r>
      <w:r>
        <w:rPr>
          <w:rFonts w:hint="eastAsia" w:ascii="仿宋" w:hAnsi="仿宋" w:eastAsia="仿宋"/>
          <w:sz w:val="30"/>
          <w:szCs w:val="30"/>
        </w:rPr>
        <w:t>的情况</w:t>
      </w:r>
      <w:r>
        <w:rPr>
          <w:rFonts w:ascii="仿宋" w:hAnsi="仿宋" w:eastAsia="仿宋"/>
          <w:sz w:val="30"/>
          <w:szCs w:val="30"/>
        </w:rPr>
        <w:t>。</w:t>
      </w:r>
    </w:p>
    <w:p w14:paraId="334C6173">
      <w:pPr>
        <w:snapToGrid w:val="0"/>
        <w:spacing w:before="120" w:beforeLines="50" w:after="50" w:line="460" w:lineRule="exact"/>
        <w:ind w:firstLine="600" w:firstLineChars="200"/>
        <w:rPr>
          <w:rFonts w:ascii="仿宋" w:hAnsi="仿宋" w:eastAsia="仿宋"/>
          <w:sz w:val="30"/>
          <w:szCs w:val="30"/>
        </w:rPr>
      </w:pPr>
      <w:r>
        <w:rPr>
          <w:rFonts w:ascii="仿宋" w:hAnsi="仿宋" w:eastAsia="仿宋"/>
          <w:sz w:val="30"/>
          <w:szCs w:val="30"/>
        </w:rPr>
        <w:t>10</w:t>
      </w:r>
      <w:r>
        <w:rPr>
          <w:rFonts w:hint="eastAsia" w:ascii="仿宋" w:hAnsi="仿宋" w:eastAsia="仿宋"/>
          <w:sz w:val="30"/>
          <w:szCs w:val="30"/>
        </w:rPr>
        <w:t>.以上事项如有虚假或隐瞒，我方愿意承担一切后果，并不再寻求任何旨在减轻或免除法律责任的辩解。</w:t>
      </w:r>
    </w:p>
    <w:p w14:paraId="45A58CD5">
      <w:pPr>
        <w:snapToGrid w:val="0"/>
        <w:spacing w:before="120" w:beforeLines="50" w:after="50" w:line="460" w:lineRule="exact"/>
        <w:ind w:right="600" w:firstLine="150" w:firstLineChars="50"/>
        <w:rPr>
          <w:rFonts w:ascii="仿宋" w:hAnsi="仿宋" w:eastAsia="仿宋"/>
          <w:sz w:val="30"/>
          <w:szCs w:val="30"/>
        </w:rPr>
      </w:pPr>
    </w:p>
    <w:p w14:paraId="1CF40AE1">
      <w:pPr>
        <w:snapToGrid w:val="0"/>
        <w:spacing w:before="120" w:beforeLines="50" w:after="50" w:line="460" w:lineRule="exact"/>
        <w:ind w:right="600" w:firstLine="150" w:firstLineChars="50"/>
        <w:rPr>
          <w:rFonts w:ascii="仿宋" w:hAnsi="仿宋" w:eastAsia="仿宋"/>
          <w:sz w:val="30"/>
          <w:szCs w:val="30"/>
        </w:rPr>
      </w:pPr>
    </w:p>
    <w:p w14:paraId="6C9BF492">
      <w:pPr>
        <w:snapToGrid w:val="0"/>
        <w:spacing w:before="120"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6377766E">
      <w:pPr>
        <w:snapToGrid w:val="0"/>
        <w:spacing w:before="120" w:beforeLines="50" w:after="50" w:line="460" w:lineRule="exac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附件3</w:t>
      </w:r>
      <w:r>
        <w:rPr>
          <w:rFonts w:ascii="仿宋" w:hAnsi="仿宋" w:eastAsia="仿宋"/>
          <w:sz w:val="30"/>
          <w:szCs w:val="30"/>
        </w:rPr>
        <w:t>-1</w:t>
      </w:r>
      <w:r>
        <w:rPr>
          <w:rFonts w:hint="eastAsia" w:ascii="仿宋" w:hAnsi="仿宋" w:eastAsia="仿宋"/>
          <w:sz w:val="30"/>
          <w:szCs w:val="30"/>
        </w:rPr>
        <w:t>：</w:t>
      </w:r>
    </w:p>
    <w:p w14:paraId="4AEB9210">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14:paraId="570DBB36">
      <w:pPr>
        <w:snapToGrid w:val="0"/>
        <w:spacing w:before="120" w:beforeLines="50" w:after="50"/>
        <w:jc w:val="center"/>
        <w:rPr>
          <w:rFonts w:ascii="仿宋" w:hAnsi="仿宋" w:eastAsia="仿宋"/>
          <w:b/>
          <w:sz w:val="30"/>
          <w:szCs w:val="30"/>
        </w:rPr>
      </w:pPr>
    </w:p>
    <w:p w14:paraId="4287C84C">
      <w:pPr>
        <w:snapToGrid w:val="0"/>
        <w:spacing w:before="120"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14:paraId="166E6B0F">
      <w:pPr>
        <w:snapToGrid w:val="0"/>
        <w:spacing w:before="120"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为授权代表，以我方的名义参加项目名称：</w:t>
      </w:r>
      <w:bookmarkStart w:id="41" w:name="PO_3000002632_PM002_1"/>
      <w:r>
        <w:rPr>
          <w:rFonts w:hint="eastAsia" w:ascii="仿宋" w:hAnsi="仿宋" w:eastAsia="仿宋"/>
          <w:b/>
          <w:sz w:val="30"/>
          <w:szCs w:val="30"/>
          <w:u w:val="single"/>
        </w:rPr>
        <w:t>浙江外国语学院图书馆机房建设项目</w:t>
      </w:r>
      <w:bookmarkEnd w:id="41"/>
      <w:r>
        <w:rPr>
          <w:rFonts w:hint="eastAsia" w:ascii="仿宋" w:hAnsi="仿宋" w:eastAsia="仿宋"/>
          <w:sz w:val="30"/>
          <w:szCs w:val="30"/>
        </w:rPr>
        <w:t xml:space="preserve"> 项目编号：</w:t>
      </w:r>
      <w:bookmarkStart w:id="42" w:name="PO_3000002632_PM001"/>
      <w:r>
        <w:rPr>
          <w:rFonts w:hint="eastAsia" w:ascii="仿宋" w:hAnsi="仿宋" w:eastAsia="仿宋"/>
          <w:b/>
          <w:sz w:val="30"/>
          <w:szCs w:val="30"/>
          <w:u w:val="single"/>
        </w:rPr>
        <w:t>ZZCG2024X-GK-150</w:t>
      </w:r>
      <w:bookmarkEnd w:id="42"/>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14:paraId="17227728">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2E0FAA6D">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4D09DF0C">
      <w:pPr>
        <w:snapToGrid w:val="0"/>
        <w:spacing w:before="120" w:beforeLines="50" w:after="50" w:line="460" w:lineRule="exact"/>
        <w:ind w:firstLine="480"/>
        <w:rPr>
          <w:rFonts w:ascii="仿宋" w:hAnsi="仿宋" w:eastAsia="仿宋"/>
          <w:sz w:val="30"/>
          <w:szCs w:val="30"/>
        </w:rPr>
      </w:pPr>
    </w:p>
    <w:p w14:paraId="784EB39C">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42F65EAA">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7E7B34FB">
      <w:pPr>
        <w:snapToGrid w:val="0"/>
        <w:spacing w:before="120" w:beforeLines="50" w:after="50" w:line="460" w:lineRule="exact"/>
        <w:rPr>
          <w:rFonts w:ascii="仿宋" w:hAnsi="仿宋" w:eastAsia="仿宋"/>
          <w:sz w:val="30"/>
          <w:szCs w:val="30"/>
        </w:rPr>
      </w:pPr>
    </w:p>
    <w:p w14:paraId="334099DF">
      <w:pPr>
        <w:snapToGrid w:val="0"/>
        <w:spacing w:before="120" w:beforeLines="50" w:after="50" w:line="460" w:lineRule="exact"/>
        <w:rPr>
          <w:rFonts w:ascii="仿宋" w:hAnsi="仿宋" w:eastAsia="仿宋"/>
          <w:sz w:val="30"/>
          <w:szCs w:val="30"/>
        </w:rPr>
      </w:pPr>
    </w:p>
    <w:p w14:paraId="3CACD937">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4D2795AE">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2F33CB63">
      <w:pPr>
        <w:snapToGrid w:val="0"/>
        <w:spacing w:before="120" w:beforeLines="50" w:after="50" w:line="460" w:lineRule="exact"/>
        <w:ind w:firstLine="6150" w:firstLineChars="2050"/>
        <w:rPr>
          <w:rFonts w:ascii="仿宋" w:hAnsi="仿宋" w:eastAsia="仿宋"/>
          <w:sz w:val="30"/>
          <w:szCs w:val="30"/>
        </w:rPr>
      </w:pPr>
    </w:p>
    <w:p w14:paraId="218BDC7C">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5E69F18F">
      <w:pPr>
        <w:snapToGrid w:val="0"/>
        <w:spacing w:before="120" w:beforeLines="50" w:after="50" w:line="460" w:lineRule="exact"/>
        <w:rPr>
          <w:rFonts w:ascii="仿宋" w:hAnsi="仿宋" w:eastAsia="仿宋"/>
          <w:sz w:val="30"/>
          <w:szCs w:val="30"/>
        </w:rPr>
      </w:pPr>
    </w:p>
    <w:p w14:paraId="2F35FE1F">
      <w:pPr>
        <w:snapToGrid w:val="0"/>
        <w:spacing w:before="120" w:beforeLines="50" w:after="50" w:line="460" w:lineRule="exact"/>
        <w:rPr>
          <w:rFonts w:ascii="仿宋" w:hAnsi="仿宋" w:eastAsia="仿宋"/>
          <w:sz w:val="30"/>
          <w:szCs w:val="30"/>
        </w:rPr>
      </w:pPr>
    </w:p>
    <w:p w14:paraId="2889FEDA">
      <w:pPr>
        <w:snapToGrid w:val="0"/>
        <w:spacing w:before="120" w:beforeLines="50" w:after="50" w:line="460" w:lineRule="exact"/>
        <w:rPr>
          <w:rFonts w:ascii="仿宋" w:hAnsi="仿宋" w:eastAsia="仿宋"/>
          <w:sz w:val="30"/>
          <w:szCs w:val="30"/>
        </w:rPr>
      </w:pPr>
    </w:p>
    <w:p w14:paraId="3B2592E7">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-2</w:t>
      </w:r>
      <w:r>
        <w:rPr>
          <w:rFonts w:hint="eastAsia" w:ascii="仿宋" w:hAnsi="仿宋" w:eastAsia="仿宋"/>
          <w:sz w:val="30"/>
          <w:szCs w:val="30"/>
        </w:rPr>
        <w:t>：</w:t>
      </w:r>
    </w:p>
    <w:p w14:paraId="339272E2">
      <w:pPr>
        <w:snapToGrid w:val="0"/>
        <w:spacing w:before="50" w:after="50"/>
        <w:jc w:val="center"/>
        <w:rPr>
          <w:rFonts w:ascii="仿宋" w:hAnsi="仿宋" w:eastAsia="仿宋"/>
          <w:sz w:val="30"/>
          <w:szCs w:val="30"/>
        </w:rPr>
      </w:pPr>
      <w:r>
        <w:rPr>
          <w:rFonts w:hint="eastAsia" w:ascii="仿宋" w:hAnsi="仿宋" w:eastAsia="仿宋"/>
          <w:b/>
          <w:sz w:val="36"/>
          <w:szCs w:val="36"/>
        </w:rPr>
        <w:t>法定代表人身份证明</w:t>
      </w:r>
    </w:p>
    <w:p w14:paraId="37F17EA4">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有效的身份证件扫描件、复印件：</w:t>
      </w:r>
    </w:p>
    <w:p w14:paraId="2C23731D">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正面：</w:t>
      </w:r>
    </w:p>
    <w:p w14:paraId="2E1C7BAC">
      <w:pPr>
        <w:snapToGrid w:val="0"/>
        <w:spacing w:before="120" w:beforeLines="50" w:after="50" w:line="460" w:lineRule="exact"/>
        <w:rPr>
          <w:rFonts w:ascii="仿宋" w:hAnsi="仿宋" w:eastAsia="仿宋"/>
          <w:sz w:val="30"/>
          <w:szCs w:val="30"/>
        </w:rPr>
      </w:pPr>
    </w:p>
    <w:p w14:paraId="3C94C515">
      <w:pPr>
        <w:snapToGrid w:val="0"/>
        <w:spacing w:before="120" w:beforeLines="50" w:after="50" w:line="460" w:lineRule="exact"/>
        <w:rPr>
          <w:rFonts w:ascii="仿宋" w:hAnsi="仿宋" w:eastAsia="仿宋"/>
          <w:sz w:val="30"/>
          <w:szCs w:val="30"/>
        </w:rPr>
      </w:pPr>
    </w:p>
    <w:p w14:paraId="106BE2CD">
      <w:pPr>
        <w:snapToGrid w:val="0"/>
        <w:spacing w:before="120" w:beforeLines="50" w:after="50" w:line="460" w:lineRule="exact"/>
        <w:rPr>
          <w:rFonts w:ascii="仿宋" w:hAnsi="仿宋" w:eastAsia="仿宋"/>
          <w:sz w:val="30"/>
          <w:szCs w:val="30"/>
        </w:rPr>
      </w:pPr>
    </w:p>
    <w:p w14:paraId="684FDBA3">
      <w:pPr>
        <w:snapToGrid w:val="0"/>
        <w:spacing w:before="120" w:beforeLines="50" w:after="50" w:line="460" w:lineRule="exact"/>
        <w:rPr>
          <w:rFonts w:ascii="仿宋" w:hAnsi="仿宋" w:eastAsia="仿宋"/>
          <w:sz w:val="30"/>
          <w:szCs w:val="30"/>
        </w:rPr>
      </w:pPr>
    </w:p>
    <w:p w14:paraId="019966C7">
      <w:pPr>
        <w:snapToGrid w:val="0"/>
        <w:spacing w:before="120" w:beforeLines="50" w:after="50" w:line="460" w:lineRule="exact"/>
        <w:rPr>
          <w:rFonts w:ascii="仿宋" w:hAnsi="仿宋" w:eastAsia="仿宋"/>
          <w:sz w:val="30"/>
          <w:szCs w:val="30"/>
        </w:rPr>
      </w:pPr>
    </w:p>
    <w:p w14:paraId="6B89D1A8">
      <w:pPr>
        <w:snapToGrid w:val="0"/>
        <w:spacing w:before="120" w:beforeLines="50" w:after="50" w:line="460" w:lineRule="exact"/>
        <w:rPr>
          <w:rFonts w:ascii="仿宋" w:hAnsi="仿宋" w:eastAsia="仿宋"/>
          <w:sz w:val="30"/>
          <w:szCs w:val="30"/>
        </w:rPr>
      </w:pPr>
    </w:p>
    <w:p w14:paraId="365D40EE">
      <w:pPr>
        <w:snapToGrid w:val="0"/>
        <w:spacing w:before="120" w:beforeLines="50" w:after="50" w:line="460" w:lineRule="exact"/>
        <w:rPr>
          <w:rFonts w:ascii="仿宋" w:hAnsi="仿宋" w:eastAsia="仿宋"/>
          <w:sz w:val="30"/>
          <w:szCs w:val="30"/>
        </w:rPr>
      </w:pPr>
    </w:p>
    <w:p w14:paraId="60D82B10">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反面：</w:t>
      </w:r>
    </w:p>
    <w:p w14:paraId="6A52C60F">
      <w:pPr>
        <w:widowControl/>
        <w:jc w:val="left"/>
        <w:rPr>
          <w:rFonts w:hAnsi="宋体" w:cs="宋体"/>
          <w:bCs/>
          <w:sz w:val="24"/>
        </w:rPr>
      </w:pPr>
    </w:p>
    <w:p w14:paraId="7A0F4176">
      <w:pPr>
        <w:widowControl/>
        <w:jc w:val="left"/>
        <w:rPr>
          <w:rFonts w:hAnsi="宋体" w:cs="宋体"/>
          <w:bCs/>
          <w:sz w:val="24"/>
        </w:rPr>
      </w:pPr>
    </w:p>
    <w:p w14:paraId="5C3AEFA9">
      <w:pPr>
        <w:widowControl/>
        <w:jc w:val="left"/>
        <w:rPr>
          <w:rFonts w:hAnsi="宋体" w:cs="宋体"/>
          <w:bCs/>
          <w:sz w:val="24"/>
        </w:rPr>
      </w:pPr>
    </w:p>
    <w:p w14:paraId="7EE71CAC">
      <w:pPr>
        <w:snapToGrid w:val="0"/>
        <w:spacing w:before="120" w:beforeLines="50" w:after="50" w:line="460" w:lineRule="exact"/>
        <w:rPr>
          <w:rFonts w:ascii="仿宋" w:hAnsi="仿宋" w:eastAsia="仿宋"/>
          <w:sz w:val="30"/>
          <w:szCs w:val="30"/>
        </w:rPr>
      </w:pPr>
    </w:p>
    <w:p w14:paraId="382F6440">
      <w:pPr>
        <w:snapToGrid w:val="0"/>
        <w:spacing w:before="120" w:beforeLines="50" w:after="50" w:line="460" w:lineRule="exact"/>
        <w:rPr>
          <w:rFonts w:ascii="仿宋" w:hAnsi="仿宋" w:eastAsia="仿宋"/>
          <w:sz w:val="30"/>
          <w:szCs w:val="30"/>
        </w:rPr>
      </w:pPr>
    </w:p>
    <w:p w14:paraId="27F49827">
      <w:pPr>
        <w:widowControl/>
        <w:jc w:val="left"/>
        <w:rPr>
          <w:rFonts w:hAnsi="宋体" w:cs="宋体"/>
          <w:bCs/>
          <w:sz w:val="24"/>
        </w:rPr>
      </w:pPr>
    </w:p>
    <w:p w14:paraId="5D4B868B">
      <w:pPr>
        <w:widowControl/>
        <w:jc w:val="left"/>
        <w:rPr>
          <w:rFonts w:hAnsi="宋体" w:cs="宋体"/>
          <w:bCs/>
          <w:sz w:val="24"/>
        </w:rPr>
      </w:pPr>
    </w:p>
    <w:p w14:paraId="387CC4D9">
      <w:pPr>
        <w:widowControl/>
        <w:jc w:val="left"/>
        <w:rPr>
          <w:rFonts w:hAnsi="宋体" w:cs="宋体"/>
          <w:bCs/>
          <w:sz w:val="24"/>
        </w:rPr>
      </w:pPr>
    </w:p>
    <w:p w14:paraId="600BF195">
      <w:pPr>
        <w:widowControl/>
        <w:jc w:val="left"/>
        <w:rPr>
          <w:rFonts w:hAnsi="宋体" w:cs="宋体"/>
          <w:bCs/>
          <w:sz w:val="24"/>
        </w:rPr>
      </w:pPr>
    </w:p>
    <w:p w14:paraId="11AEDA2B">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1D286501">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517A7B7A">
      <w:pPr>
        <w:widowControl/>
        <w:jc w:val="left"/>
        <w:rPr>
          <w:rFonts w:hAnsi="宋体" w:cs="宋体"/>
          <w:bCs/>
          <w:sz w:val="24"/>
        </w:rPr>
      </w:pPr>
    </w:p>
    <w:p w14:paraId="40262F15">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76E806D1">
      <w:pPr>
        <w:tabs>
          <w:tab w:val="left" w:pos="606"/>
        </w:tabs>
        <w:spacing w:line="360" w:lineRule="exact"/>
        <w:rPr>
          <w:rFonts w:ascii="仿宋" w:hAnsi="仿宋" w:eastAsia="仿宋"/>
          <w:sz w:val="30"/>
          <w:szCs w:val="30"/>
        </w:rPr>
      </w:pPr>
    </w:p>
    <w:p w14:paraId="1AC3CB5E">
      <w:pPr>
        <w:tabs>
          <w:tab w:val="left" w:pos="606"/>
        </w:tabs>
        <w:spacing w:line="360" w:lineRule="exact"/>
        <w:rPr>
          <w:rFonts w:ascii="仿宋" w:hAnsi="仿宋" w:eastAsia="仿宋"/>
          <w:sz w:val="30"/>
          <w:szCs w:val="30"/>
        </w:rPr>
      </w:pPr>
    </w:p>
    <w:p w14:paraId="096A26E9">
      <w:pPr>
        <w:tabs>
          <w:tab w:val="left" w:pos="606"/>
        </w:tabs>
        <w:spacing w:line="360" w:lineRule="exact"/>
        <w:rPr>
          <w:rFonts w:ascii="仿宋" w:hAnsi="仿宋" w:eastAsia="仿宋"/>
          <w:sz w:val="30"/>
          <w:szCs w:val="30"/>
        </w:rPr>
      </w:pPr>
    </w:p>
    <w:p w14:paraId="6A7539BB">
      <w:pPr>
        <w:tabs>
          <w:tab w:val="left" w:pos="606"/>
        </w:tabs>
        <w:spacing w:line="360" w:lineRule="exact"/>
        <w:rPr>
          <w:rFonts w:ascii="仿宋" w:hAnsi="仿宋" w:eastAsia="仿宋"/>
          <w:sz w:val="30"/>
          <w:szCs w:val="30"/>
        </w:rPr>
      </w:pPr>
    </w:p>
    <w:p w14:paraId="18D16D00">
      <w:pPr>
        <w:tabs>
          <w:tab w:val="left" w:pos="606"/>
        </w:tabs>
        <w:spacing w:line="360" w:lineRule="exact"/>
        <w:rPr>
          <w:rFonts w:ascii="仿宋" w:hAnsi="仿宋" w:eastAsia="仿宋"/>
          <w:sz w:val="30"/>
          <w:szCs w:val="30"/>
        </w:rPr>
      </w:pPr>
    </w:p>
    <w:p w14:paraId="4784150E">
      <w:pPr>
        <w:tabs>
          <w:tab w:val="left" w:pos="606"/>
        </w:tabs>
        <w:spacing w:line="360" w:lineRule="exact"/>
        <w:rPr>
          <w:rFonts w:ascii="仿宋" w:hAnsi="仿宋" w:eastAsia="仿宋"/>
          <w:spacing w:val="20"/>
          <w:sz w:val="30"/>
          <w:szCs w:val="30"/>
        </w:rPr>
      </w:pPr>
      <w:r>
        <w:rPr>
          <w:rFonts w:hint="eastAsia" w:ascii="仿宋" w:hAnsi="仿宋" w:eastAsia="仿宋"/>
          <w:sz w:val="30"/>
          <w:szCs w:val="30"/>
        </w:rPr>
        <w:t>附件4：</w:t>
      </w:r>
    </w:p>
    <w:p w14:paraId="2AF5A855">
      <w:pPr>
        <w:pStyle w:val="2"/>
        <w:overflowPunct w:val="0"/>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14:paraId="599E2EDF">
      <w:pPr>
        <w:pStyle w:val="2"/>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14:paraId="4D2228D5">
      <w:pPr>
        <w:pStyle w:val="2"/>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14:paraId="40D86BE7">
      <w:pPr>
        <w:pStyle w:val="2"/>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14:paraId="3041462D">
      <w:pPr>
        <w:pStyle w:val="2"/>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w:t>
      </w:r>
      <w:r>
        <w:rPr>
          <w:rFonts w:hint="eastAsia" w:ascii="仿宋" w:hAnsi="仿宋" w:eastAsia="仿宋"/>
          <w:sz w:val="30"/>
          <w:szCs w:val="30"/>
          <w:u w:val="single"/>
        </w:rPr>
        <w:t xml:space="preserve">        </w:t>
      </w:r>
      <w:r>
        <w:rPr>
          <w:rFonts w:hint="eastAsia" w:ascii="仿宋" w:hAnsi="仿宋" w:eastAsia="仿宋"/>
          <w:sz w:val="30"/>
          <w:szCs w:val="30"/>
        </w:rPr>
        <w:t>组织实施的编号为</w:t>
      </w:r>
      <w:r>
        <w:rPr>
          <w:rFonts w:hint="eastAsia" w:ascii="仿宋" w:hAnsi="仿宋" w:eastAsia="仿宋"/>
          <w:sz w:val="30"/>
          <w:szCs w:val="30"/>
          <w:u w:val="single"/>
        </w:rPr>
        <w:t xml:space="preserve"> </w:t>
      </w:r>
      <w:bookmarkStart w:id="43" w:name="PO_3000002632_PM001_1"/>
      <w:r>
        <w:rPr>
          <w:rFonts w:hint="eastAsia" w:ascii="仿宋" w:hAnsi="仿宋" w:eastAsia="仿宋"/>
          <w:b/>
          <w:sz w:val="30"/>
          <w:szCs w:val="30"/>
          <w:u w:val="single"/>
        </w:rPr>
        <w:t>ZZCG2024X-GK-150</w:t>
      </w:r>
      <w:bookmarkEnd w:id="43"/>
      <w:r>
        <w:rPr>
          <w:rFonts w:hint="eastAsia" w:ascii="仿宋" w:hAnsi="仿宋" w:eastAsia="仿宋"/>
          <w:sz w:val="30"/>
          <w:szCs w:val="30"/>
        </w:rPr>
        <w:t>的招标活动联合进行投标之事宜，达成如下协议：</w:t>
      </w:r>
    </w:p>
    <w:p w14:paraId="0676CF54">
      <w:pPr>
        <w:pStyle w:val="2"/>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为主办人进行投标，并按照招标文件的规定分别提交联合体各方的资格文件（声明书、营业执照、投标人特定条件）。</w:t>
      </w:r>
    </w:p>
    <w:p w14:paraId="7A537507">
      <w:pPr>
        <w:pStyle w:val="2"/>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00574FC7">
      <w:pPr>
        <w:pStyle w:val="2"/>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14:paraId="61B094C3">
      <w:pPr>
        <w:pStyle w:val="2"/>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14:paraId="7DE43F48">
      <w:pPr>
        <w:pStyle w:val="2"/>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14:paraId="2AE1BD46">
      <w:pPr>
        <w:pStyle w:val="2"/>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乙方承担的工作和义务为：</w:t>
      </w:r>
      <w:r>
        <w:rPr>
          <w:rFonts w:hint="eastAsia" w:ascii="仿宋" w:hAnsi="仿宋" w:eastAsia="仿宋"/>
          <w:sz w:val="30"/>
          <w:szCs w:val="30"/>
          <w:u w:val="single"/>
        </w:rPr>
        <w:t xml:space="preserve">                            </w:t>
      </w:r>
    </w:p>
    <w:p w14:paraId="4AD342D8">
      <w:pPr>
        <w:pStyle w:val="2"/>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14:paraId="230EE4D9">
      <w:pPr>
        <w:pStyle w:val="2"/>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14:paraId="0DDDFC15">
      <w:pPr>
        <w:pStyle w:val="2"/>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14:paraId="6AD84F6A">
      <w:pPr>
        <w:pStyle w:val="2"/>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59"/>
        <w:tblW w:w="8530" w:type="dxa"/>
        <w:jc w:val="center"/>
        <w:tblLayout w:type="fixed"/>
        <w:tblCellMar>
          <w:top w:w="0" w:type="dxa"/>
          <w:left w:w="108" w:type="dxa"/>
          <w:bottom w:w="0" w:type="dxa"/>
          <w:right w:w="108" w:type="dxa"/>
        </w:tblCellMar>
      </w:tblPr>
      <w:tblGrid>
        <w:gridCol w:w="4265"/>
        <w:gridCol w:w="4265"/>
      </w:tblGrid>
      <w:tr w14:paraId="4C082535">
        <w:tblPrEx>
          <w:tblCellMar>
            <w:top w:w="0" w:type="dxa"/>
            <w:left w:w="108" w:type="dxa"/>
            <w:bottom w:w="0" w:type="dxa"/>
            <w:right w:w="108" w:type="dxa"/>
          </w:tblCellMar>
        </w:tblPrEx>
        <w:trPr>
          <w:jc w:val="center"/>
        </w:trPr>
        <w:tc>
          <w:tcPr>
            <w:tcW w:w="4265" w:type="dxa"/>
          </w:tcPr>
          <w:p w14:paraId="03DC496D">
            <w:pPr>
              <w:pStyle w:val="2"/>
              <w:overflowPunct w:val="0"/>
              <w:spacing w:line="46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54A01F3D">
            <w:pPr>
              <w:pStyle w:val="2"/>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1AC82CE7">
            <w:pPr>
              <w:pStyle w:val="2"/>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5" w:type="dxa"/>
          </w:tcPr>
          <w:p w14:paraId="34DE0CAF">
            <w:pPr>
              <w:pStyle w:val="2"/>
              <w:overflowPunct w:val="0"/>
              <w:spacing w:line="46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40342F1B">
            <w:pPr>
              <w:pStyle w:val="2"/>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5CCD756D">
            <w:pPr>
              <w:pStyle w:val="2"/>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42C4D09F">
      <w:pPr>
        <w:pStyle w:val="2"/>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14:paraId="04742969">
      <w:pPr>
        <w:pStyle w:val="2"/>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14:paraId="7FE1B067">
      <w:pPr>
        <w:pStyle w:val="2"/>
        <w:overflowPunct w:val="0"/>
        <w:spacing w:line="460" w:lineRule="exact"/>
        <w:rPr>
          <w:rFonts w:ascii="仿宋" w:hAnsi="仿宋" w:eastAsia="仿宋"/>
          <w:sz w:val="30"/>
          <w:szCs w:val="30"/>
        </w:rPr>
      </w:pPr>
    </w:p>
    <w:p w14:paraId="769F67BF">
      <w:pPr>
        <w:pStyle w:val="2"/>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 联合投标各方均予以认可并遵守。</w:t>
      </w:r>
    </w:p>
    <w:p w14:paraId="718FF940">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08390ABC">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2C26CE65">
      <w:pPr>
        <w:pStyle w:val="2"/>
        <w:overflowPunct w:val="0"/>
        <w:spacing w:line="460" w:lineRule="exact"/>
        <w:rPr>
          <w:rFonts w:ascii="仿宋" w:hAnsi="仿宋" w:eastAsia="仿宋"/>
          <w:sz w:val="30"/>
          <w:szCs w:val="30"/>
        </w:rPr>
      </w:pPr>
    </w:p>
    <w:p w14:paraId="276E6FCB">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24527016">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17C5B24F">
      <w:pPr>
        <w:tabs>
          <w:tab w:val="left" w:pos="606"/>
        </w:tabs>
        <w:spacing w:line="460" w:lineRule="exact"/>
        <w:rPr>
          <w:rFonts w:ascii="仿宋" w:hAnsi="仿宋" w:eastAsia="仿宋"/>
          <w:spacing w:val="20"/>
          <w:sz w:val="30"/>
          <w:szCs w:val="30"/>
        </w:rPr>
      </w:pPr>
    </w:p>
    <w:p w14:paraId="19A861C4">
      <w:pPr>
        <w:tabs>
          <w:tab w:val="left" w:pos="606"/>
        </w:tabs>
        <w:spacing w:line="460" w:lineRule="exact"/>
        <w:rPr>
          <w:rFonts w:ascii="仿宋" w:hAnsi="仿宋" w:eastAsia="仿宋"/>
          <w:spacing w:val="20"/>
          <w:sz w:val="30"/>
          <w:szCs w:val="30"/>
        </w:rPr>
      </w:pPr>
    </w:p>
    <w:tbl>
      <w:tblPr>
        <w:tblStyle w:val="59"/>
        <w:tblW w:w="8530" w:type="dxa"/>
        <w:jc w:val="center"/>
        <w:tblLayout w:type="fixed"/>
        <w:tblCellMar>
          <w:top w:w="0" w:type="dxa"/>
          <w:left w:w="108" w:type="dxa"/>
          <w:bottom w:w="0" w:type="dxa"/>
          <w:right w:w="108" w:type="dxa"/>
        </w:tblCellMar>
      </w:tblPr>
      <w:tblGrid>
        <w:gridCol w:w="4265"/>
        <w:gridCol w:w="4265"/>
      </w:tblGrid>
      <w:tr w14:paraId="5E19E0F2">
        <w:tblPrEx>
          <w:tblCellMar>
            <w:top w:w="0" w:type="dxa"/>
            <w:left w:w="108" w:type="dxa"/>
            <w:bottom w:w="0" w:type="dxa"/>
            <w:right w:w="108" w:type="dxa"/>
          </w:tblCellMar>
        </w:tblPrEx>
        <w:trPr>
          <w:jc w:val="center"/>
        </w:trPr>
        <w:tc>
          <w:tcPr>
            <w:tcW w:w="4265" w:type="dxa"/>
          </w:tcPr>
          <w:p w14:paraId="68E0F695">
            <w:pPr>
              <w:pStyle w:val="2"/>
              <w:overflowPunct w:val="0"/>
              <w:spacing w:line="460" w:lineRule="exact"/>
              <w:ind w:firstLine="0"/>
              <w:rPr>
                <w:rFonts w:ascii="仿宋" w:hAnsi="仿宋" w:eastAsia="仿宋"/>
                <w:sz w:val="30"/>
                <w:szCs w:val="30"/>
              </w:rPr>
            </w:pPr>
          </w:p>
          <w:p w14:paraId="76F99E19">
            <w:pPr>
              <w:pStyle w:val="2"/>
              <w:overflowPunct w:val="0"/>
              <w:spacing w:line="460" w:lineRule="exact"/>
              <w:ind w:firstLine="0"/>
              <w:rPr>
                <w:rFonts w:ascii="仿宋" w:hAnsi="仿宋" w:eastAsia="仿宋"/>
                <w:sz w:val="30"/>
                <w:szCs w:val="30"/>
              </w:rPr>
            </w:pPr>
          </w:p>
          <w:p w14:paraId="04AA181E">
            <w:pPr>
              <w:pStyle w:val="2"/>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54729561">
            <w:pPr>
              <w:pStyle w:val="2"/>
              <w:overflowPunct w:val="0"/>
              <w:spacing w:line="460" w:lineRule="exact"/>
              <w:ind w:firstLine="0"/>
              <w:rPr>
                <w:rFonts w:ascii="仿宋" w:hAnsi="仿宋" w:eastAsia="仿宋"/>
                <w:sz w:val="30"/>
                <w:szCs w:val="30"/>
              </w:rPr>
            </w:pPr>
          </w:p>
          <w:p w14:paraId="2D91D811">
            <w:pPr>
              <w:pStyle w:val="2"/>
              <w:overflowPunct w:val="0"/>
              <w:spacing w:line="460" w:lineRule="exact"/>
              <w:ind w:firstLine="0"/>
              <w:rPr>
                <w:rFonts w:ascii="仿宋" w:hAnsi="仿宋" w:eastAsia="仿宋"/>
                <w:sz w:val="30"/>
                <w:szCs w:val="30"/>
              </w:rPr>
            </w:pPr>
          </w:p>
          <w:p w14:paraId="3C313F7E">
            <w:pPr>
              <w:pStyle w:val="2"/>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3E4C715C">
            <w:pPr>
              <w:pStyle w:val="2"/>
              <w:overflowPunct w:val="0"/>
              <w:spacing w:line="460" w:lineRule="exact"/>
              <w:ind w:firstLine="0"/>
              <w:rPr>
                <w:rFonts w:ascii="仿宋" w:hAnsi="仿宋" w:eastAsia="仿宋"/>
                <w:sz w:val="30"/>
                <w:szCs w:val="30"/>
              </w:rPr>
            </w:pPr>
          </w:p>
          <w:p w14:paraId="4F7B4185">
            <w:pPr>
              <w:pStyle w:val="2"/>
              <w:overflowPunct w:val="0"/>
              <w:spacing w:line="460" w:lineRule="exact"/>
              <w:ind w:firstLine="0"/>
              <w:rPr>
                <w:rFonts w:ascii="仿宋" w:hAnsi="仿宋" w:eastAsia="仿宋"/>
                <w:sz w:val="30"/>
                <w:szCs w:val="30"/>
              </w:rPr>
            </w:pPr>
          </w:p>
          <w:p w14:paraId="0C76C7CB">
            <w:pPr>
              <w:pStyle w:val="2"/>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5" w:type="dxa"/>
          </w:tcPr>
          <w:p w14:paraId="63936734">
            <w:pPr>
              <w:pStyle w:val="2"/>
              <w:overflowPunct w:val="0"/>
              <w:spacing w:line="460" w:lineRule="exact"/>
              <w:ind w:firstLine="0"/>
              <w:rPr>
                <w:rFonts w:ascii="仿宋" w:hAnsi="仿宋" w:eastAsia="仿宋"/>
                <w:sz w:val="30"/>
                <w:szCs w:val="30"/>
              </w:rPr>
            </w:pPr>
          </w:p>
          <w:p w14:paraId="7EB8CA51">
            <w:pPr>
              <w:pStyle w:val="2"/>
              <w:overflowPunct w:val="0"/>
              <w:spacing w:line="460" w:lineRule="exact"/>
              <w:ind w:firstLine="0"/>
              <w:rPr>
                <w:rFonts w:ascii="仿宋" w:hAnsi="仿宋" w:eastAsia="仿宋"/>
                <w:sz w:val="30"/>
                <w:szCs w:val="30"/>
              </w:rPr>
            </w:pPr>
          </w:p>
          <w:p w14:paraId="763A3850">
            <w:pPr>
              <w:pStyle w:val="2"/>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3993B3BA">
            <w:pPr>
              <w:pStyle w:val="2"/>
              <w:overflowPunct w:val="0"/>
              <w:spacing w:line="460" w:lineRule="exact"/>
              <w:ind w:firstLine="0"/>
              <w:rPr>
                <w:rFonts w:ascii="仿宋" w:hAnsi="仿宋" w:eastAsia="仿宋"/>
                <w:sz w:val="30"/>
                <w:szCs w:val="30"/>
              </w:rPr>
            </w:pPr>
          </w:p>
          <w:p w14:paraId="27FB98F3">
            <w:pPr>
              <w:pStyle w:val="2"/>
              <w:overflowPunct w:val="0"/>
              <w:spacing w:line="460" w:lineRule="exact"/>
              <w:ind w:firstLine="0"/>
              <w:rPr>
                <w:rFonts w:ascii="仿宋" w:hAnsi="仿宋" w:eastAsia="仿宋"/>
                <w:sz w:val="30"/>
                <w:szCs w:val="30"/>
              </w:rPr>
            </w:pPr>
          </w:p>
          <w:p w14:paraId="5D3306AE">
            <w:pPr>
              <w:pStyle w:val="2"/>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5B7BA1A8">
            <w:pPr>
              <w:pStyle w:val="2"/>
              <w:overflowPunct w:val="0"/>
              <w:spacing w:line="460" w:lineRule="exact"/>
              <w:ind w:firstLine="0"/>
              <w:rPr>
                <w:rFonts w:ascii="仿宋" w:hAnsi="仿宋" w:eastAsia="仿宋"/>
                <w:sz w:val="30"/>
                <w:szCs w:val="30"/>
              </w:rPr>
            </w:pPr>
          </w:p>
          <w:p w14:paraId="15FA2431">
            <w:pPr>
              <w:pStyle w:val="2"/>
              <w:overflowPunct w:val="0"/>
              <w:spacing w:line="460" w:lineRule="exact"/>
              <w:ind w:firstLine="0"/>
              <w:rPr>
                <w:rFonts w:ascii="仿宋" w:hAnsi="仿宋" w:eastAsia="仿宋"/>
                <w:sz w:val="30"/>
                <w:szCs w:val="30"/>
              </w:rPr>
            </w:pPr>
          </w:p>
          <w:p w14:paraId="41A1A6D8">
            <w:pPr>
              <w:pStyle w:val="2"/>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1ABD24E7">
      <w:pPr>
        <w:snapToGrid w:val="0"/>
        <w:spacing w:line="360" w:lineRule="auto"/>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14:paraId="50A8DE37">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25E2889E">
      <w:pPr>
        <w:pStyle w:val="58"/>
        <w:spacing w:before="156" w:after="156" w:line="400" w:lineRule="exact"/>
      </w:pPr>
    </w:p>
    <w:p w14:paraId="3E5E0593">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65C70E41">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14:paraId="78D91D89">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14:paraId="5137CD1F">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76A3B09D">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p>
    <w:p w14:paraId="462813B0">
      <w:pPr>
        <w:snapToGrid w:val="0"/>
        <w:spacing w:line="36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4DCC496C">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3FA8217E">
      <w:pPr>
        <w:snapToGrid w:val="0"/>
        <w:spacing w:line="36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14:paraId="02FA06AE">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1E1D1DED">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14:paraId="4F08CD9F">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232C0FDD">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14:paraId="53AB0191">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0D386CA2">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14:paraId="53C538A1">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41841678">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14:paraId="1960C021">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0E7FF682">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14:paraId="60FA7AE5">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2A590C2E">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0FB72F0B">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lang w:val="zh-CN"/>
        </w:rPr>
        <w:t>……</w:t>
      </w:r>
    </w:p>
    <w:p w14:paraId="722D3BE9">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2343D672">
      <w:pPr>
        <w:rPr>
          <w:color w:val="000000" w:themeColor="text1"/>
          <w14:textFill>
            <w14:solidFill>
              <w14:schemeClr w14:val="tx1"/>
            </w14:solidFill>
          </w14:textFill>
        </w:rPr>
      </w:pPr>
    </w:p>
    <w:p w14:paraId="0EF8FF7F">
      <w:pPr>
        <w:widowControl/>
        <w:jc w:val="left"/>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附件7</w:t>
      </w:r>
      <w:r>
        <w:rPr>
          <w:rFonts w:hint="eastAsia" w:ascii="仿宋" w:hAnsi="仿宋" w:eastAsia="仿宋"/>
          <w:b/>
          <w:color w:val="000000" w:themeColor="text1"/>
          <w:sz w:val="30"/>
          <w:szCs w:val="30"/>
          <w14:textFill>
            <w14:solidFill>
              <w14:schemeClr w14:val="tx1"/>
            </w14:solidFill>
          </w14:textFill>
        </w:rPr>
        <w:t xml:space="preserve">：                                     </w:t>
      </w:r>
    </w:p>
    <w:p w14:paraId="5E7F6DC1">
      <w:pPr>
        <w:spacing w:before="240" w:beforeLines="100" w:line="240" w:lineRule="atLeast"/>
        <w:jc w:val="center"/>
        <w:rPr>
          <w:rFonts w:ascii="仿宋" w:hAnsi="仿宋" w:eastAsia="仿宋"/>
          <w:b/>
          <w:color w:val="000000" w:themeColor="text1"/>
          <w:spacing w:val="40"/>
          <w:sz w:val="52"/>
          <w:szCs w:val="52"/>
          <w14:textFill>
            <w14:solidFill>
              <w14:schemeClr w14:val="tx1"/>
            </w14:solidFill>
          </w14:textFill>
        </w:rPr>
      </w:pPr>
      <w:bookmarkStart w:id="44" w:name="PO_1000000445_PM002"/>
      <w:r>
        <w:rPr>
          <w:rFonts w:hint="eastAsia" w:ascii="仿宋" w:hAnsi="仿宋" w:eastAsia="仿宋"/>
          <w:b/>
          <w:color w:val="000000" w:themeColor="text1"/>
          <w:spacing w:val="40"/>
          <w:sz w:val="52"/>
          <w:szCs w:val="52"/>
          <w14:textFill>
            <w14:solidFill>
              <w14:schemeClr w14:val="tx1"/>
            </w14:solidFill>
          </w14:textFill>
        </w:rPr>
        <w:t>浙江外国语学院图书馆机房建设项目</w:t>
      </w:r>
      <w:bookmarkEnd w:id="44"/>
    </w:p>
    <w:p w14:paraId="1F2E9727">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45" w:name="PO_15528_PM001_4"/>
      <w:r>
        <w:rPr>
          <w:rFonts w:hint="eastAsia" w:ascii="仿宋" w:hAnsi="仿宋" w:eastAsia="仿宋"/>
          <w:color w:val="000000" w:themeColor="text1"/>
          <w:sz w:val="36"/>
          <w:szCs w:val="36"/>
          <w14:textFill>
            <w14:solidFill>
              <w14:schemeClr w14:val="tx1"/>
            </w14:solidFill>
          </w14:textFill>
        </w:rPr>
        <w:t>ZZCG2024X-GK-150</w:t>
      </w:r>
      <w:bookmarkEnd w:id="45"/>
      <w:r>
        <w:rPr>
          <w:rFonts w:hint="eastAsia" w:ascii="仿宋" w:hAnsi="仿宋" w:eastAsia="仿宋"/>
          <w:color w:val="000000" w:themeColor="text1"/>
          <w:sz w:val="36"/>
          <w:szCs w:val="36"/>
          <w14:textFill>
            <w14:solidFill>
              <w14:schemeClr w14:val="tx1"/>
            </w14:solidFill>
          </w14:textFill>
        </w:rPr>
        <w:t>（标项  ）</w:t>
      </w:r>
    </w:p>
    <w:p w14:paraId="565A4658">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技</w:t>
      </w:r>
    </w:p>
    <w:p w14:paraId="6FCCD820">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术</w:t>
      </w:r>
    </w:p>
    <w:p w14:paraId="3AB54FEF">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及</w:t>
      </w:r>
    </w:p>
    <w:p w14:paraId="7240A812">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商</w:t>
      </w:r>
    </w:p>
    <w:p w14:paraId="606E13DC">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务</w:t>
      </w:r>
    </w:p>
    <w:p w14:paraId="2FE77365">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7EBC36F5">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238838F7">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72DEAD23">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27DBE7FF">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56ED04D0">
      <w:pPr>
        <w:snapToGrid w:val="0"/>
        <w:spacing w:before="50" w:after="50"/>
        <w:rPr>
          <w:rFonts w:ascii="仿宋" w:hAnsi="仿宋" w:eastAsia="仿宋"/>
          <w:color w:val="000000" w:themeColor="text1"/>
          <w:sz w:val="30"/>
          <w:szCs w:val="30"/>
          <w14:textFill>
            <w14:solidFill>
              <w14:schemeClr w14:val="tx1"/>
            </w14:solidFill>
          </w14:textFill>
        </w:rPr>
      </w:pPr>
    </w:p>
    <w:p w14:paraId="386C0CEE">
      <w:pPr>
        <w:snapToGrid w:val="0"/>
        <w:spacing w:before="50" w:after="50"/>
        <w:rPr>
          <w:rFonts w:ascii="仿宋" w:hAnsi="仿宋" w:eastAsia="仿宋"/>
          <w:color w:val="000000" w:themeColor="text1"/>
          <w:sz w:val="30"/>
          <w:szCs w:val="30"/>
          <w14:textFill>
            <w14:solidFill>
              <w14:schemeClr w14:val="tx1"/>
            </w14:solidFill>
          </w14:textFill>
        </w:rPr>
      </w:pPr>
    </w:p>
    <w:p w14:paraId="04F354E6">
      <w:pPr>
        <w:snapToGrid w:val="0"/>
        <w:spacing w:before="50" w:after="50"/>
        <w:rPr>
          <w:rFonts w:ascii="仿宋" w:hAnsi="仿宋" w:eastAsia="仿宋"/>
          <w:b/>
          <w:bCs/>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2、</w:t>
      </w:r>
      <w:r>
        <w:rPr>
          <w:rFonts w:hint="eastAsia" w:ascii="仿宋" w:hAnsi="仿宋" w:eastAsia="仿宋"/>
          <w:b/>
          <w:bCs/>
          <w:color w:val="000000" w:themeColor="text1"/>
          <w:sz w:val="36"/>
          <w:szCs w:val="36"/>
          <w14:textFill>
            <w14:solidFill>
              <w14:schemeClr w14:val="tx1"/>
            </w14:solidFill>
          </w14:textFill>
        </w:rPr>
        <w:t>技术及商务文件目录</w:t>
      </w:r>
    </w:p>
    <w:p w14:paraId="0349E976">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（1）评分对应表（格式见附件，主要用于评委对应评分内容）</w:t>
      </w:r>
    </w:p>
    <w:p w14:paraId="3E7C070E">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（2）投标项目明细清单（含货物、服务等）；</w:t>
      </w:r>
    </w:p>
    <w:p w14:paraId="4357F8B5">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（3）技术响应表（格式见附件）；</w:t>
      </w:r>
    </w:p>
    <w:p w14:paraId="7EFE9B66">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（4）项目总体解决方案（可包含且不限于对项目总体要求的理解、项目总体架构及技术解决方案等）；</w:t>
      </w:r>
    </w:p>
    <w:p w14:paraId="3B395D04">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（5）项目实施计划（可包含且不限于保证工期的施工组织方案及人力资源安排、项目组人员清单等）；</w:t>
      </w:r>
    </w:p>
    <w:p w14:paraId="2D03F7F6">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（6）列入政府采购节能环保清单的证明资料（若有）；</w:t>
      </w:r>
    </w:p>
    <w:p w14:paraId="38668709">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（7）商务响应表（格式见附件）；</w:t>
      </w:r>
    </w:p>
    <w:p w14:paraId="3FBC5562">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（8）售后服务计划（可包含且不限于对用户故障的响应、处理、定期巡检、备品备件、常用耗材提供、驻点人员情况等）；</w:t>
      </w:r>
    </w:p>
    <w:p w14:paraId="5D63990C">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（9）技术培训计划（若有）；</w:t>
      </w:r>
    </w:p>
    <w:p w14:paraId="4059F430">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（10）投标人履约能力（可包含且不限于技术力量情况、投标人各项能力证书）；</w:t>
      </w:r>
    </w:p>
    <w:p w14:paraId="6F613E0E">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（11）案例的业绩证明（投标人业绩情况一览表、合同复印件等）；</w:t>
      </w:r>
    </w:p>
    <w:p w14:paraId="7D2593FC">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（12）投标人认为需要的其他文件资料。</w:t>
      </w:r>
    </w:p>
    <w:p w14:paraId="063E2197">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14:paraId="343FD9C8">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附件8：</w:t>
      </w:r>
    </w:p>
    <w:p w14:paraId="7071E9EF">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评分对应表</w:t>
      </w:r>
    </w:p>
    <w:p w14:paraId="0DD56A6E">
      <w:pPr>
        <w:snapToGrid w:val="0"/>
        <w:spacing w:before="50"/>
        <w:jc w:val="center"/>
        <w:rPr>
          <w:rFonts w:ascii="仿宋" w:hAnsi="仿宋" w:eastAsia="仿宋"/>
          <w:b/>
          <w:color w:val="000000" w:themeColor="text1"/>
          <w:sz w:val="32"/>
          <w:szCs w:val="32"/>
          <w14:textFill>
            <w14:solidFill>
              <w14:schemeClr w14:val="tx1"/>
            </w14:solidFill>
          </w14:textFill>
        </w:rPr>
      </w:pPr>
    </w:p>
    <w:p w14:paraId="4553E866">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458CCA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9" w:type="dxa"/>
            <w:tcBorders>
              <w:top w:val="single" w:color="auto" w:sz="4" w:space="0"/>
              <w:left w:val="single" w:color="auto" w:sz="4" w:space="0"/>
              <w:bottom w:val="single" w:color="auto" w:sz="4" w:space="0"/>
              <w:right w:val="single" w:color="auto" w:sz="4" w:space="0"/>
            </w:tcBorders>
            <w:vAlign w:val="center"/>
          </w:tcPr>
          <w:p w14:paraId="3BA0D2E0">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评分项目</w:t>
            </w:r>
          </w:p>
        </w:tc>
        <w:tc>
          <w:tcPr>
            <w:tcW w:w="3061" w:type="dxa"/>
            <w:tcBorders>
              <w:top w:val="single" w:color="auto" w:sz="4" w:space="0"/>
              <w:left w:val="single" w:color="auto" w:sz="4" w:space="0"/>
              <w:bottom w:val="single" w:color="auto" w:sz="4" w:space="0"/>
              <w:right w:val="single" w:color="auto" w:sz="4" w:space="0"/>
            </w:tcBorders>
            <w:vAlign w:val="center"/>
          </w:tcPr>
          <w:p w14:paraId="121C31CC">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630606F0">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投标文件页码</w:t>
            </w:r>
          </w:p>
        </w:tc>
      </w:tr>
      <w:tr w14:paraId="0D5A3D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3B6CE193">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对应第三章评分办法及评分标准（报价除外）</w:t>
            </w:r>
          </w:p>
        </w:tc>
        <w:tc>
          <w:tcPr>
            <w:tcW w:w="3061" w:type="dxa"/>
            <w:tcBorders>
              <w:top w:val="single" w:color="auto" w:sz="4" w:space="0"/>
              <w:left w:val="single" w:color="auto" w:sz="4" w:space="0"/>
              <w:bottom w:val="single" w:color="auto" w:sz="4" w:space="0"/>
              <w:right w:val="single" w:color="auto" w:sz="4" w:space="0"/>
            </w:tcBorders>
          </w:tcPr>
          <w:p w14:paraId="18FD6474">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FD055AB">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2F5064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5701CD6D">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3061" w:type="dxa"/>
            <w:tcBorders>
              <w:top w:val="single" w:color="auto" w:sz="4" w:space="0"/>
              <w:left w:val="single" w:color="auto" w:sz="4" w:space="0"/>
              <w:bottom w:val="single" w:color="auto" w:sz="4" w:space="0"/>
              <w:right w:val="single" w:color="auto" w:sz="4" w:space="0"/>
            </w:tcBorders>
          </w:tcPr>
          <w:p w14:paraId="5E6EBDFF">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5DCAE585">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53A8C3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73A654E4">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78A9EC3C">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0E62DFAE">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7C964E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65D69CE5">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0F9AC8F3">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1C51A580">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612FE3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4DD0E9B7">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46619B4C">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8B66848">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13087E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18D96399">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63D09C17">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C171E07">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6543F0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37EFDE04">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728F5CC7">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AF5FE9B">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3A3EF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062683A5">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727105DD">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70151F2">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30D295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241D3A20">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1E8ACBFA">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24C3D12">
            <w:pPr>
              <w:snapToGrid w:val="0"/>
              <w:spacing w:before="120" w:beforeLines="50"/>
              <w:rPr>
                <w:rFonts w:ascii="仿宋" w:hAnsi="仿宋" w:eastAsia="仿宋"/>
                <w:color w:val="000000" w:themeColor="text1"/>
                <w:sz w:val="30"/>
                <w:szCs w:val="30"/>
                <w14:textFill>
                  <w14:solidFill>
                    <w14:schemeClr w14:val="tx1"/>
                  </w14:solidFill>
                </w14:textFill>
              </w:rPr>
            </w:pPr>
          </w:p>
        </w:tc>
      </w:tr>
    </w:tbl>
    <w:p w14:paraId="3421802B">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0DBA3205">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附件9：</w:t>
      </w:r>
    </w:p>
    <w:p w14:paraId="7420BB93">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投标项目明细清单</w:t>
      </w:r>
    </w:p>
    <w:p w14:paraId="2F5D56E4">
      <w:pPr>
        <w:snapToGrid w:val="0"/>
        <w:spacing w:before="50" w:after="120" w:afterLines="50"/>
        <w:rPr>
          <w:rFonts w:ascii="仿宋" w:hAnsi="仿宋" w:eastAsia="仿宋"/>
          <w:b/>
          <w:color w:val="000000" w:themeColor="text1"/>
          <w:spacing w:val="40"/>
          <w:kern w:val="0"/>
          <w:sz w:val="36"/>
          <w:szCs w:val="36"/>
          <w14:textFill>
            <w14:solidFill>
              <w14:schemeClr w14:val="tx1"/>
            </w14:solidFill>
          </w14:textFill>
        </w:rPr>
      </w:pPr>
    </w:p>
    <w:p w14:paraId="1DA06FDD">
      <w:pPr>
        <w:pStyle w:val="18"/>
        <w:snapToGrid w:val="0"/>
        <w:rPr>
          <w:rFonts w:ascii="仿宋" w:hAnsi="仿宋" w:eastAsia="仿宋"/>
          <w:color w:val="000000" w:themeColor="text1"/>
          <w:kern w:val="0"/>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p w14:paraId="6CC5CD32">
      <w:pPr>
        <w:pStyle w:val="18"/>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货物类</w:t>
      </w:r>
    </w:p>
    <w:tbl>
      <w:tblPr>
        <w:tblStyle w:val="59"/>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2A77D2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3A6ECDCC">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7A8C6568">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5A78033C">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04C648C9">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规格</w:t>
            </w:r>
          </w:p>
          <w:p w14:paraId="26CE83FF">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2CCA8122">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单位及</w:t>
            </w:r>
          </w:p>
          <w:p w14:paraId="100A88BC">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4213CA6D">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7318DFE5">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产地</w:t>
            </w:r>
          </w:p>
        </w:tc>
      </w:tr>
      <w:tr w14:paraId="1174EC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532E20CF">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5EF1343B">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08CDE0B9">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09CDDF0D">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62C56496">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2FF96C63">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4B5F3B4D">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23E9E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4363C4A2">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59B50999">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5E91298C">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449C83F5">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78A87AB9">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71C18B52">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14AD0CC5">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2ABE2E95">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服务类</w:t>
      </w:r>
    </w:p>
    <w:tbl>
      <w:tblPr>
        <w:tblStyle w:val="59"/>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4606B2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7C485F1D">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2828" w:type="dxa"/>
            <w:tcBorders>
              <w:top w:val="single" w:color="auto" w:sz="4" w:space="0"/>
              <w:left w:val="single" w:color="auto" w:sz="4" w:space="0"/>
              <w:bottom w:val="single" w:color="auto" w:sz="4" w:space="0"/>
              <w:right w:val="single" w:color="auto" w:sz="4" w:space="0"/>
            </w:tcBorders>
            <w:vAlign w:val="center"/>
          </w:tcPr>
          <w:p w14:paraId="4CDE5669">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服务内容</w:t>
            </w:r>
          </w:p>
        </w:tc>
        <w:tc>
          <w:tcPr>
            <w:tcW w:w="2828" w:type="dxa"/>
            <w:tcBorders>
              <w:top w:val="single" w:color="auto" w:sz="4" w:space="0"/>
              <w:left w:val="single" w:color="auto" w:sz="4" w:space="0"/>
              <w:bottom w:val="single" w:color="auto" w:sz="4" w:space="0"/>
              <w:right w:val="single" w:color="auto" w:sz="4" w:space="0"/>
            </w:tcBorders>
            <w:vAlign w:val="center"/>
          </w:tcPr>
          <w:p w14:paraId="3E7C2B3D">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服务人员数量</w:t>
            </w:r>
          </w:p>
        </w:tc>
        <w:tc>
          <w:tcPr>
            <w:tcW w:w="2829" w:type="dxa"/>
            <w:tcBorders>
              <w:top w:val="single" w:color="auto" w:sz="4" w:space="0"/>
              <w:left w:val="single" w:color="auto" w:sz="4" w:space="0"/>
              <w:bottom w:val="single" w:color="auto" w:sz="4" w:space="0"/>
              <w:right w:val="single" w:color="auto" w:sz="4" w:space="0"/>
            </w:tcBorders>
            <w:vAlign w:val="center"/>
          </w:tcPr>
          <w:p w14:paraId="16BFB545">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工作量</w:t>
            </w:r>
          </w:p>
        </w:tc>
      </w:tr>
      <w:tr w14:paraId="07247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1C442CF9">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415DBECF">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78F1A939">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72F2965B">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0DAB28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5B322B69">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5179AEB4">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68BA2B05">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08066831">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57CEB45C">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注：在填写时，如上表不适合本项目的实际情况，可在确保投标明细内容完整的情况下，根据上表格式自行划表填写。</w:t>
      </w:r>
    </w:p>
    <w:p w14:paraId="060C18FC">
      <w:pPr>
        <w:snapToGrid w:val="0"/>
        <w:spacing w:before="120" w:beforeLines="50"/>
        <w:rPr>
          <w:rFonts w:ascii="仿宋" w:hAnsi="仿宋" w:eastAsia="仿宋"/>
          <w:color w:val="000000" w:themeColor="text1"/>
          <w:sz w:val="30"/>
          <w:szCs w:val="30"/>
          <w14:textFill>
            <w14:solidFill>
              <w14:schemeClr w14:val="tx1"/>
            </w14:solidFill>
          </w14:textFill>
        </w:rPr>
      </w:pPr>
    </w:p>
    <w:p w14:paraId="7B7988D8">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6AF20497">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50AA172D">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附件10：</w:t>
      </w:r>
    </w:p>
    <w:p w14:paraId="131692DA">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技 术 响 应 表</w:t>
      </w:r>
    </w:p>
    <w:p w14:paraId="03FF6BDA">
      <w:pPr>
        <w:snapToGrid w:val="0"/>
        <w:spacing w:before="50" w:after="120" w:afterLines="50"/>
        <w:rPr>
          <w:rFonts w:ascii="仿宋" w:hAnsi="仿宋" w:eastAsia="仿宋"/>
          <w:b/>
          <w:color w:val="000000" w:themeColor="text1"/>
          <w:sz w:val="32"/>
          <w:szCs w:val="32"/>
          <w14:textFill>
            <w14:solidFill>
              <w14:schemeClr w14:val="tx1"/>
            </w14:solidFill>
          </w14:textFill>
        </w:rPr>
      </w:pPr>
    </w:p>
    <w:p w14:paraId="11A4C55C">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37A171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57B5513C">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2197" w:type="dxa"/>
            <w:tcBorders>
              <w:top w:val="single" w:color="auto" w:sz="4" w:space="0"/>
              <w:left w:val="single" w:color="auto" w:sz="4" w:space="0"/>
              <w:bottom w:val="single" w:color="auto" w:sz="4" w:space="0"/>
              <w:right w:val="single" w:color="auto" w:sz="4" w:space="0"/>
            </w:tcBorders>
          </w:tcPr>
          <w:p w14:paraId="5AFDBC33">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投标文件响应</w:t>
            </w:r>
          </w:p>
        </w:tc>
        <w:tc>
          <w:tcPr>
            <w:tcW w:w="2424" w:type="dxa"/>
            <w:tcBorders>
              <w:top w:val="single" w:color="auto" w:sz="4" w:space="0"/>
              <w:left w:val="single" w:color="auto" w:sz="4" w:space="0"/>
              <w:bottom w:val="single" w:color="auto" w:sz="4" w:space="0"/>
              <w:right w:val="single" w:color="auto" w:sz="4" w:space="0"/>
            </w:tcBorders>
          </w:tcPr>
          <w:p w14:paraId="2A9F388A">
            <w:pPr>
              <w:snapToGrid w:val="0"/>
              <w:spacing w:before="50" w:after="120" w:after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偏离情况      </w:t>
            </w:r>
          </w:p>
        </w:tc>
      </w:tr>
      <w:tr w14:paraId="579CD2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6DBD030F">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7A5EE9D6">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14:paraId="1EABBAC5">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7054F2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6FC5346A">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729782AA">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14:paraId="2C5B361D">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tc>
      </w:tr>
      <w:tr w14:paraId="6D36A1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401D9F4E">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67E3E95A">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14:paraId="6F8C6260">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14B0F9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22B13445">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7C1215BC">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nil"/>
              <w:right w:val="single" w:color="auto" w:sz="4" w:space="0"/>
            </w:tcBorders>
          </w:tcPr>
          <w:p w14:paraId="1165E40F">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4B3B54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5FC5F0CC">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73DA9B5D">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14:paraId="665DA836">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27ACE4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2986638A">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6A52C4D1">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14:paraId="22F58C48">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bl>
    <w:p w14:paraId="5B5E3041">
      <w:pPr>
        <w:pStyle w:val="23"/>
        <w:rPr>
          <w:rFonts w:ascii="仿宋" w:hAnsi="仿宋" w:eastAsia="仿宋"/>
          <w:color w:val="000000" w:themeColor="text1"/>
          <w:spacing w:val="20"/>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注：投标人应根据投标设备的性能指标、对照招标文件要求在“偏离情况”栏注明“正偏离”、“负偏离”或“无偏离”。</w:t>
      </w:r>
    </w:p>
    <w:p w14:paraId="7F799A7A">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2D8BA12C">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59E97676">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14:paraId="76FAB121">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附件11：</w:t>
      </w:r>
    </w:p>
    <w:p w14:paraId="2D936B65">
      <w:pPr>
        <w:snapToGrid w:val="0"/>
        <w:spacing w:before="50" w:after="120" w:afterLines="50"/>
        <w:jc w:val="center"/>
        <w:rPr>
          <w:rFonts w:ascii="仿宋" w:hAnsi="仿宋" w:eastAsia="仿宋"/>
          <w:b/>
          <w:color w:val="000000" w:themeColor="text1"/>
          <w:kern w:val="0"/>
          <w:sz w:val="36"/>
          <w:szCs w:val="36"/>
          <w14:textFill>
            <w14:solidFill>
              <w14:schemeClr w14:val="tx1"/>
            </w14:solidFill>
          </w14:textFill>
        </w:rPr>
      </w:pPr>
      <w:r>
        <w:rPr>
          <w:rFonts w:hint="eastAsia" w:ascii="仿宋" w:hAnsi="仿宋" w:eastAsia="仿宋"/>
          <w:b/>
          <w:color w:val="000000" w:themeColor="text1"/>
          <w:kern w:val="0"/>
          <w:sz w:val="36"/>
          <w:szCs w:val="36"/>
          <w14:textFill>
            <w14:solidFill>
              <w14:schemeClr w14:val="tx1"/>
            </w14:solidFill>
          </w14:textFill>
        </w:rPr>
        <w:t>项目组人员清单</w:t>
      </w:r>
    </w:p>
    <w:p w14:paraId="4517C5B0">
      <w:pPr>
        <w:snapToGrid w:val="0"/>
        <w:spacing w:before="120" w:beforeLines="50" w:after="50"/>
        <w:rPr>
          <w:rFonts w:ascii="仿宋" w:hAnsi="仿宋" w:eastAsia="仿宋"/>
          <w:b/>
          <w:color w:val="000000" w:themeColor="text1"/>
          <w:sz w:val="30"/>
          <w:szCs w:val="30"/>
          <w14:textFill>
            <w14:solidFill>
              <w14:schemeClr w14:val="tx1"/>
            </w14:solidFill>
          </w14:textFill>
        </w:rPr>
      </w:pPr>
    </w:p>
    <w:p w14:paraId="2C12F15B">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633AAC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vAlign w:val="center"/>
          </w:tcPr>
          <w:p w14:paraId="443AED25">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0280586C">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739DB82E">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专业技</w:t>
            </w:r>
          </w:p>
          <w:p w14:paraId="07CC0A2B">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2F59A4D0">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证书</w:t>
            </w:r>
          </w:p>
          <w:p w14:paraId="3EB01085">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11D4D758">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2DD235EF">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劳动合</w:t>
            </w:r>
          </w:p>
          <w:p w14:paraId="2460A887">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同编号</w:t>
            </w:r>
          </w:p>
        </w:tc>
      </w:tr>
      <w:tr w14:paraId="2D494D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4A6392F8">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237BC4B7">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609E5E68">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268FABD8">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1455D83">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1675DCC">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1D5CC9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3C9BB754">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4D27F268">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3199AC2E">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024FE52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C353B8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F4C8E5D">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0EC94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72123D3B">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24F952FE">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047B7DCF">
            <w:pPr>
              <w:pStyle w:val="34"/>
              <w:snapToGrid w:val="0"/>
              <w:spacing w:before="120" w:beforeLines="50" w:after="120" w:line="460" w:lineRule="exact"/>
              <w:ind w:left="5250"/>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6EFA0ADA">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87C1B6A">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800267D">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382352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1544A4DC">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70F061C7">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6333564E">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72E269BA">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D0159A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AB7709A">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2A38C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6EE9F23D">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17347765">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3B518F2C">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2F987712">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BCEA442">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F59D32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5BE3F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6BB9953B">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F416FD3">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63E57EA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2C29D7E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C16F70D">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9C4B45C">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1225B6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0FD19430">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12C45409">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5CA87E68">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2E55977C">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91637C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F922FCD">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514877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49E10A4B">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052CCD5">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57BE10EB">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6F23AC6A">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13399BC">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A650A3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7D0650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33F06FED">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62859E6">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2AF7F3D7">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0D5A585E">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C8249E2">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25A28E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bl>
    <w:p w14:paraId="11DBA885">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注：在填写时，如本表格不适合投标单位的实际情况，可根据本表格式自行划表填写。 </w:t>
      </w:r>
    </w:p>
    <w:p w14:paraId="065DC1B4">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14:paraId="27FB558A">
      <w:pPr>
        <w:snapToGrid w:val="0"/>
        <w:spacing w:before="50" w:after="50" w:line="460" w:lineRule="exact"/>
        <w:rPr>
          <w:rFonts w:ascii="仿宋" w:hAnsi="仿宋" w:eastAsia="仿宋"/>
          <w:color w:val="000000" w:themeColor="text1"/>
          <w:spacing w:val="20"/>
          <w:sz w:val="30"/>
          <w:szCs w:val="30"/>
          <w:u w:val="single"/>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63B545A5">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14:paraId="1902ACA6">
      <w:pPr>
        <w:pStyle w:val="31"/>
        <w:snapToGrid w:val="0"/>
        <w:spacing w:before="120" w:after="120" w:line="460" w:lineRule="exact"/>
        <w:rPr>
          <w:rFonts w:ascii="仿宋" w:hAnsi="仿宋" w:eastAsia="仿宋"/>
          <w:color w:val="000000" w:themeColor="text1"/>
          <w:sz w:val="30"/>
          <w:szCs w:val="30"/>
          <w14:textFill>
            <w14:solidFill>
              <w14:schemeClr w14:val="tx1"/>
            </w14:solidFill>
          </w14:textFill>
        </w:rPr>
      </w:pPr>
    </w:p>
    <w:p w14:paraId="78105725">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附件12：</w:t>
      </w:r>
    </w:p>
    <w:p w14:paraId="0442D620">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商务响应表</w:t>
      </w:r>
    </w:p>
    <w:p w14:paraId="024006EE">
      <w:pPr>
        <w:snapToGrid w:val="0"/>
        <w:spacing w:before="50"/>
        <w:jc w:val="center"/>
        <w:rPr>
          <w:rFonts w:ascii="仿宋" w:hAnsi="仿宋" w:eastAsia="仿宋"/>
          <w:b/>
          <w:color w:val="000000" w:themeColor="text1"/>
          <w:sz w:val="32"/>
          <w:szCs w:val="32"/>
          <w14:textFill>
            <w14:solidFill>
              <w14:schemeClr w14:val="tx1"/>
            </w14:solidFill>
          </w14:textFill>
        </w:rPr>
      </w:pPr>
    </w:p>
    <w:p w14:paraId="1E484499">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6C44DF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14:paraId="29BC1E41">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w:t>
            </w:r>
          </w:p>
        </w:tc>
        <w:tc>
          <w:tcPr>
            <w:tcW w:w="2699" w:type="dxa"/>
            <w:tcBorders>
              <w:top w:val="single" w:color="auto" w:sz="4" w:space="0"/>
              <w:left w:val="single" w:color="auto" w:sz="4" w:space="0"/>
              <w:bottom w:val="single" w:color="auto" w:sz="4" w:space="0"/>
              <w:right w:val="single" w:color="auto" w:sz="4" w:space="0"/>
            </w:tcBorders>
            <w:vAlign w:val="center"/>
          </w:tcPr>
          <w:p w14:paraId="2068DC95">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14:paraId="281B51CD">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是否</w:t>
            </w:r>
          </w:p>
          <w:p w14:paraId="2EF5F547">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响应</w:t>
            </w:r>
          </w:p>
        </w:tc>
        <w:tc>
          <w:tcPr>
            <w:tcW w:w="3019" w:type="dxa"/>
            <w:tcBorders>
              <w:top w:val="single" w:color="auto" w:sz="4" w:space="0"/>
              <w:left w:val="single" w:color="auto" w:sz="4" w:space="0"/>
              <w:bottom w:val="single" w:color="auto" w:sz="4" w:space="0"/>
              <w:right w:val="single" w:color="auto" w:sz="4" w:space="0"/>
            </w:tcBorders>
            <w:vAlign w:val="center"/>
          </w:tcPr>
          <w:p w14:paraId="20327BB3">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投标人的承诺或说明</w:t>
            </w:r>
          </w:p>
        </w:tc>
      </w:tr>
      <w:tr w14:paraId="6B5443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14:paraId="11A08AAF">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项目工期（交货期）及地点</w:t>
            </w:r>
          </w:p>
        </w:tc>
        <w:tc>
          <w:tcPr>
            <w:tcW w:w="2699" w:type="dxa"/>
            <w:tcBorders>
              <w:top w:val="single" w:color="auto" w:sz="4" w:space="0"/>
              <w:left w:val="single" w:color="auto" w:sz="4" w:space="0"/>
              <w:bottom w:val="single" w:color="auto" w:sz="4" w:space="0"/>
              <w:right w:val="single" w:color="auto" w:sz="4" w:space="0"/>
            </w:tcBorders>
          </w:tcPr>
          <w:p w14:paraId="41916458">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4116247C">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48C8E89B">
            <w:pPr>
              <w:snapToGrid w:val="0"/>
              <w:jc w:val="left"/>
              <w:rPr>
                <w:rFonts w:ascii="仿宋" w:hAnsi="仿宋" w:eastAsia="仿宋"/>
                <w:color w:val="000000" w:themeColor="text1"/>
                <w:sz w:val="28"/>
                <w:szCs w:val="28"/>
                <w14:textFill>
                  <w14:solidFill>
                    <w14:schemeClr w14:val="tx1"/>
                  </w14:solidFill>
                </w14:textFill>
              </w:rPr>
            </w:pPr>
          </w:p>
        </w:tc>
      </w:tr>
      <w:tr w14:paraId="60176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70A3B83D">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付款条件</w:t>
            </w:r>
          </w:p>
        </w:tc>
        <w:tc>
          <w:tcPr>
            <w:tcW w:w="2699" w:type="dxa"/>
            <w:tcBorders>
              <w:top w:val="single" w:color="auto" w:sz="4" w:space="0"/>
              <w:left w:val="single" w:color="auto" w:sz="4" w:space="0"/>
              <w:bottom w:val="single" w:color="auto" w:sz="4" w:space="0"/>
              <w:right w:val="single" w:color="auto" w:sz="4" w:space="0"/>
            </w:tcBorders>
          </w:tcPr>
          <w:p w14:paraId="538D38A4">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7ECFA549">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4B2795F7">
            <w:pPr>
              <w:snapToGrid w:val="0"/>
              <w:jc w:val="left"/>
              <w:rPr>
                <w:rFonts w:ascii="仿宋" w:hAnsi="仿宋" w:eastAsia="仿宋"/>
                <w:color w:val="000000" w:themeColor="text1"/>
                <w:sz w:val="28"/>
                <w:szCs w:val="28"/>
                <w14:textFill>
                  <w14:solidFill>
                    <w14:schemeClr w14:val="tx1"/>
                  </w14:solidFill>
                </w14:textFill>
              </w:rPr>
            </w:pPr>
          </w:p>
        </w:tc>
      </w:tr>
      <w:tr w14:paraId="0F30BC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2A354757">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14:paraId="443B5C63">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7D302DDF">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739A7945">
            <w:pPr>
              <w:snapToGrid w:val="0"/>
              <w:jc w:val="left"/>
              <w:rPr>
                <w:rFonts w:ascii="仿宋" w:hAnsi="仿宋" w:eastAsia="仿宋"/>
                <w:color w:val="000000" w:themeColor="text1"/>
                <w:sz w:val="28"/>
                <w:szCs w:val="28"/>
                <w14:textFill>
                  <w14:solidFill>
                    <w14:schemeClr w14:val="tx1"/>
                  </w14:solidFill>
                </w14:textFill>
              </w:rPr>
            </w:pPr>
          </w:p>
        </w:tc>
      </w:tr>
      <w:tr w14:paraId="30C4D7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3A9592E4">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项目维护计划</w:t>
            </w:r>
          </w:p>
        </w:tc>
        <w:tc>
          <w:tcPr>
            <w:tcW w:w="2699" w:type="dxa"/>
            <w:tcBorders>
              <w:top w:val="single" w:color="auto" w:sz="4" w:space="0"/>
              <w:left w:val="single" w:color="auto" w:sz="4" w:space="0"/>
              <w:bottom w:val="single" w:color="auto" w:sz="4" w:space="0"/>
              <w:right w:val="single" w:color="auto" w:sz="4" w:space="0"/>
            </w:tcBorders>
          </w:tcPr>
          <w:p w14:paraId="77C52555">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582DE5A0">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718885CB">
            <w:pPr>
              <w:snapToGrid w:val="0"/>
              <w:jc w:val="left"/>
              <w:rPr>
                <w:rFonts w:ascii="仿宋" w:hAnsi="仿宋" w:eastAsia="仿宋"/>
                <w:color w:val="000000" w:themeColor="text1"/>
                <w:sz w:val="28"/>
                <w:szCs w:val="28"/>
                <w14:textFill>
                  <w14:solidFill>
                    <w14:schemeClr w14:val="tx1"/>
                  </w14:solidFill>
                </w14:textFill>
              </w:rPr>
            </w:pPr>
          </w:p>
        </w:tc>
      </w:tr>
      <w:tr w14:paraId="23A932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14:paraId="21C551B6">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响应情况</w:t>
            </w:r>
          </w:p>
        </w:tc>
        <w:tc>
          <w:tcPr>
            <w:tcW w:w="2699" w:type="dxa"/>
            <w:tcBorders>
              <w:top w:val="single" w:color="auto" w:sz="4" w:space="0"/>
              <w:left w:val="single" w:color="auto" w:sz="4" w:space="0"/>
              <w:bottom w:val="single" w:color="auto" w:sz="4" w:space="0"/>
              <w:right w:val="single" w:color="auto" w:sz="4" w:space="0"/>
            </w:tcBorders>
          </w:tcPr>
          <w:p w14:paraId="20764F9C">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6C962453">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0FB9CE17">
            <w:pPr>
              <w:snapToGrid w:val="0"/>
              <w:jc w:val="left"/>
              <w:rPr>
                <w:rFonts w:ascii="仿宋" w:hAnsi="仿宋" w:eastAsia="仿宋"/>
                <w:color w:val="000000" w:themeColor="text1"/>
                <w:sz w:val="28"/>
                <w:szCs w:val="28"/>
                <w14:textFill>
                  <w14:solidFill>
                    <w14:schemeClr w14:val="tx1"/>
                  </w14:solidFill>
                </w14:textFill>
              </w:rPr>
            </w:pPr>
          </w:p>
        </w:tc>
      </w:tr>
      <w:tr w14:paraId="46056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463105C3">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技术培训</w:t>
            </w:r>
          </w:p>
        </w:tc>
        <w:tc>
          <w:tcPr>
            <w:tcW w:w="2699" w:type="dxa"/>
            <w:tcBorders>
              <w:top w:val="single" w:color="auto" w:sz="4" w:space="0"/>
              <w:left w:val="single" w:color="auto" w:sz="4" w:space="0"/>
              <w:bottom w:val="single" w:color="auto" w:sz="4" w:space="0"/>
              <w:right w:val="single" w:color="auto" w:sz="4" w:space="0"/>
            </w:tcBorders>
          </w:tcPr>
          <w:p w14:paraId="1C3605F1">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018BFC18">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5CD700D3">
            <w:pPr>
              <w:snapToGrid w:val="0"/>
              <w:jc w:val="left"/>
              <w:rPr>
                <w:rFonts w:ascii="仿宋" w:hAnsi="仿宋" w:eastAsia="仿宋"/>
                <w:color w:val="000000" w:themeColor="text1"/>
                <w:sz w:val="28"/>
                <w:szCs w:val="28"/>
                <w14:textFill>
                  <w14:solidFill>
                    <w14:schemeClr w14:val="tx1"/>
                  </w14:solidFill>
                </w14:textFill>
              </w:rPr>
            </w:pPr>
          </w:p>
        </w:tc>
      </w:tr>
      <w:tr w14:paraId="1447D7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1C901B64">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投标人技术力量情况</w:t>
            </w:r>
          </w:p>
        </w:tc>
        <w:tc>
          <w:tcPr>
            <w:tcW w:w="2699" w:type="dxa"/>
            <w:tcBorders>
              <w:top w:val="single" w:color="auto" w:sz="4" w:space="0"/>
              <w:left w:val="single" w:color="auto" w:sz="4" w:space="0"/>
              <w:bottom w:val="single" w:color="auto" w:sz="4" w:space="0"/>
              <w:right w:val="single" w:color="auto" w:sz="4" w:space="0"/>
            </w:tcBorders>
          </w:tcPr>
          <w:p w14:paraId="4A812AD8">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2E979B16">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725AD429">
            <w:pPr>
              <w:snapToGrid w:val="0"/>
              <w:jc w:val="left"/>
              <w:rPr>
                <w:rFonts w:ascii="仿宋" w:hAnsi="仿宋" w:eastAsia="仿宋"/>
                <w:color w:val="000000" w:themeColor="text1"/>
                <w:sz w:val="28"/>
                <w:szCs w:val="28"/>
                <w14:textFill>
                  <w14:solidFill>
                    <w14:schemeClr w14:val="tx1"/>
                  </w14:solidFill>
                </w14:textFill>
              </w:rPr>
            </w:pPr>
          </w:p>
        </w:tc>
      </w:tr>
      <w:tr w14:paraId="18902B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18800FF0">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经验或业绩要求</w:t>
            </w:r>
          </w:p>
        </w:tc>
        <w:tc>
          <w:tcPr>
            <w:tcW w:w="2699" w:type="dxa"/>
            <w:tcBorders>
              <w:top w:val="single" w:color="auto" w:sz="4" w:space="0"/>
              <w:left w:val="single" w:color="auto" w:sz="4" w:space="0"/>
              <w:bottom w:val="single" w:color="auto" w:sz="4" w:space="0"/>
              <w:right w:val="single" w:color="auto" w:sz="4" w:space="0"/>
            </w:tcBorders>
          </w:tcPr>
          <w:p w14:paraId="3D741BAB">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0ECC80EA">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4C819AE5">
            <w:pPr>
              <w:snapToGrid w:val="0"/>
              <w:jc w:val="left"/>
              <w:rPr>
                <w:rFonts w:ascii="仿宋" w:hAnsi="仿宋" w:eastAsia="仿宋"/>
                <w:color w:val="000000" w:themeColor="text1"/>
                <w:sz w:val="28"/>
                <w:szCs w:val="28"/>
                <w14:textFill>
                  <w14:solidFill>
                    <w14:schemeClr w14:val="tx1"/>
                  </w14:solidFill>
                </w14:textFill>
              </w:rPr>
            </w:pPr>
          </w:p>
        </w:tc>
      </w:tr>
      <w:tr w14:paraId="0A173A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14:paraId="006A5A28">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2699" w:type="dxa"/>
            <w:tcBorders>
              <w:top w:val="single" w:color="auto" w:sz="4" w:space="0"/>
              <w:left w:val="single" w:color="auto" w:sz="4" w:space="0"/>
              <w:bottom w:val="single" w:color="auto" w:sz="4" w:space="0"/>
              <w:right w:val="single" w:color="auto" w:sz="4" w:space="0"/>
            </w:tcBorders>
          </w:tcPr>
          <w:p w14:paraId="2011B19D">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717A1151">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21504D8D">
            <w:pPr>
              <w:snapToGrid w:val="0"/>
              <w:spacing w:before="120" w:beforeLines="50"/>
              <w:rPr>
                <w:rFonts w:ascii="仿宋" w:hAnsi="仿宋" w:eastAsia="仿宋"/>
                <w:b/>
                <w:bCs/>
                <w:color w:val="000000" w:themeColor="text1"/>
                <w:sz w:val="30"/>
                <w:szCs w:val="30"/>
                <w14:textFill>
                  <w14:solidFill>
                    <w14:schemeClr w14:val="tx1"/>
                  </w14:solidFill>
                </w14:textFill>
              </w:rPr>
            </w:pPr>
          </w:p>
        </w:tc>
      </w:tr>
    </w:tbl>
    <w:p w14:paraId="557DC629">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707F280A">
      <w:pPr>
        <w:widowControl/>
        <w:jc w:val="left"/>
        <w:rPr>
          <w:rFonts w:ascii="仿宋" w:hAnsi="仿宋" w:eastAsia="仿宋"/>
          <w:color w:val="000000" w:themeColor="text1"/>
          <w:kern w:val="0"/>
          <w:sz w:val="30"/>
          <w:szCs w:val="30"/>
          <w14:textFill>
            <w14:solidFill>
              <w14:schemeClr w14:val="tx1"/>
            </w14:solidFill>
          </w14:textFill>
        </w:rPr>
        <w:sectPr>
          <w:footerReference r:id="rId3" w:type="default"/>
          <w:pgSz w:w="11906" w:h="16838"/>
          <w:pgMar w:top="1474" w:right="1797" w:bottom="1247" w:left="1797" w:header="851" w:footer="851" w:gutter="0"/>
          <w:pgNumType w:fmt="decimal"/>
          <w:cols w:space="720" w:num="1"/>
        </w:sectPr>
      </w:pPr>
    </w:p>
    <w:p w14:paraId="2DE341F7">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附件13：</w:t>
      </w:r>
    </w:p>
    <w:p w14:paraId="35A05962">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投标人业绩情况一览表</w:t>
      </w:r>
    </w:p>
    <w:p w14:paraId="511D8452">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p>
    <w:tbl>
      <w:tblPr>
        <w:tblStyle w:val="59"/>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258D9D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9" w:type="dxa"/>
            <w:vMerge w:val="restart"/>
            <w:tcBorders>
              <w:top w:val="single" w:color="auto" w:sz="4" w:space="0"/>
              <w:left w:val="single" w:color="auto" w:sz="4" w:space="0"/>
              <w:bottom w:val="single" w:color="auto" w:sz="4" w:space="0"/>
              <w:right w:val="single" w:color="auto" w:sz="4" w:space="0"/>
            </w:tcBorders>
            <w:vAlign w:val="center"/>
          </w:tcPr>
          <w:p w14:paraId="2A3ED203">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采购单位名称</w:t>
            </w:r>
          </w:p>
        </w:tc>
        <w:tc>
          <w:tcPr>
            <w:tcW w:w="3421" w:type="dxa"/>
            <w:vMerge w:val="restart"/>
            <w:tcBorders>
              <w:top w:val="single" w:color="auto" w:sz="4" w:space="0"/>
              <w:left w:val="single" w:color="auto" w:sz="4" w:space="0"/>
              <w:bottom w:val="single" w:color="auto" w:sz="4" w:space="0"/>
              <w:right w:val="single" w:color="auto" w:sz="4" w:space="0"/>
            </w:tcBorders>
            <w:vAlign w:val="center"/>
          </w:tcPr>
          <w:p w14:paraId="1729E130">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51C02481">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w:t>
            </w:r>
          </w:p>
          <w:p w14:paraId="1631EE58">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0C21BBE9">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7410DBEC">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w:t>
            </w:r>
          </w:p>
          <w:p w14:paraId="2D876EFB">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金额</w:t>
            </w:r>
          </w:p>
          <w:p w14:paraId="525CBFA3">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1BC86C3A">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5CDADD9E">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采购单位联系人及</w:t>
            </w:r>
          </w:p>
          <w:p w14:paraId="79FE4CCE">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联系电话</w:t>
            </w:r>
          </w:p>
        </w:tc>
      </w:tr>
      <w:tr w14:paraId="0F8C88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9" w:type="dxa"/>
            <w:vMerge w:val="continue"/>
            <w:tcBorders>
              <w:top w:val="single" w:color="auto" w:sz="4" w:space="0"/>
              <w:left w:val="single" w:color="auto" w:sz="4" w:space="0"/>
              <w:bottom w:val="single" w:color="auto" w:sz="4" w:space="0"/>
              <w:right w:val="single" w:color="auto" w:sz="4" w:space="0"/>
            </w:tcBorders>
            <w:vAlign w:val="center"/>
          </w:tcPr>
          <w:p w14:paraId="4C53E2F3">
            <w:pPr>
              <w:widowControl/>
              <w:jc w:val="left"/>
              <w:rPr>
                <w:rFonts w:ascii="仿宋" w:hAnsi="仿宋" w:eastAsia="仿宋"/>
                <w:color w:val="000000" w:themeColor="text1"/>
                <w:sz w:val="30"/>
                <w:szCs w:val="30"/>
                <w14:textFill>
                  <w14:solidFill>
                    <w14:schemeClr w14:val="tx1"/>
                  </w14:solidFill>
                </w14:textFill>
              </w:rPr>
            </w:pPr>
          </w:p>
        </w:tc>
        <w:tc>
          <w:tcPr>
            <w:tcW w:w="3421" w:type="dxa"/>
            <w:vMerge w:val="continue"/>
            <w:tcBorders>
              <w:top w:val="single" w:color="auto" w:sz="4" w:space="0"/>
              <w:left w:val="single" w:color="auto" w:sz="4" w:space="0"/>
              <w:bottom w:val="single" w:color="auto" w:sz="4" w:space="0"/>
              <w:right w:val="single" w:color="auto" w:sz="4" w:space="0"/>
            </w:tcBorders>
            <w:vAlign w:val="center"/>
          </w:tcPr>
          <w:p w14:paraId="333BD7F5">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C3168F6">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51C82996">
            <w:pPr>
              <w:widowControl/>
              <w:jc w:val="left"/>
              <w:rPr>
                <w:rFonts w:ascii="仿宋" w:hAnsi="仿宋" w:eastAsia="仿宋"/>
                <w:color w:val="000000" w:themeColor="text1"/>
                <w:sz w:val="30"/>
                <w:szCs w:val="30"/>
                <w14:textFill>
                  <w14:solidFill>
                    <w14:schemeClr w14:val="tx1"/>
                  </w14:solidFill>
                </w14:textFill>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605D2EA8">
            <w:pPr>
              <w:widowControl/>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4AB503B3">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w:t>
            </w:r>
          </w:p>
          <w:p w14:paraId="2F3A1B40">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681681BE">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验收</w:t>
            </w:r>
          </w:p>
          <w:p w14:paraId="6DE8EB24">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2A2C4C1C">
            <w:pPr>
              <w:widowControl/>
              <w:jc w:val="left"/>
              <w:rPr>
                <w:rFonts w:ascii="仿宋" w:hAnsi="仿宋" w:eastAsia="仿宋"/>
                <w:color w:val="000000" w:themeColor="text1"/>
                <w:sz w:val="30"/>
                <w:szCs w:val="30"/>
                <w14:textFill>
                  <w14:solidFill>
                    <w14:schemeClr w14:val="tx1"/>
                  </w14:solidFill>
                </w14:textFill>
              </w:rPr>
            </w:pPr>
          </w:p>
        </w:tc>
      </w:tr>
      <w:tr w14:paraId="013FAB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12A3DBCF">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14:paraId="4D999F7C">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83E3580">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8D87279">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2CFEAA9">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DAF7568">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C6BB912">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4DA374FB">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110B2D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9" w:type="dxa"/>
            <w:tcBorders>
              <w:top w:val="single" w:color="auto" w:sz="4" w:space="0"/>
              <w:left w:val="single" w:color="auto" w:sz="4" w:space="0"/>
              <w:bottom w:val="single" w:color="auto" w:sz="4" w:space="0"/>
              <w:right w:val="single" w:color="auto" w:sz="4" w:space="0"/>
            </w:tcBorders>
          </w:tcPr>
          <w:p w14:paraId="4C4A7A61">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14:paraId="591D719E">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A4E06C1">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E8E396E">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7CAF293">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997A7C7">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43A52ED">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12D080D5">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0E0550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539C5D48">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14:paraId="5B1C9786">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CAACFC3">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5914115">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81C1DE4">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78526D5">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7FB129B">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21BCC4BD">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2D7050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6DF06744">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14:paraId="71FDACFF">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4EC6358">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7CC6C5C">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89A82E2">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DD19AFB">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40FEA88">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1BB36FC4">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08234F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2546CFB1">
            <w:pPr>
              <w:snapToGrid w:val="0"/>
              <w:spacing w:before="50" w:after="120" w:afterLines="50" w:line="40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备注</w:t>
            </w:r>
          </w:p>
        </w:tc>
        <w:tc>
          <w:tcPr>
            <w:tcW w:w="11341" w:type="dxa"/>
            <w:gridSpan w:val="7"/>
            <w:tcBorders>
              <w:top w:val="single" w:color="auto" w:sz="4" w:space="0"/>
              <w:left w:val="single" w:color="auto" w:sz="4" w:space="0"/>
              <w:bottom w:val="single" w:color="auto" w:sz="4" w:space="0"/>
              <w:right w:val="single" w:color="auto" w:sz="4" w:space="0"/>
            </w:tcBorders>
          </w:tcPr>
          <w:p w14:paraId="6D610973">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提供投标人同类项目合同复印件、用户验收报告（如有）。</w:t>
            </w:r>
          </w:p>
        </w:tc>
      </w:tr>
    </w:tbl>
    <w:p w14:paraId="1003DAAF">
      <w:pPr>
        <w:pStyle w:val="18"/>
        <w:snapToGrid w:val="0"/>
        <w:spacing w:before="24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时  间：</w:t>
      </w:r>
    </w:p>
    <w:p w14:paraId="7BA9FC0E">
      <w:pPr>
        <w:widowControl/>
        <w:jc w:val="left"/>
        <w:rPr>
          <w:rFonts w:ascii="仿宋" w:hAnsi="仿宋" w:eastAsia="仿宋"/>
          <w:color w:val="000000" w:themeColor="text1"/>
          <w:kern w:val="0"/>
          <w:sz w:val="30"/>
          <w:szCs w:val="30"/>
          <w14:textFill>
            <w14:solidFill>
              <w14:schemeClr w14:val="tx1"/>
            </w14:solidFill>
          </w14:textFill>
        </w:rPr>
        <w:sectPr>
          <w:pgSz w:w="16838" w:h="11906" w:orient="landscape"/>
          <w:pgMar w:top="1797" w:right="1474" w:bottom="1797" w:left="1247" w:header="851" w:footer="851" w:gutter="0"/>
          <w:pgNumType w:fmt="decimal"/>
          <w:cols w:space="720" w:num="1"/>
        </w:sectPr>
      </w:pPr>
    </w:p>
    <w:p w14:paraId="76D7A175">
      <w:pPr>
        <w:snapToGrid w:val="0"/>
        <w:spacing w:before="156"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附件14</w:t>
      </w:r>
      <w:r>
        <w:rPr>
          <w:rFonts w:hint="eastAsia" w:ascii="仿宋" w:hAnsi="仿宋" w:eastAsia="仿宋"/>
          <w:b/>
          <w:color w:val="000000" w:themeColor="text1"/>
          <w:sz w:val="30"/>
          <w:szCs w:val="30"/>
          <w14:textFill>
            <w14:solidFill>
              <w14:schemeClr w14:val="tx1"/>
            </w14:solidFill>
          </w14:textFill>
        </w:rPr>
        <w:t xml:space="preserve">：                                    </w:t>
      </w:r>
    </w:p>
    <w:p w14:paraId="5D6922B2">
      <w:pPr>
        <w:spacing w:before="312" w:beforeLines="100" w:line="240" w:lineRule="atLeast"/>
        <w:jc w:val="center"/>
        <w:rPr>
          <w:rFonts w:ascii="仿宋" w:hAnsi="仿宋" w:eastAsia="仿宋"/>
          <w:b/>
          <w:color w:val="000000" w:themeColor="text1"/>
          <w:spacing w:val="40"/>
          <w:sz w:val="52"/>
          <w:szCs w:val="52"/>
          <w14:textFill>
            <w14:solidFill>
              <w14:schemeClr w14:val="tx1"/>
            </w14:solidFill>
          </w14:textFill>
        </w:rPr>
      </w:pPr>
      <w:bookmarkStart w:id="46" w:name="PO_1000000445_PM002_1"/>
      <w:r>
        <w:rPr>
          <w:rFonts w:hint="eastAsia" w:ascii="仿宋" w:hAnsi="仿宋" w:eastAsia="仿宋"/>
          <w:b/>
          <w:color w:val="000000" w:themeColor="text1"/>
          <w:spacing w:val="40"/>
          <w:sz w:val="52"/>
          <w:szCs w:val="52"/>
          <w14:textFill>
            <w14:solidFill>
              <w14:schemeClr w14:val="tx1"/>
            </w14:solidFill>
          </w14:textFill>
        </w:rPr>
        <w:t>浙江外国语学院图书馆机房建设项目</w:t>
      </w:r>
      <w:bookmarkEnd w:id="46"/>
    </w:p>
    <w:p w14:paraId="7961FF43">
      <w:pPr>
        <w:spacing w:before="312"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47" w:name="PO_1000000445_PM001"/>
      <w:r>
        <w:rPr>
          <w:rFonts w:hint="eastAsia" w:ascii="仿宋" w:hAnsi="仿宋" w:eastAsia="仿宋"/>
          <w:b/>
          <w:color w:val="000000" w:themeColor="text1"/>
          <w:sz w:val="36"/>
          <w:szCs w:val="36"/>
          <w14:textFill>
            <w14:solidFill>
              <w14:schemeClr w14:val="tx1"/>
            </w14:solidFill>
          </w14:textFill>
        </w:rPr>
        <w:t>ZZCG2024X-GK-150</w:t>
      </w:r>
      <w:bookmarkEnd w:id="47"/>
      <w:r>
        <w:rPr>
          <w:rFonts w:hint="eastAsia" w:ascii="仿宋" w:hAnsi="仿宋" w:eastAsia="仿宋"/>
          <w:color w:val="000000" w:themeColor="text1"/>
          <w:sz w:val="36"/>
          <w:szCs w:val="36"/>
          <w14:textFill>
            <w14:solidFill>
              <w14:schemeClr w14:val="tx1"/>
            </w14:solidFill>
          </w14:textFill>
        </w:rPr>
        <w:t>（标项  ）</w:t>
      </w:r>
    </w:p>
    <w:p w14:paraId="381E8158">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140F27DB">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报</w:t>
      </w:r>
    </w:p>
    <w:p w14:paraId="04324798">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价</w:t>
      </w:r>
    </w:p>
    <w:p w14:paraId="16CD296D">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56D9D42D">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4E15BD75">
      <w:pPr>
        <w:spacing w:line="500" w:lineRule="exact"/>
        <w:ind w:right="532"/>
        <w:jc w:val="center"/>
        <w:rPr>
          <w:rFonts w:ascii="仿宋" w:hAnsi="仿宋" w:eastAsia="仿宋"/>
          <w:color w:val="000000" w:themeColor="text1"/>
          <w:sz w:val="36"/>
          <w:szCs w:val="36"/>
          <w14:textFill>
            <w14:solidFill>
              <w14:schemeClr w14:val="tx1"/>
            </w14:solidFill>
          </w14:textFill>
        </w:rPr>
      </w:pPr>
    </w:p>
    <w:p w14:paraId="504BE57E">
      <w:pPr>
        <w:spacing w:line="5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367A8E99">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4C02DBF2">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68F7D9B5">
      <w:pPr>
        <w:snapToGrid w:val="0"/>
        <w:spacing w:before="50" w:after="50"/>
        <w:rPr>
          <w:rFonts w:ascii="仿宋" w:hAnsi="仿宋" w:eastAsia="仿宋"/>
          <w:color w:val="000000" w:themeColor="text1"/>
          <w:sz w:val="30"/>
          <w:szCs w:val="30"/>
          <w14:textFill>
            <w14:solidFill>
              <w14:schemeClr w14:val="tx1"/>
            </w14:solidFill>
          </w14:textFill>
        </w:rPr>
      </w:pPr>
    </w:p>
    <w:p w14:paraId="3B93462A">
      <w:pPr>
        <w:pStyle w:val="34"/>
        <w:snapToGrid w:val="0"/>
        <w:spacing w:after="120"/>
        <w:ind w:left="0" w:leftChars="0"/>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3、</w:t>
      </w:r>
      <w:r>
        <w:rPr>
          <w:rFonts w:hint="eastAsia" w:ascii="仿宋" w:hAnsi="仿宋" w:eastAsia="仿宋"/>
          <w:b/>
          <w:color w:val="000000" w:themeColor="text1"/>
          <w:sz w:val="36"/>
          <w:szCs w:val="36"/>
          <w14:textFill>
            <w14:solidFill>
              <w14:schemeClr w14:val="tx1"/>
            </w14:solidFill>
          </w14:textFill>
        </w:rPr>
        <w:t>报价文件目录</w:t>
      </w:r>
    </w:p>
    <w:p w14:paraId="5476B5F4">
      <w:pPr>
        <w:rPr>
          <w:rFonts w:ascii="仿宋" w:hAnsi="仿宋" w:eastAsia="仿宋"/>
          <w:color w:val="000000" w:themeColor="text1"/>
          <w14:textFill>
            <w14:solidFill>
              <w14:schemeClr w14:val="tx1"/>
            </w14:solidFill>
          </w14:textFill>
        </w:rPr>
      </w:pPr>
    </w:p>
    <w:p w14:paraId="65F58F33">
      <w:pPr>
        <w:snapToGrid w:val="0"/>
        <w:spacing w:line="460" w:lineRule="exact"/>
        <w:jc w:val="left"/>
        <w:rPr>
          <w:rFonts w:ascii="仿宋" w:hAnsi="仿宋" w:eastAsia="仿宋"/>
          <w:sz w:val="30"/>
          <w:szCs w:val="30"/>
        </w:rPr>
      </w:pPr>
      <w:r>
        <w:rPr>
          <w:rFonts w:hint="eastAsia" w:ascii="仿宋" w:hAnsi="仿宋" w:eastAsia="仿宋"/>
          <w:sz w:val="30"/>
          <w:szCs w:val="30"/>
        </w:rPr>
        <w:t>（1）开标一览表（见附件15）；</w:t>
      </w:r>
    </w:p>
    <w:p w14:paraId="18E748A8">
      <w:pPr>
        <w:snapToGrid w:val="0"/>
        <w:spacing w:line="460" w:lineRule="exact"/>
        <w:jc w:val="left"/>
        <w:rPr>
          <w:rFonts w:ascii="仿宋" w:hAnsi="仿宋" w:eastAsia="仿宋"/>
          <w:sz w:val="30"/>
          <w:szCs w:val="30"/>
        </w:rPr>
      </w:pPr>
      <w:r>
        <w:rPr>
          <w:rFonts w:hint="eastAsia" w:ascii="仿宋" w:hAnsi="仿宋" w:eastAsia="仿宋"/>
          <w:sz w:val="30"/>
          <w:szCs w:val="30"/>
        </w:rPr>
        <w:t>（2）投标人针对报价需要说明的其他文件和说明（格式自拟）；</w:t>
      </w:r>
    </w:p>
    <w:p w14:paraId="3D8EB5B0">
      <w:pPr>
        <w:snapToGrid w:val="0"/>
        <w:spacing w:line="460" w:lineRule="exact"/>
        <w:jc w:val="left"/>
        <w:rPr>
          <w:rFonts w:ascii="仿宋" w:hAnsi="仿宋" w:eastAsia="仿宋"/>
          <w:sz w:val="30"/>
          <w:szCs w:val="30"/>
        </w:rPr>
      </w:pPr>
      <w:r>
        <w:rPr>
          <w:rFonts w:hint="eastAsia" w:ascii="仿宋" w:hAnsi="仿宋" w:eastAsia="仿宋"/>
          <w:sz w:val="30"/>
          <w:szCs w:val="30"/>
        </w:rPr>
        <w:t>（3）中小企业声明函（若需要，格式见附件16）；</w:t>
      </w:r>
    </w:p>
    <w:p w14:paraId="097B4D5F">
      <w:pPr>
        <w:snapToGrid w:val="0"/>
        <w:spacing w:line="460" w:lineRule="exact"/>
        <w:jc w:val="left"/>
        <w:rPr>
          <w:rFonts w:ascii="仿宋" w:hAnsi="仿宋" w:eastAsia="仿宋"/>
          <w:sz w:val="30"/>
          <w:szCs w:val="30"/>
        </w:rPr>
      </w:pPr>
      <w:r>
        <w:rPr>
          <w:rFonts w:hint="eastAsia" w:ascii="仿宋" w:hAnsi="仿宋" w:eastAsia="仿宋"/>
          <w:sz w:val="30"/>
          <w:szCs w:val="30"/>
        </w:rPr>
        <w:t>（4）残疾人福利企业声明函（若需要，格式见附件17）。</w:t>
      </w:r>
    </w:p>
    <w:p w14:paraId="493672DD"/>
    <w:p w14:paraId="596F7535">
      <w:pPr>
        <w:pStyle w:val="31"/>
        <w:snapToGrid w:val="0"/>
        <w:spacing w:before="156" w:after="156" w:line="240" w:lineRule="auto"/>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附件15：</w:t>
      </w:r>
    </w:p>
    <w:p w14:paraId="42A04221">
      <w:pPr>
        <w:pStyle w:val="31"/>
        <w:snapToGrid w:val="0"/>
        <w:spacing w:before="156" w:after="156" w:line="240" w:lineRule="auto"/>
        <w:ind w:firstLine="1084" w:firstLineChars="300"/>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28E08D9F">
      <w:pPr>
        <w:pStyle w:val="31"/>
        <w:snapToGrid w:val="0"/>
        <w:spacing w:before="156" w:after="156"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58524087">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37DC18AD">
      <w:pPr>
        <w:snapToGrid w:val="0"/>
        <w:rPr>
          <w:rFonts w:ascii="仿宋" w:hAnsi="仿宋" w:eastAsia="仿宋"/>
          <w:color w:val="000000" w:themeColor="text1"/>
          <w:sz w:val="28"/>
          <w:szCs w:val="28"/>
          <w14:textFill>
            <w14:solidFill>
              <w14:schemeClr w14:val="tx1"/>
            </w14:solidFill>
          </w14:textFill>
        </w:rPr>
      </w:pPr>
    </w:p>
    <w:p w14:paraId="13FDA083">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1EE86BB9">
      <w:pPr>
        <w:snapToGrid w:val="0"/>
        <w:rPr>
          <w:rFonts w:ascii="仿宋" w:hAnsi="仿宋" w:eastAsia="仿宋"/>
          <w:b/>
          <w:color w:val="000000" w:themeColor="text1"/>
          <w:sz w:val="24"/>
          <w:szCs w:val="24"/>
          <w:u w:val="single"/>
          <w14:textFill>
            <w14:solidFill>
              <w14:schemeClr w14:val="tx1"/>
            </w14:solidFill>
          </w14:textFill>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989"/>
        <w:gridCol w:w="708"/>
        <w:gridCol w:w="1134"/>
      </w:tblGrid>
      <w:tr w14:paraId="73C19C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14:paraId="62AA87A9">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货物类</w:t>
            </w:r>
          </w:p>
        </w:tc>
      </w:tr>
      <w:tr w14:paraId="003DD2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14:paraId="657ABC53">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w:t>
            </w:r>
          </w:p>
          <w:p w14:paraId="599B9727">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名称</w:t>
            </w:r>
          </w:p>
        </w:tc>
        <w:tc>
          <w:tcPr>
            <w:tcW w:w="672" w:type="dxa"/>
            <w:vMerge w:val="restart"/>
            <w:tcBorders>
              <w:top w:val="single" w:color="auto" w:sz="4" w:space="0"/>
              <w:left w:val="single" w:color="auto" w:sz="4" w:space="0"/>
              <w:bottom w:val="nil"/>
              <w:right w:val="single" w:color="auto" w:sz="4" w:space="0"/>
            </w:tcBorders>
            <w:vAlign w:val="center"/>
          </w:tcPr>
          <w:p w14:paraId="38B44AA2">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品牌</w:t>
            </w:r>
          </w:p>
        </w:tc>
        <w:tc>
          <w:tcPr>
            <w:tcW w:w="852" w:type="dxa"/>
            <w:vMerge w:val="restart"/>
            <w:tcBorders>
              <w:top w:val="single" w:color="auto" w:sz="4" w:space="0"/>
              <w:left w:val="single" w:color="auto" w:sz="4" w:space="0"/>
              <w:bottom w:val="nil"/>
              <w:right w:val="single" w:color="auto" w:sz="4" w:space="0"/>
            </w:tcBorders>
            <w:vAlign w:val="center"/>
          </w:tcPr>
          <w:p w14:paraId="5A99EDB6">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产地</w:t>
            </w:r>
          </w:p>
        </w:tc>
        <w:tc>
          <w:tcPr>
            <w:tcW w:w="1029" w:type="dxa"/>
            <w:vMerge w:val="restart"/>
            <w:tcBorders>
              <w:top w:val="single" w:color="auto" w:sz="4" w:space="0"/>
              <w:left w:val="single" w:color="auto" w:sz="4" w:space="0"/>
              <w:bottom w:val="nil"/>
              <w:right w:val="single" w:color="auto" w:sz="4" w:space="0"/>
            </w:tcBorders>
            <w:vAlign w:val="center"/>
          </w:tcPr>
          <w:p w14:paraId="4B8EAB1A">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规格</w:t>
            </w:r>
          </w:p>
          <w:p w14:paraId="09E73936">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型号</w:t>
            </w:r>
          </w:p>
        </w:tc>
        <w:tc>
          <w:tcPr>
            <w:tcW w:w="957" w:type="dxa"/>
            <w:vMerge w:val="restart"/>
            <w:tcBorders>
              <w:top w:val="single" w:color="auto" w:sz="4" w:space="0"/>
              <w:left w:val="single" w:color="auto" w:sz="4" w:space="0"/>
              <w:bottom w:val="nil"/>
              <w:right w:val="single" w:color="auto" w:sz="4" w:space="0"/>
            </w:tcBorders>
            <w:vAlign w:val="center"/>
          </w:tcPr>
          <w:p w14:paraId="62CC8E11">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数量</w:t>
            </w:r>
          </w:p>
        </w:tc>
        <w:tc>
          <w:tcPr>
            <w:tcW w:w="852" w:type="dxa"/>
            <w:vMerge w:val="restart"/>
            <w:tcBorders>
              <w:top w:val="single" w:color="auto" w:sz="4" w:space="0"/>
              <w:left w:val="single" w:color="auto" w:sz="4" w:space="0"/>
              <w:bottom w:val="nil"/>
              <w:right w:val="single" w:color="auto" w:sz="4" w:space="0"/>
            </w:tcBorders>
            <w:vAlign w:val="center"/>
          </w:tcPr>
          <w:p w14:paraId="3BBBBC24">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14:paraId="348ACB54">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891" w:type="dxa"/>
            <w:vMerge w:val="restart"/>
            <w:tcBorders>
              <w:top w:val="single" w:color="auto" w:sz="4" w:space="0"/>
              <w:left w:val="single" w:color="auto" w:sz="4" w:space="0"/>
              <w:bottom w:val="nil"/>
              <w:right w:val="single" w:color="auto" w:sz="4" w:space="0"/>
            </w:tcBorders>
            <w:vAlign w:val="center"/>
          </w:tcPr>
          <w:p w14:paraId="16EB0743">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14:paraId="22896B79">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制造商情况</w:t>
            </w:r>
          </w:p>
        </w:tc>
      </w:tr>
      <w:tr w14:paraId="39AA3B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14:paraId="612E8342">
            <w:pPr>
              <w:widowControl/>
              <w:jc w:val="left"/>
              <w:rPr>
                <w:rFonts w:ascii="仿宋" w:hAnsi="仿宋" w:eastAsia="仿宋"/>
                <w:b/>
                <w:color w:val="000000" w:themeColor="text1"/>
                <w:sz w:val="24"/>
                <w:szCs w:val="24"/>
                <w14:textFill>
                  <w14:solidFill>
                    <w14:schemeClr w14:val="tx1"/>
                  </w14:solidFill>
                </w14:textFill>
              </w:rPr>
            </w:pPr>
          </w:p>
        </w:tc>
        <w:tc>
          <w:tcPr>
            <w:tcW w:w="672" w:type="dxa"/>
            <w:vMerge w:val="continue"/>
            <w:tcBorders>
              <w:top w:val="single" w:color="auto" w:sz="4" w:space="0"/>
              <w:left w:val="single" w:color="auto" w:sz="4" w:space="0"/>
              <w:bottom w:val="nil"/>
              <w:right w:val="single" w:color="auto" w:sz="4" w:space="0"/>
            </w:tcBorders>
            <w:vAlign w:val="center"/>
          </w:tcPr>
          <w:p w14:paraId="1033D812">
            <w:pPr>
              <w:widowControl/>
              <w:jc w:val="left"/>
              <w:rPr>
                <w:rFonts w:ascii="仿宋" w:hAnsi="仿宋" w:eastAsia="仿宋"/>
                <w:b/>
                <w:color w:val="000000" w:themeColor="text1"/>
                <w:sz w:val="24"/>
                <w:szCs w:val="24"/>
                <w14:textFill>
                  <w14:solidFill>
                    <w14:schemeClr w14:val="tx1"/>
                  </w14:solidFill>
                </w14:textFill>
              </w:rPr>
            </w:pPr>
          </w:p>
        </w:tc>
        <w:tc>
          <w:tcPr>
            <w:tcW w:w="852" w:type="dxa"/>
            <w:vMerge w:val="continue"/>
            <w:tcBorders>
              <w:top w:val="single" w:color="auto" w:sz="4" w:space="0"/>
              <w:left w:val="single" w:color="auto" w:sz="4" w:space="0"/>
              <w:bottom w:val="nil"/>
              <w:right w:val="single" w:color="auto" w:sz="4" w:space="0"/>
            </w:tcBorders>
            <w:vAlign w:val="center"/>
          </w:tcPr>
          <w:p w14:paraId="671633B1">
            <w:pPr>
              <w:widowControl/>
              <w:jc w:val="left"/>
              <w:rPr>
                <w:rFonts w:ascii="仿宋" w:hAnsi="仿宋" w:eastAsia="仿宋"/>
                <w:b/>
                <w:color w:val="000000" w:themeColor="text1"/>
                <w:sz w:val="24"/>
                <w:szCs w:val="24"/>
                <w14:textFill>
                  <w14:solidFill>
                    <w14:schemeClr w14:val="tx1"/>
                  </w14:solidFill>
                </w14:textFill>
              </w:rPr>
            </w:pPr>
          </w:p>
        </w:tc>
        <w:tc>
          <w:tcPr>
            <w:tcW w:w="1029" w:type="dxa"/>
            <w:vMerge w:val="continue"/>
            <w:tcBorders>
              <w:top w:val="single" w:color="auto" w:sz="4" w:space="0"/>
              <w:left w:val="single" w:color="auto" w:sz="4" w:space="0"/>
              <w:bottom w:val="nil"/>
              <w:right w:val="single" w:color="auto" w:sz="4" w:space="0"/>
            </w:tcBorders>
            <w:vAlign w:val="center"/>
          </w:tcPr>
          <w:p w14:paraId="7C24B10A">
            <w:pPr>
              <w:widowControl/>
              <w:jc w:val="left"/>
              <w:rPr>
                <w:rFonts w:ascii="仿宋" w:hAnsi="仿宋" w:eastAsia="仿宋"/>
                <w:b/>
                <w:color w:val="000000" w:themeColor="text1"/>
                <w:sz w:val="24"/>
                <w:szCs w:val="24"/>
                <w14:textFill>
                  <w14:solidFill>
                    <w14:schemeClr w14:val="tx1"/>
                  </w14:solidFill>
                </w14:textFill>
              </w:rPr>
            </w:pPr>
          </w:p>
        </w:tc>
        <w:tc>
          <w:tcPr>
            <w:tcW w:w="957" w:type="dxa"/>
            <w:vMerge w:val="continue"/>
            <w:tcBorders>
              <w:top w:val="single" w:color="auto" w:sz="4" w:space="0"/>
              <w:left w:val="single" w:color="auto" w:sz="4" w:space="0"/>
              <w:bottom w:val="nil"/>
              <w:right w:val="single" w:color="auto" w:sz="4" w:space="0"/>
            </w:tcBorders>
            <w:vAlign w:val="center"/>
          </w:tcPr>
          <w:p w14:paraId="2C5A34B1">
            <w:pPr>
              <w:widowControl/>
              <w:jc w:val="left"/>
              <w:rPr>
                <w:rFonts w:ascii="仿宋" w:hAnsi="仿宋" w:eastAsia="仿宋"/>
                <w:b/>
                <w:color w:val="000000" w:themeColor="text1"/>
                <w:sz w:val="24"/>
                <w:szCs w:val="24"/>
                <w14:textFill>
                  <w14:solidFill>
                    <w14:schemeClr w14:val="tx1"/>
                  </w14:solidFill>
                </w14:textFill>
              </w:rPr>
            </w:pPr>
          </w:p>
        </w:tc>
        <w:tc>
          <w:tcPr>
            <w:tcW w:w="852" w:type="dxa"/>
            <w:vMerge w:val="continue"/>
            <w:tcBorders>
              <w:top w:val="single" w:color="auto" w:sz="4" w:space="0"/>
              <w:left w:val="single" w:color="auto" w:sz="4" w:space="0"/>
              <w:bottom w:val="nil"/>
              <w:right w:val="single" w:color="auto" w:sz="4" w:space="0"/>
            </w:tcBorders>
            <w:vAlign w:val="center"/>
          </w:tcPr>
          <w:p w14:paraId="005477F6">
            <w:pPr>
              <w:widowControl/>
              <w:jc w:val="left"/>
              <w:rPr>
                <w:rFonts w:ascii="仿宋" w:hAnsi="仿宋" w:eastAsia="仿宋"/>
                <w:b/>
                <w:color w:val="000000" w:themeColor="text1"/>
                <w:sz w:val="24"/>
                <w:szCs w:val="24"/>
                <w14:textFill>
                  <w14:solidFill>
                    <w14:schemeClr w14:val="tx1"/>
                  </w14:solidFill>
                </w14:textFill>
              </w:rPr>
            </w:pPr>
          </w:p>
        </w:tc>
        <w:tc>
          <w:tcPr>
            <w:tcW w:w="891" w:type="dxa"/>
            <w:vMerge w:val="continue"/>
            <w:tcBorders>
              <w:top w:val="single" w:color="auto" w:sz="4" w:space="0"/>
              <w:left w:val="single" w:color="auto" w:sz="4" w:space="0"/>
              <w:bottom w:val="nil"/>
              <w:right w:val="single" w:color="auto" w:sz="4" w:space="0"/>
            </w:tcBorders>
            <w:vAlign w:val="center"/>
          </w:tcPr>
          <w:p w14:paraId="651B01A0">
            <w:pPr>
              <w:widowControl/>
              <w:jc w:val="left"/>
              <w:rPr>
                <w:rFonts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nil"/>
              <w:right w:val="single" w:color="auto" w:sz="4" w:space="0"/>
            </w:tcBorders>
            <w:vAlign w:val="center"/>
          </w:tcPr>
          <w:p w14:paraId="0C69DEB2">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是否中小企业</w:t>
            </w:r>
          </w:p>
        </w:tc>
        <w:tc>
          <w:tcPr>
            <w:tcW w:w="708" w:type="dxa"/>
            <w:tcBorders>
              <w:top w:val="single" w:color="auto" w:sz="4" w:space="0"/>
              <w:left w:val="single" w:color="auto" w:sz="4" w:space="0"/>
              <w:bottom w:val="nil"/>
              <w:right w:val="single" w:color="auto" w:sz="4" w:space="0"/>
            </w:tcBorders>
            <w:vAlign w:val="center"/>
          </w:tcPr>
          <w:p w14:paraId="06A51F1F">
            <w:pPr>
              <w:snapToGrid w:val="0"/>
              <w:spacing w:line="40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企业全称</w:t>
            </w:r>
          </w:p>
        </w:tc>
        <w:tc>
          <w:tcPr>
            <w:tcW w:w="1134" w:type="dxa"/>
            <w:tcBorders>
              <w:top w:val="single" w:color="auto" w:sz="4" w:space="0"/>
              <w:left w:val="single" w:color="auto" w:sz="4" w:space="0"/>
              <w:bottom w:val="nil"/>
              <w:right w:val="single" w:color="auto" w:sz="4" w:space="0"/>
            </w:tcBorders>
            <w:vAlign w:val="center"/>
          </w:tcPr>
          <w:p w14:paraId="4BC7A9FB">
            <w:pPr>
              <w:snapToGrid w:val="0"/>
              <w:spacing w:line="40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中小企业商号或注册商标</w:t>
            </w:r>
          </w:p>
        </w:tc>
      </w:tr>
      <w:tr w14:paraId="7E1A4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14:paraId="79423BBB">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672" w:type="dxa"/>
            <w:tcBorders>
              <w:top w:val="single" w:color="auto" w:sz="4" w:space="0"/>
              <w:left w:val="single" w:color="auto" w:sz="4" w:space="0"/>
              <w:bottom w:val="single" w:color="auto" w:sz="4" w:space="0"/>
              <w:right w:val="single" w:color="auto" w:sz="4" w:space="0"/>
            </w:tcBorders>
            <w:vAlign w:val="center"/>
          </w:tcPr>
          <w:p w14:paraId="5404EF5B">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14:paraId="580A572F">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029" w:type="dxa"/>
            <w:tcBorders>
              <w:top w:val="single" w:color="auto" w:sz="4" w:space="0"/>
              <w:left w:val="single" w:color="auto" w:sz="4" w:space="0"/>
              <w:bottom w:val="single" w:color="auto" w:sz="4" w:space="0"/>
              <w:right w:val="single" w:color="auto" w:sz="4" w:space="0"/>
            </w:tcBorders>
            <w:vAlign w:val="center"/>
          </w:tcPr>
          <w:p w14:paraId="2FBCC4C9">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vAlign w:val="center"/>
          </w:tcPr>
          <w:p w14:paraId="5E75670B">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14:paraId="736723B8">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91" w:type="dxa"/>
            <w:tcBorders>
              <w:top w:val="single" w:color="auto" w:sz="4" w:space="0"/>
              <w:left w:val="single" w:color="auto" w:sz="4" w:space="0"/>
              <w:bottom w:val="single" w:color="auto" w:sz="4" w:space="0"/>
              <w:right w:val="single" w:color="auto" w:sz="4" w:space="0"/>
            </w:tcBorders>
            <w:vAlign w:val="center"/>
          </w:tcPr>
          <w:p w14:paraId="1D77FF88">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vAlign w:val="center"/>
          </w:tcPr>
          <w:p w14:paraId="06B19095">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14:paraId="7A43430F">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5E3B66C5">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127AB7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14:paraId="27B01EBF">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p>
        </w:tc>
      </w:tr>
      <w:tr w14:paraId="3A9D9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1DFCC6B6">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10"/>
            <w:tcBorders>
              <w:top w:val="single" w:color="auto" w:sz="4" w:space="0"/>
              <w:left w:val="single" w:color="auto" w:sz="4" w:space="0"/>
              <w:bottom w:val="single" w:color="auto" w:sz="4" w:space="0"/>
              <w:right w:val="single" w:color="auto" w:sz="4" w:space="0"/>
            </w:tcBorders>
            <w:vAlign w:val="center"/>
          </w:tcPr>
          <w:p w14:paraId="50712123">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5BED6139">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6F936B5B">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153E7CEE">
            <w:pPr>
              <w:snapToGrid w:val="0"/>
              <w:rPr>
                <w:rFonts w:ascii="仿宋" w:hAnsi="仿宋" w:eastAsia="仿宋"/>
                <w:b/>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185B1F17">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261C6EB2">
      <w:pPr>
        <w:snapToGrid w:val="0"/>
        <w:spacing w:line="400" w:lineRule="exact"/>
        <w:jc w:val="left"/>
        <w:rPr>
          <w:rFonts w:ascii="仿宋" w:hAnsi="仿宋" w:eastAsia="仿宋"/>
          <w:color w:val="000000" w:themeColor="text1"/>
          <w:sz w:val="24"/>
          <w:szCs w:val="24"/>
          <w14:textFill>
            <w14:solidFill>
              <w14:schemeClr w14:val="tx1"/>
            </w14:solidFill>
          </w14:textFill>
        </w:rPr>
      </w:pPr>
    </w:p>
    <w:p w14:paraId="7D748FDF">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48D9D53E">
      <w:pPr>
        <w:snapToGrid w:val="0"/>
        <w:spacing w:line="360" w:lineRule="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4E266472">
      <w:pPr>
        <w:pStyle w:val="31"/>
        <w:snapToGrid w:val="0"/>
        <w:spacing w:before="156" w:after="156" w:line="240" w:lineRule="auto"/>
        <w:ind w:firstLine="1084" w:firstLineChars="300"/>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4F859960">
      <w:pPr>
        <w:pStyle w:val="31"/>
        <w:snapToGrid w:val="0"/>
        <w:spacing w:before="156" w:after="156"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2209ABD3">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635AA34E">
      <w:pPr>
        <w:snapToGrid w:val="0"/>
        <w:rPr>
          <w:rFonts w:ascii="仿宋" w:hAnsi="仿宋" w:eastAsia="仿宋"/>
          <w:color w:val="000000" w:themeColor="text1"/>
          <w:sz w:val="28"/>
          <w:szCs w:val="28"/>
          <w14:textFill>
            <w14:solidFill>
              <w14:schemeClr w14:val="tx1"/>
            </w14:solidFill>
          </w14:textFill>
        </w:rPr>
      </w:pPr>
    </w:p>
    <w:p w14:paraId="6FD533C4">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3A7C6BB9">
      <w:pPr>
        <w:snapToGrid w:val="0"/>
        <w:spacing w:line="360" w:lineRule="auto"/>
        <w:rPr>
          <w:rFonts w:ascii="仿宋" w:hAnsi="仿宋" w:eastAsia="仿宋"/>
          <w:color w:val="000000" w:themeColor="text1"/>
          <w:sz w:val="30"/>
          <w:szCs w:val="30"/>
          <w14:textFill>
            <w14:solidFill>
              <w14:schemeClr w14:val="tx1"/>
            </w14:solidFill>
          </w14:textFill>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957"/>
        <w:gridCol w:w="852"/>
        <w:gridCol w:w="891"/>
        <w:gridCol w:w="989"/>
        <w:gridCol w:w="708"/>
        <w:gridCol w:w="1134"/>
      </w:tblGrid>
      <w:tr w14:paraId="788F81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14:paraId="07FB651F">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服务类</w:t>
            </w:r>
          </w:p>
        </w:tc>
      </w:tr>
      <w:tr w14:paraId="7DAC94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vAlign w:val="center"/>
          </w:tcPr>
          <w:p w14:paraId="6834ED06">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服务内容</w:t>
            </w:r>
          </w:p>
        </w:tc>
        <w:tc>
          <w:tcPr>
            <w:tcW w:w="1845" w:type="dxa"/>
            <w:vMerge w:val="restart"/>
            <w:tcBorders>
              <w:top w:val="single" w:color="auto" w:sz="4" w:space="0"/>
              <w:left w:val="single" w:color="auto" w:sz="4" w:space="0"/>
              <w:bottom w:val="nil"/>
              <w:right w:val="single" w:color="auto" w:sz="4" w:space="0"/>
            </w:tcBorders>
            <w:vAlign w:val="center"/>
          </w:tcPr>
          <w:p w14:paraId="444CFD20">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服务人员数量</w:t>
            </w:r>
          </w:p>
        </w:tc>
        <w:tc>
          <w:tcPr>
            <w:tcW w:w="957" w:type="dxa"/>
            <w:vMerge w:val="restart"/>
            <w:tcBorders>
              <w:top w:val="single" w:color="auto" w:sz="4" w:space="0"/>
              <w:left w:val="single" w:color="auto" w:sz="4" w:space="0"/>
              <w:bottom w:val="nil"/>
              <w:right w:val="single" w:color="auto" w:sz="4" w:space="0"/>
            </w:tcBorders>
            <w:vAlign w:val="center"/>
          </w:tcPr>
          <w:p w14:paraId="45951C88">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工作量</w:t>
            </w:r>
          </w:p>
        </w:tc>
        <w:tc>
          <w:tcPr>
            <w:tcW w:w="852" w:type="dxa"/>
            <w:vMerge w:val="restart"/>
            <w:tcBorders>
              <w:top w:val="single" w:color="auto" w:sz="4" w:space="0"/>
              <w:left w:val="single" w:color="auto" w:sz="4" w:space="0"/>
              <w:bottom w:val="nil"/>
              <w:right w:val="single" w:color="auto" w:sz="4" w:space="0"/>
            </w:tcBorders>
            <w:vAlign w:val="center"/>
          </w:tcPr>
          <w:p w14:paraId="5C2CF422">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14:paraId="72DB1DDF">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891" w:type="dxa"/>
            <w:vMerge w:val="restart"/>
            <w:tcBorders>
              <w:top w:val="single" w:color="auto" w:sz="4" w:space="0"/>
              <w:left w:val="single" w:color="auto" w:sz="4" w:space="0"/>
              <w:bottom w:val="nil"/>
              <w:right w:val="single" w:color="auto" w:sz="4" w:space="0"/>
            </w:tcBorders>
            <w:vAlign w:val="center"/>
          </w:tcPr>
          <w:p w14:paraId="686939E5">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14:paraId="36F92FA5">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承接服务的企业情况</w:t>
            </w:r>
          </w:p>
        </w:tc>
      </w:tr>
      <w:tr w14:paraId="05FBC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804" w:type="dxa"/>
            <w:gridSpan w:val="2"/>
            <w:vMerge w:val="continue"/>
            <w:tcBorders>
              <w:top w:val="single" w:color="auto" w:sz="4" w:space="0"/>
              <w:left w:val="single" w:color="auto" w:sz="4" w:space="0"/>
              <w:bottom w:val="nil"/>
              <w:right w:val="single" w:color="auto" w:sz="4" w:space="0"/>
            </w:tcBorders>
            <w:vAlign w:val="center"/>
          </w:tcPr>
          <w:p w14:paraId="20E05ED1">
            <w:pPr>
              <w:widowControl/>
              <w:jc w:val="left"/>
              <w:rPr>
                <w:rFonts w:ascii="仿宋" w:hAnsi="仿宋" w:eastAsia="仿宋"/>
                <w:b/>
                <w:color w:val="000000" w:themeColor="text1"/>
                <w:sz w:val="24"/>
                <w:szCs w:val="24"/>
                <w14:textFill>
                  <w14:solidFill>
                    <w14:schemeClr w14:val="tx1"/>
                  </w14:solidFill>
                </w14:textFill>
              </w:rPr>
            </w:pPr>
          </w:p>
        </w:tc>
        <w:tc>
          <w:tcPr>
            <w:tcW w:w="1845" w:type="dxa"/>
            <w:vMerge w:val="continue"/>
            <w:tcBorders>
              <w:top w:val="single" w:color="auto" w:sz="4" w:space="0"/>
              <w:left w:val="single" w:color="auto" w:sz="4" w:space="0"/>
              <w:bottom w:val="nil"/>
              <w:right w:val="single" w:color="auto" w:sz="4" w:space="0"/>
            </w:tcBorders>
            <w:vAlign w:val="center"/>
          </w:tcPr>
          <w:p w14:paraId="14FE8E86">
            <w:pPr>
              <w:widowControl/>
              <w:jc w:val="left"/>
              <w:rPr>
                <w:rFonts w:ascii="仿宋" w:hAnsi="仿宋" w:eastAsia="仿宋"/>
                <w:b/>
                <w:color w:val="000000" w:themeColor="text1"/>
                <w:sz w:val="24"/>
                <w:szCs w:val="24"/>
                <w14:textFill>
                  <w14:solidFill>
                    <w14:schemeClr w14:val="tx1"/>
                  </w14:solidFill>
                </w14:textFill>
              </w:rPr>
            </w:pPr>
          </w:p>
        </w:tc>
        <w:tc>
          <w:tcPr>
            <w:tcW w:w="957" w:type="dxa"/>
            <w:vMerge w:val="continue"/>
            <w:tcBorders>
              <w:top w:val="single" w:color="auto" w:sz="4" w:space="0"/>
              <w:left w:val="single" w:color="auto" w:sz="4" w:space="0"/>
              <w:bottom w:val="nil"/>
              <w:right w:val="single" w:color="auto" w:sz="4" w:space="0"/>
            </w:tcBorders>
            <w:vAlign w:val="center"/>
          </w:tcPr>
          <w:p w14:paraId="2D797E61">
            <w:pPr>
              <w:widowControl/>
              <w:jc w:val="left"/>
              <w:rPr>
                <w:rFonts w:ascii="仿宋" w:hAnsi="仿宋" w:eastAsia="仿宋"/>
                <w:b/>
                <w:color w:val="000000" w:themeColor="text1"/>
                <w:sz w:val="24"/>
                <w:szCs w:val="24"/>
                <w14:textFill>
                  <w14:solidFill>
                    <w14:schemeClr w14:val="tx1"/>
                  </w14:solidFill>
                </w14:textFill>
              </w:rPr>
            </w:pPr>
          </w:p>
        </w:tc>
        <w:tc>
          <w:tcPr>
            <w:tcW w:w="852" w:type="dxa"/>
            <w:vMerge w:val="continue"/>
            <w:tcBorders>
              <w:top w:val="single" w:color="auto" w:sz="4" w:space="0"/>
              <w:left w:val="single" w:color="auto" w:sz="4" w:space="0"/>
              <w:bottom w:val="nil"/>
              <w:right w:val="single" w:color="auto" w:sz="4" w:space="0"/>
            </w:tcBorders>
            <w:vAlign w:val="center"/>
          </w:tcPr>
          <w:p w14:paraId="003058E1">
            <w:pPr>
              <w:widowControl/>
              <w:jc w:val="left"/>
              <w:rPr>
                <w:rFonts w:ascii="仿宋" w:hAnsi="仿宋" w:eastAsia="仿宋"/>
                <w:b/>
                <w:color w:val="000000" w:themeColor="text1"/>
                <w:sz w:val="24"/>
                <w:szCs w:val="24"/>
                <w14:textFill>
                  <w14:solidFill>
                    <w14:schemeClr w14:val="tx1"/>
                  </w14:solidFill>
                </w14:textFill>
              </w:rPr>
            </w:pPr>
          </w:p>
        </w:tc>
        <w:tc>
          <w:tcPr>
            <w:tcW w:w="891" w:type="dxa"/>
            <w:vMerge w:val="continue"/>
            <w:tcBorders>
              <w:top w:val="single" w:color="auto" w:sz="4" w:space="0"/>
              <w:left w:val="single" w:color="auto" w:sz="4" w:space="0"/>
              <w:bottom w:val="nil"/>
              <w:right w:val="single" w:color="auto" w:sz="4" w:space="0"/>
            </w:tcBorders>
            <w:vAlign w:val="center"/>
          </w:tcPr>
          <w:p w14:paraId="60117016">
            <w:pPr>
              <w:widowControl/>
              <w:jc w:val="left"/>
              <w:rPr>
                <w:rFonts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nil"/>
              <w:right w:val="single" w:color="auto" w:sz="4" w:space="0"/>
            </w:tcBorders>
            <w:vAlign w:val="center"/>
          </w:tcPr>
          <w:p w14:paraId="18525159">
            <w:pPr>
              <w:snapToGrid w:val="0"/>
              <w:spacing w:line="40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是否中小企业承接</w:t>
            </w:r>
          </w:p>
        </w:tc>
        <w:tc>
          <w:tcPr>
            <w:tcW w:w="708" w:type="dxa"/>
            <w:tcBorders>
              <w:top w:val="single" w:color="auto" w:sz="4" w:space="0"/>
              <w:left w:val="single" w:color="auto" w:sz="4" w:space="0"/>
              <w:bottom w:val="nil"/>
              <w:right w:val="single" w:color="auto" w:sz="4" w:space="0"/>
            </w:tcBorders>
            <w:vAlign w:val="center"/>
          </w:tcPr>
          <w:p w14:paraId="7DE0A5FD">
            <w:pPr>
              <w:snapToGrid w:val="0"/>
              <w:spacing w:line="40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企业全称</w:t>
            </w:r>
          </w:p>
        </w:tc>
        <w:tc>
          <w:tcPr>
            <w:tcW w:w="1134" w:type="dxa"/>
            <w:tcBorders>
              <w:top w:val="single" w:color="auto" w:sz="4" w:space="0"/>
              <w:left w:val="single" w:color="auto" w:sz="4" w:space="0"/>
              <w:bottom w:val="nil"/>
              <w:right w:val="single" w:color="auto" w:sz="4" w:space="0"/>
            </w:tcBorders>
            <w:vAlign w:val="center"/>
          </w:tcPr>
          <w:p w14:paraId="077A7C8D">
            <w:pPr>
              <w:snapToGrid w:val="0"/>
              <w:spacing w:line="400" w:lineRule="exact"/>
              <w:jc w:val="center"/>
              <w:rPr>
                <w:rFonts w:ascii="仿宋" w:hAnsi="仿宋" w:eastAsia="仿宋"/>
                <w:b/>
                <w:color w:val="000000" w:themeColor="text1"/>
                <w:sz w:val="13"/>
                <w:szCs w:val="13"/>
                <w14:textFill>
                  <w14:solidFill>
                    <w14:schemeClr w14:val="tx1"/>
                  </w14:solidFill>
                </w14:textFill>
              </w:rPr>
            </w:pPr>
            <w:r>
              <w:rPr>
                <w:rFonts w:hint="eastAsia" w:ascii="仿宋" w:hAnsi="仿宋" w:eastAsia="仿宋"/>
                <w:b/>
                <w:color w:val="000000" w:themeColor="text1"/>
                <w:sz w:val="13"/>
                <w:szCs w:val="13"/>
                <w14:textFill>
                  <w14:solidFill>
                    <w14:schemeClr w14:val="tx1"/>
                  </w14:solidFill>
                </w14:textFill>
              </w:rPr>
              <w:t>服务人员是否依照《中华人民共和国劳动合同法》订立劳动合同</w:t>
            </w:r>
          </w:p>
        </w:tc>
      </w:tr>
      <w:tr w14:paraId="37C236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14:paraId="644B7C08">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845" w:type="dxa"/>
            <w:tcBorders>
              <w:top w:val="single" w:color="auto" w:sz="4" w:space="0"/>
              <w:left w:val="single" w:color="auto" w:sz="4" w:space="0"/>
              <w:bottom w:val="single" w:color="auto" w:sz="4" w:space="0"/>
              <w:right w:val="single" w:color="auto" w:sz="4" w:space="0"/>
            </w:tcBorders>
            <w:vAlign w:val="center"/>
          </w:tcPr>
          <w:p w14:paraId="7981425A">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vAlign w:val="center"/>
          </w:tcPr>
          <w:p w14:paraId="71906537">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14:paraId="41A5E63F">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91" w:type="dxa"/>
            <w:tcBorders>
              <w:top w:val="single" w:color="auto" w:sz="4" w:space="0"/>
              <w:left w:val="single" w:color="auto" w:sz="4" w:space="0"/>
              <w:bottom w:val="single" w:color="auto" w:sz="4" w:space="0"/>
              <w:right w:val="single" w:color="auto" w:sz="4" w:space="0"/>
            </w:tcBorders>
            <w:vAlign w:val="center"/>
          </w:tcPr>
          <w:p w14:paraId="012E2A92">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vAlign w:val="center"/>
          </w:tcPr>
          <w:p w14:paraId="06506580">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14:paraId="5DEFBF99">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29EF0A61">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113B00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14:paraId="5EB82057">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p>
        </w:tc>
      </w:tr>
      <w:tr w14:paraId="4554B9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464F1514">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8"/>
            <w:tcBorders>
              <w:top w:val="single" w:color="auto" w:sz="4" w:space="0"/>
              <w:left w:val="single" w:color="auto" w:sz="4" w:space="0"/>
              <w:bottom w:val="single" w:color="auto" w:sz="4" w:space="0"/>
              <w:right w:val="single" w:color="auto" w:sz="4" w:space="0"/>
            </w:tcBorders>
            <w:vAlign w:val="center"/>
          </w:tcPr>
          <w:p w14:paraId="75725312">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55816DAE">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2B70BE75">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442F0CEC">
            <w:pPr>
              <w:snapToGrid w:val="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292419F6">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48D1AAF0">
      <w:pPr>
        <w:snapToGrid w:val="0"/>
        <w:spacing w:line="360" w:lineRule="auto"/>
        <w:rPr>
          <w:rFonts w:ascii="仿宋" w:hAnsi="仿宋" w:eastAsia="仿宋"/>
          <w:color w:val="000000" w:themeColor="text1"/>
          <w:sz w:val="30"/>
          <w:szCs w:val="30"/>
          <w14:textFill>
            <w14:solidFill>
              <w14:schemeClr w14:val="tx1"/>
            </w14:solidFill>
          </w14:textFill>
        </w:rPr>
      </w:pPr>
    </w:p>
    <w:p w14:paraId="1847A97F">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3DED5686">
      <w:pPr>
        <w:snapToGrid w:val="0"/>
        <w:spacing w:line="360" w:lineRule="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735E48C9">
      <w:pPr>
        <w:pStyle w:val="31"/>
        <w:snapToGrid w:val="0"/>
        <w:spacing w:before="156" w:after="156" w:line="240" w:lineRule="auto"/>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52CB21C0">
      <w:pPr>
        <w:pStyle w:val="31"/>
        <w:snapToGrid w:val="0"/>
        <w:spacing w:before="156" w:after="156"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5607FC9C">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1F244FE3">
      <w:pPr>
        <w:snapToGrid w:val="0"/>
        <w:rPr>
          <w:rFonts w:ascii="仿宋" w:hAnsi="仿宋" w:eastAsia="仿宋"/>
          <w:color w:val="000000" w:themeColor="text1"/>
          <w:sz w:val="28"/>
          <w:szCs w:val="28"/>
          <w14:textFill>
            <w14:solidFill>
              <w14:schemeClr w14:val="tx1"/>
            </w14:solidFill>
          </w14:textFill>
        </w:rPr>
      </w:pPr>
    </w:p>
    <w:p w14:paraId="63C6F500">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22776EE5">
      <w:pPr>
        <w:snapToGrid w:val="0"/>
        <w:rPr>
          <w:rFonts w:ascii="仿宋" w:hAnsi="仿宋" w:eastAsia="仿宋"/>
          <w:b/>
          <w:color w:val="000000" w:themeColor="text1"/>
          <w:sz w:val="24"/>
          <w:szCs w:val="24"/>
          <w:u w:val="single"/>
          <w14:textFill>
            <w14:solidFill>
              <w14:schemeClr w14:val="tx1"/>
            </w14:solidFill>
          </w14:textFill>
        </w:rPr>
      </w:pPr>
    </w:p>
    <w:tbl>
      <w:tblPr>
        <w:tblStyle w:val="59"/>
        <w:tblW w:w="90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2"/>
        <w:gridCol w:w="563"/>
        <w:gridCol w:w="998"/>
        <w:gridCol w:w="993"/>
        <w:gridCol w:w="993"/>
        <w:gridCol w:w="851"/>
        <w:gridCol w:w="1422"/>
        <w:gridCol w:w="1278"/>
        <w:gridCol w:w="1420"/>
      </w:tblGrid>
      <w:tr w14:paraId="0C830C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50" w:type="dxa"/>
            <w:gridSpan w:val="9"/>
            <w:tcBorders>
              <w:top w:val="single" w:color="auto" w:sz="4" w:space="0"/>
              <w:left w:val="single" w:color="auto" w:sz="4" w:space="0"/>
              <w:bottom w:val="single" w:color="auto" w:sz="4" w:space="0"/>
              <w:right w:val="single" w:color="auto" w:sz="4" w:space="0"/>
            </w:tcBorders>
            <w:vAlign w:val="center"/>
          </w:tcPr>
          <w:p w14:paraId="408398F7">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工程类</w:t>
            </w:r>
          </w:p>
        </w:tc>
      </w:tr>
      <w:tr w14:paraId="5157FB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vMerge w:val="restart"/>
            <w:tcBorders>
              <w:top w:val="single" w:color="auto" w:sz="4" w:space="0"/>
              <w:left w:val="single" w:color="auto" w:sz="4" w:space="0"/>
              <w:bottom w:val="single" w:color="auto" w:sz="4" w:space="0"/>
              <w:right w:val="single" w:color="auto" w:sz="4" w:space="0"/>
            </w:tcBorders>
            <w:vAlign w:val="center"/>
          </w:tcPr>
          <w:p w14:paraId="77BC29F2">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工程项目名称</w:t>
            </w:r>
          </w:p>
        </w:tc>
        <w:tc>
          <w:tcPr>
            <w:tcW w:w="998" w:type="dxa"/>
            <w:vMerge w:val="restart"/>
            <w:tcBorders>
              <w:top w:val="single" w:color="auto" w:sz="4" w:space="0"/>
              <w:left w:val="single" w:color="auto" w:sz="4" w:space="0"/>
              <w:bottom w:val="single" w:color="auto" w:sz="4" w:space="0"/>
              <w:right w:val="single" w:color="auto" w:sz="4" w:space="0"/>
            </w:tcBorders>
            <w:vAlign w:val="center"/>
          </w:tcPr>
          <w:p w14:paraId="12CD91C6">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施工范围</w:t>
            </w:r>
          </w:p>
        </w:tc>
        <w:tc>
          <w:tcPr>
            <w:tcW w:w="993" w:type="dxa"/>
            <w:vMerge w:val="restart"/>
            <w:tcBorders>
              <w:top w:val="single" w:color="auto" w:sz="4" w:space="0"/>
              <w:left w:val="single" w:color="auto" w:sz="4" w:space="0"/>
              <w:bottom w:val="nil"/>
              <w:right w:val="single" w:color="auto" w:sz="4" w:space="0"/>
            </w:tcBorders>
            <w:vAlign w:val="center"/>
          </w:tcPr>
          <w:p w14:paraId="5768D59F">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具体内容</w:t>
            </w:r>
          </w:p>
        </w:tc>
        <w:tc>
          <w:tcPr>
            <w:tcW w:w="993" w:type="dxa"/>
            <w:vMerge w:val="restart"/>
            <w:tcBorders>
              <w:top w:val="single" w:color="auto" w:sz="4" w:space="0"/>
              <w:left w:val="single" w:color="auto" w:sz="4" w:space="0"/>
              <w:bottom w:val="nil"/>
              <w:right w:val="single" w:color="auto" w:sz="4" w:space="0"/>
            </w:tcBorders>
            <w:vAlign w:val="center"/>
          </w:tcPr>
          <w:p w14:paraId="7086E502">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施工工期</w:t>
            </w:r>
          </w:p>
        </w:tc>
        <w:tc>
          <w:tcPr>
            <w:tcW w:w="851" w:type="dxa"/>
            <w:vMerge w:val="restart"/>
            <w:tcBorders>
              <w:top w:val="single" w:color="auto" w:sz="4" w:space="0"/>
              <w:left w:val="single" w:color="auto" w:sz="4" w:space="0"/>
              <w:bottom w:val="nil"/>
              <w:right w:val="single" w:color="auto" w:sz="4" w:space="0"/>
            </w:tcBorders>
            <w:vAlign w:val="center"/>
          </w:tcPr>
          <w:p w14:paraId="30D7F7E7">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单价（元）</w:t>
            </w:r>
          </w:p>
        </w:tc>
        <w:tc>
          <w:tcPr>
            <w:tcW w:w="1422" w:type="dxa"/>
            <w:vMerge w:val="restart"/>
            <w:tcBorders>
              <w:top w:val="single" w:color="auto" w:sz="4" w:space="0"/>
              <w:left w:val="single" w:color="auto" w:sz="4" w:space="0"/>
              <w:bottom w:val="nil"/>
              <w:right w:val="single" w:color="auto" w:sz="4" w:space="0"/>
            </w:tcBorders>
            <w:vAlign w:val="center"/>
          </w:tcPr>
          <w:p w14:paraId="45656E7E">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698" w:type="dxa"/>
            <w:gridSpan w:val="2"/>
            <w:tcBorders>
              <w:top w:val="single" w:color="auto" w:sz="4" w:space="0"/>
              <w:left w:val="single" w:color="auto" w:sz="4" w:space="0"/>
              <w:bottom w:val="single" w:color="auto" w:sz="4" w:space="0"/>
              <w:right w:val="single" w:color="auto" w:sz="4" w:space="0"/>
            </w:tcBorders>
            <w:vAlign w:val="center"/>
          </w:tcPr>
          <w:p w14:paraId="12DB6337">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承建工程的企业情况</w:t>
            </w:r>
          </w:p>
        </w:tc>
      </w:tr>
      <w:tr w14:paraId="7B292C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vMerge w:val="continue"/>
            <w:tcBorders>
              <w:top w:val="single" w:color="auto" w:sz="4" w:space="0"/>
              <w:left w:val="single" w:color="auto" w:sz="4" w:space="0"/>
              <w:bottom w:val="single" w:color="auto" w:sz="4" w:space="0"/>
              <w:right w:val="single" w:color="auto" w:sz="4" w:space="0"/>
            </w:tcBorders>
            <w:vAlign w:val="center"/>
          </w:tcPr>
          <w:p w14:paraId="03116DBE">
            <w:pPr>
              <w:widowControl/>
              <w:jc w:val="left"/>
              <w:rPr>
                <w:rFonts w:ascii="仿宋" w:hAnsi="仿宋" w:eastAsia="仿宋"/>
                <w:b/>
                <w:color w:val="000000" w:themeColor="text1"/>
                <w:sz w:val="24"/>
                <w:szCs w:val="24"/>
                <w14:textFill>
                  <w14:solidFill>
                    <w14:schemeClr w14:val="tx1"/>
                  </w14:solidFill>
                </w14:textFill>
              </w:rPr>
            </w:pPr>
          </w:p>
        </w:tc>
        <w:tc>
          <w:tcPr>
            <w:tcW w:w="998" w:type="dxa"/>
            <w:vMerge w:val="continue"/>
            <w:tcBorders>
              <w:top w:val="single" w:color="auto" w:sz="4" w:space="0"/>
              <w:left w:val="single" w:color="auto" w:sz="4" w:space="0"/>
              <w:bottom w:val="single" w:color="auto" w:sz="4" w:space="0"/>
              <w:right w:val="single" w:color="auto" w:sz="4" w:space="0"/>
            </w:tcBorders>
            <w:vAlign w:val="center"/>
          </w:tcPr>
          <w:p w14:paraId="71803F2D">
            <w:pPr>
              <w:widowControl/>
              <w:jc w:val="left"/>
              <w:rPr>
                <w:rFonts w:ascii="仿宋" w:hAnsi="仿宋" w:eastAsia="仿宋"/>
                <w:b/>
                <w:color w:val="000000" w:themeColor="text1"/>
                <w:sz w:val="24"/>
                <w:szCs w:val="24"/>
                <w14:textFill>
                  <w14:solidFill>
                    <w14:schemeClr w14:val="tx1"/>
                  </w14:solidFill>
                </w14:textFill>
              </w:rPr>
            </w:pPr>
          </w:p>
        </w:tc>
        <w:tc>
          <w:tcPr>
            <w:tcW w:w="993" w:type="dxa"/>
            <w:vMerge w:val="continue"/>
            <w:tcBorders>
              <w:top w:val="single" w:color="auto" w:sz="4" w:space="0"/>
              <w:left w:val="single" w:color="auto" w:sz="4" w:space="0"/>
              <w:bottom w:val="nil"/>
              <w:right w:val="single" w:color="auto" w:sz="4" w:space="0"/>
            </w:tcBorders>
            <w:vAlign w:val="center"/>
          </w:tcPr>
          <w:p w14:paraId="54EEDF64">
            <w:pPr>
              <w:widowControl/>
              <w:jc w:val="left"/>
              <w:rPr>
                <w:rFonts w:ascii="仿宋" w:hAnsi="仿宋" w:eastAsia="仿宋"/>
                <w:b/>
                <w:color w:val="000000" w:themeColor="text1"/>
                <w:sz w:val="24"/>
                <w:szCs w:val="24"/>
                <w14:textFill>
                  <w14:solidFill>
                    <w14:schemeClr w14:val="tx1"/>
                  </w14:solidFill>
                </w14:textFill>
              </w:rPr>
            </w:pPr>
          </w:p>
        </w:tc>
        <w:tc>
          <w:tcPr>
            <w:tcW w:w="993" w:type="dxa"/>
            <w:vMerge w:val="continue"/>
            <w:tcBorders>
              <w:top w:val="single" w:color="auto" w:sz="4" w:space="0"/>
              <w:left w:val="single" w:color="auto" w:sz="4" w:space="0"/>
              <w:bottom w:val="nil"/>
              <w:right w:val="single" w:color="auto" w:sz="4" w:space="0"/>
            </w:tcBorders>
            <w:vAlign w:val="center"/>
          </w:tcPr>
          <w:p w14:paraId="737FB381">
            <w:pPr>
              <w:widowControl/>
              <w:jc w:val="left"/>
              <w:rPr>
                <w:rFonts w:ascii="仿宋" w:hAnsi="仿宋" w:eastAsia="仿宋"/>
                <w:b/>
                <w:color w:val="000000" w:themeColor="text1"/>
                <w:sz w:val="24"/>
                <w:szCs w:val="24"/>
                <w14:textFill>
                  <w14:solidFill>
                    <w14:schemeClr w14:val="tx1"/>
                  </w14:solidFill>
                </w14:textFill>
              </w:rPr>
            </w:pPr>
          </w:p>
        </w:tc>
        <w:tc>
          <w:tcPr>
            <w:tcW w:w="851" w:type="dxa"/>
            <w:vMerge w:val="continue"/>
            <w:tcBorders>
              <w:top w:val="single" w:color="auto" w:sz="4" w:space="0"/>
              <w:left w:val="single" w:color="auto" w:sz="4" w:space="0"/>
              <w:bottom w:val="nil"/>
              <w:right w:val="single" w:color="auto" w:sz="4" w:space="0"/>
            </w:tcBorders>
            <w:vAlign w:val="center"/>
          </w:tcPr>
          <w:p w14:paraId="7B559BD5">
            <w:pPr>
              <w:widowControl/>
              <w:jc w:val="left"/>
              <w:rPr>
                <w:rFonts w:ascii="仿宋" w:hAnsi="仿宋" w:eastAsia="仿宋"/>
                <w:b/>
                <w:color w:val="000000" w:themeColor="text1"/>
                <w:sz w:val="24"/>
                <w:szCs w:val="24"/>
                <w14:textFill>
                  <w14:solidFill>
                    <w14:schemeClr w14:val="tx1"/>
                  </w14:solidFill>
                </w14:textFill>
              </w:rPr>
            </w:pPr>
          </w:p>
        </w:tc>
        <w:tc>
          <w:tcPr>
            <w:tcW w:w="1422" w:type="dxa"/>
            <w:vMerge w:val="continue"/>
            <w:tcBorders>
              <w:top w:val="single" w:color="auto" w:sz="4" w:space="0"/>
              <w:left w:val="single" w:color="auto" w:sz="4" w:space="0"/>
              <w:bottom w:val="nil"/>
              <w:right w:val="single" w:color="auto" w:sz="4" w:space="0"/>
            </w:tcBorders>
            <w:vAlign w:val="center"/>
          </w:tcPr>
          <w:p w14:paraId="5D8F5867">
            <w:pPr>
              <w:widowControl/>
              <w:jc w:val="left"/>
              <w:rPr>
                <w:rFonts w:ascii="仿宋" w:hAnsi="仿宋" w:eastAsia="仿宋"/>
                <w:b/>
                <w:color w:val="000000" w:themeColor="text1"/>
                <w:sz w:val="24"/>
                <w:szCs w:val="24"/>
                <w14:textFill>
                  <w14:solidFill>
                    <w14:schemeClr w14:val="tx1"/>
                  </w14:solidFill>
                </w14:textFill>
              </w:rPr>
            </w:pPr>
          </w:p>
        </w:tc>
        <w:tc>
          <w:tcPr>
            <w:tcW w:w="1278" w:type="dxa"/>
            <w:tcBorders>
              <w:top w:val="single" w:color="auto" w:sz="4" w:space="0"/>
              <w:left w:val="single" w:color="auto" w:sz="4" w:space="0"/>
              <w:bottom w:val="nil"/>
              <w:right w:val="single" w:color="auto" w:sz="4" w:space="0"/>
            </w:tcBorders>
            <w:vAlign w:val="center"/>
          </w:tcPr>
          <w:p w14:paraId="4687D053">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是否中小企业</w:t>
            </w:r>
          </w:p>
        </w:tc>
        <w:tc>
          <w:tcPr>
            <w:tcW w:w="1420" w:type="dxa"/>
            <w:tcBorders>
              <w:top w:val="single" w:color="auto" w:sz="4" w:space="0"/>
              <w:left w:val="single" w:color="auto" w:sz="4" w:space="0"/>
              <w:bottom w:val="nil"/>
              <w:right w:val="single" w:color="auto" w:sz="4" w:space="0"/>
            </w:tcBorders>
            <w:vAlign w:val="center"/>
          </w:tcPr>
          <w:p w14:paraId="3C4FB1DC">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企业全称</w:t>
            </w:r>
          </w:p>
        </w:tc>
      </w:tr>
      <w:tr w14:paraId="59FEB9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tcBorders>
              <w:top w:val="single" w:color="auto" w:sz="4" w:space="0"/>
              <w:left w:val="single" w:color="auto" w:sz="4" w:space="0"/>
              <w:bottom w:val="nil"/>
              <w:right w:val="single" w:color="auto" w:sz="4" w:space="0"/>
            </w:tcBorders>
            <w:vAlign w:val="center"/>
          </w:tcPr>
          <w:p w14:paraId="6997BF30">
            <w:pPr>
              <w:widowControl/>
              <w:jc w:val="left"/>
              <w:rPr>
                <w:rFonts w:ascii="仿宋" w:hAnsi="仿宋" w:eastAsia="仿宋"/>
                <w:b/>
                <w:color w:val="000000" w:themeColor="text1"/>
                <w:sz w:val="24"/>
                <w:szCs w:val="24"/>
                <w14:textFill>
                  <w14:solidFill>
                    <w14:schemeClr w14:val="tx1"/>
                  </w14:solidFill>
                </w14:textFill>
              </w:rPr>
            </w:pPr>
          </w:p>
        </w:tc>
        <w:tc>
          <w:tcPr>
            <w:tcW w:w="998" w:type="dxa"/>
            <w:tcBorders>
              <w:top w:val="single" w:color="auto" w:sz="4" w:space="0"/>
              <w:left w:val="single" w:color="auto" w:sz="4" w:space="0"/>
              <w:bottom w:val="nil"/>
              <w:right w:val="single" w:color="auto" w:sz="4" w:space="0"/>
            </w:tcBorders>
            <w:vAlign w:val="center"/>
          </w:tcPr>
          <w:p w14:paraId="25161857">
            <w:pPr>
              <w:widowControl/>
              <w:jc w:val="left"/>
              <w:rPr>
                <w:rFonts w:ascii="仿宋" w:hAnsi="仿宋" w:eastAsia="仿宋"/>
                <w:b/>
                <w:color w:val="000000" w:themeColor="text1"/>
                <w:sz w:val="24"/>
                <w:szCs w:val="24"/>
                <w14:textFill>
                  <w14:solidFill>
                    <w14:schemeClr w14:val="tx1"/>
                  </w14:solidFill>
                </w14:textFill>
              </w:rPr>
            </w:pPr>
          </w:p>
        </w:tc>
        <w:tc>
          <w:tcPr>
            <w:tcW w:w="993" w:type="dxa"/>
            <w:tcBorders>
              <w:top w:val="single" w:color="auto" w:sz="4" w:space="0"/>
              <w:left w:val="single" w:color="auto" w:sz="4" w:space="0"/>
              <w:bottom w:val="nil"/>
              <w:right w:val="single" w:color="auto" w:sz="4" w:space="0"/>
            </w:tcBorders>
            <w:vAlign w:val="center"/>
          </w:tcPr>
          <w:p w14:paraId="2988D9AD">
            <w:pPr>
              <w:widowControl/>
              <w:jc w:val="left"/>
              <w:rPr>
                <w:rFonts w:ascii="仿宋" w:hAnsi="仿宋" w:eastAsia="仿宋"/>
                <w:b/>
                <w:color w:val="000000" w:themeColor="text1"/>
                <w:sz w:val="24"/>
                <w:szCs w:val="24"/>
                <w14:textFill>
                  <w14:solidFill>
                    <w14:schemeClr w14:val="tx1"/>
                  </w14:solidFill>
                </w14:textFill>
              </w:rPr>
            </w:pPr>
          </w:p>
        </w:tc>
        <w:tc>
          <w:tcPr>
            <w:tcW w:w="993" w:type="dxa"/>
            <w:tcBorders>
              <w:top w:val="single" w:color="auto" w:sz="4" w:space="0"/>
              <w:left w:val="single" w:color="auto" w:sz="4" w:space="0"/>
              <w:bottom w:val="nil"/>
              <w:right w:val="single" w:color="auto" w:sz="4" w:space="0"/>
            </w:tcBorders>
            <w:vAlign w:val="center"/>
          </w:tcPr>
          <w:p w14:paraId="2FC3ABB4">
            <w:pPr>
              <w:widowControl/>
              <w:jc w:val="left"/>
              <w:rPr>
                <w:rFonts w:ascii="仿宋" w:hAnsi="仿宋" w:eastAsia="仿宋"/>
                <w:b/>
                <w:color w:val="000000" w:themeColor="text1"/>
                <w:sz w:val="24"/>
                <w:szCs w:val="24"/>
                <w14:textFill>
                  <w14:solidFill>
                    <w14:schemeClr w14:val="tx1"/>
                  </w14:solidFill>
                </w14:textFill>
              </w:rPr>
            </w:pPr>
          </w:p>
        </w:tc>
        <w:tc>
          <w:tcPr>
            <w:tcW w:w="851" w:type="dxa"/>
            <w:tcBorders>
              <w:top w:val="single" w:color="auto" w:sz="4" w:space="0"/>
              <w:left w:val="single" w:color="auto" w:sz="4" w:space="0"/>
              <w:bottom w:val="nil"/>
              <w:right w:val="single" w:color="auto" w:sz="4" w:space="0"/>
            </w:tcBorders>
            <w:vAlign w:val="center"/>
          </w:tcPr>
          <w:p w14:paraId="4F3AF671">
            <w:pPr>
              <w:widowControl/>
              <w:jc w:val="left"/>
              <w:rPr>
                <w:rFonts w:ascii="仿宋" w:hAnsi="仿宋" w:eastAsia="仿宋"/>
                <w:b/>
                <w:color w:val="000000" w:themeColor="text1"/>
                <w:sz w:val="24"/>
                <w:szCs w:val="24"/>
                <w14:textFill>
                  <w14:solidFill>
                    <w14:schemeClr w14:val="tx1"/>
                  </w14:solidFill>
                </w14:textFill>
              </w:rPr>
            </w:pPr>
          </w:p>
        </w:tc>
        <w:tc>
          <w:tcPr>
            <w:tcW w:w="1422" w:type="dxa"/>
            <w:tcBorders>
              <w:top w:val="single" w:color="auto" w:sz="4" w:space="0"/>
              <w:left w:val="single" w:color="auto" w:sz="4" w:space="0"/>
              <w:bottom w:val="nil"/>
              <w:right w:val="single" w:color="auto" w:sz="4" w:space="0"/>
            </w:tcBorders>
            <w:vAlign w:val="center"/>
          </w:tcPr>
          <w:p w14:paraId="64ED153F">
            <w:pPr>
              <w:widowControl/>
              <w:jc w:val="left"/>
              <w:rPr>
                <w:rFonts w:ascii="仿宋" w:hAnsi="仿宋" w:eastAsia="仿宋"/>
                <w:b/>
                <w:color w:val="000000" w:themeColor="text1"/>
                <w:sz w:val="24"/>
                <w:szCs w:val="24"/>
                <w14:textFill>
                  <w14:solidFill>
                    <w14:schemeClr w14:val="tx1"/>
                  </w14:solidFill>
                </w14:textFill>
              </w:rPr>
            </w:pPr>
          </w:p>
        </w:tc>
        <w:tc>
          <w:tcPr>
            <w:tcW w:w="1278" w:type="dxa"/>
            <w:tcBorders>
              <w:top w:val="single" w:color="auto" w:sz="4" w:space="0"/>
              <w:left w:val="single" w:color="auto" w:sz="4" w:space="0"/>
              <w:bottom w:val="nil"/>
              <w:right w:val="single" w:color="auto" w:sz="4" w:space="0"/>
            </w:tcBorders>
            <w:vAlign w:val="center"/>
          </w:tcPr>
          <w:p w14:paraId="5F768EAF">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20" w:type="dxa"/>
            <w:tcBorders>
              <w:top w:val="single" w:color="auto" w:sz="4" w:space="0"/>
              <w:left w:val="single" w:color="auto" w:sz="4" w:space="0"/>
              <w:bottom w:val="nil"/>
              <w:right w:val="single" w:color="auto" w:sz="4" w:space="0"/>
            </w:tcBorders>
            <w:vAlign w:val="center"/>
          </w:tcPr>
          <w:p w14:paraId="4E8468CE">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30D4CC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5" w:type="dxa"/>
            <w:gridSpan w:val="2"/>
            <w:tcBorders>
              <w:top w:val="single" w:color="auto" w:sz="4" w:space="0"/>
              <w:left w:val="single" w:color="auto" w:sz="4" w:space="0"/>
              <w:bottom w:val="single" w:color="auto" w:sz="4" w:space="0"/>
              <w:right w:val="single" w:color="auto" w:sz="4" w:space="0"/>
            </w:tcBorders>
            <w:vAlign w:val="center"/>
          </w:tcPr>
          <w:p w14:paraId="42B11E27">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998" w:type="dxa"/>
            <w:tcBorders>
              <w:top w:val="single" w:color="auto" w:sz="4" w:space="0"/>
              <w:left w:val="single" w:color="auto" w:sz="4" w:space="0"/>
              <w:bottom w:val="single" w:color="auto" w:sz="4" w:space="0"/>
              <w:right w:val="single" w:color="auto" w:sz="4" w:space="0"/>
            </w:tcBorders>
            <w:vAlign w:val="center"/>
          </w:tcPr>
          <w:p w14:paraId="43959350">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14:paraId="408D5A72">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14:paraId="7D0282E6">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14:paraId="0D1C364E">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22" w:type="dxa"/>
            <w:tcBorders>
              <w:top w:val="single" w:color="auto" w:sz="4" w:space="0"/>
              <w:left w:val="single" w:color="auto" w:sz="4" w:space="0"/>
              <w:bottom w:val="single" w:color="auto" w:sz="4" w:space="0"/>
              <w:right w:val="single" w:color="auto" w:sz="4" w:space="0"/>
            </w:tcBorders>
            <w:vAlign w:val="center"/>
          </w:tcPr>
          <w:p w14:paraId="2F6BDDB7">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78" w:type="dxa"/>
            <w:tcBorders>
              <w:top w:val="single" w:color="auto" w:sz="4" w:space="0"/>
              <w:left w:val="single" w:color="auto" w:sz="4" w:space="0"/>
              <w:bottom w:val="single" w:color="auto" w:sz="4" w:space="0"/>
              <w:right w:val="single" w:color="auto" w:sz="4" w:space="0"/>
            </w:tcBorders>
            <w:vAlign w:val="center"/>
          </w:tcPr>
          <w:p w14:paraId="52EEDB8A">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20" w:type="dxa"/>
            <w:tcBorders>
              <w:top w:val="single" w:color="auto" w:sz="4" w:space="0"/>
              <w:left w:val="single" w:color="auto" w:sz="4" w:space="0"/>
              <w:bottom w:val="single" w:color="auto" w:sz="4" w:space="0"/>
              <w:right w:val="single" w:color="auto" w:sz="4" w:space="0"/>
            </w:tcBorders>
            <w:vAlign w:val="center"/>
          </w:tcPr>
          <w:p w14:paraId="2B4ECA03">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470CB6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50" w:type="dxa"/>
            <w:gridSpan w:val="9"/>
            <w:tcBorders>
              <w:top w:val="single" w:color="auto" w:sz="4" w:space="0"/>
              <w:left w:val="single" w:color="auto" w:sz="4" w:space="0"/>
              <w:bottom w:val="single" w:color="auto" w:sz="4" w:space="0"/>
              <w:right w:val="single" w:color="auto" w:sz="4" w:space="0"/>
            </w:tcBorders>
            <w:vAlign w:val="center"/>
          </w:tcPr>
          <w:p w14:paraId="3CE4FE24">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投标总价合计金额大写：小写：￥</w:t>
            </w:r>
          </w:p>
        </w:tc>
      </w:tr>
      <w:tr w14:paraId="2D1D60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2" w:type="dxa"/>
            <w:tcBorders>
              <w:top w:val="single" w:color="auto" w:sz="4" w:space="0"/>
              <w:left w:val="single" w:color="auto" w:sz="4" w:space="0"/>
              <w:bottom w:val="single" w:color="auto" w:sz="4" w:space="0"/>
              <w:right w:val="single" w:color="auto" w:sz="4" w:space="0"/>
            </w:tcBorders>
            <w:vAlign w:val="center"/>
          </w:tcPr>
          <w:p w14:paraId="18C11E4B">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518" w:type="dxa"/>
            <w:gridSpan w:val="8"/>
            <w:tcBorders>
              <w:top w:val="single" w:color="auto" w:sz="4" w:space="0"/>
              <w:left w:val="single" w:color="auto" w:sz="4" w:space="0"/>
              <w:bottom w:val="single" w:color="auto" w:sz="4" w:space="0"/>
              <w:right w:val="single" w:color="auto" w:sz="4" w:space="0"/>
            </w:tcBorders>
            <w:vAlign w:val="center"/>
          </w:tcPr>
          <w:p w14:paraId="74B21C68">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7F555965">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08E42693">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5C731B29">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color w:val="000000" w:themeColor="text1"/>
                <w:sz w:val="24"/>
                <w:szCs w:val="24"/>
                <w14:textFill>
                  <w14:solidFill>
                    <w14:schemeClr w14:val="tx1"/>
                  </w14:solidFill>
                </w14:textFill>
              </w:rPr>
              <w:t>开标时，现场工作人员当众拆封，并宣布投标人名称、投标总价合计金额。</w:t>
            </w:r>
          </w:p>
          <w:p w14:paraId="707E1530">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74124678">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22A5CD13">
      <w:pPr>
        <w:widowControl/>
        <w:tabs>
          <w:tab w:val="center" w:pos="4755"/>
          <w:tab w:val="right" w:pos="9070"/>
        </w:tabs>
        <w:jc w:val="left"/>
        <w:rPr>
          <w:rFonts w:ascii="宋体" w:cs="Arial"/>
          <w:color w:val="000000" w:themeColor="text1"/>
          <w:kern w:val="0"/>
          <w:sz w:val="18"/>
          <w:szCs w:val="18"/>
          <w14:textFill>
            <w14:solidFill>
              <w14:schemeClr w14:val="tx1"/>
            </w14:solidFill>
          </w14:textFill>
        </w:rPr>
      </w:pPr>
    </w:p>
    <w:p w14:paraId="181C8F6E">
      <w:pPr>
        <w:pStyle w:val="40"/>
        <w:spacing w:after="120"/>
        <w:rPr>
          <w:color w:val="000000" w:themeColor="text1"/>
          <w14:textFill>
            <w14:solidFill>
              <w14:schemeClr w14:val="tx1"/>
            </w14:solidFill>
          </w14:textFill>
        </w:rPr>
      </w:pPr>
    </w:p>
    <w:p w14:paraId="28845517">
      <w:pPr>
        <w:rPr>
          <w:color w:val="000000" w:themeColor="text1"/>
          <w14:textFill>
            <w14:solidFill>
              <w14:schemeClr w14:val="tx1"/>
            </w14:solidFill>
          </w14:textFill>
        </w:rPr>
      </w:pPr>
    </w:p>
    <w:p w14:paraId="2A952263">
      <w:pPr>
        <w:snapToGrid w:val="0"/>
        <w:spacing w:line="360" w:lineRule="auto"/>
        <w:rPr>
          <w:rFonts w:ascii="仿宋" w:hAnsi="仿宋" w:eastAsia="仿宋"/>
          <w:color w:val="000000" w:themeColor="text1"/>
          <w:sz w:val="30"/>
          <w:szCs w:val="30"/>
          <w14:textFill>
            <w14:solidFill>
              <w14:schemeClr w14:val="tx1"/>
            </w14:solidFill>
          </w14:textFill>
        </w:rPr>
      </w:pPr>
    </w:p>
    <w:p w14:paraId="79ACE716">
      <w:pPr>
        <w:snapToGrid w:val="0"/>
        <w:spacing w:line="360" w:lineRule="auto"/>
        <w:rPr>
          <w:rFonts w:ascii="仿宋" w:hAnsi="仿宋" w:eastAsia="仿宋"/>
          <w:color w:val="000000" w:themeColor="text1"/>
          <w:sz w:val="30"/>
          <w:szCs w:val="30"/>
          <w14:textFill>
            <w14:solidFill>
              <w14:schemeClr w14:val="tx1"/>
            </w14:solidFill>
          </w14:textFill>
        </w:rPr>
      </w:pPr>
    </w:p>
    <w:p w14:paraId="546B84C2">
      <w:pPr>
        <w:snapToGrid w:val="0"/>
        <w:spacing w:line="360" w:lineRule="auto"/>
        <w:rPr>
          <w:rFonts w:ascii="仿宋" w:hAnsi="仿宋" w:eastAsia="仿宋"/>
          <w:color w:val="000000" w:themeColor="text1"/>
          <w:sz w:val="30"/>
          <w:szCs w:val="30"/>
          <w14:textFill>
            <w14:solidFill>
              <w14:schemeClr w14:val="tx1"/>
            </w14:solidFill>
          </w14:textFill>
        </w:rPr>
      </w:pPr>
    </w:p>
    <w:p w14:paraId="4013E9E2">
      <w:pPr>
        <w:rPr>
          <w:color w:val="000000" w:themeColor="text1"/>
          <w14:textFill>
            <w14:solidFill>
              <w14:schemeClr w14:val="tx1"/>
            </w14:solidFill>
          </w14:textFill>
        </w:rPr>
      </w:pPr>
    </w:p>
    <w:p w14:paraId="770B76AF">
      <w:pPr>
        <w:rPr>
          <w:color w:val="000000" w:themeColor="text1"/>
          <w14:textFill>
            <w14:solidFill>
              <w14:schemeClr w14:val="tx1"/>
            </w14:solidFill>
          </w14:textFill>
        </w:rPr>
      </w:pPr>
    </w:p>
    <w:p w14:paraId="03FA1C93">
      <w:pPr>
        <w:rPr>
          <w:color w:val="000000" w:themeColor="text1"/>
          <w14:textFill>
            <w14:solidFill>
              <w14:schemeClr w14:val="tx1"/>
            </w14:solidFill>
          </w14:textFill>
        </w:rPr>
      </w:pPr>
    </w:p>
    <w:p w14:paraId="2C656BBA">
      <w:pPr>
        <w:rPr>
          <w:color w:val="000000" w:themeColor="text1"/>
          <w14:textFill>
            <w14:solidFill>
              <w14:schemeClr w14:val="tx1"/>
            </w14:solidFill>
          </w14:textFill>
        </w:rPr>
      </w:pPr>
    </w:p>
    <w:p w14:paraId="453D2497">
      <w:pPr>
        <w:snapToGrid w:val="0"/>
        <w:spacing w:before="50" w:after="50"/>
        <w:jc w:val="left"/>
        <w:rPr>
          <w:rFonts w:ascii="仿宋" w:hAnsi="仿宋" w:eastAsia="仿宋"/>
          <w:sz w:val="30"/>
          <w:szCs w:val="30"/>
        </w:rPr>
      </w:pPr>
      <w:r>
        <w:rPr>
          <w:rFonts w:hint="eastAsia" w:ascii="仿宋" w:hAnsi="仿宋" w:eastAsia="仿宋"/>
          <w:sz w:val="30"/>
          <w:szCs w:val="30"/>
        </w:rPr>
        <w:t>附件16：</w:t>
      </w:r>
    </w:p>
    <w:p w14:paraId="16CC11C0">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14:paraId="3EC9D2B1">
      <w:pPr>
        <w:snapToGrid w:val="0"/>
        <w:spacing w:line="360" w:lineRule="auto"/>
        <w:rPr>
          <w:rFonts w:ascii="仿宋" w:hAnsi="仿宋" w:eastAsia="仿宋"/>
          <w:sz w:val="28"/>
          <w:szCs w:val="28"/>
        </w:rPr>
      </w:pPr>
    </w:p>
    <w:p w14:paraId="3AF3CD10">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14:paraId="6F451AB0">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558E5E10">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14:paraId="555EE969">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w:t>
      </w:r>
    </w:p>
    <w:p w14:paraId="2F2C0D83">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14:paraId="7717DF8D">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14:paraId="629A84CC">
      <w:pPr>
        <w:snapToGrid w:val="0"/>
        <w:spacing w:line="360" w:lineRule="auto"/>
        <w:ind w:left="3640" w:firstLine="560" w:firstLineChars="200"/>
        <w:jc w:val="left"/>
        <w:rPr>
          <w:rFonts w:ascii="仿宋" w:hAnsi="仿宋" w:eastAsia="仿宋"/>
          <w:sz w:val="28"/>
          <w:szCs w:val="28"/>
          <w:u w:val="single"/>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p>
    <w:p w14:paraId="444A3B46">
      <w:pPr>
        <w:wordWrap w:val="0"/>
        <w:snapToGrid w:val="0"/>
        <w:spacing w:line="360" w:lineRule="auto"/>
        <w:ind w:right="1120"/>
        <w:jc w:val="right"/>
        <w:rPr>
          <w:rFonts w:hint="eastAsia"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6E48ED66">
      <w:pPr>
        <w:pStyle w:val="2"/>
        <w:wordWrap/>
      </w:pPr>
    </w:p>
    <w:p w14:paraId="549D009F">
      <w:pPr>
        <w:pStyle w:val="31"/>
        <w:spacing w:before="156" w:after="156" w:line="360" w:lineRule="auto"/>
        <w:rPr>
          <w:rFonts w:hint="eastAsia"/>
          <w:sz w:val="18"/>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731EC82C">
      <w:pPr>
        <w:pStyle w:val="31"/>
        <w:spacing w:before="156" w:after="156" w:line="360" w:lineRule="auto"/>
        <w:rPr>
          <w:rFonts w:hint="eastAsia"/>
        </w:rPr>
      </w:pPr>
      <w:r>
        <w:rPr>
          <w:rFonts w:hint="eastAsia" w:ascii="Times New Roman" w:eastAsia="Times New Roman"/>
          <w:b/>
          <w:bCs/>
          <w:color w:val="C00000"/>
          <w:position w:val="6"/>
          <w:sz w:val="11"/>
        </w:rPr>
        <w:t>2</w:t>
      </w:r>
      <w:r>
        <w:rPr>
          <w:rFonts w:hint="eastAsia"/>
          <w:b/>
          <w:bCs/>
          <w:color w:val="C00000"/>
          <w:sz w:val="18"/>
        </w:rPr>
        <w:t>标的名称请按需求中的采购清单列报。</w:t>
      </w:r>
    </w:p>
    <w:p w14:paraId="53143FA6">
      <w:pPr>
        <w:snapToGrid w:val="0"/>
        <w:spacing w:line="360" w:lineRule="auto"/>
        <w:jc w:val="both"/>
        <w:rPr>
          <w:rFonts w:ascii="仿宋" w:hAnsi="仿宋" w:eastAsia="仿宋"/>
          <w:sz w:val="28"/>
          <w:szCs w:val="28"/>
        </w:rPr>
      </w:pPr>
    </w:p>
    <w:p w14:paraId="5D3604A2">
      <w:pPr>
        <w:widowControl/>
        <w:jc w:val="left"/>
        <w:rPr>
          <w:rFonts w:ascii="仿宋" w:hAnsi="仿宋" w:eastAsia="仿宋"/>
          <w:b/>
          <w:sz w:val="36"/>
          <w:szCs w:val="36"/>
        </w:rPr>
      </w:pPr>
      <w:r>
        <w:rPr>
          <w:rFonts w:hint="eastAsia" w:ascii="仿宋" w:hAnsi="仿宋" w:eastAsia="仿宋"/>
          <w:b/>
          <w:kern w:val="0"/>
          <w:sz w:val="36"/>
          <w:szCs w:val="36"/>
        </w:rPr>
        <w:br w:type="page"/>
      </w:r>
    </w:p>
    <w:p w14:paraId="7659450F">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中小企业声明函（工程、服务）</w:t>
      </w:r>
    </w:p>
    <w:p w14:paraId="1B68C644">
      <w:pPr>
        <w:snapToGrid w:val="0"/>
        <w:spacing w:line="312" w:lineRule="auto"/>
        <w:ind w:firstLine="560" w:firstLineChars="200"/>
        <w:rPr>
          <w:rFonts w:ascii="仿宋" w:hAnsi="仿宋" w:eastAsia="仿宋"/>
          <w:sz w:val="28"/>
          <w:szCs w:val="28"/>
        </w:rPr>
      </w:pPr>
    </w:p>
    <w:p w14:paraId="7A3969D3">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31ABCF48">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w:t>
      </w:r>
      <w:r>
        <w:rPr>
          <w:rFonts w:hint="eastAsia" w:ascii="仿宋" w:hAnsi="仿宋" w:eastAsia="仿宋"/>
          <w:sz w:val="28"/>
          <w:szCs w:val="28"/>
        </w:rPr>
        <w:t>； 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1F78AAFA">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w:t>
      </w:r>
      <w:r>
        <w:rPr>
          <w:rFonts w:hint="eastAsia" w:ascii="仿宋" w:hAnsi="仿宋" w:eastAsia="仿宋"/>
          <w:sz w:val="28"/>
          <w:szCs w:val="28"/>
        </w:rPr>
        <w:t>；承建（承接）企业为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27B41EA8">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 </w:t>
      </w:r>
    </w:p>
    <w:p w14:paraId="304609CC">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以上企业，不属于大企业的分支机构，不存在控股股东为大企业的情形，也不存在与大企业的负责人为同一人的情形。</w:t>
      </w:r>
    </w:p>
    <w:p w14:paraId="2605156C">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本企业对上述声明内容的真实性负责。如有虚假，将依法承担相应责任。 </w:t>
      </w:r>
    </w:p>
    <w:p w14:paraId="0B8DD25E">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14:paraId="2A3FB266">
      <w:pPr>
        <w:snapToGrid w:val="0"/>
        <w:spacing w:line="312" w:lineRule="auto"/>
        <w:ind w:firstLine="4620" w:firstLineChars="1650"/>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25C9EE5D">
      <w:pPr>
        <w:pStyle w:val="31"/>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69FDFE4D">
      <w:pPr>
        <w:widowControl/>
        <w:jc w:val="left"/>
        <w:rPr>
          <w:rFonts w:ascii="仿宋" w:hAnsi="仿宋" w:eastAsia="仿宋"/>
          <w:sz w:val="28"/>
          <w:szCs w:val="28"/>
        </w:rPr>
      </w:pPr>
      <w:r>
        <w:rPr>
          <w:rFonts w:ascii="仿宋" w:hAnsi="仿宋" w:eastAsia="仿宋"/>
          <w:sz w:val="28"/>
          <w:szCs w:val="28"/>
        </w:rPr>
        <w:br w:type="page"/>
      </w:r>
    </w:p>
    <w:p w14:paraId="35C210FD">
      <w:pPr>
        <w:widowControl/>
        <w:jc w:val="left"/>
        <w:rPr>
          <w:rFonts w:ascii="仿宋" w:hAnsi="仿宋" w:eastAsia="仿宋"/>
          <w:sz w:val="28"/>
          <w:szCs w:val="28"/>
        </w:rPr>
        <w:sectPr>
          <w:footerReference r:id="rId4" w:type="default"/>
          <w:pgSz w:w="11906" w:h="16838"/>
          <w:pgMar w:top="1440" w:right="1800" w:bottom="1440" w:left="1800" w:header="851" w:footer="992" w:gutter="0"/>
          <w:pgNumType w:fmt="decimal"/>
          <w:cols w:space="425" w:num="1"/>
          <w:docGrid w:type="lines" w:linePitch="312" w:charSpace="0"/>
        </w:sectPr>
      </w:pPr>
    </w:p>
    <w:p w14:paraId="422A06EE">
      <w:pPr>
        <w:jc w:val="left"/>
        <w:rPr>
          <w:rFonts w:ascii="仿宋" w:hAnsi="仿宋" w:eastAsia="仿宋"/>
        </w:rPr>
      </w:pPr>
      <w:r>
        <w:rPr>
          <w:rFonts w:hint="eastAsia" w:ascii="仿宋" w:hAnsi="仿宋" w:eastAsia="仿宋"/>
          <w:sz w:val="30"/>
          <w:szCs w:val="30"/>
        </w:rPr>
        <w:t>附件17：</w:t>
      </w:r>
    </w:p>
    <w:p w14:paraId="7664AA44">
      <w:pPr>
        <w:rPr>
          <w:rFonts w:ascii="仿宋" w:hAnsi="仿宋" w:eastAsia="仿宋"/>
        </w:rPr>
      </w:pPr>
    </w:p>
    <w:p w14:paraId="2330A782">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14:paraId="326D9BD6">
      <w:pPr>
        <w:spacing w:line="588" w:lineRule="exact"/>
        <w:rPr>
          <w:rFonts w:ascii="仿宋_GB2312" w:eastAsia="仿宋_GB2312"/>
          <w:b/>
          <w:spacing w:val="6"/>
          <w:sz w:val="30"/>
          <w:szCs w:val="30"/>
        </w:rPr>
      </w:pPr>
    </w:p>
    <w:p w14:paraId="77913350">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60C4461">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1AD46AF9">
      <w:pPr>
        <w:snapToGrid w:val="0"/>
        <w:spacing w:line="360" w:lineRule="auto"/>
        <w:ind w:firstLine="560" w:firstLineChars="200"/>
        <w:rPr>
          <w:rFonts w:ascii="仿宋" w:hAnsi="仿宋" w:eastAsia="仿宋"/>
          <w:sz w:val="28"/>
          <w:szCs w:val="28"/>
        </w:rPr>
      </w:pPr>
    </w:p>
    <w:p w14:paraId="7671EC9A">
      <w:pPr>
        <w:spacing w:line="588" w:lineRule="exact"/>
        <w:ind w:firstLine="624" w:firstLineChars="200"/>
        <w:rPr>
          <w:rFonts w:ascii="仿宋_GB2312" w:eastAsia="仿宋_GB2312"/>
          <w:spacing w:val="6"/>
          <w:sz w:val="30"/>
          <w:szCs w:val="30"/>
        </w:rPr>
      </w:pPr>
    </w:p>
    <w:p w14:paraId="22110AB2">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p>
    <w:p w14:paraId="0222B3C5">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14:paraId="30090BFA">
      <w:pPr>
        <w:wordWrap w:val="0"/>
        <w:snapToGrid w:val="0"/>
        <w:spacing w:line="360" w:lineRule="auto"/>
        <w:ind w:firstLine="560" w:firstLineChars="200"/>
        <w:jc w:val="right"/>
        <w:rPr>
          <w:rFonts w:ascii="仿宋" w:hAnsi="仿宋" w:eastAsia="仿宋"/>
          <w:color w:val="000000" w:themeColor="text1"/>
          <w:sz w:val="28"/>
          <w:szCs w:val="28"/>
          <w:u w:val="single"/>
          <w14:textFill>
            <w14:solidFill>
              <w14:schemeClr w14:val="tx1"/>
            </w14:solidFill>
          </w14:textFill>
        </w:rPr>
      </w:pPr>
    </w:p>
    <w:p w14:paraId="28E5ED7A"/>
    <w:p w14:paraId="55D93377"/>
    <w:sectPr>
      <w:headerReference r:id="rId6" w:type="first"/>
      <w:footerReference r:id="rId9" w:type="first"/>
      <w:headerReference r:id="rId5" w:type="default"/>
      <w:footerReference r:id="rId7" w:type="default"/>
      <w:footerReference r:id="rId8" w:type="even"/>
      <w:pgSz w:w="11906" w:h="16838"/>
      <w:pgMar w:top="1474" w:right="1797" w:bottom="1247" w:left="1797"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swiss"/>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atha">
    <w:altName w:val="Segoe UI Semilight"/>
    <w:panose1 w:val="020004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等线 Light">
    <w:panose1 w:val="02010600030101010101"/>
    <w:charset w:val="86"/>
    <w:family w:val="auto"/>
    <w:pitch w:val="default"/>
    <w:sig w:usb0="A00002BF" w:usb1="38CF7CFA" w:usb2="00000016" w:usb3="00000000" w:csb0="0004000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41AE2">
    <w:pPr>
      <w:pStyle w:val="3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3ECB8D">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03ECB8D">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9D3E5">
    <w:pPr>
      <w:pStyle w:val="3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FD5542">
                          <w:pPr>
                            <w:pStyle w:val="38"/>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6FD5542">
                    <w:pPr>
                      <w:pStyle w:val="38"/>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7339C">
    <w:pPr>
      <w:pStyle w:val="38"/>
      <w:ind w:right="720" w:firstLine="180" w:firstLineChars="10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5FF100">
                          <w:pPr>
                            <w:pStyle w:val="38"/>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F5FF100">
                    <w:pPr>
                      <w:pStyle w:val="38"/>
                    </w:pPr>
                    <w:r>
                      <w:fldChar w:fldCharType="begin"/>
                    </w:r>
                    <w:r>
                      <w:instrText xml:space="preserve"> PAGE  \* MERGEFORMAT </w:instrText>
                    </w:r>
                    <w:r>
                      <w:fldChar w:fldCharType="separate"/>
                    </w:r>
                    <w:r>
                      <w:t>80</w:t>
                    </w:r>
                    <w:r>
                      <w:fldChar w:fldCharType="end"/>
                    </w:r>
                  </w:p>
                </w:txbxContent>
              </v:textbox>
            </v:shape>
          </w:pict>
        </mc:Fallback>
      </mc:AlternateContent>
    </w:r>
  </w:p>
  <w:p w14:paraId="31D7306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EBFC2">
    <w:pPr>
      <w:pStyle w:val="38"/>
      <w:framePr w:wrap="around" w:vAnchor="text" w:hAnchor="margin" w:xAlign="outside" w:y="1"/>
      <w:rPr>
        <w:rStyle w:val="66"/>
      </w:rPr>
    </w:pPr>
    <w:r>
      <w:fldChar w:fldCharType="begin"/>
    </w:r>
    <w:r>
      <w:rPr>
        <w:rStyle w:val="66"/>
      </w:rPr>
      <w:instrText xml:space="preserve">PAGE  </w:instrText>
    </w:r>
    <w:r>
      <w:fldChar w:fldCharType="end"/>
    </w:r>
  </w:p>
  <w:p w14:paraId="683447F7">
    <w:pPr>
      <w:pStyle w:val="38"/>
      <w:ind w:right="360" w:firstLine="360"/>
    </w:pPr>
  </w:p>
  <w:p w14:paraId="537272A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16F6A">
    <w:pPr>
      <w:pStyle w:val="3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14796">
    <w:pPr>
      <w:pStyle w:val="282"/>
    </w:pPr>
  </w:p>
  <w:p w14:paraId="7C8413F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E8D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2">
    <w:nsid w:val="FFFFFF81"/>
    <w:multiLevelType w:val="singleLevel"/>
    <w:tmpl w:val="FFFFFF81"/>
    <w:lvl w:ilvl="0" w:tentative="0">
      <w:start w:val="1"/>
      <w:numFmt w:val="bullet"/>
      <w:pStyle w:val="16"/>
      <w:lvlText w:val=""/>
      <w:lvlJc w:val="left"/>
      <w:pPr>
        <w:tabs>
          <w:tab w:val="left" w:pos="1620"/>
        </w:tabs>
        <w:ind w:left="1620" w:hanging="360"/>
      </w:pPr>
      <w:rPr>
        <w:rFonts w:hint="default" w:ascii="Wingdings" w:hAnsi="Wingdings"/>
      </w:rPr>
    </w:lvl>
  </w:abstractNum>
  <w:abstractNum w:abstractNumId="3">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0">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213619F"/>
    <w:multiLevelType w:val="multilevel"/>
    <w:tmpl w:val="2213619F"/>
    <w:lvl w:ilvl="0" w:tentative="0">
      <w:start w:val="1"/>
      <w:numFmt w:val="decimal"/>
      <w:pStyle w:val="15"/>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3">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8">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19">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0">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1">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2">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3">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4">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5">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26">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8">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9">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2"/>
  </w:num>
  <w:num w:numId="2">
    <w:abstractNumId w:val="2"/>
  </w:num>
  <w:num w:numId="3">
    <w:abstractNumId w:val="0"/>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9"/>
  </w:num>
  <w:num w:numId="8">
    <w:abstractNumId w:val="21"/>
  </w:num>
  <w:num w:numId="9">
    <w:abstractNumId w:val="26"/>
    <w:lvlOverride w:ilvl="0">
      <w:startOverride w:val="1"/>
    </w:lvlOverride>
  </w:num>
  <w:num w:numId="10">
    <w:abstractNumId w:val="8"/>
  </w:num>
  <w:num w:numId="11">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6"/>
  </w:num>
  <w:num w:numId="14">
    <w:abstractNumId w:val="24"/>
  </w:num>
  <w:num w:numId="15">
    <w:abstractNumId w:val="18"/>
  </w:num>
  <w:num w:numId="16">
    <w:abstractNumId w:val="15"/>
  </w:num>
  <w:num w:numId="17">
    <w:abstractNumId w:val="4"/>
  </w:num>
  <w:num w:numId="18">
    <w:abstractNumId w:val="22"/>
  </w:num>
  <w:num w:numId="19">
    <w:abstractNumId w:val="6"/>
  </w:num>
  <w:num w:numId="20">
    <w:abstractNumId w:val="13"/>
  </w:num>
  <w:num w:numId="21">
    <w:abstractNumId w:val="11"/>
  </w:num>
  <w:num w:numId="22">
    <w:abstractNumId w:val="19"/>
  </w:num>
  <w:num w:numId="23">
    <w:abstractNumId w:val="7"/>
  </w:num>
  <w:num w:numId="24">
    <w:abstractNumId w:val="28"/>
  </w:num>
  <w:num w:numId="25">
    <w:abstractNumId w:val="3"/>
  </w:num>
  <w:num w:numId="26">
    <w:abstractNumId w:val="25"/>
  </w:num>
  <w:num w:numId="27">
    <w:abstractNumId w:val="20"/>
  </w:num>
  <w:num w:numId="28">
    <w:abstractNumId w:val="10"/>
  </w:num>
  <w:num w:numId="29">
    <w:abstractNumId w:val="23"/>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I1YjdhMjgwNDdhMjkxYmZiYzg1ZGJhYmFmYjE4ZjcifQ=="/>
  </w:docVars>
  <w:rsids>
    <w:rsidRoot w:val="007B39CD"/>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D1384"/>
    <w:rsid w:val="003E2398"/>
    <w:rsid w:val="00411BA0"/>
    <w:rsid w:val="00473394"/>
    <w:rsid w:val="004825F5"/>
    <w:rsid w:val="0049675C"/>
    <w:rsid w:val="004A290E"/>
    <w:rsid w:val="004A76BE"/>
    <w:rsid w:val="004B659A"/>
    <w:rsid w:val="004C0111"/>
    <w:rsid w:val="004C4630"/>
    <w:rsid w:val="005855C1"/>
    <w:rsid w:val="005C254C"/>
    <w:rsid w:val="005E17E9"/>
    <w:rsid w:val="005F25FA"/>
    <w:rsid w:val="006111E0"/>
    <w:rsid w:val="0065516D"/>
    <w:rsid w:val="00663A77"/>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C2D38"/>
    <w:rsid w:val="00BE3542"/>
    <w:rsid w:val="00BF76D9"/>
    <w:rsid w:val="00C21114"/>
    <w:rsid w:val="00C22B7F"/>
    <w:rsid w:val="00C42BF5"/>
    <w:rsid w:val="00C50CB8"/>
    <w:rsid w:val="00C8441C"/>
    <w:rsid w:val="00CE0BC9"/>
    <w:rsid w:val="00D06379"/>
    <w:rsid w:val="00D34D4C"/>
    <w:rsid w:val="00D4173F"/>
    <w:rsid w:val="00D67996"/>
    <w:rsid w:val="00DB219B"/>
    <w:rsid w:val="00E05EDB"/>
    <w:rsid w:val="00E201D7"/>
    <w:rsid w:val="00EA67ED"/>
    <w:rsid w:val="00ED4653"/>
    <w:rsid w:val="00EF085D"/>
    <w:rsid w:val="00F65755"/>
    <w:rsid w:val="00FC29AB"/>
    <w:rsid w:val="00FD3EEC"/>
    <w:rsid w:val="14767262"/>
    <w:rsid w:val="19EE41CC"/>
    <w:rsid w:val="3CDB0E36"/>
    <w:rsid w:val="61C92E8C"/>
    <w:rsid w:val="752E46E0"/>
    <w:rsid w:val="773E0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iPriority="99" w:name="page number"/>
    <w:lsdException w:uiPriority="99" w:name="endnote reference"/>
    <w:lsdException w:qFormat="1" w:uiPriority="99" w:name="endnote text"/>
    <w:lsdException w:qFormat="1" w:uiPriority="99" w:name="table of authorities"/>
    <w:lsdException w:uiPriority="99" w:name="macro"/>
    <w:lsdException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uiPriority="99" w:name="List 4"/>
    <w:lsdException w:uiPriority="99" w:name="List 5"/>
    <w:lsdException w:qFormat="1" w:uiPriority="99" w:name="List Bullet 2"/>
    <w:lsdException w:uiPriority="99" w:name="List Bullet 3"/>
    <w:lsdException w:qFormat="1" w:uiPriority="99" w:name="List Bullet 4"/>
    <w:lsdException w:qFormat="1" w:uiPriority="99" w:name="List Bullet 5"/>
    <w:lsdException w:qFormat="1" w:uiPriority="99" w:name="List Number 2"/>
    <w:lsdException w:qFormat="1"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qFormat="1"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qFormat="1"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72"/>
    <w:qFormat/>
    <w:uiPriority w:val="9"/>
    <w:pPr>
      <w:autoSpaceDE w:val="0"/>
      <w:autoSpaceDN w:val="0"/>
      <w:adjustRightInd w:val="0"/>
      <w:spacing w:line="360" w:lineRule="auto"/>
      <w:jc w:val="center"/>
      <w:outlineLvl w:val="0"/>
    </w:pPr>
    <w:rPr>
      <w:rFonts w:eastAsia="隶书"/>
      <w:b/>
      <w:bCs/>
      <w:kern w:val="0"/>
      <w:sz w:val="36"/>
      <w:szCs w:val="36"/>
    </w:rPr>
  </w:style>
  <w:style w:type="paragraph" w:styleId="4">
    <w:name w:val="heading 2"/>
    <w:basedOn w:val="1"/>
    <w:next w:val="1"/>
    <w:link w:val="229"/>
    <w:unhideWhenUsed/>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74"/>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75"/>
    <w:semiHidden/>
    <w:unhideWhenUsed/>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76"/>
    <w:semiHidden/>
    <w:unhideWhenUsed/>
    <w:qFormat/>
    <w:uiPriority w:val="9"/>
    <w:pPr>
      <w:keepNext/>
      <w:keepLines/>
      <w:tabs>
        <w:tab w:val="left" w:pos="992"/>
      </w:tabs>
      <w:spacing w:before="280" w:after="290" w:line="376" w:lineRule="auto"/>
      <w:ind w:left="992" w:hanging="992"/>
      <w:outlineLvl w:val="4"/>
    </w:pPr>
    <w:rPr>
      <w:b/>
      <w:bCs/>
      <w:sz w:val="28"/>
      <w:szCs w:val="28"/>
    </w:rPr>
  </w:style>
  <w:style w:type="paragraph" w:styleId="8">
    <w:name w:val="heading 6"/>
    <w:basedOn w:val="1"/>
    <w:next w:val="1"/>
    <w:link w:val="77"/>
    <w:semiHidden/>
    <w:unhideWhenUsed/>
    <w:qFormat/>
    <w:uiPriority w:val="9"/>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78"/>
    <w:semiHidden/>
    <w:unhideWhenUsed/>
    <w:qFormat/>
    <w:uiPriority w:val="9"/>
    <w:pPr>
      <w:keepNext/>
      <w:keepLines/>
      <w:tabs>
        <w:tab w:val="left" w:pos="0"/>
      </w:tabs>
      <w:spacing w:before="240" w:after="64" w:line="320" w:lineRule="auto"/>
      <w:ind w:left="1296" w:hanging="1296"/>
      <w:outlineLvl w:val="6"/>
    </w:pPr>
    <w:rPr>
      <w:b/>
      <w:bCs/>
      <w:sz w:val="24"/>
      <w:szCs w:val="24"/>
    </w:rPr>
  </w:style>
  <w:style w:type="paragraph" w:styleId="10">
    <w:name w:val="heading 8"/>
    <w:basedOn w:val="1"/>
    <w:next w:val="1"/>
    <w:link w:val="79"/>
    <w:semiHidden/>
    <w:unhideWhenUsed/>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1">
    <w:name w:val="heading 9"/>
    <w:basedOn w:val="1"/>
    <w:next w:val="1"/>
    <w:link w:val="80"/>
    <w:semiHidden/>
    <w:unhideWhenUsed/>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372"/>
    <w:semiHidden/>
    <w:unhideWhenUsed/>
    <w:qFormat/>
    <w:uiPriority w:val="99"/>
    <w:pPr>
      <w:ind w:firstLine="420"/>
    </w:pPr>
    <w:rPr>
      <w:szCs w:val="20"/>
    </w:rPr>
  </w:style>
  <w:style w:type="paragraph" w:styleId="12">
    <w:name w:val="List 3"/>
    <w:basedOn w:val="1"/>
    <w:semiHidden/>
    <w:unhideWhenUsed/>
    <w:qFormat/>
    <w:uiPriority w:val="99"/>
    <w:pPr>
      <w:ind w:left="100" w:leftChars="400" w:hanging="200" w:hangingChars="200"/>
    </w:pPr>
    <w:rPr>
      <w:rFonts w:ascii="Times New Roman" w:hAnsi="Times New Roman"/>
      <w:szCs w:val="20"/>
    </w:rPr>
  </w:style>
  <w:style w:type="paragraph" w:styleId="13">
    <w:name w:val="toc 7"/>
    <w:basedOn w:val="1"/>
    <w:next w:val="1"/>
    <w:semiHidden/>
    <w:unhideWhenUsed/>
    <w:qFormat/>
    <w:uiPriority w:val="39"/>
    <w:pPr>
      <w:ind w:left="1260"/>
      <w:jc w:val="left"/>
    </w:pPr>
    <w:rPr>
      <w:rFonts w:ascii="Times New Roman" w:hAnsi="Times New Roman"/>
      <w:sz w:val="18"/>
      <w:szCs w:val="18"/>
    </w:rPr>
  </w:style>
  <w:style w:type="paragraph" w:styleId="14">
    <w:name w:val="List Number 2"/>
    <w:basedOn w:val="1"/>
    <w:semiHidden/>
    <w:unhideWhenUsed/>
    <w:qFormat/>
    <w:uiPriority w:val="99"/>
    <w:pPr>
      <w:tabs>
        <w:tab w:val="left" w:pos="432"/>
        <w:tab w:val="left" w:pos="567"/>
      </w:tabs>
      <w:ind w:left="432" w:hanging="432"/>
    </w:pPr>
    <w:rPr>
      <w:rFonts w:ascii="Times New Roman" w:hAnsi="Times New Roman"/>
      <w:sz w:val="28"/>
      <w:szCs w:val="20"/>
    </w:rPr>
  </w:style>
  <w:style w:type="paragraph" w:styleId="15">
    <w:name w:val="table of authorities"/>
    <w:basedOn w:val="1"/>
    <w:next w:val="1"/>
    <w:semiHidden/>
    <w:unhideWhenUsed/>
    <w:qFormat/>
    <w:uiPriority w:val="99"/>
    <w:pPr>
      <w:numPr>
        <w:ilvl w:val="0"/>
        <w:numId w:val="1"/>
      </w:numPr>
      <w:ind w:left="200" w:leftChars="200"/>
    </w:pPr>
    <w:rPr>
      <w:rFonts w:ascii="Times New Roman" w:hAnsi="Times New Roman"/>
      <w:sz w:val="18"/>
      <w:szCs w:val="24"/>
    </w:rPr>
  </w:style>
  <w:style w:type="paragraph" w:styleId="16">
    <w:name w:val="List Bullet 4"/>
    <w:basedOn w:val="1"/>
    <w:semiHidden/>
    <w:unhideWhenUsed/>
    <w:qFormat/>
    <w:uiPriority w:val="99"/>
    <w:pPr>
      <w:numPr>
        <w:ilvl w:val="0"/>
        <w:numId w:val="2"/>
      </w:numPr>
    </w:pPr>
    <w:rPr>
      <w:rFonts w:ascii="Times New Roman" w:hAnsi="Times New Roman"/>
      <w:szCs w:val="24"/>
    </w:rPr>
  </w:style>
  <w:style w:type="paragraph" w:styleId="17">
    <w:name w:val="List Number"/>
    <w:basedOn w:val="1"/>
    <w:semiHidden/>
    <w:unhideWhenUsed/>
    <w:qFormat/>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18">
    <w:name w:val="caption"/>
    <w:basedOn w:val="1"/>
    <w:next w:val="1"/>
    <w:link w:val="107"/>
    <w:semiHidden/>
    <w:unhideWhenUsed/>
    <w:qFormat/>
    <w:uiPriority w:val="35"/>
    <w:pPr>
      <w:spacing w:before="152" w:after="160"/>
    </w:pPr>
    <w:rPr>
      <w:rFonts w:ascii="Arial" w:hAnsi="Arial" w:eastAsia="黑体"/>
      <w:sz w:val="20"/>
      <w:szCs w:val="20"/>
    </w:rPr>
  </w:style>
  <w:style w:type="paragraph" w:styleId="19">
    <w:name w:val="List Bullet"/>
    <w:basedOn w:val="1"/>
    <w:semiHidden/>
    <w:unhideWhenUsed/>
    <w:qFormat/>
    <w:uiPriority w:val="99"/>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81"/>
    <w:semiHidden/>
    <w:unhideWhenUsed/>
    <w:qFormat/>
    <w:uiPriority w:val="99"/>
    <w:rPr>
      <w:rFonts w:ascii="宋体"/>
      <w:sz w:val="18"/>
      <w:szCs w:val="18"/>
    </w:rPr>
  </w:style>
  <w:style w:type="paragraph" w:styleId="21">
    <w:name w:val="annotation text"/>
    <w:basedOn w:val="1"/>
    <w:link w:val="964"/>
    <w:semiHidden/>
    <w:unhideWhenUsed/>
    <w:qFormat/>
    <w:uiPriority w:val="99"/>
    <w:pPr>
      <w:jc w:val="left"/>
    </w:pPr>
  </w:style>
  <w:style w:type="paragraph" w:styleId="22">
    <w:name w:val="Salutation"/>
    <w:basedOn w:val="1"/>
    <w:next w:val="1"/>
    <w:link w:val="83"/>
    <w:semiHidden/>
    <w:unhideWhenUsed/>
    <w:qFormat/>
    <w:uiPriority w:val="99"/>
    <w:rPr>
      <w:rFonts w:ascii="宋体" w:hAnsi="Times New Roman"/>
      <w:b/>
      <w:sz w:val="28"/>
      <w:szCs w:val="20"/>
    </w:rPr>
  </w:style>
  <w:style w:type="paragraph" w:styleId="23">
    <w:name w:val="Body Text 3"/>
    <w:basedOn w:val="1"/>
    <w:link w:val="84"/>
    <w:semiHidden/>
    <w:unhideWhenUsed/>
    <w:qFormat/>
    <w:uiPriority w:val="99"/>
    <w:pPr>
      <w:snapToGrid w:val="0"/>
      <w:spacing w:before="50" w:after="50"/>
    </w:pPr>
    <w:rPr>
      <w:rFonts w:ascii="Times New Roman" w:hAnsi="宋体" w:eastAsia="仿宋_GB2312"/>
      <w:b/>
      <w:bCs/>
      <w:sz w:val="24"/>
      <w:szCs w:val="20"/>
    </w:rPr>
  </w:style>
  <w:style w:type="paragraph" w:styleId="24">
    <w:name w:val="Body Text"/>
    <w:basedOn w:val="1"/>
    <w:link w:val="85"/>
    <w:semiHidden/>
    <w:unhideWhenUsed/>
    <w:qFormat/>
    <w:uiPriority w:val="99"/>
    <w:pPr>
      <w:spacing w:after="120"/>
    </w:pPr>
    <w:rPr>
      <w:sz w:val="28"/>
      <w:szCs w:val="24"/>
    </w:rPr>
  </w:style>
  <w:style w:type="paragraph" w:styleId="25">
    <w:name w:val="Body Text Indent"/>
    <w:basedOn w:val="1"/>
    <w:link w:val="86"/>
    <w:semiHidden/>
    <w:unhideWhenUsed/>
    <w:qFormat/>
    <w:uiPriority w:val="99"/>
    <w:pPr>
      <w:spacing w:line="200" w:lineRule="exact"/>
      <w:ind w:firstLine="301"/>
    </w:pPr>
    <w:rPr>
      <w:rFonts w:ascii="宋体" w:hAnsi="Courier New"/>
      <w:spacing w:val="-4"/>
      <w:sz w:val="18"/>
      <w:szCs w:val="20"/>
    </w:rPr>
  </w:style>
  <w:style w:type="paragraph" w:styleId="26">
    <w:name w:val="List Number 3"/>
    <w:basedOn w:val="1"/>
    <w:semiHidden/>
    <w:unhideWhenUsed/>
    <w:qFormat/>
    <w:uiPriority w:val="99"/>
    <w:pPr>
      <w:numPr>
        <w:ilvl w:val="0"/>
        <w:numId w:val="3"/>
      </w:numPr>
    </w:pPr>
    <w:rPr>
      <w:rFonts w:ascii="Times New Roman" w:hAnsi="Times New Roman"/>
      <w:szCs w:val="24"/>
    </w:rPr>
  </w:style>
  <w:style w:type="paragraph" w:styleId="27">
    <w:name w:val="List 2"/>
    <w:basedOn w:val="1"/>
    <w:semiHidden/>
    <w:unhideWhenUsed/>
    <w:qFormat/>
    <w:uiPriority w:val="99"/>
    <w:pPr>
      <w:ind w:left="100" w:leftChars="200" w:hanging="200" w:hangingChars="200"/>
    </w:pPr>
    <w:rPr>
      <w:rFonts w:ascii="Times New Roman" w:hAnsi="Times New Roman"/>
      <w:sz w:val="28"/>
      <w:szCs w:val="24"/>
    </w:rPr>
  </w:style>
  <w:style w:type="paragraph" w:styleId="28">
    <w:name w:val="List Bullet 2"/>
    <w:basedOn w:val="1"/>
    <w:semiHidden/>
    <w:unhideWhenUsed/>
    <w:qFormat/>
    <w:uiPriority w:val="99"/>
    <w:pPr>
      <w:tabs>
        <w:tab w:val="left" w:pos="780"/>
      </w:tabs>
      <w:ind w:left="780" w:leftChars="200" w:hanging="360" w:hangingChars="200"/>
    </w:pPr>
    <w:rPr>
      <w:rFonts w:ascii="Times New Roman" w:hAnsi="Times New Roman"/>
      <w:szCs w:val="24"/>
    </w:rPr>
  </w:style>
  <w:style w:type="paragraph" w:styleId="29">
    <w:name w:val="toc 5"/>
    <w:basedOn w:val="1"/>
    <w:next w:val="1"/>
    <w:semiHidden/>
    <w:unhideWhenUsed/>
    <w:qFormat/>
    <w:uiPriority w:val="39"/>
    <w:pPr>
      <w:spacing w:afterLines="50"/>
      <w:ind w:left="840"/>
      <w:jc w:val="left"/>
    </w:pPr>
    <w:rPr>
      <w:rFonts w:ascii="Times New Roman" w:hAnsi="Times New Roman"/>
      <w:snapToGrid w:val="0"/>
      <w:kern w:val="0"/>
      <w:sz w:val="18"/>
      <w:szCs w:val="18"/>
    </w:rPr>
  </w:style>
  <w:style w:type="paragraph" w:styleId="30">
    <w:name w:val="toc 3"/>
    <w:basedOn w:val="1"/>
    <w:next w:val="1"/>
    <w:semiHidden/>
    <w:unhideWhenUsed/>
    <w:qFormat/>
    <w:uiPriority w:val="39"/>
    <w:pPr>
      <w:ind w:left="840" w:leftChars="400"/>
    </w:pPr>
  </w:style>
  <w:style w:type="paragraph" w:styleId="31">
    <w:name w:val="Plain Text"/>
    <w:basedOn w:val="1"/>
    <w:link w:val="87"/>
    <w:semiHidden/>
    <w:unhideWhenUsed/>
    <w:qFormat/>
    <w:uiPriority w:val="99"/>
    <w:pPr>
      <w:spacing w:beforeLines="50" w:afterLines="50" w:line="400" w:lineRule="exact"/>
    </w:pPr>
    <w:rPr>
      <w:rFonts w:ascii="宋体" w:hAnsi="Courier New"/>
      <w:sz w:val="24"/>
      <w:szCs w:val="24"/>
    </w:rPr>
  </w:style>
  <w:style w:type="paragraph" w:styleId="32">
    <w:name w:val="List Bullet 5"/>
    <w:basedOn w:val="1"/>
    <w:semiHidden/>
    <w:unhideWhenUsed/>
    <w:qFormat/>
    <w:uiPriority w:val="99"/>
    <w:pPr>
      <w:numPr>
        <w:ilvl w:val="0"/>
        <w:numId w:val="4"/>
      </w:numPr>
    </w:pPr>
    <w:rPr>
      <w:rFonts w:ascii="Times New Roman" w:hAnsi="Times New Roman"/>
      <w:szCs w:val="24"/>
    </w:rPr>
  </w:style>
  <w:style w:type="paragraph" w:styleId="33">
    <w:name w:val="toc 8"/>
    <w:basedOn w:val="1"/>
    <w:next w:val="1"/>
    <w:semiHidden/>
    <w:unhideWhenUsed/>
    <w:qFormat/>
    <w:uiPriority w:val="39"/>
    <w:pPr>
      <w:spacing w:afterLines="50"/>
      <w:ind w:left="1470"/>
      <w:jc w:val="left"/>
    </w:pPr>
    <w:rPr>
      <w:rFonts w:ascii="Times New Roman" w:hAnsi="Times New Roman"/>
      <w:snapToGrid w:val="0"/>
      <w:kern w:val="0"/>
      <w:sz w:val="18"/>
      <w:szCs w:val="18"/>
    </w:rPr>
  </w:style>
  <w:style w:type="paragraph" w:styleId="34">
    <w:name w:val="Date"/>
    <w:basedOn w:val="1"/>
    <w:next w:val="1"/>
    <w:link w:val="88"/>
    <w:semiHidden/>
    <w:unhideWhenUsed/>
    <w:qFormat/>
    <w:uiPriority w:val="99"/>
    <w:pPr>
      <w:ind w:left="2500" w:leftChars="2500"/>
    </w:pPr>
    <w:rPr>
      <w:rFonts w:eastAsia="楷体_GB2312"/>
      <w:sz w:val="32"/>
      <w:szCs w:val="20"/>
    </w:rPr>
  </w:style>
  <w:style w:type="paragraph" w:styleId="35">
    <w:name w:val="Body Text Indent 2"/>
    <w:basedOn w:val="1"/>
    <w:link w:val="89"/>
    <w:semiHidden/>
    <w:unhideWhenUsed/>
    <w:qFormat/>
    <w:uiPriority w:val="99"/>
    <w:pPr>
      <w:snapToGrid w:val="0"/>
      <w:ind w:firstLine="542" w:firstLineChars="225"/>
    </w:pPr>
    <w:rPr>
      <w:rFonts w:ascii="仿宋_GB2312" w:hAnsi="宋体"/>
      <w:b/>
      <w:bCs/>
      <w:color w:val="000000"/>
      <w:sz w:val="24"/>
      <w:szCs w:val="24"/>
    </w:rPr>
  </w:style>
  <w:style w:type="paragraph" w:styleId="36">
    <w:name w:val="endnote text"/>
    <w:basedOn w:val="1"/>
    <w:link w:val="90"/>
    <w:semiHidden/>
    <w:unhideWhenUsed/>
    <w:qFormat/>
    <w:uiPriority w:val="99"/>
    <w:pPr>
      <w:numPr>
        <w:ilvl w:val="0"/>
        <w:numId w:val="5"/>
      </w:numPr>
      <w:snapToGrid w:val="0"/>
      <w:spacing w:afterLines="50"/>
      <w:jc w:val="left"/>
    </w:pPr>
    <w:rPr>
      <w:rFonts w:ascii="宋体"/>
      <w:snapToGrid w:val="0"/>
      <w:kern w:val="0"/>
      <w:szCs w:val="20"/>
    </w:rPr>
  </w:style>
  <w:style w:type="paragraph" w:styleId="37">
    <w:name w:val="Balloon Text"/>
    <w:basedOn w:val="1"/>
    <w:link w:val="91"/>
    <w:semiHidden/>
    <w:unhideWhenUsed/>
    <w:qFormat/>
    <w:uiPriority w:val="99"/>
    <w:rPr>
      <w:sz w:val="18"/>
      <w:szCs w:val="18"/>
    </w:rPr>
  </w:style>
  <w:style w:type="paragraph" w:styleId="38">
    <w:name w:val="footer"/>
    <w:basedOn w:val="1"/>
    <w:link w:val="819"/>
    <w:unhideWhenUsed/>
    <w:qFormat/>
    <w:uiPriority w:val="99"/>
    <w:pPr>
      <w:tabs>
        <w:tab w:val="center" w:pos="4153"/>
        <w:tab w:val="right" w:pos="8306"/>
      </w:tabs>
      <w:snapToGrid w:val="0"/>
      <w:jc w:val="left"/>
    </w:pPr>
    <w:rPr>
      <w:sz w:val="18"/>
      <w:szCs w:val="18"/>
    </w:rPr>
  </w:style>
  <w:style w:type="paragraph" w:styleId="39">
    <w:name w:val="header"/>
    <w:basedOn w:val="1"/>
    <w:link w:val="379"/>
    <w:unhideWhenUsed/>
    <w:qFormat/>
    <w:uiPriority w:val="99"/>
    <w:pPr>
      <w:pBdr>
        <w:bottom w:val="single" w:color="auto" w:sz="6" w:space="1"/>
      </w:pBdr>
      <w:tabs>
        <w:tab w:val="center" w:pos="4153"/>
        <w:tab w:val="right" w:pos="8306"/>
      </w:tabs>
      <w:snapToGrid w:val="0"/>
      <w:jc w:val="center"/>
    </w:pPr>
    <w:rPr>
      <w:sz w:val="18"/>
      <w:szCs w:val="18"/>
    </w:rPr>
  </w:style>
  <w:style w:type="paragraph" w:styleId="40">
    <w:name w:val="toc 1"/>
    <w:basedOn w:val="1"/>
    <w:next w:val="1"/>
    <w:semiHidden/>
    <w:unhideWhenUsed/>
    <w:qFormat/>
    <w:uiPriority w:val="39"/>
    <w:pPr>
      <w:spacing w:before="240" w:after="240"/>
    </w:pPr>
    <w:rPr>
      <w:rFonts w:ascii="Times New Roman" w:hAnsi="Times New Roman" w:eastAsia="仿宋"/>
      <w:sz w:val="36"/>
      <w:szCs w:val="24"/>
    </w:rPr>
  </w:style>
  <w:style w:type="paragraph" w:styleId="41">
    <w:name w:val="toc 4"/>
    <w:basedOn w:val="1"/>
    <w:next w:val="1"/>
    <w:semiHidden/>
    <w:unhideWhenUsed/>
    <w:qFormat/>
    <w:uiPriority w:val="39"/>
    <w:pPr>
      <w:ind w:left="1260" w:leftChars="600"/>
    </w:pPr>
  </w:style>
  <w:style w:type="paragraph" w:styleId="42">
    <w:name w:val="Subtitle"/>
    <w:basedOn w:val="1"/>
    <w:link w:val="94"/>
    <w:qFormat/>
    <w:uiPriority w:val="11"/>
    <w:pPr>
      <w:spacing w:afterLines="50"/>
      <w:jc w:val="center"/>
    </w:pPr>
    <w:rPr>
      <w:rFonts w:ascii="Times New Roman" w:hAnsi="Times New Roman" w:eastAsia="Times New Roman"/>
      <w:sz w:val="18"/>
      <w:szCs w:val="18"/>
    </w:rPr>
  </w:style>
  <w:style w:type="paragraph" w:styleId="43">
    <w:name w:val="List"/>
    <w:basedOn w:val="1"/>
    <w:semiHidden/>
    <w:unhideWhenUsed/>
    <w:qFormat/>
    <w:uiPriority w:val="99"/>
    <w:pPr>
      <w:ind w:left="200" w:hanging="200" w:hangingChars="200"/>
    </w:pPr>
    <w:rPr>
      <w:rFonts w:ascii="Times New Roman" w:hAnsi="Times New Roman"/>
      <w:sz w:val="28"/>
      <w:szCs w:val="24"/>
    </w:rPr>
  </w:style>
  <w:style w:type="paragraph" w:styleId="44">
    <w:name w:val="footnote text"/>
    <w:basedOn w:val="1"/>
    <w:link w:val="95"/>
    <w:semiHidden/>
    <w:unhideWhenUsed/>
    <w:qFormat/>
    <w:uiPriority w:val="99"/>
    <w:pPr>
      <w:snapToGrid w:val="0"/>
      <w:jc w:val="left"/>
    </w:pPr>
    <w:rPr>
      <w:sz w:val="18"/>
      <w:szCs w:val="18"/>
    </w:rPr>
  </w:style>
  <w:style w:type="paragraph" w:styleId="45">
    <w:name w:val="toc 6"/>
    <w:basedOn w:val="1"/>
    <w:next w:val="1"/>
    <w:semiHidden/>
    <w:unhideWhenUsed/>
    <w:qFormat/>
    <w:uiPriority w:val="39"/>
    <w:pPr>
      <w:ind w:left="1050"/>
      <w:jc w:val="left"/>
    </w:pPr>
    <w:rPr>
      <w:rFonts w:ascii="Times New Roman" w:hAnsi="Times New Roman"/>
      <w:sz w:val="18"/>
      <w:szCs w:val="18"/>
    </w:rPr>
  </w:style>
  <w:style w:type="paragraph" w:styleId="46">
    <w:name w:val="Body Text Indent 3"/>
    <w:basedOn w:val="1"/>
    <w:link w:val="96"/>
    <w:semiHidden/>
    <w:unhideWhenUsed/>
    <w:qFormat/>
    <w:uiPriority w:val="99"/>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semiHidden/>
    <w:unhideWhenUsed/>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semiHidden/>
    <w:unhideWhenUsed/>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semiHidden/>
    <w:unhideWhenUsed/>
    <w:qFormat/>
    <w:uiPriority w:val="39"/>
    <w:pPr>
      <w:ind w:left="1680"/>
      <w:jc w:val="left"/>
    </w:pPr>
    <w:rPr>
      <w:rFonts w:ascii="Times New Roman" w:hAnsi="Times New Roman"/>
      <w:sz w:val="18"/>
      <w:szCs w:val="18"/>
    </w:rPr>
  </w:style>
  <w:style w:type="paragraph" w:styleId="50">
    <w:name w:val="Body Text 2"/>
    <w:basedOn w:val="1"/>
    <w:link w:val="97"/>
    <w:semiHidden/>
    <w:unhideWhenUsed/>
    <w:qFormat/>
    <w:uiPriority w:val="99"/>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semiHidden/>
    <w:unhideWhenUsed/>
    <w:qFormat/>
    <w:uiPriority w:val="99"/>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98"/>
    <w:semiHidden/>
    <w:unhideWhenUsed/>
    <w:qFormat/>
    <w:uiPriority w:val="99"/>
    <w:rPr>
      <w:rFonts w:ascii="Courier New" w:hAnsi="Courier New"/>
      <w:sz w:val="20"/>
      <w:szCs w:val="20"/>
    </w:rPr>
  </w:style>
  <w:style w:type="paragraph" w:styleId="53">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semiHidden/>
    <w:unhideWhenUsed/>
    <w:qFormat/>
    <w:uiPriority w:val="99"/>
    <w:rPr>
      <w:rFonts w:ascii="Times New Roman" w:hAnsi="Times New Roman"/>
      <w:szCs w:val="20"/>
    </w:rPr>
  </w:style>
  <w:style w:type="paragraph" w:styleId="55">
    <w:name w:val="Title"/>
    <w:basedOn w:val="1"/>
    <w:link w:val="99"/>
    <w:qFormat/>
    <w:uiPriority w:val="10"/>
    <w:pPr>
      <w:spacing w:before="240" w:after="60"/>
      <w:jc w:val="center"/>
      <w:outlineLvl w:val="0"/>
    </w:pPr>
    <w:rPr>
      <w:rFonts w:ascii="Arial" w:hAnsi="Arial"/>
      <w:b/>
      <w:bCs/>
      <w:sz w:val="32"/>
      <w:szCs w:val="32"/>
    </w:rPr>
  </w:style>
  <w:style w:type="paragraph" w:styleId="56">
    <w:name w:val="annotation subject"/>
    <w:basedOn w:val="21"/>
    <w:next w:val="21"/>
    <w:link w:val="963"/>
    <w:semiHidden/>
    <w:unhideWhenUsed/>
    <w:qFormat/>
    <w:uiPriority w:val="99"/>
    <w:rPr>
      <w:b/>
      <w:bCs/>
    </w:rPr>
  </w:style>
  <w:style w:type="paragraph" w:styleId="57">
    <w:name w:val="Body Text First Indent"/>
    <w:basedOn w:val="24"/>
    <w:link w:val="102"/>
    <w:semiHidden/>
    <w:unhideWhenUsed/>
    <w:qFormat/>
    <w:uiPriority w:val="99"/>
    <w:pPr>
      <w:ind w:firstLine="420" w:firstLineChars="100"/>
    </w:pPr>
    <w:rPr>
      <w:sz w:val="21"/>
      <w:szCs w:val="22"/>
    </w:rPr>
  </w:style>
  <w:style w:type="paragraph" w:styleId="58">
    <w:name w:val="Body Text First Indent 2"/>
    <w:basedOn w:val="25"/>
    <w:link w:val="965"/>
    <w:semiHidden/>
    <w:unhideWhenUsed/>
    <w:qFormat/>
    <w:uiPriority w:val="99"/>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semiHidden/>
    <w:unhideWhenUsed/>
    <w:qFormat/>
    <w:uiPriority w:val="99"/>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semiHidden/>
    <w:unhideWhenUsed/>
    <w:qFormat/>
    <w:uiPriority w:val="99"/>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22"/>
    <w:rPr>
      <w:b/>
      <w:bCs/>
    </w:rPr>
  </w:style>
  <w:style w:type="character" w:styleId="66">
    <w:name w:val="page number"/>
    <w:basedOn w:val="64"/>
    <w:semiHidden/>
    <w:unhideWhenUsed/>
    <w:qFormat/>
    <w:uiPriority w:val="99"/>
  </w:style>
  <w:style w:type="character" w:styleId="67">
    <w:name w:val="FollowedHyperlink"/>
    <w:semiHidden/>
    <w:unhideWhenUsed/>
    <w:qFormat/>
    <w:uiPriority w:val="99"/>
    <w:rPr>
      <w:color w:val="800080"/>
      <w:u w:val="single"/>
    </w:rPr>
  </w:style>
  <w:style w:type="character" w:styleId="68">
    <w:name w:val="Emphasis"/>
    <w:qFormat/>
    <w:uiPriority w:val="20"/>
    <w:rPr>
      <w:color w:val="CC0033"/>
    </w:rPr>
  </w:style>
  <w:style w:type="character" w:styleId="69">
    <w:name w:val="Hyperlink"/>
    <w:semiHidden/>
    <w:unhideWhenUsed/>
    <w:qFormat/>
    <w:uiPriority w:val="99"/>
    <w:rPr>
      <w:color w:val="0000FF"/>
      <w:u w:val="single"/>
    </w:rPr>
  </w:style>
  <w:style w:type="character" w:styleId="70">
    <w:name w:val="annotation reference"/>
    <w:semiHidden/>
    <w:unhideWhenUsed/>
    <w:qFormat/>
    <w:uiPriority w:val="99"/>
    <w:rPr>
      <w:sz w:val="21"/>
      <w:szCs w:val="21"/>
    </w:rPr>
  </w:style>
  <w:style w:type="character" w:styleId="71">
    <w:name w:val="footnote reference"/>
    <w:semiHidden/>
    <w:unhideWhenUsed/>
    <w:qFormat/>
    <w:uiPriority w:val="99"/>
    <w:rPr>
      <w:vertAlign w:val="superscript"/>
    </w:rPr>
  </w:style>
  <w:style w:type="character" w:customStyle="1" w:styleId="72">
    <w:name w:val="标题 1 字符"/>
    <w:basedOn w:val="64"/>
    <w:link w:val="3"/>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字符"/>
    <w:basedOn w:val="64"/>
    <w:link w:val="5"/>
    <w:qFormat/>
    <w:uiPriority w:val="9"/>
    <w:rPr>
      <w:rFonts w:ascii="Calibri" w:hAnsi="Calibri" w:eastAsia="宋体" w:cs="Times New Roman"/>
      <w:b/>
      <w:bCs/>
      <w:sz w:val="32"/>
      <w:szCs w:val="32"/>
    </w:rPr>
  </w:style>
  <w:style w:type="character" w:customStyle="1" w:styleId="75">
    <w:name w:val="标题 4 字符"/>
    <w:basedOn w:val="64"/>
    <w:link w:val="6"/>
    <w:qFormat/>
    <w:uiPriority w:val="0"/>
    <w:rPr>
      <w:rFonts w:ascii="Arial" w:hAnsi="Arial" w:eastAsia="黑体" w:cs="Times New Roman"/>
      <w:b/>
      <w:bCs/>
      <w:sz w:val="28"/>
      <w:szCs w:val="28"/>
    </w:rPr>
  </w:style>
  <w:style w:type="character" w:customStyle="1" w:styleId="76">
    <w:name w:val="标题 5 字符"/>
    <w:basedOn w:val="64"/>
    <w:link w:val="7"/>
    <w:qFormat/>
    <w:uiPriority w:val="0"/>
    <w:rPr>
      <w:rFonts w:ascii="Calibri" w:hAnsi="Calibri" w:eastAsia="宋体" w:cs="Times New Roman"/>
      <w:b/>
      <w:bCs/>
      <w:sz w:val="28"/>
      <w:szCs w:val="28"/>
    </w:rPr>
  </w:style>
  <w:style w:type="character" w:customStyle="1" w:styleId="77">
    <w:name w:val="标题 6 字符"/>
    <w:basedOn w:val="64"/>
    <w:link w:val="8"/>
    <w:qFormat/>
    <w:uiPriority w:val="0"/>
    <w:rPr>
      <w:rFonts w:ascii="Arial" w:hAnsi="Arial" w:eastAsia="黑体" w:cs="Times New Roman"/>
      <w:b/>
      <w:bCs/>
      <w:sz w:val="24"/>
      <w:szCs w:val="24"/>
    </w:rPr>
  </w:style>
  <w:style w:type="character" w:customStyle="1" w:styleId="78">
    <w:name w:val="标题 7 字符"/>
    <w:basedOn w:val="64"/>
    <w:link w:val="9"/>
    <w:qFormat/>
    <w:uiPriority w:val="99"/>
    <w:rPr>
      <w:rFonts w:ascii="Calibri" w:hAnsi="Calibri" w:eastAsia="宋体" w:cs="Times New Roman"/>
      <w:b/>
      <w:bCs/>
      <w:sz w:val="24"/>
      <w:szCs w:val="24"/>
    </w:rPr>
  </w:style>
  <w:style w:type="character" w:customStyle="1" w:styleId="79">
    <w:name w:val="标题 8 字符"/>
    <w:basedOn w:val="64"/>
    <w:link w:val="10"/>
    <w:qFormat/>
    <w:uiPriority w:val="99"/>
    <w:rPr>
      <w:rFonts w:ascii="Cambria" w:hAnsi="Cambria" w:eastAsia="宋体" w:cs="Times New Roman"/>
      <w:sz w:val="24"/>
      <w:szCs w:val="24"/>
    </w:rPr>
  </w:style>
  <w:style w:type="character" w:customStyle="1" w:styleId="80">
    <w:name w:val="标题 9 字符"/>
    <w:basedOn w:val="64"/>
    <w:link w:val="11"/>
    <w:qFormat/>
    <w:uiPriority w:val="99"/>
    <w:rPr>
      <w:rFonts w:ascii="Cambria" w:hAnsi="Cambria" w:eastAsia="宋体" w:cs="Times New Roman"/>
      <w:szCs w:val="21"/>
    </w:rPr>
  </w:style>
  <w:style w:type="character" w:customStyle="1" w:styleId="81">
    <w:name w:val="文档结构图 字符"/>
    <w:basedOn w:val="64"/>
    <w:link w:val="20"/>
    <w:qFormat/>
    <w:uiPriority w:val="99"/>
    <w:rPr>
      <w:rFonts w:ascii="宋体" w:hAnsi="Calibri" w:eastAsia="宋体" w:cs="Times New Roman"/>
      <w:sz w:val="18"/>
      <w:szCs w:val="18"/>
    </w:rPr>
  </w:style>
  <w:style w:type="character" w:customStyle="1" w:styleId="82">
    <w:name w:val="批注文字 字符1"/>
    <w:basedOn w:val="64"/>
    <w:link w:val="21"/>
    <w:qFormat/>
    <w:uiPriority w:val="99"/>
    <w:rPr>
      <w:rFonts w:ascii="Calibri" w:hAnsi="Calibri" w:eastAsia="宋体" w:cs="Times New Roman"/>
    </w:rPr>
  </w:style>
  <w:style w:type="character" w:customStyle="1" w:styleId="83">
    <w:name w:val="称呼 字符"/>
    <w:basedOn w:val="64"/>
    <w:link w:val="22"/>
    <w:qFormat/>
    <w:uiPriority w:val="99"/>
    <w:rPr>
      <w:rFonts w:ascii="宋体" w:hAnsi="Times New Roman" w:eastAsia="宋体" w:cs="Times New Roman"/>
      <w:b/>
      <w:sz w:val="28"/>
      <w:szCs w:val="20"/>
    </w:rPr>
  </w:style>
  <w:style w:type="character" w:customStyle="1" w:styleId="84">
    <w:name w:val="正文文本 3 字符"/>
    <w:basedOn w:val="64"/>
    <w:link w:val="23"/>
    <w:qFormat/>
    <w:uiPriority w:val="99"/>
    <w:rPr>
      <w:rFonts w:ascii="Times New Roman" w:hAnsi="宋体" w:eastAsia="仿宋_GB2312" w:cs="Times New Roman"/>
      <w:b/>
      <w:bCs/>
      <w:sz w:val="24"/>
      <w:szCs w:val="20"/>
    </w:rPr>
  </w:style>
  <w:style w:type="character" w:customStyle="1" w:styleId="85">
    <w:name w:val="正文文本 字符1"/>
    <w:basedOn w:val="64"/>
    <w:link w:val="24"/>
    <w:qFormat/>
    <w:uiPriority w:val="99"/>
    <w:rPr>
      <w:rFonts w:ascii="Calibri" w:hAnsi="Calibri" w:eastAsia="宋体" w:cs="Times New Roman"/>
      <w:sz w:val="28"/>
      <w:szCs w:val="24"/>
    </w:rPr>
  </w:style>
  <w:style w:type="character" w:customStyle="1" w:styleId="86">
    <w:name w:val="正文文本缩进 字符1"/>
    <w:basedOn w:val="64"/>
    <w:link w:val="25"/>
    <w:qFormat/>
    <w:uiPriority w:val="99"/>
    <w:rPr>
      <w:rFonts w:ascii="宋体" w:hAnsi="Courier New" w:eastAsia="宋体" w:cs="Times New Roman"/>
      <w:spacing w:val="-4"/>
      <w:sz w:val="18"/>
      <w:szCs w:val="20"/>
    </w:rPr>
  </w:style>
  <w:style w:type="character" w:customStyle="1" w:styleId="87">
    <w:name w:val="纯文本 字符"/>
    <w:basedOn w:val="64"/>
    <w:link w:val="31"/>
    <w:qFormat/>
    <w:uiPriority w:val="99"/>
    <w:rPr>
      <w:rFonts w:ascii="宋体" w:hAnsi="Courier New" w:eastAsia="宋体" w:cs="Times New Roman"/>
      <w:sz w:val="24"/>
      <w:szCs w:val="24"/>
    </w:rPr>
  </w:style>
  <w:style w:type="character" w:customStyle="1" w:styleId="88">
    <w:name w:val="日期 字符"/>
    <w:basedOn w:val="64"/>
    <w:link w:val="34"/>
    <w:qFormat/>
    <w:uiPriority w:val="0"/>
    <w:rPr>
      <w:rFonts w:ascii="Calibri" w:hAnsi="Calibri" w:eastAsia="楷体_GB2312" w:cs="Times New Roman"/>
      <w:sz w:val="32"/>
      <w:szCs w:val="20"/>
    </w:rPr>
  </w:style>
  <w:style w:type="character" w:customStyle="1" w:styleId="89">
    <w:name w:val="正文文本缩进 2 字符"/>
    <w:basedOn w:val="64"/>
    <w:link w:val="35"/>
    <w:qFormat/>
    <w:uiPriority w:val="99"/>
    <w:rPr>
      <w:rFonts w:ascii="仿宋_GB2312" w:hAnsi="宋体" w:eastAsia="宋体" w:cs="Times New Roman"/>
      <w:b/>
      <w:bCs/>
      <w:color w:val="000000"/>
      <w:sz w:val="24"/>
      <w:szCs w:val="24"/>
    </w:rPr>
  </w:style>
  <w:style w:type="character" w:customStyle="1" w:styleId="90">
    <w:name w:val="尾注文本 字符"/>
    <w:basedOn w:val="64"/>
    <w:link w:val="36"/>
    <w:qFormat/>
    <w:uiPriority w:val="99"/>
    <w:rPr>
      <w:rFonts w:ascii="宋体" w:hAnsi="Calibri" w:eastAsia="宋体" w:cs="Times New Roman"/>
      <w:snapToGrid w:val="0"/>
      <w:kern w:val="0"/>
      <w:szCs w:val="20"/>
    </w:rPr>
  </w:style>
  <w:style w:type="character" w:customStyle="1" w:styleId="91">
    <w:name w:val="批注框文本 字符"/>
    <w:basedOn w:val="64"/>
    <w:link w:val="37"/>
    <w:qFormat/>
    <w:uiPriority w:val="99"/>
    <w:rPr>
      <w:rFonts w:ascii="Calibri" w:hAnsi="Calibri" w:eastAsia="宋体" w:cs="Times New Roman"/>
      <w:sz w:val="18"/>
      <w:szCs w:val="18"/>
    </w:rPr>
  </w:style>
  <w:style w:type="character" w:customStyle="1" w:styleId="92">
    <w:name w:val="页脚 Char"/>
    <w:basedOn w:val="64"/>
    <w:qFormat/>
    <w:uiPriority w:val="0"/>
    <w:rPr>
      <w:rFonts w:ascii="Calibri" w:hAnsi="Calibri" w:eastAsia="宋体" w:cs="Times New Roman"/>
      <w:sz w:val="18"/>
      <w:szCs w:val="18"/>
    </w:rPr>
  </w:style>
  <w:style w:type="character" w:customStyle="1" w:styleId="93">
    <w:name w:val="页眉 Char"/>
    <w:basedOn w:val="64"/>
    <w:qFormat/>
    <w:uiPriority w:val="0"/>
    <w:rPr>
      <w:rFonts w:ascii="Calibri" w:hAnsi="Calibri" w:eastAsia="宋体" w:cs="Times New Roman"/>
      <w:sz w:val="18"/>
      <w:szCs w:val="18"/>
    </w:rPr>
  </w:style>
  <w:style w:type="character" w:customStyle="1" w:styleId="94">
    <w:name w:val="副标题 字符"/>
    <w:basedOn w:val="64"/>
    <w:link w:val="42"/>
    <w:qFormat/>
    <w:uiPriority w:val="11"/>
    <w:rPr>
      <w:rFonts w:ascii="Times New Roman" w:hAnsi="Times New Roman" w:eastAsia="Times New Roman" w:cs="Times New Roman"/>
      <w:sz w:val="18"/>
      <w:szCs w:val="18"/>
    </w:rPr>
  </w:style>
  <w:style w:type="character" w:customStyle="1" w:styleId="95">
    <w:name w:val="脚注文本 字符"/>
    <w:basedOn w:val="64"/>
    <w:link w:val="44"/>
    <w:qFormat/>
    <w:uiPriority w:val="99"/>
    <w:rPr>
      <w:rFonts w:ascii="Calibri" w:hAnsi="Calibri" w:eastAsia="宋体" w:cs="Times New Roman"/>
      <w:sz w:val="18"/>
      <w:szCs w:val="18"/>
    </w:rPr>
  </w:style>
  <w:style w:type="character" w:customStyle="1" w:styleId="96">
    <w:name w:val="正文文本缩进 3 字符"/>
    <w:basedOn w:val="64"/>
    <w:link w:val="46"/>
    <w:qFormat/>
    <w:uiPriority w:val="99"/>
    <w:rPr>
      <w:rFonts w:ascii="仿宋_GB2312" w:hAnsi="宋体" w:eastAsia="仿宋_GB2312" w:cs="Times New Roman"/>
      <w:color w:val="000000"/>
      <w:sz w:val="24"/>
      <w:szCs w:val="24"/>
    </w:rPr>
  </w:style>
  <w:style w:type="character" w:customStyle="1" w:styleId="97">
    <w:name w:val="正文文本 2 字符"/>
    <w:basedOn w:val="64"/>
    <w:link w:val="50"/>
    <w:qFormat/>
    <w:uiPriority w:val="0"/>
    <w:rPr>
      <w:rFonts w:ascii="宋体" w:hAnsi="宋体" w:eastAsia="宋体" w:cs="Times New Roman"/>
      <w:color w:val="000000"/>
      <w:sz w:val="24"/>
      <w:szCs w:val="24"/>
    </w:rPr>
  </w:style>
  <w:style w:type="character" w:customStyle="1" w:styleId="98">
    <w:name w:val="HTML 预设格式 字符"/>
    <w:basedOn w:val="64"/>
    <w:link w:val="52"/>
    <w:qFormat/>
    <w:uiPriority w:val="99"/>
    <w:rPr>
      <w:rFonts w:ascii="Courier New" w:hAnsi="Courier New" w:eastAsia="宋体" w:cs="Times New Roman"/>
      <w:sz w:val="20"/>
      <w:szCs w:val="20"/>
    </w:rPr>
  </w:style>
  <w:style w:type="character" w:customStyle="1" w:styleId="99">
    <w:name w:val="标题 字符"/>
    <w:basedOn w:val="64"/>
    <w:link w:val="55"/>
    <w:qFormat/>
    <w:uiPriority w:val="99"/>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1"/>
    <w:next w:val="21"/>
    <w:link w:val="100"/>
    <w:qFormat/>
    <w:uiPriority w:val="99"/>
    <w:rPr>
      <w:b/>
      <w:bCs/>
    </w:rPr>
  </w:style>
  <w:style w:type="character" w:customStyle="1" w:styleId="102">
    <w:name w:val="正文首行缩进 字符"/>
    <w:basedOn w:val="85"/>
    <w:link w:val="57"/>
    <w:qFormat/>
    <w:uiPriority w:val="99"/>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99"/>
    <w:pPr>
      <w:spacing w:after="120"/>
      <w:ind w:left="420" w:leftChars="200"/>
    </w:pPr>
    <w:rPr>
      <w:rFonts w:cs="黑体"/>
    </w:rPr>
  </w:style>
  <w:style w:type="character" w:customStyle="1" w:styleId="106">
    <w:name w:val="ca-8"/>
    <w:basedOn w:val="64"/>
    <w:qFormat/>
    <w:uiPriority w:val="0"/>
  </w:style>
  <w:style w:type="character" w:customStyle="1" w:styleId="107">
    <w:name w:val="题注 字符"/>
    <w:link w:val="18"/>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18"/>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6"/>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64"/>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64"/>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字符"/>
    <w:link w:val="182"/>
    <w:qFormat/>
    <w:uiPriority w:val="0"/>
  </w:style>
  <w:style w:type="paragraph" w:styleId="182">
    <w:name w:val="List Paragraph"/>
    <w:basedOn w:val="1"/>
    <w:link w:val="181"/>
    <w:qFormat/>
    <w:uiPriority w:val="0"/>
    <w:pPr>
      <w:ind w:firstLine="420" w:firstLineChars="200"/>
    </w:pPr>
    <w:rPr>
      <w:rFonts w:asciiTheme="minorHAnsi" w:hAnsiTheme="minorHAnsi" w:eastAsiaTheme="minorEastAsia" w:cstheme="minorBidi"/>
    </w:rPr>
  </w:style>
  <w:style w:type="character" w:customStyle="1" w:styleId="183">
    <w:name w:val="para"/>
    <w:basedOn w:val="64"/>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semiHidden/>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34"/>
    <w:rPr>
      <w:rFonts w:ascii="Times New Roman" w:hAnsi="Times New Roman"/>
      <w:szCs w:val="24"/>
    </w:rPr>
  </w:style>
  <w:style w:type="paragraph" w:customStyle="1" w:styleId="208">
    <w:name w:val="列出段落1"/>
    <w:basedOn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semiHidden/>
    <w:qFormat/>
    <w:locked/>
    <w:uiPriority w:val="0"/>
    <w:rPr>
      <w:rFonts w:ascii="Times New Roman" w:hAnsi="Times New Roman" w:eastAsia="宋体" w:cs="Times New Roman"/>
      <w:sz w:val="18"/>
      <w:szCs w:val="18"/>
    </w:rPr>
  </w:style>
  <w:style w:type="character" w:customStyle="1" w:styleId="210">
    <w:name w:val="书籍标题1"/>
    <w:qFormat/>
    <w:uiPriority w:val="33"/>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99"/>
    <w:rPr>
      <w:rFonts w:ascii="Arial" w:hAnsi="Arial"/>
      <w:sz w:val="18"/>
      <w:szCs w:val="18"/>
    </w:rPr>
  </w:style>
  <w:style w:type="paragraph" w:customStyle="1" w:styleId="213">
    <w:name w:val="Item List in Table"/>
    <w:link w:val="212"/>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9"/>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字符"/>
    <w:basedOn w:val="64"/>
    <w:link w:val="4"/>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semiHidden/>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字符1"/>
    <w:link w:val="38"/>
    <w:qFormat/>
    <w:uiPriority w:val="99"/>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99"/>
    <w:rPr>
      <w:rFonts w:ascii="Calibri" w:hAnsi="Calibri"/>
      <w:sz w:val="24"/>
      <w:szCs w:val="24"/>
    </w:rPr>
  </w:style>
  <w:style w:type="paragraph" w:customStyle="1" w:styleId="254">
    <w:name w:val="正文4"/>
    <w:basedOn w:val="1"/>
    <w:link w:val="253"/>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qFormat/>
    <w:uiPriority w:val="0"/>
    <w:rPr>
      <w:rFonts w:ascii="Calibri" w:hAnsi="Calibri" w:eastAsia="仿宋"/>
      <w:b/>
      <w:kern w:val="2"/>
      <w:sz w:val="28"/>
      <w:szCs w:val="21"/>
      <w:lang w:bidi="ar-SA"/>
    </w:rPr>
  </w:style>
  <w:style w:type="character" w:customStyle="1" w:styleId="262">
    <w:name w:val="列表1、 Char"/>
    <w:link w:val="263"/>
    <w:qFormat/>
    <w:locked/>
    <w:uiPriority w:val="99"/>
    <w:rPr>
      <w:rFonts w:ascii="仿宋" w:hAnsi="仿宋" w:eastAsia="仿宋"/>
      <w:sz w:val="28"/>
      <w:szCs w:val="21"/>
    </w:rPr>
  </w:style>
  <w:style w:type="paragraph" w:customStyle="1" w:styleId="263">
    <w:name w:val="列表1、"/>
    <w:basedOn w:val="126"/>
    <w:link w:val="262"/>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64"/>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2"/>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64"/>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qFormat/>
    <w:uiPriority w:val="0"/>
    <w:rPr>
      <w:rFonts w:ascii="新宋体" w:hAnsi="新宋体" w:eastAsia="华文中宋"/>
      <w:b/>
      <w:bCs/>
      <w:sz w:val="27"/>
      <w:szCs w:val="26"/>
      <w:shd w:val="clear" w:color="auto" w:fill="auto"/>
    </w:rPr>
  </w:style>
  <w:style w:type="character" w:customStyle="1" w:styleId="303">
    <w:name w:val="自定义正文 Char Char"/>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qFormat/>
    <w:uiPriority w:val="0"/>
    <w:rPr>
      <w:rFonts w:ascii="Times New Roman" w:hAnsi="Times New Roman"/>
      <w:sz w:val="18"/>
      <w:szCs w:val="24"/>
    </w:rPr>
  </w:style>
  <w:style w:type="paragraph" w:customStyle="1" w:styleId="306">
    <w:name w:val="表格文字"/>
    <w:basedOn w:val="1"/>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qFormat/>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4"/>
    <w:qFormat/>
    <w:uiPriority w:val="0"/>
  </w:style>
  <w:style w:type="character" w:customStyle="1" w:styleId="330">
    <w:name w:val="black10"/>
    <w:basedOn w:val="64"/>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qFormat/>
    <w:uiPriority w:val="0"/>
  </w:style>
  <w:style w:type="character" w:customStyle="1" w:styleId="335">
    <w:name w:val="ZJGIS-四级标题 Char"/>
    <w:link w:val="336"/>
    <w:qFormat/>
    <w:uiPriority w:val="99"/>
    <w:rPr>
      <w:rFonts w:ascii="Arial" w:hAnsi="Arial" w:eastAsia="仿宋_GB2312"/>
      <w:b/>
      <w:bCs/>
      <w:sz w:val="28"/>
      <w:szCs w:val="28"/>
    </w:rPr>
  </w:style>
  <w:style w:type="paragraph" w:customStyle="1" w:styleId="336">
    <w:name w:val="ZJGIS-四级标题"/>
    <w:basedOn w:val="6"/>
    <w:link w:val="335"/>
    <w:qFormat/>
    <w:uiPriority w:val="99"/>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qFormat/>
    <w:uiPriority w:val="0"/>
  </w:style>
  <w:style w:type="character" w:customStyle="1" w:styleId="349">
    <w:name w:val="样式 首行缩进:  2 字符 Char"/>
    <w:link w:val="350"/>
    <w:qFormat/>
    <w:uiPriority w:val="99"/>
    <w:rPr>
      <w:rFonts w:ascii="宋体" w:hAnsi="宋体"/>
      <w:bCs/>
      <w:color w:val="000000"/>
      <w:sz w:val="24"/>
      <w:szCs w:val="24"/>
    </w:rPr>
  </w:style>
  <w:style w:type="paragraph" w:customStyle="1" w:styleId="350">
    <w:name w:val="样式 首行缩进:  2 字符"/>
    <w:basedOn w:val="1"/>
    <w:link w:val="349"/>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4"/>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2"/>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basedOn w:val="64"/>
    <w:link w:val="39"/>
    <w:qFormat/>
    <w:uiPriority w:val="99"/>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99"/>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4"/>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4">
    <w:name w:val="沈标题四"/>
    <w:basedOn w:val="6"/>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4"/>
    <w:qFormat/>
    <w:uiPriority w:val="99"/>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99"/>
    <w:pPr>
      <w:ind w:firstLine="480" w:firstLineChars="200"/>
    </w:pPr>
  </w:style>
  <w:style w:type="paragraph" w:customStyle="1" w:styleId="397">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99"/>
    <w:pPr>
      <w:ind w:firstLine="420" w:firstLineChars="200"/>
    </w:pPr>
  </w:style>
  <w:style w:type="paragraph" w:customStyle="1" w:styleId="400">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99"/>
    <w:pPr>
      <w:spacing w:line="288" w:lineRule="auto"/>
      <w:jc w:val="center"/>
    </w:pPr>
    <w:rPr>
      <w:rFonts w:ascii="新宋体" w:hAnsi="Times New Roman" w:eastAsia="新宋体"/>
      <w:sz w:val="24"/>
      <w:szCs w:val="24"/>
    </w:rPr>
  </w:style>
  <w:style w:type="paragraph" w:customStyle="1" w:styleId="402">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99"/>
    <w:pPr>
      <w:spacing w:line="360" w:lineRule="auto"/>
    </w:pPr>
    <w:rPr>
      <w:rFonts w:ascii="Times New Roman" w:hAnsi="Times New Roman"/>
      <w:b/>
      <w:i/>
      <w:sz w:val="24"/>
      <w:szCs w:val="24"/>
      <w:u w:val="single"/>
    </w:rPr>
  </w:style>
  <w:style w:type="paragraph" w:customStyle="1" w:styleId="405">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99"/>
    <w:pPr>
      <w:spacing w:after="120"/>
    </w:pPr>
    <w:rPr>
      <w:rFonts w:ascii="Times New Roman" w:hAnsi="Times New Roman"/>
      <w:sz w:val="28"/>
      <w:szCs w:val="24"/>
    </w:rPr>
  </w:style>
  <w:style w:type="paragraph" w:customStyle="1" w:styleId="407">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99"/>
    <w:pPr>
      <w:spacing w:line="360" w:lineRule="auto"/>
      <w:jc w:val="center"/>
    </w:pPr>
    <w:rPr>
      <w:rFonts w:ascii="宋体" w:hAnsi="宋体"/>
      <w:b/>
      <w:sz w:val="24"/>
      <w:szCs w:val="24"/>
    </w:rPr>
  </w:style>
  <w:style w:type="paragraph" w:customStyle="1" w:styleId="412">
    <w:name w:val="Char"/>
    <w:basedOn w:val="1"/>
    <w:qFormat/>
    <w:uiPriority w:val="99"/>
    <w:rPr>
      <w:rFonts w:ascii="仿宋_GB2312" w:hAnsi="Times New Roman" w:eastAsia="仿宋_GB2312"/>
      <w:b/>
      <w:sz w:val="32"/>
      <w:szCs w:val="32"/>
    </w:rPr>
  </w:style>
  <w:style w:type="paragraph" w:customStyle="1" w:styleId="413">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99"/>
    <w:pPr>
      <w:adjustRightInd w:val="0"/>
      <w:snapToGrid w:val="0"/>
      <w:jc w:val="center"/>
    </w:pPr>
    <w:rPr>
      <w:rFonts w:ascii="宋体" w:hAnsi="宋体"/>
      <w:szCs w:val="21"/>
    </w:rPr>
  </w:style>
  <w:style w:type="paragraph" w:customStyle="1" w:styleId="416">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99"/>
    <w:pPr>
      <w:ind w:firstLine="480" w:firstLineChars="200"/>
    </w:pPr>
  </w:style>
  <w:style w:type="paragraph" w:customStyle="1" w:styleId="420">
    <w:name w:val="样式 正文文本缩进 + 仿宋_GB2312 小四 首行缩进:  0 厘米 行距: 1.5 倍行距"/>
    <w:basedOn w:val="25"/>
    <w:qFormat/>
    <w:uiPriority w:val="99"/>
    <w:pPr>
      <w:spacing w:line="360" w:lineRule="auto"/>
      <w:ind w:firstLine="0"/>
    </w:pPr>
    <w:rPr>
      <w:rFonts w:ascii="仿宋_GB2312" w:hAnsi="Times New Roman" w:eastAsia="新宋体"/>
      <w:spacing w:val="0"/>
      <w:sz w:val="24"/>
    </w:rPr>
  </w:style>
  <w:style w:type="paragraph" w:customStyle="1" w:styleId="421">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99"/>
    <w:pPr>
      <w:ind w:firstLine="562"/>
    </w:pPr>
    <w:rPr>
      <w:rFonts w:ascii="仿宋_GB2312" w:eastAsia="仿宋_GB2312"/>
      <w:b/>
      <w:sz w:val="28"/>
      <w:szCs w:val="28"/>
    </w:rPr>
  </w:style>
  <w:style w:type="paragraph" w:customStyle="1" w:styleId="423">
    <w:name w:val="图名"/>
    <w:basedOn w:val="18"/>
    <w:qFormat/>
    <w:uiPriority w:val="99"/>
    <w:pPr>
      <w:spacing w:beforeLines="50" w:afterLines="50"/>
      <w:jc w:val="center"/>
    </w:pPr>
    <w:rPr>
      <w:rFonts w:ascii="Times New Roman" w:hAnsi="Times New Roman"/>
      <w:kern w:val="0"/>
      <w:sz w:val="24"/>
      <w:szCs w:val="24"/>
    </w:rPr>
  </w:style>
  <w:style w:type="paragraph" w:styleId="424">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18"/>
    <w:qFormat/>
    <w:uiPriority w:val="99"/>
    <w:pPr>
      <w:spacing w:beforeLines="50" w:afterLines="50"/>
      <w:jc w:val="center"/>
    </w:pPr>
    <w:rPr>
      <w:rFonts w:ascii="黑体"/>
      <w:kern w:val="0"/>
      <w:sz w:val="24"/>
      <w:szCs w:val="24"/>
    </w:rPr>
  </w:style>
  <w:style w:type="paragraph" w:customStyle="1" w:styleId="434">
    <w:name w:val="Char Char Char"/>
    <w:basedOn w:val="1"/>
    <w:qFormat/>
    <w:uiPriority w:val="99"/>
    <w:rPr>
      <w:rFonts w:ascii="Tahoma" w:hAnsi="Tahoma"/>
      <w:sz w:val="24"/>
      <w:szCs w:val="20"/>
    </w:rPr>
  </w:style>
  <w:style w:type="paragraph" w:customStyle="1" w:styleId="435">
    <w:name w:val="样式 样式 标题 4 + 段后: 0.5 行1"/>
    <w:basedOn w:val="436"/>
    <w:next w:val="36"/>
    <w:qFormat/>
    <w:uiPriority w:val="99"/>
    <w:pPr>
      <w:numPr>
        <w:ilvl w:val="1"/>
        <w:numId w:val="5"/>
      </w:numPr>
      <w:tabs>
        <w:tab w:val="left" w:pos="2040"/>
      </w:tabs>
      <w:spacing w:after="120"/>
      <w:ind w:left="0" w:firstLine="0"/>
    </w:pPr>
  </w:style>
  <w:style w:type="paragraph" w:customStyle="1" w:styleId="436">
    <w:name w:val="样式 标题 4 + 段后: 0.5 行"/>
    <w:basedOn w:val="6"/>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4"/>
    <w:next w:val="1"/>
    <w:qFormat/>
    <w:uiPriority w:val="99"/>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99"/>
    <w:pPr>
      <w:ind w:left="1890" w:leftChars="900"/>
    </w:pPr>
    <w:rPr>
      <w:rFonts w:ascii="Times New Roman" w:hAnsi="Times New Roman"/>
      <w:sz w:val="24"/>
      <w:szCs w:val="24"/>
    </w:rPr>
  </w:style>
  <w:style w:type="paragraph" w:customStyle="1" w:styleId="440">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1">
    <w:name w:val="标题2"/>
    <w:basedOn w:val="4"/>
    <w:next w:val="5"/>
    <w:qFormat/>
    <w:uiPriority w:val="99"/>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0"/>
    <w:next w:val="1"/>
    <w:qFormat/>
    <w:uiPriority w:val="99"/>
    <w:pPr>
      <w:shd w:val="clear" w:color="auto" w:fill="000080"/>
    </w:pPr>
    <w:rPr>
      <w:rFonts w:ascii="Tahoma" w:hAnsi="Tahoma" w:cs="Tahoma"/>
      <w:kern w:val="0"/>
      <w:szCs w:val="24"/>
    </w:rPr>
  </w:style>
  <w:style w:type="paragraph" w:customStyle="1" w:styleId="444">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4"/>
    <w:qFormat/>
    <w:uiPriority w:val="99"/>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99"/>
    <w:pPr>
      <w:spacing w:after="120" w:line="360" w:lineRule="auto"/>
      <w:jc w:val="center"/>
    </w:pPr>
    <w:rPr>
      <w:rFonts w:ascii="Times New Roman" w:hAnsi="Times New Roman"/>
      <w:szCs w:val="21"/>
    </w:rPr>
  </w:style>
  <w:style w:type="paragraph" w:customStyle="1" w:styleId="452">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1"/>
    <w:qFormat/>
    <w:uiPriority w:val="99"/>
    <w:pPr>
      <w:spacing w:beforeLines="0" w:afterLines="0" w:line="360" w:lineRule="auto"/>
    </w:pPr>
    <w:rPr>
      <w:b/>
      <w:sz w:val="30"/>
      <w:szCs w:val="20"/>
    </w:rPr>
  </w:style>
  <w:style w:type="paragraph" w:customStyle="1" w:styleId="455">
    <w:name w:val="Normal0"/>
    <w:qFormat/>
    <w:uiPriority w:val="99"/>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99"/>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5"/>
    <w:qFormat/>
    <w:uiPriority w:val="99"/>
    <w:rPr>
      <w:rFonts w:ascii="Arial" w:hAnsi="Arial"/>
      <w:sz w:val="30"/>
    </w:rPr>
  </w:style>
  <w:style w:type="paragraph" w:customStyle="1" w:styleId="458">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0">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99"/>
    <w:pPr>
      <w:ind w:firstLine="420"/>
    </w:pPr>
    <w:rPr>
      <w:rFonts w:ascii="Times New Roman" w:hAnsi="Times New Roman"/>
      <w:szCs w:val="20"/>
    </w:rPr>
  </w:style>
  <w:style w:type="paragraph" w:customStyle="1" w:styleId="469">
    <w:name w:val="pa-17"/>
    <w:basedOn w:val="1"/>
    <w:qFormat/>
    <w:uiPriority w:val="99"/>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1">
    <w:name w:val="Char9"/>
    <w:basedOn w:val="1"/>
    <w:qFormat/>
    <w:uiPriority w:val="99"/>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2"/>
    <w:qFormat/>
    <w:uiPriority w:val="99"/>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1"/>
    <w:next w:val="21"/>
    <w:qFormat/>
    <w:uiPriority w:val="99"/>
    <w:rPr>
      <w:b/>
      <w:bCs/>
      <w:kern w:val="0"/>
      <w:sz w:val="20"/>
      <w:szCs w:val="20"/>
    </w:rPr>
  </w:style>
  <w:style w:type="paragraph" w:customStyle="1" w:styleId="47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99"/>
    <w:pPr>
      <w:tabs>
        <w:tab w:val="left" w:pos="1140"/>
      </w:tabs>
      <w:spacing w:after="120"/>
    </w:pPr>
    <w:rPr>
      <w:bCs/>
    </w:rPr>
  </w:style>
  <w:style w:type="paragraph" w:customStyle="1" w:styleId="476">
    <w:name w:val="样式 标题1"/>
    <w:basedOn w:val="477"/>
    <w:next w:val="478"/>
    <w:qFormat/>
    <w:uiPriority w:val="99"/>
    <w:pPr>
      <w:tabs>
        <w:tab w:val="left" w:pos="1140"/>
      </w:tabs>
      <w:spacing w:after="50"/>
      <w:ind w:left="1140" w:hanging="720"/>
    </w:pPr>
    <w:rPr>
      <w:bCs w:val="0"/>
      <w:sz w:val="32"/>
    </w:rPr>
  </w:style>
  <w:style w:type="paragraph" w:customStyle="1" w:styleId="477">
    <w:name w:val="样式 标题 1 + 段后: 0.5 行"/>
    <w:basedOn w:val="3"/>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99"/>
    <w:pPr>
      <w:spacing w:after="120"/>
    </w:pPr>
  </w:style>
  <w:style w:type="paragraph" w:customStyle="1" w:styleId="479">
    <w:name w:val="样式 标题 2"/>
    <w:basedOn w:val="4"/>
    <w:next w:val="480"/>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5"/>
    <w:next w:val="482"/>
    <w:qFormat/>
    <w:uiPriority w:val="99"/>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99"/>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99"/>
    <w:pPr>
      <w:numPr>
        <w:numId w:val="0"/>
      </w:numPr>
      <w:tabs>
        <w:tab w:val="left" w:pos="864"/>
      </w:tabs>
      <w:spacing w:after="120"/>
      <w:ind w:left="864" w:hanging="864"/>
    </w:pPr>
  </w:style>
  <w:style w:type="paragraph" w:customStyle="1" w:styleId="485">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3"/>
    <w:qFormat/>
    <w:uiPriority w:val="99"/>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99"/>
    <w:pPr>
      <w:spacing w:before="80" w:afterLines="50"/>
    </w:pPr>
    <w:rPr>
      <w:rFonts w:ascii="宋体" w:hAnsi="Times New Roman"/>
      <w:snapToGrid w:val="0"/>
      <w:kern w:val="0"/>
      <w:szCs w:val="20"/>
    </w:rPr>
  </w:style>
  <w:style w:type="paragraph" w:customStyle="1" w:styleId="490">
    <w:name w:val="4"/>
    <w:basedOn w:val="1"/>
    <w:qFormat/>
    <w:uiPriority w:val="99"/>
  </w:style>
  <w:style w:type="paragraph" w:customStyle="1" w:styleId="491">
    <w:name w:val="ZJGIS-一级标题"/>
    <w:basedOn w:val="3"/>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99"/>
    <w:pPr>
      <w:tabs>
        <w:tab w:val="left" w:pos="432"/>
      </w:tabs>
      <w:ind w:left="432" w:hanging="432"/>
    </w:pPr>
    <w:rPr>
      <w:rFonts w:ascii="Times New Roman" w:hAnsi="Times New Roman"/>
      <w:sz w:val="24"/>
      <w:szCs w:val="24"/>
    </w:rPr>
  </w:style>
  <w:style w:type="paragraph" w:customStyle="1" w:styleId="50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99"/>
    <w:pPr>
      <w:widowControl/>
      <w:spacing w:before="360" w:after="360"/>
      <w:jc w:val="center"/>
    </w:pPr>
    <w:rPr>
      <w:rFonts w:ascii="宋体" w:hAnsi="宋体" w:cs="宋体"/>
      <w:kern w:val="0"/>
      <w:sz w:val="24"/>
      <w:szCs w:val="24"/>
    </w:rPr>
  </w:style>
  <w:style w:type="paragraph" w:customStyle="1" w:styleId="506">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3">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99"/>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99"/>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3"/>
    <w:qFormat/>
    <w:uiPriority w:val="99"/>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99"/>
    <w:rPr>
      <w:rFonts w:ascii="仿宋_GB2312" w:hAnsi="Times New Roman" w:eastAsia="仿宋_GB2312"/>
      <w:b/>
      <w:sz w:val="32"/>
      <w:szCs w:val="32"/>
    </w:rPr>
  </w:style>
  <w:style w:type="paragraph" w:customStyle="1" w:styleId="519">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7"/>
    <w:qFormat/>
    <w:uiPriority w:val="99"/>
    <w:pPr>
      <w:spacing w:after="60"/>
      <w:ind w:left="420" w:firstLine="200" w:firstLineChars="200"/>
    </w:pPr>
    <w:rPr>
      <w:rFonts w:ascii="Times New Roman" w:hAnsi="Times New Roman"/>
      <w:szCs w:val="24"/>
    </w:rPr>
  </w:style>
  <w:style w:type="paragraph" w:customStyle="1" w:styleId="521">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99"/>
    <w:pPr>
      <w:numPr>
        <w:ilvl w:val="0"/>
        <w:numId w:val="14"/>
      </w:numPr>
      <w:spacing w:line="400" w:lineRule="exact"/>
    </w:pPr>
    <w:rPr>
      <w:rFonts w:ascii="Arial" w:hAnsi="Arial"/>
      <w:szCs w:val="24"/>
    </w:rPr>
  </w:style>
  <w:style w:type="paragraph" w:customStyle="1" w:styleId="523">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99"/>
    <w:pPr>
      <w:spacing w:after="120"/>
    </w:pPr>
  </w:style>
  <w:style w:type="paragraph" w:customStyle="1" w:styleId="526">
    <w:name w:val="标题 3Chapter X.X.X. + 段后: 0.5 行 + 段后: 0.5 行 + 段后: 0.5 行1"/>
    <w:basedOn w:val="527"/>
    <w:qFormat/>
    <w:uiPriority w:val="99"/>
  </w:style>
  <w:style w:type="paragraph" w:customStyle="1" w:styleId="527">
    <w:name w:val="样式 样式 标题 3Chapter X.X.X. + 段后: 0.5 行 + 段后: 0.5 行"/>
    <w:basedOn w:val="528"/>
    <w:qFormat/>
    <w:uiPriority w:val="99"/>
  </w:style>
  <w:style w:type="paragraph" w:customStyle="1" w:styleId="528">
    <w:name w:val="样式 标题 3Chapter X.X.X. + 段后: 0.5 行"/>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99"/>
    <w:pPr>
      <w:tabs>
        <w:tab w:val="left" w:pos="720"/>
      </w:tabs>
      <w:ind w:hanging="720"/>
    </w:pPr>
  </w:style>
  <w:style w:type="paragraph" w:customStyle="1" w:styleId="535">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6">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5"/>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99"/>
    <w:pPr>
      <w:tabs>
        <w:tab w:val="left" w:pos="432"/>
      </w:tabs>
      <w:ind w:left="432" w:hanging="432"/>
    </w:pPr>
    <w:rPr>
      <w:rFonts w:ascii="Tahoma" w:hAnsi="Tahoma"/>
      <w:sz w:val="24"/>
      <w:szCs w:val="20"/>
    </w:rPr>
  </w:style>
  <w:style w:type="paragraph" w:customStyle="1" w:styleId="542">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99"/>
    <w:pPr>
      <w:spacing w:line="0" w:lineRule="atLeast"/>
    </w:pPr>
    <w:rPr>
      <w:rFonts w:ascii="Times New Roman" w:hAnsi="Times New Roman" w:eastAsia="仿宋_GB2312"/>
      <w:sz w:val="22"/>
      <w:szCs w:val="24"/>
    </w:rPr>
  </w:style>
  <w:style w:type="paragraph" w:customStyle="1" w:styleId="547">
    <w:name w:val="Char3"/>
    <w:basedOn w:val="1"/>
    <w:qFormat/>
    <w:uiPriority w:val="99"/>
    <w:rPr>
      <w:rFonts w:ascii="仿宋_GB2312" w:hAnsi="Times New Roman" w:eastAsia="仿宋_GB2312"/>
      <w:b/>
      <w:sz w:val="32"/>
      <w:szCs w:val="20"/>
    </w:rPr>
  </w:style>
  <w:style w:type="paragraph" w:customStyle="1" w:styleId="548">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99"/>
    <w:pPr>
      <w:tabs>
        <w:tab w:val="left" w:pos="360"/>
      </w:tabs>
      <w:ind w:firstLine="420" w:firstLineChars="150"/>
    </w:pPr>
    <w:rPr>
      <w:rFonts w:ascii="Times New Roman" w:hAnsi="Times New Roman"/>
      <w:szCs w:val="20"/>
    </w:rPr>
  </w:style>
  <w:style w:type="paragraph" w:customStyle="1" w:styleId="551">
    <w:name w:val="Bullet 2"/>
    <w:basedOn w:val="24"/>
    <w:qFormat/>
    <w:uiPriority w:val="99"/>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99"/>
    <w:pPr>
      <w:keepNext/>
      <w:widowControl/>
      <w:spacing w:before="80" w:after="80"/>
      <w:jc w:val="center"/>
    </w:pPr>
    <w:rPr>
      <w:rFonts w:ascii="Times New Roman" w:hAnsi="Times New Roman"/>
      <w:szCs w:val="20"/>
    </w:rPr>
  </w:style>
  <w:style w:type="paragraph" w:customStyle="1" w:styleId="556">
    <w:name w:val="Char Char1 Char111"/>
    <w:basedOn w:val="1"/>
    <w:qFormat/>
    <w:uiPriority w:val="99"/>
    <w:rPr>
      <w:rFonts w:ascii="仿宋_GB2312" w:hAnsi="Times New Roman" w:eastAsia="仿宋_GB2312"/>
      <w:b/>
      <w:sz w:val="32"/>
      <w:szCs w:val="32"/>
    </w:rPr>
  </w:style>
  <w:style w:type="paragraph" w:customStyle="1" w:styleId="557">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99"/>
    <w:rPr>
      <w:rFonts w:ascii="Tahoma" w:hAnsi="Tahoma"/>
      <w:sz w:val="24"/>
      <w:szCs w:val="20"/>
    </w:rPr>
  </w:style>
  <w:style w:type="paragraph" w:customStyle="1" w:styleId="559">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0">
    <w:name w:val="样式2"/>
    <w:basedOn w:val="4"/>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99"/>
  </w:style>
  <w:style w:type="paragraph" w:customStyle="1" w:styleId="564">
    <w:name w:val="标准有序列表（L1）"/>
    <w:basedOn w:val="2"/>
    <w:qFormat/>
    <w:uiPriority w:val="99"/>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6">
    <w:name w:val="_Style 11811"/>
    <w:basedOn w:val="1"/>
    <w:qFormat/>
    <w:uiPriority w:val="99"/>
  </w:style>
  <w:style w:type="paragraph" w:customStyle="1" w:styleId="567">
    <w:name w:val="Char Char Char Char Char Char Char Char"/>
    <w:basedOn w:val="1"/>
    <w:qFormat/>
    <w:uiPriority w:val="99"/>
    <w:pPr>
      <w:tabs>
        <w:tab w:val="left" w:pos="360"/>
      </w:tabs>
    </w:pPr>
    <w:rPr>
      <w:rFonts w:ascii="Times New Roman" w:hAnsi="Times New Roman"/>
      <w:sz w:val="24"/>
      <w:szCs w:val="24"/>
    </w:rPr>
  </w:style>
  <w:style w:type="paragraph" w:customStyle="1" w:styleId="568">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99"/>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99"/>
    <w:pPr>
      <w:ind w:firstLine="420" w:firstLineChars="200"/>
    </w:pPr>
    <w:rPr>
      <w:szCs w:val="24"/>
    </w:rPr>
  </w:style>
  <w:style w:type="paragraph" w:customStyle="1" w:styleId="576">
    <w:name w:val="样式 标题 2 + 五号"/>
    <w:basedOn w:val="4"/>
    <w:qFormat/>
    <w:uiPriority w:val="99"/>
    <w:pPr>
      <w:spacing w:before="0" w:after="0" w:line="240" w:lineRule="auto"/>
    </w:pPr>
    <w:rPr>
      <w:rFonts w:ascii="宋体" w:hAnsi="宋体" w:eastAsia="宋体"/>
      <w:sz w:val="21"/>
    </w:rPr>
  </w:style>
  <w:style w:type="paragraph" w:customStyle="1" w:styleId="577">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2"/>
    <w:qFormat/>
    <w:uiPriority w:val="99"/>
    <w:pPr>
      <w:spacing w:line="360" w:lineRule="auto"/>
    </w:pPr>
    <w:rPr>
      <w:sz w:val="24"/>
      <w:szCs w:val="24"/>
    </w:rPr>
  </w:style>
  <w:style w:type="paragraph" w:customStyle="1" w:styleId="579">
    <w:name w:val="Style-正文"/>
    <w:basedOn w:val="1"/>
    <w:qFormat/>
    <w:uiPriority w:val="99"/>
    <w:pPr>
      <w:spacing w:line="360" w:lineRule="auto"/>
      <w:ind w:firstLine="420"/>
    </w:pPr>
    <w:rPr>
      <w:rFonts w:ascii="宋体" w:hAnsi="宋体"/>
      <w:sz w:val="24"/>
      <w:szCs w:val="24"/>
    </w:rPr>
  </w:style>
  <w:style w:type="paragraph" w:customStyle="1" w:styleId="580">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3"/>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99"/>
    <w:rPr>
      <w:rFonts w:ascii="Times New Roman" w:hAnsi="Times New Roman"/>
      <w:szCs w:val="24"/>
    </w:rPr>
  </w:style>
  <w:style w:type="paragraph" w:customStyle="1" w:styleId="583">
    <w:name w:val="样式 标题 1 + 五号"/>
    <w:basedOn w:val="3"/>
    <w:qFormat/>
    <w:uiPriority w:val="99"/>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99"/>
    <w:rPr>
      <w:rFonts w:ascii="宋体" w:hAnsi="Courier New"/>
      <w:szCs w:val="20"/>
    </w:rPr>
  </w:style>
  <w:style w:type="paragraph" w:customStyle="1" w:styleId="586">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99"/>
    <w:rPr>
      <w:rFonts w:ascii="Tahoma" w:hAnsi="Tahoma"/>
      <w:sz w:val="24"/>
      <w:szCs w:val="20"/>
    </w:rPr>
  </w:style>
  <w:style w:type="paragraph" w:customStyle="1" w:styleId="590">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99"/>
    <w:pPr>
      <w:spacing w:after="120"/>
    </w:pPr>
  </w:style>
  <w:style w:type="paragraph" w:customStyle="1" w:styleId="592">
    <w:name w:val="样式 标题 2 + 宋体 小四 段前: 0 磅 段后: 0 磅 行距: 1.5 倍行距"/>
    <w:basedOn w:val="4"/>
    <w:qFormat/>
    <w:uiPriority w:val="99"/>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4">
    <w:name w:val="二级标题"/>
    <w:basedOn w:val="4"/>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99"/>
    <w:rPr>
      <w:rFonts w:ascii="宋体"/>
      <w:kern w:val="0"/>
      <w:sz w:val="18"/>
      <w:szCs w:val="18"/>
    </w:rPr>
  </w:style>
  <w:style w:type="paragraph" w:customStyle="1" w:styleId="596">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8">
    <w:name w:val="正文文本 New New"/>
    <w:basedOn w:val="524"/>
    <w:qFormat/>
    <w:uiPriority w:val="99"/>
    <w:pPr>
      <w:spacing w:after="120"/>
    </w:pPr>
    <w:rPr>
      <w:sz w:val="28"/>
      <w:szCs w:val="24"/>
    </w:rPr>
  </w:style>
  <w:style w:type="paragraph" w:customStyle="1" w:styleId="599">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99"/>
    <w:rPr>
      <w:rFonts w:ascii="宋体" w:hAnsi="宋体" w:eastAsia="宋体" w:cs="Times New Roman"/>
      <w:kern w:val="0"/>
      <w:sz w:val="24"/>
      <w:szCs w:val="20"/>
      <w:lang w:val="zh-CN" w:eastAsia="zh-CN" w:bidi="ar-SA"/>
    </w:rPr>
  </w:style>
  <w:style w:type="paragraph" w:customStyle="1" w:styleId="603">
    <w:name w:val="SZF表"/>
    <w:basedOn w:val="604"/>
    <w:qFormat/>
    <w:uiPriority w:val="99"/>
    <w:rPr>
      <w:rFonts w:ascii="宋体" w:hAnsi="宋体"/>
      <w:bCs/>
      <w:szCs w:val="21"/>
    </w:rPr>
  </w:style>
  <w:style w:type="paragraph" w:customStyle="1" w:styleId="604">
    <w:name w:val="SZF图"/>
    <w:basedOn w:val="1"/>
    <w:qFormat/>
    <w:uiPriority w:val="99"/>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99"/>
    <w:rPr>
      <w:rFonts w:ascii="Tahoma" w:hAnsi="Tahoma"/>
      <w:sz w:val="24"/>
      <w:szCs w:val="20"/>
    </w:rPr>
  </w:style>
  <w:style w:type="paragraph" w:customStyle="1" w:styleId="608">
    <w:name w:val="文档结构图2"/>
    <w:basedOn w:val="1"/>
    <w:qFormat/>
    <w:uiPriority w:val="99"/>
    <w:rPr>
      <w:rFonts w:ascii="宋体"/>
      <w:kern w:val="0"/>
      <w:sz w:val="18"/>
      <w:szCs w:val="18"/>
    </w:rPr>
  </w:style>
  <w:style w:type="paragraph" w:customStyle="1" w:styleId="609">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99"/>
    <w:pPr>
      <w:ind w:firstLine="480" w:firstLineChars="200"/>
    </w:pPr>
  </w:style>
  <w:style w:type="paragraph" w:customStyle="1" w:styleId="611">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99"/>
    <w:rPr>
      <w:sz w:val="18"/>
    </w:rPr>
  </w:style>
  <w:style w:type="paragraph" w:customStyle="1" w:styleId="613">
    <w:name w:val="IBM 正文"/>
    <w:basedOn w:val="1"/>
    <w:qFormat/>
    <w:uiPriority w:val="99"/>
    <w:pPr>
      <w:spacing w:line="360" w:lineRule="atLeast"/>
    </w:pPr>
    <w:rPr>
      <w:rFonts w:ascii="Times New Roman" w:hAnsi="Times New Roman"/>
      <w:sz w:val="24"/>
      <w:szCs w:val="20"/>
    </w:rPr>
  </w:style>
  <w:style w:type="paragraph" w:customStyle="1" w:styleId="614">
    <w:name w:val="Char Char1 Char1"/>
    <w:basedOn w:val="1"/>
    <w:qFormat/>
    <w:uiPriority w:val="99"/>
    <w:rPr>
      <w:rFonts w:ascii="仿宋_GB2312" w:hAnsi="Times New Roman" w:eastAsia="仿宋_GB2312"/>
      <w:b/>
      <w:sz w:val="32"/>
      <w:szCs w:val="32"/>
    </w:rPr>
  </w:style>
  <w:style w:type="paragraph" w:customStyle="1" w:styleId="615">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7">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19">
    <w:name w:val="Tabletext"/>
    <w:basedOn w:val="1"/>
    <w:qFormat/>
    <w:uiPriority w:val="99"/>
    <w:pPr>
      <w:keepLines/>
      <w:spacing w:afterLines="50"/>
      <w:jc w:val="left"/>
    </w:pPr>
    <w:rPr>
      <w:rFonts w:ascii="宋体" w:hAnsi="Times New Roman"/>
      <w:snapToGrid w:val="0"/>
      <w:kern w:val="0"/>
      <w:szCs w:val="20"/>
    </w:rPr>
  </w:style>
  <w:style w:type="paragraph" w:customStyle="1" w:styleId="620">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5"/>
    <w:qFormat/>
    <w:uiPriority w:val="99"/>
    <w:pPr>
      <w:tabs>
        <w:tab w:val="left" w:pos="1050"/>
      </w:tabs>
      <w:spacing w:line="240" w:lineRule="auto"/>
      <w:ind w:left="-258" w:leftChars="-258"/>
    </w:pPr>
    <w:rPr>
      <w:rFonts w:eastAsia="仿宋_GB2312"/>
      <w:sz w:val="28"/>
    </w:rPr>
  </w:style>
  <w:style w:type="paragraph" w:customStyle="1" w:styleId="622">
    <w:name w:val="大表 mt"/>
    <w:basedOn w:val="1"/>
    <w:qFormat/>
    <w:uiPriority w:val="99"/>
    <w:pPr>
      <w:widowControl/>
      <w:jc w:val="left"/>
    </w:pPr>
    <w:rPr>
      <w:rFonts w:ascii="宋体" w:hAnsi="宋体" w:cs="宋体"/>
      <w:kern w:val="0"/>
      <w:szCs w:val="21"/>
    </w:rPr>
  </w:style>
  <w:style w:type="paragraph" w:customStyle="1" w:styleId="623">
    <w:name w:val="Char Char Char111"/>
    <w:basedOn w:val="1"/>
    <w:qFormat/>
    <w:uiPriority w:val="99"/>
  </w:style>
  <w:style w:type="paragraph" w:customStyle="1" w:styleId="624">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99"/>
    <w:pPr>
      <w:spacing w:line="360" w:lineRule="auto"/>
      <w:ind w:firstLine="0"/>
    </w:pPr>
    <w:rPr>
      <w:rFonts w:ascii="宋体" w:hAnsi="宋体" w:cs="宋体"/>
      <w:kern w:val="0"/>
    </w:rPr>
  </w:style>
  <w:style w:type="paragraph" w:customStyle="1" w:styleId="631">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6">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99"/>
    <w:pPr>
      <w:numPr>
        <w:numId w:val="0"/>
      </w:numPr>
      <w:tabs>
        <w:tab w:val="left" w:pos="864"/>
      </w:tabs>
      <w:ind w:left="425" w:hanging="425"/>
    </w:pPr>
    <w:rPr>
      <w:szCs w:val="21"/>
    </w:rPr>
  </w:style>
  <w:style w:type="paragraph" w:customStyle="1" w:styleId="643">
    <w:name w:val="样式 标题 4Chapter X.X.X. + 段后: 0.5 行1"/>
    <w:basedOn w:val="6"/>
    <w:next w:val="6"/>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7"/>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3"/>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99"/>
    <w:rPr>
      <w:rFonts w:ascii="仿宋_GB2312" w:hAnsi="Times New Roman" w:eastAsia="仿宋_GB2312"/>
      <w:b/>
      <w:sz w:val="32"/>
      <w:szCs w:val="32"/>
    </w:rPr>
  </w:style>
  <w:style w:type="paragraph" w:customStyle="1" w:styleId="650">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3">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99"/>
    <w:pPr>
      <w:ind w:firstLine="420" w:firstLineChars="200"/>
    </w:pPr>
  </w:style>
  <w:style w:type="paragraph" w:customStyle="1" w:styleId="655">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4"/>
    <w:qFormat/>
    <w:uiPriority w:val="99"/>
    <w:pPr>
      <w:suppressLineNumbers/>
      <w:suppressAutoHyphens/>
    </w:pPr>
    <w:rPr>
      <w:kern w:val="1"/>
      <w:sz w:val="21"/>
      <w:lang w:eastAsia="ar-SA"/>
    </w:rPr>
  </w:style>
  <w:style w:type="paragraph" w:customStyle="1" w:styleId="661">
    <w:name w:val="样式　标题4"/>
    <w:basedOn w:val="643"/>
    <w:next w:val="1"/>
    <w:qFormat/>
    <w:uiPriority w:val="99"/>
    <w:pPr>
      <w:numPr>
        <w:ilvl w:val="0"/>
        <w:numId w:val="0"/>
      </w:numPr>
      <w:ind w:left="425" w:hanging="425"/>
    </w:pPr>
  </w:style>
  <w:style w:type="paragraph" w:customStyle="1" w:styleId="662">
    <w:name w:val="Char2 Char Char Char"/>
    <w:basedOn w:val="1"/>
    <w:qFormat/>
    <w:uiPriority w:val="99"/>
    <w:rPr>
      <w:rFonts w:ascii="仿宋_GB2312" w:hAnsi="Times New Roman" w:eastAsia="仿宋_GB2312"/>
      <w:b/>
      <w:sz w:val="32"/>
      <w:szCs w:val="32"/>
    </w:rPr>
  </w:style>
  <w:style w:type="paragraph" w:customStyle="1" w:styleId="663">
    <w:name w:val="Paragraph4"/>
    <w:basedOn w:val="1"/>
    <w:qFormat/>
    <w:uiPriority w:val="99"/>
    <w:pPr>
      <w:spacing w:before="80" w:afterLines="50"/>
      <w:ind w:left="2250"/>
    </w:pPr>
    <w:rPr>
      <w:rFonts w:ascii="宋体" w:hAnsi="Times New Roman"/>
      <w:snapToGrid w:val="0"/>
      <w:kern w:val="0"/>
      <w:szCs w:val="20"/>
    </w:rPr>
  </w:style>
  <w:style w:type="paragraph" w:customStyle="1" w:styleId="66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5"/>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1">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99"/>
    <w:rPr>
      <w:rFonts w:ascii="Tahoma" w:hAnsi="Tahoma"/>
      <w:sz w:val="24"/>
      <w:szCs w:val="20"/>
    </w:rPr>
  </w:style>
  <w:style w:type="paragraph" w:customStyle="1" w:styleId="676">
    <w:name w:val="样式1"/>
    <w:basedOn w:val="1"/>
    <w:qFormat/>
    <w:uiPriority w:val="99"/>
    <w:pPr>
      <w:pBdr>
        <w:bottom w:val="single" w:color="auto" w:sz="4" w:space="1"/>
      </w:pBdr>
    </w:pPr>
    <w:rPr>
      <w:rFonts w:ascii="Times New Roman" w:hAnsi="Times New Roman"/>
      <w:szCs w:val="24"/>
    </w:rPr>
  </w:style>
  <w:style w:type="paragraph" w:customStyle="1" w:styleId="677">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99"/>
    <w:rPr>
      <w:rFonts w:ascii="仿宋_GB2312" w:hAnsi="Times New Roman" w:eastAsia="仿宋_GB2312"/>
      <w:b/>
      <w:sz w:val="32"/>
      <w:szCs w:val="32"/>
    </w:rPr>
  </w:style>
  <w:style w:type="paragraph" w:customStyle="1" w:styleId="679">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1">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99"/>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99"/>
    <w:pPr>
      <w:spacing w:after="120"/>
      <w:ind w:left="420" w:leftChars="200"/>
    </w:pPr>
    <w:rPr>
      <w:rFonts w:cs="黑体"/>
    </w:rPr>
  </w:style>
  <w:style w:type="paragraph" w:customStyle="1" w:styleId="6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99"/>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99"/>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1"/>
    <w:qFormat/>
    <w:uiPriority w:val="99"/>
    <w:pPr>
      <w:spacing w:beforeLines="0" w:afterLines="0" w:line="360" w:lineRule="auto"/>
      <w:jc w:val="left"/>
    </w:pPr>
    <w:rPr>
      <w:rFonts w:eastAsia="仿宋_GB2312" w:cs="Arial"/>
      <w:sz w:val="28"/>
      <w:szCs w:val="20"/>
    </w:rPr>
  </w:style>
  <w:style w:type="paragraph" w:customStyle="1" w:styleId="694">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5"/>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99"/>
    <w:pPr>
      <w:widowControl/>
      <w:ind w:left="75"/>
      <w:jc w:val="left"/>
    </w:pPr>
    <w:rPr>
      <w:rFonts w:ascii="Arial" w:hAnsi="Arial" w:cs="Arial"/>
      <w:b/>
      <w:bCs/>
      <w:kern w:val="0"/>
      <w:sz w:val="20"/>
      <w:szCs w:val="20"/>
    </w:rPr>
  </w:style>
  <w:style w:type="paragraph" w:customStyle="1" w:styleId="703">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99"/>
    <w:pPr>
      <w:tabs>
        <w:tab w:val="left" w:pos="432"/>
      </w:tabs>
      <w:ind w:left="432" w:hanging="432"/>
    </w:pPr>
    <w:rPr>
      <w:rFonts w:ascii="Times New Roman" w:hAnsi="Times New Roman"/>
      <w:sz w:val="24"/>
      <w:szCs w:val="24"/>
    </w:rPr>
  </w:style>
  <w:style w:type="paragraph" w:customStyle="1" w:styleId="705">
    <w:name w:val="二级."/>
    <w:basedOn w:val="4"/>
    <w:qFormat/>
    <w:uiPriority w:val="99"/>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99"/>
    <w:pPr>
      <w:spacing w:line="360" w:lineRule="auto"/>
      <w:ind w:firstLine="480" w:firstLineChars="200"/>
    </w:pPr>
    <w:rPr>
      <w:rFonts w:ascii="Arial" w:hAnsi="Arial"/>
      <w:sz w:val="24"/>
      <w:szCs w:val="21"/>
    </w:rPr>
  </w:style>
  <w:style w:type="paragraph" w:customStyle="1" w:styleId="707">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99"/>
    <w:rPr>
      <w:rFonts w:ascii="仿宋_GB2312" w:hAnsi="Times New Roman" w:eastAsia="仿宋_GB2312"/>
      <w:b/>
      <w:sz w:val="32"/>
      <w:szCs w:val="32"/>
    </w:rPr>
  </w:style>
  <w:style w:type="paragraph" w:customStyle="1" w:styleId="709">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99"/>
    <w:pPr>
      <w:ind w:firstLine="420" w:firstLineChars="200"/>
    </w:pPr>
  </w:style>
  <w:style w:type="paragraph" w:customStyle="1" w:styleId="711">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99"/>
    <w:rPr>
      <w:rFonts w:ascii="Times New Roman" w:hAnsi="Times New Roman" w:eastAsia="仿宋_GB2312" w:cs="宋体"/>
      <w:szCs w:val="20"/>
    </w:rPr>
  </w:style>
  <w:style w:type="paragraph" w:customStyle="1" w:styleId="720">
    <w:name w:val="样式 标题 2Chapter X.X. Statementh22Header 2l2Level 2 Headhea...1"/>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7"/>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7"/>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99"/>
    <w:pPr>
      <w:spacing w:line="360" w:lineRule="auto"/>
    </w:pPr>
    <w:rPr>
      <w:rFonts w:ascii="Times New Roman" w:hAnsi="Times New Roman"/>
      <w:b/>
      <w:bCs/>
      <w:sz w:val="24"/>
      <w:szCs w:val="24"/>
    </w:rPr>
  </w:style>
  <w:style w:type="paragraph" w:customStyle="1" w:styleId="729">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99"/>
    <w:rPr>
      <w:rFonts w:ascii="Tahoma" w:hAnsi="Tahoma"/>
      <w:sz w:val="24"/>
      <w:szCs w:val="20"/>
    </w:rPr>
  </w:style>
  <w:style w:type="paragraph" w:customStyle="1" w:styleId="733">
    <w:name w:val="列表（编号二级）（绿盟科技）"/>
    <w:basedOn w:val="656"/>
    <w:qFormat/>
    <w:uiPriority w:val="99"/>
    <w:pPr>
      <w:numPr>
        <w:ilvl w:val="1"/>
      </w:numPr>
      <w:spacing w:beforeLines="0"/>
      <w:ind w:left="1260"/>
    </w:pPr>
  </w:style>
  <w:style w:type="paragraph" w:customStyle="1" w:styleId="734">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99"/>
    <w:pPr>
      <w:spacing w:before="80" w:afterLines="50"/>
      <w:ind w:left="1530"/>
    </w:pPr>
    <w:rPr>
      <w:rFonts w:ascii="宋体" w:hAnsi="Times New Roman"/>
      <w:snapToGrid w:val="0"/>
      <w:kern w:val="0"/>
      <w:szCs w:val="20"/>
    </w:rPr>
  </w:style>
  <w:style w:type="paragraph" w:customStyle="1" w:styleId="737">
    <w:name w:val="正文样式"/>
    <w:basedOn w:val="1"/>
    <w:qFormat/>
    <w:uiPriority w:val="99"/>
    <w:pPr>
      <w:spacing w:line="360" w:lineRule="auto"/>
      <w:ind w:firstLine="200" w:firstLineChars="200"/>
    </w:pPr>
    <w:rPr>
      <w:rFonts w:ascii="宋体" w:hAnsi="Times New Roman"/>
      <w:sz w:val="24"/>
      <w:szCs w:val="24"/>
    </w:rPr>
  </w:style>
  <w:style w:type="paragraph" w:customStyle="1" w:styleId="738">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4"/>
    <w:qFormat/>
    <w:uiPriority w:val="99"/>
    <w:pPr>
      <w:spacing w:after="0" w:line="415" w:lineRule="auto"/>
    </w:pPr>
    <w:rPr>
      <w:sz w:val="28"/>
      <w:szCs w:val="20"/>
    </w:rPr>
  </w:style>
  <w:style w:type="paragraph" w:customStyle="1" w:styleId="740">
    <w:name w:val="表格标题"/>
    <w:basedOn w:val="660"/>
    <w:qFormat/>
    <w:uiPriority w:val="99"/>
    <w:pPr>
      <w:numPr>
        <w:ilvl w:val="0"/>
        <w:numId w:val="26"/>
      </w:numPr>
      <w:tabs>
        <w:tab w:val="clear" w:pos="360"/>
      </w:tabs>
      <w:ind w:left="0" w:firstLine="0"/>
      <w:jc w:val="center"/>
    </w:pPr>
    <w:rPr>
      <w:b/>
      <w:bCs/>
      <w:i/>
      <w:iCs/>
    </w:rPr>
  </w:style>
  <w:style w:type="paragraph" w:customStyle="1" w:styleId="741">
    <w:name w:val="_Style 1181"/>
    <w:basedOn w:val="1"/>
    <w:qFormat/>
    <w:uiPriority w:val="99"/>
  </w:style>
  <w:style w:type="paragraph" w:customStyle="1" w:styleId="742">
    <w:name w:val="Char2"/>
    <w:basedOn w:val="1"/>
    <w:qFormat/>
    <w:uiPriority w:val="99"/>
    <w:rPr>
      <w:rFonts w:ascii="仿宋_GB2312" w:hAnsi="Times New Roman" w:eastAsia="仿宋_GB2312"/>
      <w:b/>
      <w:sz w:val="32"/>
      <w:szCs w:val="20"/>
    </w:rPr>
  </w:style>
  <w:style w:type="paragraph" w:customStyle="1" w:styleId="743">
    <w:name w:val="ZJGIS-三级标题"/>
    <w:basedOn w:val="5"/>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99"/>
    <w:rPr>
      <w:rFonts w:ascii="Tahoma" w:hAnsi="Tahoma"/>
      <w:sz w:val="24"/>
      <w:szCs w:val="20"/>
    </w:rPr>
  </w:style>
  <w:style w:type="paragraph" w:customStyle="1" w:styleId="74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99"/>
    <w:pPr>
      <w:widowControl/>
      <w:spacing w:before="150" w:after="150"/>
      <w:jc w:val="left"/>
    </w:pPr>
    <w:rPr>
      <w:rFonts w:ascii="宋体" w:hAnsi="宋体" w:cs="宋体"/>
      <w:kern w:val="0"/>
      <w:sz w:val="24"/>
      <w:szCs w:val="24"/>
    </w:rPr>
  </w:style>
  <w:style w:type="paragraph" w:customStyle="1" w:styleId="753">
    <w:name w:val="表格_内容"/>
    <w:basedOn w:val="1"/>
    <w:qFormat/>
    <w:uiPriority w:val="99"/>
    <w:rPr>
      <w:rFonts w:ascii="宋体" w:hAnsi="宋体"/>
      <w:szCs w:val="21"/>
    </w:rPr>
  </w:style>
  <w:style w:type="paragraph" w:customStyle="1" w:styleId="754">
    <w:name w:val="MM Title"/>
    <w:basedOn w:val="55"/>
    <w:qFormat/>
    <w:uiPriority w:val="99"/>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6">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0">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2"/>
    <w:qFormat/>
    <w:uiPriority w:val="99"/>
    <w:pPr>
      <w:numPr>
        <w:ilvl w:val="4"/>
        <w:numId w:val="29"/>
      </w:numPr>
    </w:pPr>
    <w:rPr>
      <w:rFonts w:eastAsia="黑体"/>
      <w:kern w:val="0"/>
      <w:sz w:val="24"/>
      <w:szCs w:val="20"/>
    </w:rPr>
  </w:style>
  <w:style w:type="paragraph" w:customStyle="1" w:styleId="763">
    <w:name w:val="Body"/>
    <w:basedOn w:val="1"/>
    <w:qFormat/>
    <w:uiPriority w:val="99"/>
    <w:pPr>
      <w:widowControl/>
      <w:spacing w:before="120" w:afterLines="50"/>
    </w:pPr>
    <w:rPr>
      <w:rFonts w:ascii="宋体" w:hAnsi="Times New Roman"/>
      <w:snapToGrid w:val="0"/>
      <w:kern w:val="0"/>
      <w:szCs w:val="20"/>
    </w:rPr>
  </w:style>
  <w:style w:type="paragraph" w:customStyle="1" w:styleId="764">
    <w:name w:val="标准标题2"/>
    <w:basedOn w:val="4"/>
    <w:qFormat/>
    <w:uiPriority w:val="99"/>
    <w:pPr>
      <w:spacing w:line="360" w:lineRule="auto"/>
    </w:pPr>
    <w:rPr>
      <w:rFonts w:eastAsia="仿宋_GB2312"/>
      <w:bCs w:val="0"/>
      <w:sz w:val="28"/>
    </w:rPr>
  </w:style>
  <w:style w:type="paragraph" w:customStyle="1" w:styleId="765">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5"/>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99"/>
    <w:rPr>
      <w:rFonts w:ascii="Times New Roman" w:hAnsi="Times New Roman"/>
      <w:szCs w:val="20"/>
    </w:rPr>
  </w:style>
  <w:style w:type="paragraph" w:customStyle="1" w:styleId="776">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79">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0">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99"/>
    <w:pPr>
      <w:tabs>
        <w:tab w:val="left" w:pos="1200"/>
      </w:tabs>
      <w:ind w:left="1200" w:hanging="360"/>
    </w:pPr>
  </w:style>
  <w:style w:type="paragraph" w:customStyle="1" w:styleId="784">
    <w:name w:val="封面2级标题"/>
    <w:basedOn w:val="1"/>
    <w:next w:val="280"/>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5"/>
    <w:qFormat/>
    <w:uiPriority w:val="99"/>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4"/>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99"/>
    <w:pPr>
      <w:widowControl/>
      <w:spacing w:before="150" w:after="150"/>
      <w:jc w:val="left"/>
    </w:pPr>
    <w:rPr>
      <w:rFonts w:ascii="宋体" w:hAnsi="宋体" w:cs="宋体"/>
      <w:kern w:val="0"/>
      <w:sz w:val="24"/>
      <w:szCs w:val="24"/>
    </w:rPr>
  </w:style>
  <w:style w:type="paragraph" w:customStyle="1" w:styleId="789">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99"/>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6"/>
    <w:qFormat/>
    <w:uiPriority w:val="99"/>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99"/>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99"/>
    <w:pPr>
      <w:spacing w:line="360" w:lineRule="auto"/>
      <w:ind w:firstLine="0"/>
    </w:pPr>
    <w:rPr>
      <w:rFonts w:ascii="宋体" w:hAnsi="宋体" w:cs="宋体"/>
      <w:kern w:val="0"/>
    </w:rPr>
  </w:style>
  <w:style w:type="paragraph" w:customStyle="1" w:styleId="798">
    <w:name w:val="Char8"/>
    <w:basedOn w:val="1"/>
    <w:qFormat/>
    <w:uiPriority w:val="99"/>
    <w:pPr>
      <w:tabs>
        <w:tab w:val="left" w:pos="432"/>
      </w:tabs>
      <w:ind w:left="432" w:hanging="432"/>
    </w:pPr>
    <w:rPr>
      <w:rFonts w:ascii="Times New Roman" w:hAnsi="Times New Roman"/>
      <w:sz w:val="24"/>
      <w:szCs w:val="24"/>
    </w:rPr>
  </w:style>
  <w:style w:type="paragraph" w:customStyle="1" w:styleId="799">
    <w:name w:val="Char Char Char1"/>
    <w:basedOn w:val="1"/>
    <w:qFormat/>
    <w:uiPriority w:val="99"/>
    <w:rPr>
      <w:rFonts w:ascii="Times New Roman" w:hAnsi="Times New Roman" w:eastAsia="仿宋_GB2312" w:cs="宋体"/>
      <w:sz w:val="24"/>
      <w:szCs w:val="20"/>
    </w:rPr>
  </w:style>
  <w:style w:type="paragraph" w:customStyle="1" w:styleId="800">
    <w:name w:val="ZJGIS-五级标题"/>
    <w:basedOn w:val="7"/>
    <w:qFormat/>
    <w:uiPriority w:val="99"/>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99"/>
    <w:pPr>
      <w:jc w:val="center"/>
    </w:pPr>
    <w:rPr>
      <w:rFonts w:ascii="Arial" w:hAnsi="Arial" w:eastAsia="黑体"/>
      <w:b/>
    </w:rPr>
  </w:style>
  <w:style w:type="paragraph" w:customStyle="1" w:styleId="803">
    <w:name w:val="吉奥封面(黑体小初)"/>
    <w:basedOn w:val="191"/>
    <w:qFormat/>
    <w:uiPriority w:val="99"/>
    <w:pPr>
      <w:spacing w:before="480"/>
      <w:ind w:firstLine="0" w:firstLineChars="0"/>
      <w:jc w:val="center"/>
    </w:pPr>
    <w:rPr>
      <w:rFonts w:eastAsia="黑体"/>
      <w:sz w:val="72"/>
      <w:szCs w:val="72"/>
    </w:rPr>
  </w:style>
  <w:style w:type="paragraph" w:customStyle="1" w:styleId="804">
    <w:name w:val="样式 标题 3 + 首行缩进:  2 字符1"/>
    <w:basedOn w:val="5"/>
    <w:qFormat/>
    <w:uiPriority w:val="99"/>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1"/>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99"/>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basedOn w:val="64"/>
    <w:link w:val="38"/>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99"/>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4"/>
    <w:link w:val="820"/>
    <w:qFormat/>
    <w:uiPriority w:val="0"/>
    <w:rPr>
      <w:rFonts w:ascii="Times New Roman" w:hAnsi="Times New Roman" w:eastAsia="宋体" w:cs="Times New Roman"/>
      <w:sz w:val="24"/>
      <w:szCs w:val="20"/>
    </w:rPr>
  </w:style>
  <w:style w:type="paragraph" w:customStyle="1" w:styleId="853">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1"/>
    <w:next w:val="21"/>
    <w:qFormat/>
    <w:uiPriority w:val="99"/>
    <w:rPr>
      <w:b/>
      <w:bCs/>
      <w:kern w:val="0"/>
      <w:sz w:val="20"/>
      <w:szCs w:val="20"/>
    </w:rPr>
  </w:style>
  <w:style w:type="paragraph" w:customStyle="1" w:styleId="872">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99"/>
    <w:rPr>
      <w:rFonts w:ascii="仿宋_GB2312" w:hAnsi="Times New Roman" w:eastAsia="仿宋_GB2312"/>
      <w:b/>
      <w:sz w:val="32"/>
      <w:szCs w:val="32"/>
    </w:rPr>
  </w:style>
  <w:style w:type="paragraph" w:customStyle="1" w:styleId="8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7">
    <w:name w:val="Char Char Char11"/>
    <w:basedOn w:val="1"/>
    <w:qFormat/>
    <w:uiPriority w:val="99"/>
  </w:style>
  <w:style w:type="paragraph" w:customStyle="1" w:styleId="878">
    <w:name w:val="Char111"/>
    <w:basedOn w:val="1"/>
    <w:qFormat/>
    <w:uiPriority w:val="99"/>
    <w:rPr>
      <w:rFonts w:ascii="仿宋_GB2312" w:hAnsi="Times New Roman" w:eastAsia="仿宋_GB2312"/>
      <w:b/>
      <w:sz w:val="32"/>
      <w:szCs w:val="32"/>
    </w:rPr>
  </w:style>
  <w:style w:type="paragraph" w:customStyle="1" w:styleId="879">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99"/>
    <w:rPr>
      <w:rFonts w:ascii="仿宋_GB2312" w:hAnsi="Times New Roman" w:eastAsia="仿宋_GB2312"/>
      <w:b/>
      <w:sz w:val="32"/>
      <w:szCs w:val="32"/>
    </w:rPr>
  </w:style>
  <w:style w:type="paragraph" w:customStyle="1" w:styleId="883">
    <w:name w:val="正文文本缩进11"/>
    <w:basedOn w:val="1"/>
    <w:qFormat/>
    <w:uiPriority w:val="99"/>
    <w:pPr>
      <w:spacing w:after="120"/>
      <w:ind w:left="420" w:leftChars="200"/>
    </w:pPr>
    <w:rPr>
      <w:rFonts w:cs="黑体"/>
    </w:rPr>
  </w:style>
  <w:style w:type="paragraph" w:customStyle="1" w:styleId="884">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99"/>
    <w:rPr>
      <w:rFonts w:ascii="仿宋_GB2312" w:hAnsi="Times New Roman" w:eastAsia="仿宋_GB2312"/>
      <w:b/>
      <w:sz w:val="32"/>
      <w:szCs w:val="32"/>
    </w:rPr>
  </w:style>
  <w:style w:type="paragraph" w:customStyle="1" w:styleId="886">
    <w:name w:val="列出段落12"/>
    <w:basedOn w:val="1"/>
    <w:qFormat/>
    <w:uiPriority w:val="99"/>
    <w:pPr>
      <w:ind w:firstLine="420" w:firstLineChars="200"/>
    </w:pPr>
  </w:style>
  <w:style w:type="paragraph" w:customStyle="1" w:styleId="887">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99"/>
    <w:rPr>
      <w:rFonts w:ascii="Tahoma" w:hAnsi="Tahoma"/>
      <w:sz w:val="24"/>
      <w:szCs w:val="20"/>
    </w:rPr>
  </w:style>
  <w:style w:type="paragraph" w:customStyle="1" w:styleId="88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99"/>
    <w:rPr>
      <w:rFonts w:ascii="Tahoma" w:hAnsi="Tahoma"/>
      <w:sz w:val="24"/>
      <w:szCs w:val="20"/>
    </w:rPr>
  </w:style>
  <w:style w:type="paragraph" w:customStyle="1" w:styleId="891">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vanish/>
      <w:sz w:val="16"/>
      <w:szCs w:val="16"/>
    </w:rPr>
  </w:style>
  <w:style w:type="paragraph" w:customStyle="1" w:styleId="895">
    <w:name w:val="HTML Bottom of Form"/>
    <w:basedOn w:val="1"/>
    <w:next w:val="1"/>
    <w:link w:val="894"/>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qFormat/>
    <w:uiPriority w:val="0"/>
    <w:rPr>
      <w:rFonts w:ascii="Arial" w:hAnsi="Arial" w:cs="Arial"/>
      <w:vanish/>
      <w:sz w:val="16"/>
      <w:szCs w:val="16"/>
    </w:rPr>
  </w:style>
  <w:style w:type="paragraph" w:customStyle="1" w:styleId="898">
    <w:name w:val="HTML Top of Form"/>
    <w:basedOn w:val="1"/>
    <w:next w:val="1"/>
    <w:link w:val="89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3"/>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semiHidden/>
    <w:qFormat/>
    <w:uiPriority w:val="99"/>
    <w:rPr>
      <w:rFonts w:ascii="Arial" w:hAnsi="Arial" w:eastAsia="宋体" w:cs="Arial"/>
      <w:vanish/>
      <w:sz w:val="16"/>
      <w:szCs w:val="16"/>
    </w:rPr>
  </w:style>
  <w:style w:type="character" w:customStyle="1" w:styleId="902">
    <w:name w:val="z-窗体顶端 Char1"/>
    <w:basedOn w:val="64"/>
    <w:semiHidden/>
    <w:qFormat/>
    <w:uiPriority w:val="99"/>
    <w:rPr>
      <w:rFonts w:ascii="Arial" w:hAnsi="Arial" w:eastAsia="宋体" w:cs="Arial"/>
      <w:vanish/>
      <w:sz w:val="16"/>
      <w:szCs w:val="16"/>
    </w:rPr>
  </w:style>
  <w:style w:type="paragraph" w:customStyle="1" w:styleId="903">
    <w:name w:val="Revision"/>
    <w:semiHidden/>
    <w:qFormat/>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99"/>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4"/>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4"/>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99"/>
    <w:pPr>
      <w:outlineLvl w:val="9"/>
    </w:pPr>
  </w:style>
  <w:style w:type="paragraph" w:customStyle="1" w:styleId="956">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964"/>
    <w:link w:val="56"/>
    <w:qFormat/>
    <w:uiPriority w:val="99"/>
    <w:rPr>
      <w:rFonts w:ascii="Calibri" w:hAnsi="Calibri" w:eastAsia="宋体" w:cs="Times New Roman"/>
      <w:b/>
      <w:bCs/>
    </w:rPr>
  </w:style>
  <w:style w:type="character" w:customStyle="1" w:styleId="964">
    <w:name w:val="批注文字 字符"/>
    <w:basedOn w:val="64"/>
    <w:link w:val="21"/>
    <w:qFormat/>
    <w:uiPriority w:val="99"/>
    <w:rPr>
      <w:kern w:val="2"/>
      <w:sz w:val="21"/>
      <w:szCs w:val="22"/>
    </w:rPr>
  </w:style>
  <w:style w:type="character" w:customStyle="1" w:styleId="965">
    <w:name w:val="正文首行缩进 2 字符"/>
    <w:basedOn w:val="86"/>
    <w:link w:val="58"/>
    <w:qFormat/>
    <w:uiPriority w:val="99"/>
    <w:rPr>
      <w:rFonts w:ascii="Times New Roman" w:hAnsi="Times New Roman" w:eastAsia="宋体" w:cs="Times New Roman"/>
      <w:spacing w:val="-4"/>
      <w:sz w:val="18"/>
      <w:szCs w:val="20"/>
    </w:rPr>
  </w:style>
  <w:style w:type="table" w:customStyle="1" w:styleId="966">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7">
    <w:name w:val="批注引用1"/>
    <w:qFormat/>
    <w:uiPriority w:val="0"/>
    <w:rPr>
      <w:sz w:val="21"/>
      <w:szCs w:val="21"/>
    </w:rPr>
  </w:style>
  <w:style w:type="paragraph" w:customStyle="1" w:styleId="968">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9">
    <w:name w:val="正文文本 字符"/>
    <w:qFormat/>
    <w:uiPriority w:val="99"/>
    <w:rPr>
      <w:rFonts w:eastAsia="宋体"/>
      <w:kern w:val="2"/>
      <w:sz w:val="28"/>
      <w:szCs w:val="24"/>
      <w:lang w:val="en-US" w:eastAsia="zh-CN" w:bidi="ar-SA"/>
    </w:rPr>
  </w:style>
  <w:style w:type="character" w:customStyle="1" w:styleId="970">
    <w:name w:val="正文文本缩进 字符"/>
    <w:qFormat/>
    <w:uiPriority w:val="99"/>
    <w:rPr>
      <w:rFonts w:ascii="宋体" w:hAnsi="Courier New" w:eastAsia="宋体"/>
      <w:spacing w:val="-4"/>
      <w:kern w:val="2"/>
      <w:sz w:val="18"/>
      <w:lang w:val="en-US" w:eastAsia="zh-CN" w:bidi="ar-SA"/>
    </w:rPr>
  </w:style>
  <w:style w:type="character" w:customStyle="1" w:styleId="971">
    <w:name w:val="标题 字符1"/>
    <w:basedOn w:val="64"/>
    <w:qFormat/>
    <w:uiPriority w:val="10"/>
    <w:rPr>
      <w:rFonts w:asciiTheme="majorHAnsi" w:hAnsiTheme="majorHAnsi" w:eastAsiaTheme="majorEastAsia" w:cstheme="majorBidi"/>
      <w:b/>
      <w:bCs/>
      <w:sz w:val="32"/>
      <w:szCs w:val="32"/>
    </w:rPr>
  </w:style>
  <w:style w:type="character" w:customStyle="1" w:styleId="972">
    <w:name w:val="副标题 字符1"/>
    <w:basedOn w:val="64"/>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qFormat/>
    <w:uiPriority w:val="0"/>
    <w:rPr>
      <w:rFonts w:ascii="Futura Bk" w:hAnsi="Futura Bk" w:eastAsia="宋体" w:cs="Times New Roman"/>
      <w:sz w:val="18"/>
      <w:szCs w:val="21"/>
    </w:rPr>
  </w:style>
  <w:style w:type="paragraph" w:customStyle="1" w:styleId="975">
    <w:name w:val="a2"/>
    <w:basedOn w:val="1"/>
    <w:qFormat/>
    <w:uiPriority w:val="99"/>
    <w:pPr>
      <w:widowControl/>
      <w:spacing w:after="150"/>
      <w:jc w:val="left"/>
    </w:pPr>
    <w:rPr>
      <w:rFonts w:ascii="宋体" w:hAnsi="宋体" w:cs="宋体"/>
      <w:kern w:val="0"/>
      <w:sz w:val="24"/>
      <w:szCs w:val="24"/>
    </w:rPr>
  </w:style>
  <w:style w:type="table" w:customStyle="1" w:styleId="976">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3"/>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qFormat/>
    <w:uiPriority w:val="0"/>
  </w:style>
  <w:style w:type="character" w:customStyle="1" w:styleId="981">
    <w:name w:val="书籍标题2"/>
    <w:qFormat/>
    <w:uiPriority w:val="33"/>
    <w:rPr>
      <w:b/>
      <w:bCs/>
      <w:smallCaps/>
      <w:spacing w:val="5"/>
    </w:rPr>
  </w:style>
  <w:style w:type="paragraph" w:customStyle="1" w:styleId="982">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3">
    <w:name w:val="明显参考2"/>
    <w:qFormat/>
    <w:uiPriority w:val="0"/>
    <w:rPr>
      <w:b/>
      <w:sz w:val="24"/>
      <w:u w:val="single"/>
    </w:rPr>
  </w:style>
  <w:style w:type="paragraph" w:customStyle="1" w:styleId="984">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5">
    <w:name w:val="不明显参考2"/>
    <w:qFormat/>
    <w:uiPriority w:val="31"/>
    <w:rPr>
      <w:smallCaps/>
      <w:color w:val="C0504D"/>
      <w:u w:val="single"/>
    </w:rPr>
  </w:style>
  <w:style w:type="paragraph" w:customStyle="1" w:styleId="986">
    <w:name w:val="TOC 标题2"/>
    <w:basedOn w:val="3"/>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7">
    <w:name w:val="修订2"/>
    <w:semiHidden/>
    <w:qFormat/>
    <w:uiPriority w:val="99"/>
    <w:rPr>
      <w:rFonts w:ascii="Calibri" w:hAnsi="Calibri" w:eastAsia="宋体" w:cs="Times New Roman"/>
      <w:kern w:val="2"/>
      <w:sz w:val="21"/>
      <w:szCs w:val="22"/>
      <w:lang w:val="en-US" w:eastAsia="zh-CN" w:bidi="ar-SA"/>
    </w:rPr>
  </w:style>
  <w:style w:type="character" w:customStyle="1" w:styleId="988">
    <w:name w:val="日期 字符1"/>
    <w:basedOn w:val="64"/>
    <w:semiHidden/>
    <w:qFormat/>
    <w:uiPriority w:val="0"/>
    <w:rPr>
      <w:rFonts w:ascii="Calibri" w:hAnsi="Calibri" w:eastAsia="宋体" w:cs="Times New Roman"/>
    </w:rPr>
  </w:style>
  <w:style w:type="character" w:customStyle="1" w:styleId="989">
    <w:name w:val="正文文本 2 字符1"/>
    <w:basedOn w:val="64"/>
    <w:semiHidden/>
    <w:qFormat/>
    <w:uiPriority w:val="0"/>
    <w:rPr>
      <w:rFonts w:ascii="Calibri" w:hAnsi="Calibri" w:eastAsia="宋体" w:cs="Times New Roman"/>
    </w:rPr>
  </w:style>
  <w:style w:type="character" w:customStyle="1" w:styleId="990">
    <w:name w:val="纯文本 字符1"/>
    <w:basedOn w:val="64"/>
    <w:semiHidden/>
    <w:qFormat/>
    <w:uiPriority w:val="99"/>
    <w:rPr>
      <w:rFonts w:hAnsi="Courier New" w:cs="Courier New" w:asciiTheme="minorEastAsia"/>
    </w:rPr>
  </w:style>
  <w:style w:type="table" w:customStyle="1" w:styleId="991">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23483</Words>
  <Characters>25444</Characters>
  <Lines>1280</Lines>
  <Paragraphs>999</Paragraphs>
  <TotalTime>1</TotalTime>
  <ScaleCrop>false</ScaleCrop>
  <LinksUpToDate>false</LinksUpToDate>
  <CharactersWithSpaces>25574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K</cp:lastModifiedBy>
  <cp:lastPrinted>2021-01-25T02:12:00Z</cp:lastPrinted>
  <dcterms:modified xsi:type="dcterms:W3CDTF">2024-11-01T02:09:50Z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A867BB3E74F5449ABA939A3286A5B369_12</vt:lpwstr>
  </property>
</Properties>
</file>