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0"/>
        <w:jc w:val="center"/>
        <w:rPr>
          <w:rFonts w:hint="eastAsia" w:ascii="宋体" w:hAnsi="宋体" w:eastAsia="宋体" w:cs="宋体"/>
          <w:b/>
          <w:bCs w:val="0"/>
          <w:sz w:val="44"/>
          <w:szCs w:val="44"/>
          <w:lang w:val="en-US"/>
        </w:rPr>
      </w:pPr>
      <w:bookmarkStart w:id="37" w:name="_GoBack"/>
      <w:bookmarkEnd w:id="37"/>
      <w:r>
        <w:rPr>
          <w:rFonts w:hint="eastAsia" w:ascii="宋体" w:hAnsi="宋体" w:eastAsia="宋体" w:cs="宋体"/>
          <w:kern w:val="2"/>
          <w:sz w:val="36"/>
          <w:szCs w:val="36"/>
          <w:lang w:val="en-US" w:eastAsia="zh-CN" w:bidi="ar"/>
        </w:rPr>
        <w:t xml:space="preserve">  </w:t>
      </w:r>
      <w:bookmarkStart w:id="0" w:name="PO_15528_PM002_1"/>
      <w:bookmarkEnd w:id="0"/>
      <w:r>
        <w:rPr>
          <w:rFonts w:hint="eastAsia" w:ascii="宋体" w:hAnsi="宋体" w:eastAsia="宋体" w:cs="宋体"/>
          <w:b/>
          <w:bCs w:val="0"/>
          <w:kern w:val="2"/>
          <w:sz w:val="44"/>
          <w:szCs w:val="44"/>
          <w:lang w:val="en-US" w:eastAsia="zh-CN" w:bidi="ar"/>
        </w:rPr>
        <w:t>省体育彩票管理中心体彩安卓终端机采购</w:t>
      </w:r>
    </w:p>
    <w:p>
      <w:pPr>
        <w:keepNext w:val="0"/>
        <w:keepLines w:val="0"/>
        <w:widowControl w:val="0"/>
        <w:suppressLineNumbers w:val="0"/>
        <w:spacing w:before="240" w:beforeLines="100" w:beforeAutospacing="0" w:after="0" w:afterAutospacing="0" w:line="360" w:lineRule="auto"/>
        <w:ind w:left="0" w:right="0"/>
        <w:jc w:val="center"/>
        <w:rPr>
          <w:rFonts w:hint="eastAsia" w:ascii="宋体" w:hAnsi="宋体" w:eastAsia="宋体" w:cs="宋体"/>
          <w:sz w:val="36"/>
          <w:szCs w:val="36"/>
          <w:lang w:val="en-US"/>
        </w:rPr>
      </w:pPr>
    </w:p>
    <w:p>
      <w:pPr>
        <w:keepNext w:val="0"/>
        <w:keepLines w:val="0"/>
        <w:widowControl w:val="0"/>
        <w:suppressLineNumbers w:val="0"/>
        <w:spacing w:before="240" w:beforeLines="100" w:beforeAutospacing="0" w:after="0" w:afterAutospacing="0" w:line="360" w:lineRule="auto"/>
        <w:ind w:left="0" w:right="0"/>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ZZCG2023F-GK-120</w:t>
      </w:r>
    </w:p>
    <w:p>
      <w:pPr>
        <w:keepNext w:val="0"/>
        <w:keepLines w:val="0"/>
        <w:widowControl w:val="0"/>
        <w:suppressLineNumbers w:val="0"/>
        <w:spacing w:before="240" w:beforeLines="100" w:beforeAutospacing="0" w:after="0" w:afterAutospacing="1" w:line="800" w:lineRule="exact"/>
        <w:ind w:left="0" w:right="0"/>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center"/>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Ansi="宋体"/>
          <w:b/>
          <w:sz w:val="36"/>
          <w:szCs w:val="36"/>
          <w:lang w:val="en-US"/>
        </w:rPr>
      </w:pPr>
      <w:r>
        <w:rPr>
          <w:rFonts w:hint="eastAsia" w:ascii="宋体" w:hAnsi="宋体" w:eastAsia="宋体" w:cs="宋体"/>
          <w:kern w:val="2"/>
          <w:sz w:val="36"/>
          <w:szCs w:val="36"/>
          <w:lang w:val="en-US" w:eastAsia="zh-CN" w:bidi="ar"/>
        </w:rPr>
        <w:t>地    址：杭州市西湖区宝石一路3号</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sz w:val="36"/>
          <w:szCs w:val="36"/>
          <w:lang w:val="en-US"/>
        </w:rPr>
      </w:pPr>
      <w:r>
        <w:rPr>
          <w:rFonts w:hint="eastAsia" w:ascii="宋体" w:hAnsi="宋体" w:eastAsia="宋体" w:cs="宋体"/>
          <w:b/>
          <w:kern w:val="2"/>
          <w:sz w:val="36"/>
          <w:szCs w:val="36"/>
          <w:lang w:val="en-US" w:eastAsia="zh-CN" w:bidi="ar"/>
        </w:rPr>
        <w:t>目</w:t>
      </w:r>
      <w:r>
        <w:rPr>
          <w:rFonts w:hint="default" w:ascii="Calibri" w:hAnsi="宋体" w:eastAsia="宋体" w:cs="Times New Roman"/>
          <w:b/>
          <w:kern w:val="2"/>
          <w:sz w:val="36"/>
          <w:szCs w:val="36"/>
          <w:lang w:val="en-US" w:eastAsia="zh-CN" w:bidi="ar"/>
        </w:rPr>
        <w:t xml:space="preserve">     </w:t>
      </w:r>
      <w:r>
        <w:rPr>
          <w:rFonts w:hint="eastAsia" w:ascii="宋体" w:hAnsi="宋体" w:eastAsia="宋体" w:cs="宋体"/>
          <w:b/>
          <w:kern w:val="2"/>
          <w:sz w:val="36"/>
          <w:szCs w:val="36"/>
          <w:lang w:val="en-US" w:eastAsia="zh-CN" w:bidi="ar"/>
        </w:rPr>
        <w:t>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12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"file:///F:\\pooh\\E盘\\2023F\\省体彩中心ZZCG2023F-GK-120\\省体育彩票管理中心体彩安卓终端机采购.docx"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12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"file:///F:\\pooh\\E盘\\2023F\\省体彩中心ZZCG2023F-GK-120\\省体育彩票管理中心体彩安卓终端机采购.docx"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12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"file:///F:\\pooh\\E盘\\2023F\\省体彩中心ZZCG2023F-GK-120\\省体育彩票管理中心体彩安卓终端机采购.docx"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12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"file:///F:\\pooh\\E盘\\2023F\\省体彩中心ZZCG2023F-GK-120\\省体育彩票管理中心体彩安卓终端机采购.docx"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12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"file:///F:\\pooh\\E盘\\2023F\\省体彩中心ZZCG2023F-GK-120\\省体育彩票管理中心体彩安卓终端机采购.docx"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12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"file:///F:\\pooh\\E盘\\2023F\\省体彩中心ZZCG2023F-GK-120\\省体育彩票管理中心体彩安卓终端机采购.docx"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kern w:val="0"/>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ZZCG2023F-GK-120</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5"/>
        <w:gridCol w:w="1723"/>
        <w:gridCol w:w="849"/>
        <w:gridCol w:w="850"/>
        <w:gridCol w:w="1134"/>
        <w:gridCol w:w="1557"/>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w:t>
            </w:r>
          </w:p>
        </w:tc>
        <w:tc>
          <w:tcPr>
            <w:tcW w:w="17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8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预算(万元)</w:t>
            </w:r>
          </w:p>
        </w:tc>
        <w:tc>
          <w:tcPr>
            <w:tcW w:w="15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7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省体育彩票管理中心体彩安卓终端机采购</w:t>
            </w:r>
          </w:p>
        </w:tc>
        <w:tc>
          <w:tcPr>
            <w:tcW w:w="8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批</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727.5</w:t>
            </w:r>
          </w:p>
        </w:tc>
        <w:tc>
          <w:tcPr>
            <w:tcW w:w="15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w:t>
      </w:r>
    </w:p>
    <w:p>
      <w:pPr>
        <w:keepNext w:val="0"/>
        <w:keepLines w:val="0"/>
        <w:widowControl w:val="0"/>
        <w:suppressLineNumbers w:val="0"/>
        <w:snapToGrid w:val="0"/>
        <w:spacing w:before="0" w:beforeAutospacing="0" w:after="0" w:afterAutospacing="0" w:line="460" w:lineRule="exact"/>
        <w:ind w:left="420" w:leftChars="200" w:right="0" w:firstLine="301" w:firstLineChars="100"/>
        <w:jc w:val="both"/>
        <w:rPr>
          <w:rFonts w:hint="eastAsia" w:ascii="仿宋" w:hAnsi="仿宋" w:eastAsia="仿宋" w:cs="Arial"/>
          <w:b/>
          <w:bCs w:val="0"/>
          <w:color w:val="FF0000"/>
          <w:kern w:val="0"/>
          <w:sz w:val="30"/>
          <w:szCs w:val="30"/>
          <w:lang w:val="en-US"/>
        </w:rPr>
      </w:pPr>
      <w:bookmarkStart w:id="6" w:name="PO_15528_PM007"/>
      <w:bookmarkEnd w:id="6"/>
      <w:r>
        <w:rPr>
          <w:rFonts w:hint="eastAsia" w:ascii="仿宋" w:hAnsi="仿宋" w:eastAsia="仿宋" w:cs="Arial"/>
          <w:b/>
          <w:bCs w:val="0"/>
          <w:color w:val="FF0000"/>
          <w:kern w:val="0"/>
          <w:sz w:val="30"/>
          <w:szCs w:val="30"/>
          <w:lang w:val="en-US" w:eastAsia="zh-CN" w:bidi="ar"/>
        </w:rPr>
        <w:t>本项目专门面向中小企业采购，请单独上传《中小企业声明函》。</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[项目采购-报名开始日期] 至 </w:t>
      </w:r>
      <w:bookmarkStart w:id="7" w:name="PO_15528_PM009"/>
      <w:r>
        <w:rPr>
          <w:rFonts w:hint="eastAsia" w:ascii="仿宋" w:hAnsi="仿宋" w:eastAsia="仿宋" w:cs="仿宋"/>
          <w:kern w:val="0"/>
          <w:sz w:val="30"/>
          <w:szCs w:val="30"/>
          <w:lang w:val="en-US" w:eastAsia="zh-CN" w:bidi="ar"/>
        </w:rPr>
        <w:t>2023-06-30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2023-06-30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Ansi="宋体"/>
          <w:b/>
          <w:kern w:val="0"/>
          <w:sz w:val="28"/>
          <w:szCs w:val="28"/>
          <w:lang w:val="en-US"/>
        </w:rPr>
      </w:pPr>
      <w:r>
        <w:rPr>
          <w:rFonts w:hint="eastAsia" w:ascii="宋体" w:hAnsi="宋体" w:eastAsia="宋体" w:cs="Times New Roman"/>
          <w:b/>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2023-06-30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西湖区浙江省杭州市西湖区宝石一路3号203开标室</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984"/>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开评标现场咨询电话</w:t>
            </w: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201开标室：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0571-88907792</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202开标室：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203开标室：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0571-88901816</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301会议室：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302会议室：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0571-88907720</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303会议室：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306会议室：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0571-88907751</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 w:val="28"/>
                <w:szCs w:val="28"/>
                <w:lang w:val="en-US"/>
              </w:rPr>
            </w:pP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蒋女士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0571-88907785</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财务监督部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sz w:val="30"/>
          <w:szCs w:val="30"/>
          <w:lang w:val="en-US"/>
        </w:rPr>
      </w:pPr>
      <w:bookmarkStart w:id="14" w:name="PO_15528_PM001384_1"/>
      <w:bookmarkEnd w:id="14"/>
      <w:r>
        <w:rPr>
          <w:rFonts w:hint="eastAsia" w:ascii="仿宋_GB2312" w:hAnsi="仿宋" w:eastAsia="仿宋_GB2312" w:cs="仿宋_GB2312"/>
          <w:kern w:val="2"/>
          <w:sz w:val="30"/>
          <w:szCs w:val="30"/>
          <w:lang w:val="en-US" w:eastAsia="zh-CN" w:bidi="ar"/>
        </w:rPr>
        <w:t xml:space="preserve"> </w:t>
      </w:r>
      <w:bookmarkStart w:id="15" w:name="PO_TDCUS_ITEM_PRC_TITLE_1_2"/>
      <w:bookmarkEnd w:id="15"/>
    </w:p>
    <w:tbl>
      <w:tblPr>
        <w:tblStyle w:val="59"/>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7"/>
        <w:gridCol w:w="1498"/>
        <w:gridCol w:w="2268"/>
        <w:gridCol w:w="199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bookmarkStart w:id="16" w:name="PO_TDCUS_ITEM_PRC_TABLE_1_1"/>
            <w:bookmarkEnd w:id="16"/>
            <w:r>
              <w:rPr>
                <w:rFonts w:hint="eastAsia" w:ascii="宋体" w:hAnsi="宋体" w:eastAsia="宋体" w:cs="宋体"/>
                <w:b/>
                <w:kern w:val="2"/>
                <w:sz w:val="28"/>
                <w:szCs w:val="28"/>
                <w:lang w:val="en-US" w:eastAsia="zh-CN" w:bidi="ar"/>
              </w:rPr>
              <w:t>采购单位</w:t>
            </w:r>
          </w:p>
        </w:tc>
        <w:tc>
          <w:tcPr>
            <w:tcW w:w="7555"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浙江省体育彩票管理中心（本级）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地 址</w:t>
            </w:r>
          </w:p>
        </w:tc>
        <w:tc>
          <w:tcPr>
            <w:tcW w:w="755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杭州市上城区复兴路397号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咨询事项</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联系人</w:t>
            </w: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联系方式</w:t>
            </w: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传真</w:t>
            </w: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采购需求等</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杜春雷</w:t>
            </w: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0571-85090590</w:t>
            </w: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项目监督</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ab/>
      </w:r>
      <w:r>
        <w:rPr>
          <w:rFonts w:hint="eastAsia" w:ascii="仿宋" w:hAnsi="仿宋" w:eastAsia="仿宋" w:cs="Arial"/>
          <w:b/>
          <w:kern w:val="2"/>
          <w:sz w:val="30"/>
          <w:szCs w:val="30"/>
          <w:lang w:val="en-US" w:eastAsia="zh-CN" w:bidi="ar"/>
        </w:rPr>
        <w:t>十二、同级政府采购监督管理部门</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名    称：浙江省财政厅政府采购监管处、浙江省政府采购行政裁决服务中心（杭州）</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地   址：杭州市上城区四季青街道新业路市民之家G03办公室</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传   真：/</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联系人 ：朱女士、王女士</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监督投诉电话：0571-85252453</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预算金额未达100万元的采购项目，由采购人处理采购争议。</w:t>
      </w:r>
    </w:p>
    <w:p>
      <w:pPr>
        <w:pStyle w:val="53"/>
        <w:keepNext w:val="0"/>
        <w:keepLines w:val="0"/>
        <w:widowControl w:val="0"/>
        <w:suppressLineNumbers w:val="0"/>
        <w:spacing w:before="120" w:beforeLines="50" w:beforeAutospacing="0" w:after="0" w:afterAutospacing="0" w:line="360" w:lineRule="auto"/>
        <w:ind w:left="0" w:right="0"/>
        <w:jc w:val="both"/>
        <w:outlineLvl w:val="0"/>
        <w:rPr>
          <w:rFonts w:hAnsi="宋体" w:cs="仿宋"/>
          <w:sz w:val="28"/>
          <w:szCs w:val="28"/>
          <w:lang w:val="en-US"/>
        </w:rPr>
      </w:pPr>
      <w:r>
        <w:rPr>
          <w:rFonts w:hint="eastAsia" w:ascii="宋体" w:hAnsi="宋体" w:eastAsia="宋体" w:cs="仿宋"/>
          <w:kern w:val="2"/>
          <w:sz w:val="28"/>
          <w:szCs w:val="28"/>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Courier New" w:eastAsia="宋体" w:cs="Times New Roman"/>
          <w:sz w:val="24"/>
          <w:szCs w:val="24"/>
          <w:lang w:val="en-US" w:eastAsia="zh-CN" w:bidi="ar"/>
        </w:rPr>
        <w:br w:type="page"/>
      </w:r>
      <w:bookmarkStart w:id="17" w:name="_Toc496796636"/>
      <w:bookmarkEnd w:id="17"/>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4"/>
        <w:gridCol w:w="1558"/>
        <w:gridCol w:w="737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中小企业预留份额情况</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是</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中小企业优惠措施</w:t>
            </w:r>
          </w:p>
        </w:tc>
        <w:tc>
          <w:tcPr>
            <w:tcW w:w="737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0" w:beforeAutospacing="0" w:after="0" w:afterAutospacing="0" w:line="460" w:lineRule="exact"/>
              <w:ind w:left="0" w:right="0" w:firstLine="42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1.项目属性：（货物类）</w:t>
            </w:r>
          </w:p>
          <w:p>
            <w:pPr>
              <w:pStyle w:val="53"/>
              <w:keepNext w:val="0"/>
              <w:keepLines w:val="0"/>
              <w:widowControl w:val="0"/>
              <w:suppressLineNumbers w:val="0"/>
              <w:snapToGrid w:val="0"/>
              <w:spacing w:before="0" w:beforeAutospacing="0" w:after="0" w:afterAutospacing="0" w:line="460" w:lineRule="exact"/>
              <w:ind w:left="0" w:right="0" w:firstLine="42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采购标的：省体育彩票管理中心体彩安卓终端机采购  ，</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所属行业：工业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bCs w:val="0"/>
                <w:sz w:val="24"/>
                <w:szCs w:val="21"/>
                <w:lang w:val="en-US"/>
              </w:rPr>
            </w:pPr>
            <w:r>
              <w:rPr>
                <w:rFonts w:hint="eastAsia" w:ascii="仿宋" w:hAnsi="仿宋" w:eastAsia="仿宋" w:cs="仿宋"/>
                <w:b/>
                <w:bCs w:val="0"/>
                <w:color w:val="FF0000"/>
                <w:kern w:val="2"/>
                <w:sz w:val="24"/>
                <w:szCs w:val="24"/>
                <w:lang w:val="en-US" w:eastAsia="zh-CN" w:bidi="ar"/>
              </w:rPr>
              <w:t>3.本项目专门面向中小企业采购的项目，不再执行价格评审优惠的扶持政策。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政府采购节能环保产品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投标人认为采购文件使自己的权益受到损害的，可以自获取采购文件之日或者采购公告期限届满之日（公告期限届满后获取采购文件的，以公告期限届满之日为准）起7个工作日内，对采购文件需求和评分标准的以书面形式向采购人提出质疑，对其他内容的以书面形式向采购人和招标方提出质疑，格式及内容要求详见总则（五）质疑。</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是否允许采购进口产品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8" w:name="PO_15528_PM042"/>
            <w:r>
              <w:rPr>
                <w:rFonts w:hint="eastAsia" w:ascii="仿宋" w:hAnsi="仿宋" w:eastAsia="仿宋" w:cs="仿宋"/>
                <w:kern w:val="2"/>
                <w:sz w:val="24"/>
                <w:szCs w:val="24"/>
                <w:lang w:val="en-US" w:eastAsia="zh-CN" w:bidi="ar"/>
              </w:rPr>
              <w:t>不允许进口产品</w:t>
            </w:r>
            <w:bookmarkEnd w:id="18"/>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是否允许转包与分包</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both"/>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转包：否</w:t>
            </w:r>
          </w:p>
          <w:p>
            <w:pPr>
              <w:keepNext w:val="0"/>
              <w:keepLines w:val="0"/>
              <w:widowControl w:val="0"/>
              <w:suppressLineNumbers w:val="0"/>
              <w:snapToGrid w:val="0"/>
              <w:spacing w:before="0" w:beforeAutospacing="0" w:after="0" w:afterAutospacing="0" w:line="460" w:lineRule="exact"/>
              <w:ind w:left="0" w:right="0"/>
              <w:jc w:val="both"/>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分包：</w:t>
            </w:r>
            <w:bookmarkStart w:id="19" w:name="PO_15528_PM044"/>
            <w:r>
              <w:rPr>
                <w:rFonts w:hint="eastAsia" w:ascii="仿宋_GB2312" w:hAnsi="仿宋" w:eastAsia="仿宋_GB2312" w:cs="仿宋_GB2312"/>
                <w:kern w:val="2"/>
                <w:sz w:val="24"/>
                <w:szCs w:val="24"/>
                <w:lang w:val="en-US" w:eastAsia="zh-CN" w:bidi="ar"/>
              </w:rPr>
              <w:t>允许分包</w:t>
            </w:r>
            <w:bookmarkEnd w:id="19"/>
            <w:r>
              <w:rPr>
                <w:rFonts w:hint="eastAsia" w:ascii="仿宋_GB2312" w:hAnsi="仿宋" w:eastAsia="仿宋_GB2312" w:cs="仿宋_GB2312"/>
                <w:kern w:val="2"/>
                <w:sz w:val="24"/>
                <w:szCs w:val="24"/>
                <w:lang w:val="en-US" w:eastAsia="zh-CN" w:bidi="ar"/>
              </w:rPr>
              <w:t>；非主体、非关键性工作允许分包。分包内容为：</w:t>
            </w:r>
            <w:r>
              <w:rPr>
                <w:rFonts w:hint="eastAsia" w:ascii="仿宋" w:hAnsi="仿宋" w:eastAsia="仿宋" w:cs="仿宋"/>
                <w:b/>
                <w:bCs w:val="0"/>
                <w:kern w:val="2"/>
                <w:sz w:val="24"/>
                <w:szCs w:val="24"/>
                <w:lang w:val="en-US" w:eastAsia="zh-CN" w:bidi="ar"/>
              </w:rPr>
              <w:t>安卓终端机运输。</w:t>
            </w:r>
          </w:p>
          <w:p>
            <w:pPr>
              <w:keepNext w:val="0"/>
              <w:keepLines w:val="0"/>
              <w:widowControl w:val="0"/>
              <w:suppressLineNumbers w:val="0"/>
              <w:spacing w:before="0" w:beforeAutospacing="0" w:after="0" w:afterAutospacing="0" w:line="500" w:lineRule="exact"/>
              <w:ind w:left="0" w:right="0"/>
              <w:jc w:val="left"/>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pacing w:before="0" w:beforeAutospacing="0" w:after="0" w:afterAutospacing="0" w:line="500" w:lineRule="exact"/>
              <w:ind w:left="0" w:right="0"/>
              <w:jc w:val="left"/>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联合体投标</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_GB2312" w:hAnsi="仿宋" w:eastAsia="仿宋_GB2312" w:cs="仿宋_GB2312"/>
                <w:sz w:val="24"/>
                <w:szCs w:val="24"/>
                <w:lang w:val="en-US"/>
              </w:rPr>
            </w:pPr>
            <w:bookmarkStart w:id="20" w:name="PO_15528_PM007_1"/>
            <w:r>
              <w:rPr>
                <w:rFonts w:hint="eastAsia" w:ascii="仿宋_GB2312" w:hAnsi="仿宋" w:eastAsia="仿宋_GB2312" w:cs="仿宋_GB2312"/>
                <w:kern w:val="2"/>
                <w:sz w:val="24"/>
                <w:szCs w:val="24"/>
                <w:lang w:val="en-US" w:eastAsia="zh-CN" w:bidi="ar"/>
              </w:rPr>
              <w:t>标项1:允许联合体投标</w:t>
            </w:r>
            <w:bookmarkEnd w:id="20"/>
            <w:r>
              <w:rPr>
                <w:rFonts w:hint="eastAsia" w:ascii="仿宋_GB2312" w:hAnsi="仿宋" w:eastAsia="仿宋_GB2312" w:cs="仿宋_GB2312"/>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是否现场踏勘</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5528_PM040"/>
            <w:r>
              <w:rPr>
                <w:rFonts w:hint="eastAsia" w:ascii="仿宋" w:hAnsi="仿宋" w:eastAsia="仿宋" w:cs="仿宋"/>
                <w:kern w:val="2"/>
                <w:sz w:val="24"/>
                <w:szCs w:val="24"/>
                <w:lang w:val="en-US" w:eastAsia="zh-CN" w:bidi="ar"/>
              </w:rPr>
              <w:t>不组织现场踏勘</w:t>
            </w:r>
            <w:bookmarkEnd w:id="21"/>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是否提供演示</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是，详见演示相关描述。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是否提供样品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bCs w:val="0"/>
                <w:color w:val="000000"/>
                <w:kern w:val="2"/>
                <w:sz w:val="24"/>
                <w:szCs w:val="24"/>
                <w:lang w:val="en-US" w:eastAsia="zh-CN" w:bidi="ar"/>
              </w:rPr>
              <w:t>是，详见样品相关描述。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投标文件组成</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投标文件均由资格文件、技术商务文件、报价文件组成。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电子交易平台登录方法</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投标文件的递交与接收</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中标结果公告</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履约保证金</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付款方式</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国库集中支付（采购人自行支付）详见各标项的商务要求表。</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投标文件有效期</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合同签订时间</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招标方代理费用</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kern w:val="0"/>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电子投标文件每个标项由资格文件、技术商务文件、投标报价文件三部份组成，具体详见“第六章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numPr>
          <w:ilvl w:val="0"/>
          <w:numId w:val="30"/>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numPr>
          <w:ilvl w:val="0"/>
          <w:numId w:val="30"/>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numPr>
          <w:ilvl w:val="0"/>
          <w:numId w:val="30"/>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4.资格文件、技术商务文件中不得出现投标报价信息，否则按无效标处理。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806" w:leftChars="250" w:right="0" w:hanging="281" w:hangingChars="100"/>
        <w:jc w:val="left"/>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16.对未提供样品</w:t>
      </w:r>
      <w:r>
        <w:rPr>
          <w:rFonts w:hint="eastAsia" w:ascii="仿宋" w:hAnsi="仿宋" w:eastAsia="仿宋" w:cs="仿宋"/>
          <w:b/>
          <w:bCs/>
          <w:kern w:val="2"/>
          <w:sz w:val="28"/>
          <w:szCs w:val="28"/>
          <w:lang w:val="en-US" w:eastAsia="zh-CN" w:bidi="ar"/>
        </w:rPr>
        <w:t>（包括样品数量不全、样品未在规定时间内送达）</w:t>
      </w:r>
      <w:r>
        <w:rPr>
          <w:rFonts w:hint="eastAsia" w:ascii="仿宋" w:hAnsi="仿宋" w:eastAsia="仿宋" w:cs="仿宋"/>
          <w:b/>
          <w:bCs w:val="0"/>
          <w:kern w:val="2"/>
          <w:sz w:val="28"/>
          <w:szCs w:val="28"/>
          <w:lang w:val="en-US" w:eastAsia="zh-CN" w:bidi="ar"/>
        </w:rPr>
        <w:t>或提供样品不满足采购需求实质性条件的；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落实工作场地、设施，检查录音录像采集设备运行情况，验证电子交易平台是否能正常登录。并开启直播（如直播信号出现问题，不影响项目开标程序）。</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宋体" w:hAnsi="宋体" w:eastAsia="宋体" w:cs="Times New Roman"/>
          <w:kern w:val="2"/>
          <w:sz w:val="28"/>
          <w:szCs w:val="28"/>
          <w:lang w:val="en-US" w:eastAsia="zh-CN" w:bidi="ar"/>
        </w:rPr>
        <w:t xml:space="preserve"> </w:t>
      </w:r>
      <w:r>
        <w:rPr>
          <w:rFonts w:hint="eastAsia" w:ascii="仿宋" w:hAnsi="仿宋" w:eastAsia="仿宋" w:cs="仿宋"/>
          <w:kern w:val="2"/>
          <w:sz w:val="28"/>
          <w:szCs w:val="28"/>
          <w:lang w:val="en-US" w:eastAsia="zh-CN" w:bidi="ar"/>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货款由采购人按采购文件规定的付款方式自行支付。纳入国库集中支付的，按照国库集中支付有关规定付款。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1.对中小企业合同预付款比例原则上不低于合同金额的40％，不高于合同金额的70%；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2.项目分年安排预算的，每年预付款比例不低于项目年度计划支付资金额的40％，不高于年度计划支付资金额的70%；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3.采购项目实施以人工投入为主的，可适当降低预付款比例，但不得低于20%。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备注：在签订合同时，供应商明确表示无需预付款或者主动要求降低预付款比例的，采购单位可不适用前述预付款比例的规定。</w:t>
      </w:r>
    </w:p>
    <w:p>
      <w:pPr>
        <w:pStyle w:val="53"/>
        <w:keepNext w:val="0"/>
        <w:keepLines w:val="0"/>
        <w:widowControl w:val="0"/>
        <w:suppressLineNumbers w:val="0"/>
        <w:spacing w:before="120" w:beforeLines="50" w:beforeAutospacing="0" w:after="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0"/>
          <w:sz w:val="36"/>
          <w:szCs w:val="36"/>
          <w:lang w:val="en-US" w:eastAsia="zh-CN" w:bidi="ar"/>
        </w:rPr>
        <w:br w:type="page"/>
      </w:r>
      <w:bookmarkStart w:id="22" w:name="_Toc496796637"/>
      <w:bookmarkEnd w:id="22"/>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kern w:val="0"/>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3" w:name="_Toc496796638"/>
      <w:bookmarkEnd w:id="23"/>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_GB2312" w:hAnsi="宋体" w:eastAsia="仿宋_GB2312" w:cs="仿宋_GB2312"/>
          <w:b/>
          <w:sz w:val="32"/>
          <w:szCs w:val="32"/>
          <w:lang w:val="en-US"/>
        </w:rPr>
      </w:pPr>
      <w:r>
        <w:rPr>
          <w:rFonts w:hint="default" w:ascii="Calibri" w:hAnsi="宋体" w:eastAsia="宋体" w:cs="Times New Roman"/>
          <w:b/>
          <w:kern w:val="2"/>
          <w:sz w:val="36"/>
          <w:szCs w:val="36"/>
          <w:lang w:val="en-US" w:eastAsia="zh-CN" w:bidi="ar"/>
        </w:rPr>
        <w:t xml:space="preserve"> </w:t>
      </w:r>
      <w:bookmarkStart w:id="24" w:name="PO_15528_PM051"/>
      <w:bookmarkEnd w:id="24"/>
    </w:p>
    <w:tbl>
      <w:tblPr>
        <w:tblStyle w:val="60"/>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61"/>
        <w:gridCol w:w="1415"/>
        <w:gridCol w:w="4964"/>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序号</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评分类型</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评分标准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分值</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报价</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(最低报价/投标报价)*最大分值</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技术</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符合明确指标参数得20分。对非关键的性能指标及技术参数属负偏离或缺漏项的每项扣3分（若负偏或缺漏项5个及以上的，按重大偏离处理）。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技术</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对*性能指标、技术参数属于正偏离或高配的、先进程度的加分：</w:t>
            </w:r>
          </w:p>
          <w:p>
            <w:pPr>
              <w:keepNext w:val="0"/>
              <w:keepLines w:val="0"/>
              <w:widowControl w:val="0"/>
              <w:numPr>
                <w:ilvl w:val="0"/>
                <w:numId w:val="31"/>
              </w:numPr>
              <w:suppressLineNumbers w:val="0"/>
              <w:spacing w:before="120" w:beforeLines="50" w:beforeAutospacing="0" w:after="120" w:afterLines="50" w:afterAutospacing="0" w:line="340" w:lineRule="exact"/>
              <w:ind w:left="0" w:right="0" w:firstLine="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打印机头寿命≥300Km且裁纸刀寿命≥300万次得5分；</w:t>
            </w:r>
          </w:p>
          <w:p>
            <w:pPr>
              <w:keepNext w:val="0"/>
              <w:keepLines w:val="0"/>
              <w:widowControl w:val="0"/>
              <w:suppressLineNumbers w:val="0"/>
              <w:spacing w:before="120" w:beforeLines="50" w:beforeAutospacing="0" w:after="120" w:afterLines="50" w:afterAutospacing="0" w:line="340" w:lineRule="exact"/>
              <w:ind w:left="0" w:right="0" w:firstLine="280" w:firstLineChars="1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300Km&gt;打印机头寿命≥200Km且300万次&gt;裁纸刀寿命≥200万次得3分；</w:t>
            </w:r>
          </w:p>
          <w:p>
            <w:pPr>
              <w:keepNext w:val="0"/>
              <w:keepLines w:val="0"/>
              <w:widowControl w:val="0"/>
              <w:suppressLineNumbers w:val="0"/>
              <w:spacing w:before="120" w:beforeLines="50" w:beforeAutospacing="0" w:after="120" w:afterLines="50" w:afterAutospacing="0" w:line="340" w:lineRule="exact"/>
              <w:ind w:left="0" w:right="0" w:firstLine="280" w:firstLineChars="1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打印机头寿命&lt;200Km且裁纸刀寿命&lt;200万次得1分。</w:t>
            </w:r>
          </w:p>
          <w:p>
            <w:pPr>
              <w:keepNext w:val="0"/>
              <w:keepLines w:val="0"/>
              <w:widowControl w:val="0"/>
              <w:suppressLineNumbers w:val="0"/>
              <w:spacing w:before="120" w:beforeLines="50" w:beforeAutospacing="0" w:after="120" w:afterLines="50" w:afterAutospacing="0" w:line="340" w:lineRule="exact"/>
              <w:ind w:left="0" w:right="0" w:firstLine="280" w:firstLineChars="100"/>
              <w:jc w:val="both"/>
              <w:rPr>
                <w:rFonts w:hint="eastAsia" w:ascii="宋体" w:hAnsi="宋体" w:eastAsia="宋体" w:cs="宋体"/>
                <w:b/>
                <w:bCs w:val="0"/>
                <w:kern w:val="0"/>
                <w:sz w:val="24"/>
                <w:szCs w:val="24"/>
                <w:highlight w:val="yellow"/>
                <w:lang w:val="en-US"/>
              </w:rPr>
            </w:pPr>
            <w:r>
              <w:rPr>
                <w:rFonts w:hint="eastAsia" w:ascii="宋体" w:hAnsi="宋体" w:eastAsia="宋体" w:cs="宋体"/>
                <w:kern w:val="0"/>
                <w:sz w:val="28"/>
                <w:szCs w:val="28"/>
                <w:lang w:val="en-US" w:eastAsia="zh-CN" w:bidi="ar"/>
              </w:rPr>
              <w:t>投标文件中须提供整机通过cnas认证的检测报告扫描件，否则不得分，</w:t>
            </w:r>
            <w:r>
              <w:rPr>
                <w:rFonts w:hint="eastAsia" w:ascii="宋体" w:hAnsi="宋体" w:eastAsia="宋体" w:cs="宋体"/>
                <w:b/>
                <w:bCs w:val="0"/>
                <w:kern w:val="0"/>
                <w:sz w:val="28"/>
                <w:szCs w:val="28"/>
                <w:lang w:val="en-US" w:eastAsia="zh-CN" w:bidi="ar"/>
              </w:rPr>
              <w:t>此项最多得5分。</w:t>
            </w:r>
          </w:p>
          <w:p>
            <w:pPr>
              <w:keepNext w:val="0"/>
              <w:keepLines w:val="0"/>
              <w:widowControl w:val="0"/>
              <w:numPr>
                <w:ilvl w:val="0"/>
                <w:numId w:val="31"/>
              </w:numPr>
              <w:suppressLineNumbers w:val="0"/>
              <w:spacing w:before="120" w:beforeLines="50" w:beforeAutospacing="0" w:after="120" w:afterLines="50" w:afterAutospacing="0" w:line="340" w:lineRule="exact"/>
              <w:ind w:left="0" w:right="0" w:firstLine="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所投产品MTBF≥13万小时,得5分，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13万小时&gt;所投产品MTBF≥10万小时,得3分，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10万小时&gt;所投产品MTBF≥7万小时,得1分。</w:t>
            </w:r>
          </w:p>
          <w:p>
            <w:pPr>
              <w:keepNext w:val="0"/>
              <w:keepLines w:val="0"/>
              <w:widowControl w:val="0"/>
              <w:suppressLineNumbers w:val="0"/>
              <w:spacing w:before="120" w:beforeLines="50" w:beforeAutospacing="0" w:after="120" w:afterLines="50" w:afterAutospacing="0" w:line="340" w:lineRule="exact"/>
              <w:ind w:left="0" w:right="0" w:firstLine="280" w:firstLineChars="100"/>
              <w:jc w:val="both"/>
              <w:rPr>
                <w:rFonts w:hint="eastAsia" w:ascii="宋体" w:hAnsi="宋体" w:eastAsia="宋体" w:cs="宋体"/>
                <w:b/>
                <w:bCs w:val="0"/>
                <w:kern w:val="0"/>
                <w:sz w:val="24"/>
                <w:szCs w:val="24"/>
                <w:highlight w:val="yellow"/>
                <w:lang w:val="en-US"/>
              </w:rPr>
            </w:pPr>
            <w:r>
              <w:rPr>
                <w:rFonts w:hint="eastAsia" w:ascii="宋体" w:hAnsi="宋体" w:eastAsia="宋体" w:cs="宋体"/>
                <w:kern w:val="0"/>
                <w:sz w:val="28"/>
                <w:szCs w:val="28"/>
                <w:lang w:val="en-US" w:eastAsia="zh-CN" w:bidi="ar"/>
              </w:rPr>
              <w:t>投标文件中须提供整机通过cnas和cma认证的检测报告扫描件，否则不得分，</w:t>
            </w:r>
            <w:r>
              <w:rPr>
                <w:rFonts w:hint="eastAsia" w:ascii="宋体" w:hAnsi="宋体" w:eastAsia="宋体" w:cs="宋体"/>
                <w:b/>
                <w:bCs w:val="0"/>
                <w:kern w:val="0"/>
                <w:sz w:val="28"/>
                <w:szCs w:val="28"/>
                <w:lang w:val="en-US" w:eastAsia="zh-CN" w:bidi="ar"/>
              </w:rPr>
              <w:t>此项最多得5分。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技术</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提供投标产品“无线电发射设备型号核准证”复印件并加盖公章。</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技术</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3分, 节能产品认证证书或者证书的查询网址及截图的，得3分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技术</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样机及演示，详见需求</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6</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商务资信</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项目维护计划（驻点人员安排，定期巡检等情况）的有效性等，详见商务要求表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7</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商务资信</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售后服务的响应情况（备机备件、服务站和技术服务人员等），详见商务要求表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8</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商务资信</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hanging="14"/>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培训方案、计划的可行性及合理性，详见商务要求表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9</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商务资信</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公司技术力量情况等，详见商务要求表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10</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商务资信</w:t>
            </w:r>
          </w:p>
        </w:tc>
        <w:tc>
          <w:tcPr>
            <w:tcW w:w="49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经验及业绩，详见商务要求表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640" w:right="0" w:hanging="64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客观分</w:t>
            </w:r>
          </w:p>
        </w:tc>
      </w:tr>
    </w:tbl>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bookmarkStart w:id="25" w:name="PO_TDCUS_ITEM_SM_TITLE_1_1"/>
      <w:bookmarkEnd w:id="25"/>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bCs w:val="0"/>
          <w:color w:val="FF0000"/>
          <w:sz w:val="28"/>
          <w:szCs w:val="28"/>
          <w:shd w:val="clear" w:fill="FDFAF5"/>
          <w:lang w:val="en-US"/>
        </w:rPr>
      </w:pPr>
      <w:bookmarkStart w:id="26" w:name="_Toc496796639"/>
      <w:bookmarkEnd w:id="26"/>
      <w:r>
        <w:rPr>
          <w:rFonts w:hint="eastAsia" w:ascii="仿宋" w:hAnsi="仿宋" w:eastAsia="仿宋" w:cs="Arial"/>
          <w:b/>
          <w:sz w:val="28"/>
          <w:szCs w:val="28"/>
          <w:shd w:val="clear" w:fill="FDFAF5"/>
          <w:lang w:val="en-US"/>
        </w:rPr>
        <w:t xml:space="preserve"> </w:t>
      </w:r>
      <w:r>
        <w:rPr>
          <w:rFonts w:hint="eastAsia" w:ascii="仿宋" w:hAnsi="仿宋" w:eastAsia="仿宋" w:cs="仿宋"/>
          <w:b/>
          <w:bCs w:val="0"/>
          <w:color w:val="FF0000"/>
          <w:sz w:val="28"/>
          <w:szCs w:val="28"/>
          <w:shd w:val="clear" w:fill="FDFAF5"/>
          <w:lang w:eastAsia="zh-CN"/>
        </w:rPr>
        <w:t>▲</w:t>
      </w:r>
      <w:r>
        <w:rPr>
          <w:rFonts w:hint="eastAsia" w:ascii="仿宋" w:hAnsi="仿宋" w:eastAsia="仿宋" w:cs="Times New Roman"/>
          <w:b/>
          <w:bCs w:val="0"/>
          <w:color w:val="FF0000"/>
          <w:sz w:val="28"/>
          <w:szCs w:val="28"/>
          <w:shd w:val="clear" w:fill="FDFAF5"/>
          <w:lang w:val="en-US"/>
        </w:rPr>
        <w:t>5.</w:t>
      </w:r>
      <w:r>
        <w:rPr>
          <w:rFonts w:hint="eastAsia" w:ascii="仿宋" w:hAnsi="仿宋" w:eastAsia="仿宋" w:cs="Times New Roman"/>
          <w:b/>
          <w:bCs w:val="0"/>
          <w:color w:val="FF0000"/>
          <w:sz w:val="28"/>
          <w:szCs w:val="28"/>
          <w:shd w:val="clear" w:fill="FDFAF5"/>
          <w:lang w:eastAsia="zh-CN"/>
        </w:rPr>
        <w:t>对未提供样品（包括样品数量不全、样品未在规定时间内送达）或提供样品不满足采购需求实质性条件的</w:t>
      </w:r>
      <w:r>
        <w:rPr>
          <w:rFonts w:hint="eastAsia" w:ascii="仿宋" w:hAnsi="仿宋" w:eastAsia="仿宋" w:cs="Times New Roman"/>
          <w:b/>
          <w:bCs w:val="0"/>
          <w:color w:val="FF0000"/>
          <w:sz w:val="28"/>
          <w:szCs w:val="28"/>
          <w:shd w:val="clear" w:fill="FDFAF5"/>
          <w:lang w:val="en-US"/>
        </w:rPr>
        <w:t>,</w:t>
      </w:r>
      <w:r>
        <w:rPr>
          <w:rFonts w:hint="eastAsia" w:ascii="仿宋" w:hAnsi="仿宋" w:eastAsia="仿宋" w:cs="Times New Roman"/>
          <w:b/>
          <w:bCs w:val="0"/>
          <w:color w:val="FF0000"/>
          <w:sz w:val="28"/>
          <w:szCs w:val="28"/>
          <w:shd w:val="clear" w:fill="FDFAF5"/>
          <w:lang w:eastAsia="zh-CN"/>
        </w:rPr>
        <w:t>所投标项作无效标处理。</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bCs w:val="0"/>
          <w:color w:val="FF0000"/>
          <w:sz w:val="28"/>
          <w:szCs w:val="28"/>
          <w:shd w:val="clear" w:fill="FDFAF5"/>
          <w:lang w:val="en-US"/>
        </w:rPr>
      </w:pPr>
      <w:r>
        <w:rPr>
          <w:rFonts w:hint="eastAsia" w:ascii="仿宋" w:hAnsi="仿宋" w:eastAsia="仿宋" w:cs="仿宋"/>
          <w:b/>
          <w:bCs w:val="0"/>
          <w:color w:val="FF0000"/>
          <w:sz w:val="28"/>
          <w:szCs w:val="28"/>
          <w:shd w:val="clear" w:fill="FDFAF5"/>
          <w:lang w:eastAsia="zh-CN"/>
        </w:rPr>
        <w:t>▲</w:t>
      </w:r>
      <w:r>
        <w:rPr>
          <w:rFonts w:hint="eastAsia" w:ascii="仿宋" w:hAnsi="仿宋" w:eastAsia="仿宋" w:cs="Times New Roman"/>
          <w:b/>
          <w:bCs w:val="0"/>
          <w:color w:val="FF0000"/>
          <w:sz w:val="28"/>
          <w:szCs w:val="28"/>
          <w:shd w:val="clear" w:fill="FDFAF5"/>
          <w:lang w:val="en-US"/>
        </w:rPr>
        <w:t>6.</w:t>
      </w:r>
      <w:r>
        <w:rPr>
          <w:rFonts w:hint="eastAsia" w:ascii="仿宋" w:hAnsi="仿宋" w:eastAsia="仿宋" w:cs="Times New Roman"/>
          <w:b/>
          <w:bCs w:val="0"/>
          <w:color w:val="FF0000"/>
          <w:sz w:val="28"/>
          <w:szCs w:val="28"/>
          <w:shd w:val="clear" w:fill="FDFAF5"/>
          <w:lang w:eastAsia="zh-CN"/>
        </w:rPr>
        <w:t>单项报价超过单价最高限价的，所投标项作无效标处理。</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p>
    <w:p>
      <w:pPr>
        <w:keepNext w:val="0"/>
        <w:keepLines w:val="0"/>
        <w:widowControl w:val="0"/>
        <w:suppressLineNumbers w:val="0"/>
        <w:snapToGrid w:val="0"/>
        <w:spacing w:before="0" w:beforeAutospacing="0" w:after="0" w:afterAutospacing="0" w:line="360" w:lineRule="auto"/>
        <w:ind w:left="0" w:right="0"/>
        <w:jc w:val="both"/>
        <w:outlineLvl w:val="1"/>
        <w:rPr>
          <w:rFonts w:hint="eastAsia" w:ascii="仿宋" w:hAnsi="仿宋" w:eastAsia="仿宋" w:cs="仿宋"/>
          <w:b/>
          <w:spacing w:val="30"/>
          <w:sz w:val="28"/>
          <w:szCs w:val="28"/>
          <w:lang w:val="en-US"/>
        </w:rPr>
      </w:pPr>
      <w:bookmarkStart w:id="27" w:name="PO_416_PM050"/>
      <w:bookmarkEnd w:id="27"/>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cs="Arial"/>
          <w:b/>
          <w:bCs w:val="0"/>
          <w:sz w:val="30"/>
          <w:szCs w:val="30"/>
          <w:lang w:val="en-US"/>
        </w:rPr>
      </w:pPr>
      <w:r>
        <w:rPr>
          <w:rFonts w:cs="Times New Roman"/>
          <w:b/>
          <w:bCs w:val="0"/>
          <w:sz w:val="30"/>
          <w:szCs w:val="30"/>
          <w:lang w:eastAsia="zh-CN"/>
        </w:rPr>
        <w:t>标项</w:t>
      </w:r>
      <w:r>
        <w:rPr>
          <w:rFonts w:cs="Times New Roman"/>
          <w:b/>
          <w:bCs w:val="0"/>
          <w:sz w:val="30"/>
          <w:szCs w:val="30"/>
          <w:lang w:val="en-US"/>
        </w:rPr>
        <w:t>1:</w:t>
      </w:r>
      <w:bookmarkStart w:id="28" w:name="PO_TDCUS_ITEM_PB_REQ_PR_2_1_0"/>
      <w:bookmarkEnd w:id="28"/>
      <w:r>
        <w:rPr>
          <w:rFonts w:cs="Arial"/>
          <w:b/>
          <w:bCs w:val="0"/>
          <w:sz w:val="30"/>
          <w:szCs w:val="30"/>
          <w:lang w:val="en-US"/>
        </w:rPr>
        <w:t xml:space="preserve"> </w:t>
      </w:r>
      <w:r>
        <w:rPr>
          <w:rFonts w:cs="Arial"/>
          <w:b/>
          <w:bCs w:val="0"/>
          <w:sz w:val="30"/>
          <w:szCs w:val="30"/>
          <w:lang w:eastAsia="zh-CN"/>
        </w:rPr>
        <w:t>省体育彩票管理中心体彩安卓终端机采购项目</w:t>
      </w:r>
    </w:p>
    <w:p>
      <w:pPr>
        <w:pStyle w:val="2"/>
        <w:keepNext w:val="0"/>
        <w:keepLines w:val="0"/>
        <w:widowControl/>
        <w:suppressLineNumbers w:val="0"/>
        <w:jc w:val="left"/>
        <w:rPr>
          <w:rFonts w:hint="eastAsia" w:ascii="宋体" w:hAnsi="宋体" w:eastAsia="宋体" w:cs="宋体"/>
          <w:sz w:val="30"/>
          <w:szCs w:val="30"/>
          <w:lang w:val="en-US"/>
        </w:rPr>
      </w:pPr>
      <w:r>
        <w:rPr>
          <w:rFonts w:hint="eastAsia" w:ascii="宋体" w:hAnsi="宋体" w:eastAsia="宋体" w:cs="宋体"/>
          <w:sz w:val="30"/>
          <w:szCs w:val="30"/>
          <w:lang w:val="en-US"/>
        </w:rPr>
        <w:t>1</w:t>
      </w:r>
      <w:r>
        <w:rPr>
          <w:rFonts w:hint="eastAsia" w:ascii="宋体" w:hAnsi="宋体" w:eastAsia="宋体" w:cs="宋体"/>
          <w:sz w:val="30"/>
          <w:szCs w:val="30"/>
          <w:lang w:eastAsia="zh-CN"/>
        </w:rPr>
        <w:t>、彩票销售安卓终端机</w:t>
      </w:r>
    </w:p>
    <w:tbl>
      <w:tblPr>
        <w:tblStyle w:val="59"/>
        <w:tblW w:w="8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64"/>
        <w:gridCol w:w="1147"/>
        <w:gridCol w:w="1028"/>
        <w:gridCol w:w="1799"/>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88"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采购内容</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计量单位</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数量</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预算（万元）</w:t>
            </w:r>
          </w:p>
        </w:tc>
        <w:tc>
          <w:tcPr>
            <w:tcW w:w="23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
                <w:bCs w:val="0"/>
                <w:color w:val="FF0000"/>
                <w:sz w:val="28"/>
                <w:szCs w:val="28"/>
                <w:lang w:val="en-US"/>
              </w:rPr>
            </w:pPr>
            <w:r>
              <w:rPr>
                <w:rFonts w:hint="eastAsia" w:ascii="宋体" w:hAnsi="宋体" w:eastAsia="宋体" w:cs="宋体"/>
                <w:b/>
                <w:bCs w:val="0"/>
                <w:color w:val="FF0000"/>
                <w:kern w:val="2"/>
                <w:sz w:val="28"/>
                <w:szCs w:val="28"/>
                <w:lang w:val="en-US" w:eastAsia="zh-CN" w:bidi="ar"/>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彩票销售安卓终端机</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台</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一批</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727.5</w:t>
            </w:r>
          </w:p>
        </w:tc>
        <w:tc>
          <w:tcPr>
            <w:tcW w:w="23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
                <w:bCs w:val="0"/>
                <w:color w:val="FF0000"/>
                <w:sz w:val="28"/>
                <w:szCs w:val="28"/>
                <w:lang w:val="en-US"/>
              </w:rPr>
            </w:pPr>
            <w:r>
              <w:rPr>
                <w:rFonts w:hint="eastAsia" w:ascii="宋体" w:hAnsi="宋体" w:eastAsia="宋体" w:cs="宋体"/>
                <w:b/>
                <w:bCs w:val="0"/>
                <w:color w:val="FF0000"/>
                <w:kern w:val="2"/>
                <w:sz w:val="28"/>
                <w:szCs w:val="28"/>
                <w:lang w:val="en-US" w:eastAsia="zh-CN" w:bidi="ar"/>
              </w:rPr>
              <w:t>4850元/台</w:t>
            </w:r>
          </w:p>
        </w:tc>
      </w:tr>
    </w:tbl>
    <w:p>
      <w:pPr>
        <w:pStyle w:val="53"/>
        <w:keepNext w:val="0"/>
        <w:keepLines w:val="0"/>
        <w:widowControl w:val="0"/>
        <w:suppressLineNumbers w:val="0"/>
        <w:spacing w:before="0" w:beforeAutospacing="0" w:after="120" w:afterAutospacing="0" w:line="480" w:lineRule="auto"/>
        <w:ind w:left="420" w:leftChars="200" w:right="0"/>
        <w:jc w:val="both"/>
        <w:rPr>
          <w:color w:val="FF0000"/>
          <w:lang w:val="en-US"/>
        </w:rPr>
      </w:pPr>
      <w:r>
        <w:rPr>
          <w:color w:val="FF0000"/>
          <w:sz w:val="21"/>
          <w:szCs w:val="22"/>
          <w:lang w:eastAsia="zh-CN"/>
        </w:rPr>
        <w:t>注</w:t>
      </w:r>
      <w:r>
        <w:rPr>
          <w:color w:val="FF0000"/>
          <w:sz w:val="21"/>
          <w:szCs w:val="22"/>
          <w:lang w:val="en-US"/>
        </w:rPr>
        <w:t>:</w:t>
      </w:r>
      <w:r>
        <w:rPr>
          <w:color w:val="FF0000"/>
          <w:sz w:val="21"/>
          <w:szCs w:val="22"/>
          <w:lang w:eastAsia="zh-CN"/>
        </w:rPr>
        <w:t>本项目报价只需报单价，采购合同则根据单价测算相应的数量及总价。</w:t>
      </w:r>
    </w:p>
    <w:p>
      <w:pPr>
        <w:pStyle w:val="2"/>
        <w:keepNext w:val="0"/>
        <w:keepLines w:val="0"/>
        <w:widowControl/>
        <w:suppressLineNumbers w:val="0"/>
        <w:ind w:left="0" w:firstLine="300" w:firstLineChars="100"/>
        <w:jc w:val="left"/>
        <w:rPr>
          <w:rFonts w:hint="eastAsia" w:ascii="宋体" w:hAnsi="宋体" w:eastAsia="宋体" w:cs="宋体"/>
          <w:b w:val="0"/>
          <w:bCs/>
          <w:sz w:val="30"/>
          <w:szCs w:val="30"/>
          <w:lang w:val="en-US"/>
        </w:rPr>
      </w:pPr>
    </w:p>
    <w:p>
      <w:pPr>
        <w:pStyle w:val="2"/>
        <w:keepNext w:val="0"/>
        <w:keepLines w:val="0"/>
        <w:widowControl/>
        <w:suppressLineNumbers w:val="0"/>
        <w:ind w:left="0" w:firstLine="300" w:firstLineChars="100"/>
        <w:jc w:val="left"/>
        <w:rPr>
          <w:rFonts w:hint="eastAsia" w:ascii="宋体" w:hAnsi="宋体" w:eastAsia="宋体" w:cs="宋体"/>
          <w:b w:val="0"/>
          <w:bCs/>
          <w:sz w:val="30"/>
          <w:szCs w:val="30"/>
          <w:lang w:val="en-US"/>
        </w:rPr>
      </w:pPr>
      <w:r>
        <w:rPr>
          <w:rFonts w:hint="eastAsia" w:ascii="宋体" w:hAnsi="宋体" w:eastAsia="宋体" w:cs="宋体"/>
          <w:b w:val="0"/>
          <w:bCs/>
          <w:sz w:val="30"/>
          <w:szCs w:val="30"/>
          <w:lang w:val="en-US"/>
        </w:rPr>
        <w:t>2</w:t>
      </w:r>
      <w:r>
        <w:rPr>
          <w:rFonts w:hint="eastAsia" w:ascii="宋体" w:hAnsi="宋体" w:eastAsia="宋体" w:cs="宋体"/>
          <w:b w:val="0"/>
          <w:bCs/>
          <w:sz w:val="30"/>
          <w:szCs w:val="30"/>
          <w:lang w:eastAsia="zh-CN"/>
        </w:rPr>
        <w:t>、技术参数要求</w:t>
      </w:r>
    </w:p>
    <w:p>
      <w:pPr>
        <w:keepNext w:val="0"/>
        <w:keepLines w:val="0"/>
        <w:widowControl/>
        <w:suppressLineNumbers w:val="0"/>
        <w:spacing w:before="0" w:beforeAutospacing="0" w:after="0" w:afterAutospacing="0" w:line="400" w:lineRule="exact"/>
        <w:ind w:left="0" w:right="0" w:firstLine="422" w:firstLineChars="200"/>
        <w:jc w:val="both"/>
        <w:rPr>
          <w:rFonts w:hint="eastAsia" w:ascii="宋体" w:hAnsi="宋体" w:eastAsia="宋体" w:cs="宋体"/>
          <w:b/>
          <w:bCs w:val="0"/>
          <w:lang w:val="en-US"/>
        </w:rPr>
      </w:pPr>
    </w:p>
    <w:tbl>
      <w:tblPr>
        <w:tblStyle w:val="59"/>
        <w:tblW w:w="8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2"/>
        <w:gridCol w:w="134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9" w:hRule="atLeast"/>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序号</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2"/>
                <w:sz w:val="28"/>
                <w:szCs w:val="28"/>
                <w:lang w:val="en-US" w:eastAsia="zh-CN" w:bidi="ar"/>
              </w:rPr>
              <w:t>名称</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彩票销售安卓终端机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24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24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主板</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标准工业级主板，集成网卡和扬声器，具备音频输出接口（需标明芯片组，至少支持OGG、MPEG-1、MPEG-2、AAC解码）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CPU</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中央处理器核心数量不低于2个、主频不低于2GHz，或核心数量不低于4个、主频不低于1GHz；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内存</w:t>
            </w:r>
          </w:p>
        </w:tc>
        <w:tc>
          <w:tcPr>
            <w:tcW w:w="6534" w:type="dxa"/>
            <w:tcBorders>
              <w:top w:val="single" w:color="auto" w:sz="4" w:space="0"/>
              <w:left w:val="nil"/>
              <w:bottom w:val="single" w:color="auto" w:sz="4" w:space="0"/>
              <w:right w:val="single" w:color="auto" w:sz="4" w:space="0"/>
            </w:tcBorders>
            <w:shd w:val="clear" w:color="auto" w:fill="auto"/>
            <w:vAlign w:val="center"/>
          </w:tcPr>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内存不低于</w:t>
            </w:r>
            <w:r>
              <w:rPr>
                <w:rFonts w:hint="eastAsia" w:ascii="宋体" w:hAnsi="宋体" w:eastAsia="宋体" w:cs="宋体"/>
                <w:sz w:val="28"/>
                <w:szCs w:val="28"/>
                <w:lang w:val="en-US"/>
              </w:rPr>
              <w:t>4GB</w:t>
            </w:r>
            <w:r>
              <w:rPr>
                <w:rFonts w:hint="eastAsia" w:ascii="宋体" w:hAnsi="宋体"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存储</w:t>
            </w:r>
          </w:p>
        </w:tc>
        <w:tc>
          <w:tcPr>
            <w:tcW w:w="6534" w:type="dxa"/>
            <w:tcBorders>
              <w:top w:val="single" w:color="auto" w:sz="4" w:space="0"/>
              <w:left w:val="nil"/>
              <w:bottom w:val="single" w:color="auto" w:sz="4" w:space="0"/>
              <w:right w:val="single" w:color="auto" w:sz="4" w:space="0"/>
            </w:tcBorders>
            <w:shd w:val="clear" w:color="auto" w:fill="auto"/>
            <w:vAlign w:val="center"/>
          </w:tcPr>
          <w:p>
            <w:pPr>
              <w:pStyle w:val="21"/>
              <w:keepNext w:val="0"/>
              <w:keepLines w:val="0"/>
              <w:widowControl/>
              <w:suppressLineNumbers w:val="0"/>
              <w:spacing w:line="320" w:lineRule="exact"/>
              <w:rPr>
                <w:rFonts w:hint="eastAsia" w:ascii="宋体" w:hAnsi="宋体" w:eastAsia="宋体" w:cs="宋体"/>
                <w:sz w:val="28"/>
                <w:szCs w:val="28"/>
                <w:lang w:val="en-US"/>
              </w:rPr>
            </w:pPr>
            <w:r>
              <w:rPr>
                <w:rFonts w:hint="eastAsia" w:ascii="宋体" w:hAnsi="宋体" w:eastAsia="宋体" w:cs="宋体"/>
                <w:sz w:val="28"/>
                <w:szCs w:val="28"/>
              </w:rPr>
              <w:t>存储不低于</w:t>
            </w:r>
            <w:r>
              <w:rPr>
                <w:rFonts w:hint="eastAsia" w:ascii="宋体" w:hAnsi="宋体" w:eastAsia="宋体" w:cs="宋体"/>
                <w:sz w:val="28"/>
                <w:szCs w:val="28"/>
                <w:lang w:val="en-US"/>
              </w:rPr>
              <w:t>64GB</w:t>
            </w:r>
            <w:r>
              <w:rPr>
                <w:rFonts w:hint="eastAsia" w:ascii="宋体" w:hAnsi="宋体"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显示器</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具备主屏 1 个， 副屏 1 个。</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主屏尺寸须≥10.1 英寸；</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分辨率支持 1280×800 或 1280×720 或 1366×768；</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双屏多点式电容屏，副屏支持与主屏异步、同步显示，且可通过配置进行灵活切换。</w:t>
            </w:r>
          </w:p>
          <w:p>
            <w:pPr>
              <w:pStyle w:val="21"/>
              <w:keepNext w:val="0"/>
              <w:keepLines w:val="0"/>
              <w:widowControl/>
              <w:suppressLineNumbers w:val="0"/>
              <w:spacing w:line="320" w:lineRule="exact"/>
              <w:rPr>
                <w:rFonts w:hint="eastAsia" w:ascii="宋体" w:hAnsi="宋体" w:eastAsia="宋体" w:cs="宋体"/>
                <w:sz w:val="28"/>
                <w:szCs w:val="28"/>
                <w:lang w:val="en-US"/>
              </w:rPr>
            </w:pPr>
            <w:r>
              <w:rPr>
                <w:rFonts w:hint="eastAsia" w:ascii="宋体" w:hAnsi="宋体" w:eastAsia="宋体" w:cs="宋体"/>
                <w:sz w:val="28"/>
                <w:szCs w:val="28"/>
              </w:rPr>
              <w:t>副屏需支持双屏独立触控；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6</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显卡</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分辨率支持1280×800或1280×720或1366×768；</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解码支持H.264、MPEG1/2/4，720P 解码率最低30帧/秒；</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bidi="ar"/>
              </w:rPr>
              <w:t>具备HDMI输出端口</w:t>
            </w:r>
            <w:r>
              <w:rPr>
                <w:rFonts w:hint="eastAsia" w:ascii="宋体" w:hAnsi="宋体" w:eastAsia="宋体" w:cs="宋体"/>
                <w:kern w:val="2"/>
                <w:sz w:val="28"/>
                <w:szCs w:val="28"/>
                <w:lang w:val="en-US" w:eastAsia="zh-CN" w:bidi="ar"/>
              </w:rPr>
              <w:t>；</w:t>
            </w:r>
          </w:p>
          <w:p>
            <w:pPr>
              <w:pStyle w:val="21"/>
              <w:keepNext w:val="0"/>
              <w:keepLines w:val="0"/>
              <w:widowControl/>
              <w:suppressLineNumbers w:val="0"/>
              <w:spacing w:line="320" w:lineRule="exact"/>
              <w:rPr>
                <w:rFonts w:hint="eastAsia" w:ascii="宋体" w:hAnsi="宋体" w:eastAsia="宋体" w:cs="宋体"/>
                <w:sz w:val="28"/>
                <w:szCs w:val="28"/>
                <w:lang w:val="en-US"/>
              </w:rPr>
            </w:pPr>
            <w:r>
              <w:rPr>
                <w:rFonts w:hint="eastAsia" w:ascii="宋体" w:hAnsi="宋体" w:eastAsia="宋体" w:cs="宋体"/>
                <w:sz w:val="28"/>
                <w:szCs w:val="28"/>
              </w:rPr>
              <w:t>支持</w:t>
            </w:r>
            <w:r>
              <w:rPr>
                <w:rFonts w:hint="eastAsia" w:ascii="宋体" w:hAnsi="宋体" w:eastAsia="宋体" w:cs="宋体"/>
                <w:sz w:val="28"/>
                <w:szCs w:val="28"/>
                <w:lang w:val="en-US"/>
              </w:rPr>
              <w:t>OpenGL ES 2.0</w:t>
            </w:r>
            <w:r>
              <w:rPr>
                <w:rFonts w:hint="eastAsia" w:ascii="宋体" w:hAnsi="宋体" w:eastAsia="宋体" w:cs="宋体"/>
                <w:sz w:val="28"/>
                <w:szCs w:val="2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7</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接口</w:t>
            </w:r>
          </w:p>
        </w:tc>
        <w:tc>
          <w:tcPr>
            <w:tcW w:w="6534" w:type="dxa"/>
            <w:tcBorders>
              <w:top w:val="single" w:color="auto" w:sz="4" w:space="0"/>
              <w:left w:val="nil"/>
              <w:bottom w:val="single" w:color="auto" w:sz="4" w:space="0"/>
              <w:right w:val="single" w:color="auto" w:sz="4" w:space="0"/>
            </w:tcBorders>
            <w:shd w:val="clear" w:color="auto" w:fill="auto"/>
            <w:vAlign w:val="center"/>
          </w:tcPr>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出厂时空余</w:t>
            </w:r>
            <w:r>
              <w:rPr>
                <w:rFonts w:hint="eastAsia" w:ascii="宋体" w:hAnsi="宋体" w:eastAsia="宋体" w:cs="宋体"/>
                <w:sz w:val="28"/>
                <w:szCs w:val="28"/>
                <w:lang w:val="en-US"/>
              </w:rPr>
              <w:t>USB</w:t>
            </w:r>
            <w:r>
              <w:rPr>
                <w:rFonts w:hint="eastAsia" w:ascii="宋体" w:hAnsi="宋体" w:eastAsia="宋体" w:cs="宋体"/>
                <w:sz w:val="28"/>
                <w:szCs w:val="28"/>
              </w:rPr>
              <w:t>接口数量不少于</w:t>
            </w:r>
            <w:r>
              <w:rPr>
                <w:rFonts w:hint="eastAsia" w:ascii="宋体" w:hAnsi="宋体" w:eastAsia="宋体" w:cs="宋体"/>
                <w:sz w:val="28"/>
                <w:szCs w:val="28"/>
                <w:lang w:val="en-US"/>
              </w:rPr>
              <w:t>3</w:t>
            </w:r>
            <w:r>
              <w:rPr>
                <w:rFonts w:hint="eastAsia" w:ascii="宋体" w:hAnsi="宋体" w:eastAsia="宋体" w:cs="宋体"/>
                <w:sz w:val="28"/>
                <w:szCs w:val="28"/>
              </w:rPr>
              <w:t>个（其中一个用于</w:t>
            </w:r>
            <w:r>
              <w:rPr>
                <w:rFonts w:hint="eastAsia" w:ascii="宋体" w:hAnsi="宋体" w:eastAsia="宋体" w:cs="宋体"/>
                <w:sz w:val="28"/>
                <w:szCs w:val="28"/>
                <w:lang w:val="en-US"/>
              </w:rPr>
              <w:t>USB Key</w:t>
            </w:r>
            <w:r>
              <w:rPr>
                <w:rFonts w:hint="eastAsia" w:ascii="宋体" w:hAnsi="宋体" w:eastAsia="宋体" w:cs="宋体"/>
                <w:sz w:val="28"/>
                <w:szCs w:val="28"/>
              </w:rPr>
              <w:t>，另外两个用于未来扩展使用）；</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b/>
                <w:bCs w:val="0"/>
                <w:sz w:val="28"/>
                <w:szCs w:val="28"/>
              </w:rPr>
              <w:t>禁用</w:t>
            </w:r>
            <w:r>
              <w:rPr>
                <w:rFonts w:hint="eastAsia" w:ascii="宋体" w:hAnsi="宋体" w:eastAsia="宋体" w:cs="宋体"/>
                <w:b/>
                <w:bCs w:val="0"/>
                <w:sz w:val="28"/>
                <w:szCs w:val="28"/>
                <w:lang w:val="en-US"/>
              </w:rPr>
              <w:t>PS2</w:t>
            </w:r>
            <w:r>
              <w:rPr>
                <w:rFonts w:hint="eastAsia" w:ascii="宋体" w:hAnsi="宋体" w:eastAsia="宋体" w:cs="宋体"/>
                <w:b/>
                <w:bCs w:val="0"/>
                <w:sz w:val="28"/>
                <w:szCs w:val="28"/>
              </w:rPr>
              <w:t>接口</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lang w:val="en-US"/>
              </w:rPr>
              <w:t>RJ45</w:t>
            </w:r>
            <w:r>
              <w:rPr>
                <w:rFonts w:hint="eastAsia" w:ascii="宋体" w:hAnsi="宋体" w:eastAsia="宋体" w:cs="宋体"/>
                <w:sz w:val="28"/>
                <w:szCs w:val="28"/>
              </w:rPr>
              <w:t>以太有线网卡</w:t>
            </w:r>
            <w:r>
              <w:rPr>
                <w:rFonts w:hint="eastAsia" w:ascii="宋体" w:hAnsi="宋体" w:eastAsia="宋体" w:cs="宋体"/>
                <w:sz w:val="28"/>
                <w:szCs w:val="28"/>
                <w:lang w:val="en-US"/>
              </w:rPr>
              <w:t>1</w:t>
            </w:r>
            <w:r>
              <w:rPr>
                <w:rFonts w:hint="eastAsia" w:ascii="宋体" w:hAnsi="宋体" w:eastAsia="宋体" w:cs="宋体"/>
                <w:sz w:val="28"/>
                <w:szCs w:val="28"/>
              </w:rPr>
              <w:t>个，</w:t>
            </w:r>
            <w:r>
              <w:rPr>
                <w:rFonts w:hint="eastAsia" w:ascii="宋体" w:hAnsi="宋体" w:eastAsia="宋体" w:cs="宋体"/>
                <w:sz w:val="28"/>
                <w:szCs w:val="28"/>
                <w:lang w:val="en-US"/>
              </w:rPr>
              <w:t>10/100M</w:t>
            </w:r>
            <w:r>
              <w:rPr>
                <w:rFonts w:hint="eastAsia" w:ascii="宋体" w:hAnsi="宋体" w:eastAsia="宋体" w:cs="宋体"/>
                <w:sz w:val="28"/>
                <w:szCs w:val="28"/>
              </w:rPr>
              <w:t>自适应，禁止使用</w:t>
            </w:r>
            <w:r>
              <w:rPr>
                <w:rFonts w:hint="eastAsia" w:ascii="宋体" w:hAnsi="宋体" w:eastAsia="宋体" w:cs="宋体"/>
                <w:sz w:val="28"/>
                <w:szCs w:val="28"/>
                <w:lang w:val="en-US"/>
              </w:rPr>
              <w:t>10/100/1000M</w:t>
            </w:r>
            <w:r>
              <w:rPr>
                <w:rFonts w:hint="eastAsia" w:ascii="宋体" w:hAnsi="宋体" w:eastAsia="宋体" w:cs="宋体"/>
                <w:sz w:val="28"/>
                <w:szCs w:val="28"/>
              </w:rPr>
              <w:t>自适应网卡</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无线网卡：</w:t>
            </w:r>
            <w:r>
              <w:rPr>
                <w:rFonts w:hint="eastAsia" w:ascii="宋体" w:hAnsi="宋体" w:eastAsia="宋体" w:cs="宋体"/>
                <w:sz w:val="28"/>
                <w:szCs w:val="28"/>
                <w:lang w:val="en-US"/>
              </w:rPr>
              <w:t>1</w:t>
            </w:r>
            <w:r>
              <w:rPr>
                <w:rFonts w:hint="eastAsia" w:ascii="宋体" w:hAnsi="宋体" w:eastAsia="宋体" w:cs="宋体"/>
                <w:sz w:val="28"/>
                <w:szCs w:val="28"/>
              </w:rPr>
              <w:t>个，</w:t>
            </w:r>
            <w:r>
              <w:rPr>
                <w:rFonts w:hint="eastAsia" w:ascii="宋体" w:hAnsi="宋体" w:eastAsia="宋体" w:cs="宋体"/>
                <w:sz w:val="28"/>
                <w:szCs w:val="28"/>
                <w:lang w:val="en-US"/>
              </w:rPr>
              <w:t>802.11b/g/n</w:t>
            </w:r>
            <w:r>
              <w:rPr>
                <w:rFonts w:hint="eastAsia" w:ascii="宋体" w:hAnsi="宋体" w:eastAsia="宋体" w:cs="宋体"/>
                <w:sz w:val="28"/>
                <w:szCs w:val="28"/>
              </w:rPr>
              <w:t>；</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支持定位功能；</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支持</w:t>
            </w:r>
            <w:r>
              <w:rPr>
                <w:rFonts w:hint="eastAsia" w:ascii="宋体" w:hAnsi="宋体" w:eastAsia="宋体" w:cs="宋体"/>
                <w:sz w:val="28"/>
                <w:szCs w:val="28"/>
                <w:lang w:val="en-US"/>
              </w:rPr>
              <w:t>4G</w:t>
            </w:r>
            <w:r>
              <w:rPr>
                <w:rFonts w:hint="eastAsia" w:ascii="宋体" w:hAnsi="宋体" w:eastAsia="宋体" w:cs="宋体"/>
                <w:sz w:val="28"/>
                <w:szCs w:val="28"/>
              </w:rPr>
              <w:t>全网通通信；</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支持</w:t>
            </w:r>
            <w:r>
              <w:rPr>
                <w:rFonts w:hint="eastAsia" w:ascii="宋体" w:hAnsi="宋体" w:eastAsia="宋体" w:cs="宋体"/>
                <w:sz w:val="28"/>
                <w:szCs w:val="28"/>
                <w:lang w:val="en-US"/>
              </w:rPr>
              <w:t>WIFI</w:t>
            </w:r>
            <w:r>
              <w:rPr>
                <w:rFonts w:hint="eastAsia" w:ascii="宋体" w:hAnsi="宋体" w:eastAsia="宋体" w:cs="宋体"/>
                <w:sz w:val="28"/>
                <w:szCs w:val="28"/>
              </w:rPr>
              <w:t>无线通讯；</w:t>
            </w:r>
          </w:p>
          <w:p>
            <w:pPr>
              <w:pStyle w:val="992"/>
              <w:keepNext w:val="0"/>
              <w:keepLines w:val="0"/>
              <w:widowControl/>
              <w:suppressLineNumbers w:val="0"/>
              <w:spacing w:line="320" w:lineRule="exact"/>
              <w:ind w:left="0" w:firstLine="0" w:firstLineChars="0"/>
              <w:jc w:val="left"/>
              <w:rPr>
                <w:rFonts w:hint="eastAsia" w:ascii="宋体" w:hAnsi="宋体" w:eastAsia="宋体" w:cs="宋体"/>
                <w:sz w:val="28"/>
                <w:szCs w:val="28"/>
                <w:lang w:val="en-US"/>
              </w:rPr>
            </w:pPr>
            <w:r>
              <w:rPr>
                <w:rFonts w:hint="eastAsia" w:ascii="宋体" w:hAnsi="宋体" w:eastAsia="宋体" w:cs="宋体"/>
                <w:sz w:val="28"/>
                <w:szCs w:val="28"/>
              </w:rPr>
              <w:t>支持蓝牙无线通信；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24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8</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24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*打印机</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打印方式:热敏；</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接口：禁用并口与串口；</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供电：稳定支持打印机工作瞬时产生的高峰值电流。</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打印模式：支持行模式、页模式；</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打印分辨率：不低于200dpi；</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打印速度：打印体育彩票速度不小于50张/分钟。</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可安装纸卷要求：</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卷宽：79.0±0.5mm；</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卷直径73.0±1.0mm；</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内径：12.0±0.5mm。</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支持条码打印：EAN、Code39、Code128、Interleaved 2 of 5、PDF417、QR。</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连续打印时间：不少于25分钟</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*打印头寿命不低于120Km</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*裁纸刀寿命不少于100万次。</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切纸方式：支持全切或半切。</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可打印对象：中文字符（支持GB 18030）、图像、LOGO，数字3和8、数字1和4在打印缺列的情况下能够明显区分。</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纸将尽检测，在纸卷长度剩余1500±300mm时能给出硬件报警。</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禁止使用读打一体机。</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支持状态检测；</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支持黑标切纸和非黑标切纸模式；</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具有故障指示灯、出现故障时有报警声；</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纸仓盖关闭状态下，上电及初始化时打印纸自动定位至工作位置；</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纸仓符合现有总局体彩中心统一印制的标准纸卷尺寸、出票口设计合理、便于出票；</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需提供第三方检测报告，否则不得分。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9</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电源</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交流供电，应能在220V±20V，50Hz±1Hz条件下正常工作。</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额定功率在满足目前产品正常使用外，应至少留有30%的余量以满足将来扩展外设的要求。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10</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条码阅读器</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支持Interleaved 2 of 5、EAN、Code39、Code128、PDF417、DataMatrix码、QR等。</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识读精度：PDF417、DataMatrix码、QR码不低于7.5mil。</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双码扫描：扫描头应能正确读取距离在5mm左右的2个15mil的DataMatrix码。</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扫描方式：扫描头应能支持自动连续扫描和手工断续扫描两种工作方式。</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景深：7.11cm-19cm（15mil的DataMatrix码），4.5cm-17cm（15mil的QR码）。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11</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*MTBF</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所投产品的MTBF≥30000h，投标文件中须提供整机通过第三方有权机构出具的检测报告扫描件，否则不得分。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12</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▲其他</w:t>
            </w:r>
          </w:p>
        </w:tc>
        <w:tc>
          <w:tcPr>
            <w:tcW w:w="6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使用环境： -10℃～+45℃， 20%～90% R.H.，无凝露；</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外壳采用防尘,防水设计；</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通过国家体育总局体彩中心适配性相关测试</w:t>
            </w:r>
          </w:p>
        </w:tc>
      </w:tr>
    </w:tbl>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宋体" w:cs="仿宋"/>
          <w:b/>
          <w:bCs w:val="0"/>
          <w:sz w:val="28"/>
          <w:szCs w:val="28"/>
          <w:lang w:val="en-US"/>
        </w:rPr>
      </w:pPr>
      <w:r>
        <w:rPr>
          <w:rFonts w:hint="eastAsia" w:ascii="仿宋" w:hAnsi="仿宋" w:eastAsia="仿宋" w:cs="仿宋"/>
          <w:b/>
          <w:bCs w:val="0"/>
          <w:kern w:val="2"/>
          <w:sz w:val="28"/>
          <w:szCs w:val="28"/>
          <w:lang w:val="en-US" w:eastAsia="zh-CN" w:bidi="ar"/>
        </w:rPr>
        <w:t>*为重要指标</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3、其他相关技术要求</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（1）本次批量采购要求供应商提供成熟机型。</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（2）供应商具有成熟的售后服务经验，能及时处理终端机故障，保证用户的系统完整，在整个系统添加新购设备后，原系统与新购设备能够无缝的融合衔接，并正常工作。</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4、设备配置及供货范围</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投标人提供本系统所需的相关设备及技术支持、服务，并在投标文件中进行详细说明。</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5.根据用户要求，本项目因产品特殊、专业性强，需提供样机。</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相关要求如下：</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样品及演示要求：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样机送达及安装时间：开标当天8:30-9:00， 逾期不予接收。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样机送达地点：浙江省杭州市西湖区宝石一路3号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联系人：陶老师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联系电话：0571-88901836</w:t>
      </w: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▲供应商必须有专人，在规定时间内将样机送达且完成设备的连接、安装和调试，否则样机部分不得分。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①参加该项目投标供应商需提供1套样机，样品应与供应商所投的设备品牌（型号）完全一致，采用台式，具备网络接口、打印接口，并符合技术参数要求。</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②在投标截止时间前，各供应商需自行组织设备连接和安装，应自带网络运行环境，安装完成后用自带盖布将设备遮挡（逾期未安装完成的所有后果由投标人承担）。</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③投标时间截止后，供应商不得私自接触所提交的样机。</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④评审结束后，未中标的样品自该项目采购结果公告发布七个工作日后，由供应商联系中标公告经办人自行带走。中标供应商的样品不予退还，由采购人保管、封存，并作为履约验收的依据。至整个项目验收合格后退还。</w:t>
      </w: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宋体" w:hAnsi="宋体" w:eastAsia="宋体" w:cs="宋体"/>
          <w:b/>
          <w:bCs w:val="0"/>
          <w:sz w:val="30"/>
          <w:szCs w:val="30"/>
          <w:lang w:val="en-US"/>
        </w:rPr>
      </w:pPr>
      <w:r>
        <w:rPr>
          <w:rFonts w:hint="eastAsia" w:ascii="宋体" w:hAnsi="宋体" w:eastAsia="宋体" w:cs="宋体"/>
          <w:b/>
          <w:bCs w:val="0"/>
          <w:kern w:val="2"/>
          <w:sz w:val="30"/>
          <w:szCs w:val="30"/>
          <w:lang w:val="en-US" w:eastAsia="zh-CN" w:bidi="ar"/>
        </w:rPr>
        <w:t>⑤样机及演示10分，按以下标准计：</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1、产品外观及人体工程学设计，共2分：</w:t>
      </w:r>
    </w:p>
    <w:p>
      <w:pPr>
        <w:keepNext w:val="0"/>
        <w:keepLines w:val="0"/>
        <w:widowControl w:val="0"/>
        <w:suppressLineNumbers w:val="0"/>
        <w:spacing w:before="0" w:beforeAutospacing="0" w:after="0" w:afterAutospacing="0" w:line="360" w:lineRule="auto"/>
        <w:ind w:left="525" w:leftChars="25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产品设计使用材料、装配工艺是否精密，设计美观实用得1分；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操作友好，利于销售员及购彩者操作，得1分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2、产品接口方便实用，维护便捷，共4分：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产品接口在实际应用过程中方便使用得2分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各种易损部件维护更换便捷得2分</w:t>
      </w: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宋体" w:hAnsi="宋体" w:eastAsia="宋体" w:cs="宋体"/>
          <w:b/>
          <w:bCs w:val="0"/>
          <w:sz w:val="30"/>
          <w:szCs w:val="30"/>
          <w:lang w:val="en-US"/>
        </w:rPr>
      </w:pPr>
      <w:r>
        <w:rPr>
          <w:rFonts w:hint="eastAsia" w:ascii="宋体" w:hAnsi="宋体" w:eastAsia="宋体" w:cs="宋体"/>
          <w:b/>
          <w:bCs w:val="0"/>
          <w:kern w:val="2"/>
          <w:sz w:val="30"/>
          <w:szCs w:val="30"/>
          <w:lang w:val="en-US" w:eastAsia="zh-CN" w:bidi="ar"/>
        </w:rPr>
        <w:t>3、现场演示连续打印50张彩票，条码枪识读，共4分：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现场演示打印不间断得2分；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打印票面清晰无误得1分，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条码枪识读无误得1分。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二、验收标准：</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1、对提交的货物依据招标文件上的技术规格要求和国家有关质量标准进行现场验收。货到齐后，采购人需在十个工作日内验收。</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 中标商交货前应对产品作出全面检查和对验收文件进行整理，并列出清单，作为采购人收货验收和使用的技术条件依据，检验的结果应随货物交采购人。</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3、 采购人对中标商提供的货物在使用前进行调试时，中标商需负责安装并培训采购人甲方的使用操作人员，并协助采购人一起调试，直到符合技术要求，采购人才做最终验收。</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4、 对技术复杂的货物，采购人应请国家认可的专业检测机构参与验收，并由其出具质量检测报告。</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 验收时中标商在现场，验收完毕后作出验收结果报告；验收费用由中标商负责。</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bCs w:val="0"/>
          <w:sz w:val="28"/>
          <w:szCs w:val="28"/>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pPr>
      <w:r>
        <w:rPr>
          <w:lang w:eastAsia="zh-CN"/>
        </w:rPr>
        <w:t>评标委员会经商议认为需要投标人作出必要澄清或说明的，可以通过电子交易平台发出</w:t>
      </w:r>
      <w:r>
        <w:rPr>
          <w:lang w:val="en-US"/>
        </w:rPr>
        <w:t>“</w:t>
      </w:r>
      <w:r>
        <w:rPr>
          <w:lang w:eastAsia="zh-CN"/>
        </w:rPr>
        <w:t>视频会议</w:t>
      </w:r>
      <w:r>
        <w:rPr>
          <w:lang w:val="en-US"/>
        </w:rPr>
        <w:t>”</w:t>
      </w:r>
      <w:r>
        <w:rPr>
          <w:lang w:eastAsia="zh-CN"/>
        </w:rPr>
        <w:t>邀请，与相关供应商以视频会议形式进行，并在平台</w:t>
      </w:r>
      <w:r>
        <w:rPr>
          <w:lang w:val="en-US"/>
        </w:rPr>
        <w:t>“</w:t>
      </w:r>
      <w:r>
        <w:rPr>
          <w:lang w:eastAsia="zh-CN"/>
        </w:rPr>
        <w:t>讨论</w:t>
      </w:r>
      <w:r>
        <w:rPr>
          <w:lang w:val="en-US"/>
        </w:rPr>
        <w:t>”</w:t>
      </w:r>
      <w:r>
        <w:rPr>
          <w:lang w:eastAsia="zh-CN"/>
        </w:rPr>
        <w:t>组件中进行数据电文交换（评标委员会给予投标人提交澄清或说明的时间为半小时，投标人已经明确表示澄清或说明完毕的除外）。</w:t>
      </w:r>
      <w:r>
        <w:rPr>
          <w:lang w:val="en-US"/>
        </w:rPr>
        <w:br w:type="textWrapping"/>
      </w:r>
      <w:r>
        <w:rPr>
          <w:lang w:eastAsia="zh-CN"/>
        </w:rPr>
        <w:t>（为避免页面存在兼容性等问题，投标人须使用谷歌</w:t>
      </w:r>
      <w:r>
        <w:rPr>
          <w:lang w:val="en-US"/>
        </w:rPr>
        <w:t>Chrome</w:t>
      </w:r>
      <w:r>
        <w:rPr>
          <w:lang w:eastAsia="zh-CN"/>
        </w:rPr>
        <w:t>浏览器或</w:t>
      </w:r>
      <w:r>
        <w:rPr>
          <w:lang w:val="en-US"/>
        </w:rPr>
        <w:t>360</w:t>
      </w:r>
      <w:r>
        <w:rPr>
          <w:lang w:eastAsia="zh-CN"/>
        </w:rPr>
        <w:t>浏览器极速模式，并安装摄像头和麦克风。如若评审过程中，电子交易平台出现视频会议连接失败等情况，按原评审程序在电子交易平台与供应商交换数据电文。）</w:t>
      </w: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pStyle w:val="53"/>
        <w:keepNext w:val="0"/>
        <w:keepLines w:val="0"/>
        <w:widowControl w:val="0"/>
        <w:suppressLineNumbers w:val="0"/>
        <w:spacing w:before="0" w:beforeAutospacing="0" w:after="120" w:afterAutospacing="0" w:line="480" w:lineRule="auto"/>
        <w:ind w:left="420" w:leftChars="200" w:right="0"/>
        <w:jc w:val="both"/>
        <w:rPr>
          <w:lang w:val="en-US"/>
        </w:rPr>
      </w:pP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仿宋" w:hAnsi="仿宋" w:eastAsia="仿宋" w:cs="仿宋"/>
          <w:b/>
          <w:bCs w:val="0"/>
          <w:sz w:val="30"/>
          <w:szCs w:val="30"/>
          <w:lang w:val="en-US"/>
        </w:rPr>
      </w:pP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仿宋" w:hAnsi="仿宋" w:eastAsia="仿宋" w:cs="仿宋"/>
          <w:b/>
          <w:bCs w:val="0"/>
          <w:sz w:val="30"/>
          <w:szCs w:val="30"/>
          <w:lang w:val="en-US"/>
        </w:rPr>
      </w:pP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仿宋" w:hAnsi="仿宋" w:eastAsia="仿宋" w:cs="仿宋"/>
          <w:b/>
          <w:bCs w:val="0"/>
          <w:sz w:val="30"/>
          <w:szCs w:val="30"/>
          <w:lang w:val="en-US"/>
        </w:rPr>
      </w:pP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仿宋" w:hAnsi="仿宋" w:eastAsia="仿宋" w:cs="仿宋"/>
          <w:b/>
          <w:bCs w:val="0"/>
          <w:sz w:val="30"/>
          <w:szCs w:val="30"/>
          <w:lang w:val="en-US"/>
        </w:rPr>
      </w:pPr>
    </w:p>
    <w:p>
      <w:pPr>
        <w:keepNext w:val="0"/>
        <w:keepLines w:val="0"/>
        <w:widowControl w:val="0"/>
        <w:suppressLineNumbers w:val="0"/>
        <w:spacing w:before="0" w:beforeAutospacing="0" w:after="0" w:afterAutospacing="0" w:line="360" w:lineRule="auto"/>
        <w:ind w:left="0" w:right="0" w:firstLine="602" w:firstLineChars="200"/>
        <w:jc w:val="left"/>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商务要求表</w:t>
      </w:r>
    </w:p>
    <w:tbl>
      <w:tblPr>
        <w:tblStyle w:val="59"/>
        <w:tblW w:w="874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9"/>
        <w:gridCol w:w="6"/>
        <w:gridCol w:w="1651"/>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24" w:hRule="atLeast"/>
        </w:trPr>
        <w:tc>
          <w:tcPr>
            <w:tcW w:w="21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交货及完成安装调试时间</w:t>
            </w:r>
            <w:r>
              <w:rPr>
                <w:rFonts w:hint="eastAsia" w:ascii="宋体" w:hAnsi="宋体" w:eastAsia="宋体" w:cs="仿宋_GB2312"/>
                <w:b/>
                <w:bCs w:val="0"/>
                <w:kern w:val="2"/>
                <w:sz w:val="28"/>
                <w:szCs w:val="28"/>
                <w:lang w:val="en-US" w:eastAsia="zh-CN" w:bidi="ar"/>
              </w:rPr>
              <w:t>▲</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需在合同签订后的20个工作日内交货，并均须完成安装调试。</w:t>
            </w:r>
          </w:p>
          <w:p>
            <w:pPr>
              <w:keepNext w:val="0"/>
              <w:keepLines w:val="0"/>
              <w:widowControl w:val="0"/>
              <w:suppressLineNumbers w:val="0"/>
              <w:spacing w:before="0" w:beforeAutospacing="0" w:after="0" w:afterAutospacing="0" w:line="320" w:lineRule="exact"/>
              <w:ind w:left="0" w:right="0"/>
              <w:jc w:val="both"/>
              <w:rPr>
                <w:rFonts w:hint="default"/>
              </w:rPr>
            </w:pPr>
            <w:r>
              <w:rPr>
                <w:rFonts w:hint="eastAsia" w:ascii="宋体" w:hAnsi="宋体" w:eastAsia="宋体" w:cs="宋体"/>
                <w:kern w:val="2"/>
                <w:sz w:val="28"/>
                <w:szCs w:val="28"/>
                <w:lang w:val="en-US" w:eastAsia="zh-CN" w:bidi="ar"/>
              </w:rPr>
              <w:t>地点为用户指定地点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21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付款条件</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履约保证金比例为合同金额1%，签合同时交至采购人处。</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合同签订后7个工作日内支付50%，经采购人验收合格并全部交付使用后7个工作日内支付合同金额剩余的50%。（以上付款时间是指采购人完成向财政部门申报支付手续的时间，财政部门审查及实际支付可能造成的时间延误不视为采购人违约。每次合同款项支付，中标人需提供同等金额的正规发票（应符合采购人财务管理要求）给采购人，采购人收到发票后按规定向财政部门申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21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违约责任及争议解决方式</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如无特别说明，按“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5"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售</w:t>
            </w:r>
          </w:p>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后</w:t>
            </w:r>
          </w:p>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服务</w:t>
            </w:r>
          </w:p>
        </w:tc>
        <w:tc>
          <w:tcPr>
            <w:tcW w:w="16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仿宋_GB2312"/>
                <w:b/>
                <w:bCs w:val="0"/>
                <w:kern w:val="2"/>
                <w:sz w:val="28"/>
                <w:szCs w:val="28"/>
                <w:lang w:val="en-US" w:eastAsia="zh-CN" w:bidi="ar"/>
              </w:rPr>
              <w:t>▲</w:t>
            </w:r>
            <w:r>
              <w:rPr>
                <w:rFonts w:hint="eastAsia" w:ascii="宋体" w:hAnsi="宋体" w:eastAsia="宋体" w:cs="宋体"/>
                <w:b/>
                <w:bCs w:val="0"/>
                <w:kern w:val="2"/>
                <w:sz w:val="28"/>
                <w:szCs w:val="28"/>
                <w:lang w:val="en-US" w:eastAsia="zh-CN" w:bidi="ar"/>
              </w:rPr>
              <w:t>项目维护计划</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1、设备必须提供六年的保修，保修期从项目验收结束之后开始计算。保修期内，供应商对其提供的设备进行每年一次巡检，不收取任何费用。保修时间及服务内容必须写在投标书中。（费用含在总价内）</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供应商应对所提供的软硬件系统提供满意的热线服务，随时解决所发生的问题。如发生紧急故障，在得到用户通知后，应作出实质性响应，一小时内提供电话支持，八小时内提供现场服务，一天内提供维护所需的各种备件、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495"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6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响应情况</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keepLines/>
              <w:widowControl w:val="0"/>
              <w:suppressLineNumbers w:val="0"/>
              <w:spacing w:before="260" w:beforeAutospacing="0" w:after="260" w:afterAutospacing="0" w:line="360" w:lineRule="exact"/>
              <w:ind w:left="0" w:right="0"/>
              <w:jc w:val="both"/>
              <w:outlineLvl w:val="1"/>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供应商需在省中心设立维修备件库，库存备件价值总额不得低于中标合同总金额的10%，其中整机备品不少于5%，项目验收合格后由采购人提供备件清单。</w:t>
            </w:r>
          </w:p>
          <w:p>
            <w:pPr>
              <w:keepNext/>
              <w:keepLines/>
              <w:widowControl w:val="0"/>
              <w:suppressLineNumbers w:val="0"/>
              <w:spacing w:before="260" w:beforeAutospacing="0" w:after="260" w:afterAutospacing="0" w:line="360" w:lineRule="exact"/>
              <w:ind w:left="0" w:right="0"/>
              <w:jc w:val="both"/>
              <w:outlineLvl w:val="1"/>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已设立省中心备件库，技术维护人员2人及以上得5分，1人得3分；须提供常驻技术维护人员社保证明。否则不得分。</w:t>
            </w:r>
          </w:p>
          <w:p>
            <w:pPr>
              <w:keepNext/>
              <w:keepLines/>
              <w:widowControl w:val="0"/>
              <w:suppressLineNumbers w:val="0"/>
              <w:spacing w:before="260" w:beforeAutospacing="0" w:after="260" w:afterAutospacing="0" w:line="360" w:lineRule="exact"/>
              <w:ind w:left="0" w:right="0"/>
              <w:jc w:val="both"/>
              <w:outlineLvl w:val="1"/>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未设立省中心备件库的承诺供货前设立并配备常驻技术维护人员的得1分（无须提供人员社保证明），否则不得分。（此项最高得5分）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5"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6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技术培训</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供应商需提供每年2次的产品技术培训。以现有地级市（含义乌市）为服务点进行技术培训，以便使用方技术人员能独立操作、维护设备。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495"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6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仿宋_GB2312"/>
                <w:b/>
                <w:bCs w:val="0"/>
                <w:kern w:val="2"/>
                <w:sz w:val="28"/>
                <w:szCs w:val="28"/>
                <w:lang w:val="en-US" w:eastAsia="zh-CN" w:bidi="ar"/>
              </w:rPr>
              <w:t>投标人技术力量情况</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b/>
                <w:bCs w:val="0"/>
                <w:sz w:val="28"/>
                <w:szCs w:val="28"/>
                <w:lang w:val="en-US"/>
              </w:rPr>
            </w:pPr>
            <w:r>
              <w:rPr>
                <w:rFonts w:hint="eastAsia" w:ascii="宋体" w:hAnsi="宋体" w:eastAsia="宋体" w:cs="宋体"/>
                <w:kern w:val="2"/>
                <w:sz w:val="28"/>
                <w:szCs w:val="28"/>
                <w:lang w:val="en-US" w:eastAsia="zh-CN" w:bidi="ar"/>
              </w:rPr>
              <w:t>提供ISO9001质量管理体系认证，ISO14001环境管理体系认证、ISO27001信息安全管理体系认证，三项齐全得2分,否则不得分。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color w:val="C00000"/>
                <w:sz w:val="28"/>
                <w:szCs w:val="28"/>
                <w:lang w:val="en-US"/>
              </w:rPr>
            </w:pP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color w:val="C00000"/>
                <w:sz w:val="28"/>
                <w:szCs w:val="28"/>
                <w:lang w:val="en-US"/>
              </w:rPr>
            </w:pPr>
            <w:r>
              <w:rPr>
                <w:rFonts w:hint="eastAsia" w:ascii="宋体" w:hAnsi="宋体" w:eastAsia="宋体" w:cs="宋体"/>
                <w:b/>
                <w:bCs w:val="0"/>
                <w:kern w:val="2"/>
                <w:sz w:val="28"/>
                <w:szCs w:val="28"/>
                <w:lang w:val="en-US" w:eastAsia="zh-CN" w:bidi="ar"/>
              </w:rPr>
              <w:t>经验及业绩要求</w:t>
            </w:r>
          </w:p>
        </w:tc>
        <w:tc>
          <w:tcPr>
            <w:tcW w:w="65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提供三年内（2020年至今）同类项目合同复印件，每提供1个得0.5分，最高3分。（金额、保修及配置都清晰可见，追加合同不计入统计）</w:t>
            </w:r>
          </w:p>
        </w:tc>
      </w:tr>
    </w:tbl>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12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付款方式：详见商务要求表</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2. </w:t>
      </w: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12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29" w:name="_Toc496796640"/>
      <w:bookmarkEnd w:id="29"/>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0" w:name="PO_1000000445_PM002_2"/>
      <w:bookmarkEnd w:id="30"/>
      <w:r>
        <w:rPr>
          <w:rFonts w:hint="eastAsia" w:ascii="仿宋" w:hAnsi="仿宋" w:eastAsia="仿宋" w:cs="仿宋"/>
          <w:b/>
          <w:color w:val="000000"/>
          <w:spacing w:val="40"/>
          <w:kern w:val="2"/>
          <w:sz w:val="52"/>
          <w:szCs w:val="52"/>
          <w:lang w:val="en-US" w:eastAsia="zh-CN" w:bidi="ar"/>
        </w:rPr>
        <w:t>省体育彩票管理中心体彩安卓终端机采购</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1" w:name="PO_15528_PM001_2"/>
      <w:bookmarkEnd w:id="31"/>
      <w:r>
        <w:rPr>
          <w:rFonts w:hint="eastAsia" w:ascii="仿宋" w:hAnsi="仿宋" w:eastAsia="仿宋" w:cs="仿宋"/>
          <w:kern w:val="2"/>
          <w:sz w:val="36"/>
          <w:szCs w:val="36"/>
          <w:lang w:val="en-US" w:eastAsia="zh-CN" w:bidi="ar"/>
        </w:rPr>
        <w:t>ZZCG2023F-GK-120（标项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格</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kern w:val="0"/>
          <w:sz w:val="36"/>
          <w:szCs w:val="36"/>
          <w:lang w:val="en-US" w:eastAsia="zh-CN" w:bidi="ar"/>
        </w:rPr>
        <w:br w:type="page"/>
      </w:r>
      <w:r>
        <w:rPr>
          <w:rFonts w:hint="eastAsia" w:ascii="仿宋" w:hAnsi="仿宋" w:eastAsia="仿宋" w:cs="仿宋"/>
          <w:b/>
          <w:kern w:val="2"/>
          <w:sz w:val="36"/>
          <w:szCs w:val="36"/>
          <w:lang w:val="en-US" w:eastAsia="zh-CN" w:bidi="ar"/>
        </w:rPr>
        <w:t>1、资格文件目录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（7）中小企业声明函（若需要，格式见附件7）；</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（8）残疾人福利企业声明函（若需要，格式见附件8）；</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（9）提供采购公告中符合投标人特定条件要求的有效的其他资质复印件并加盖公司公章及需要说明的资料。</w:t>
      </w:r>
    </w:p>
    <w:p>
      <w:pPr>
        <w:pStyle w:val="53"/>
        <w:keepNext w:val="0"/>
        <w:keepLines w:val="0"/>
        <w:widowControl w:val="0"/>
        <w:suppressLineNumbers w:val="0"/>
        <w:snapToGrid w:val="0"/>
        <w:spacing w:before="100" w:beforeAutospacing="0" w:after="120" w:afterAutospacing="0"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2" w:name="PO_15528_PM001_3"/>
      <w:bookmarkEnd w:id="32"/>
      <w:r>
        <w:rPr>
          <w:rFonts w:hint="eastAsia" w:ascii="仿宋" w:hAnsi="仿宋" w:eastAsia="仿宋" w:cs="仿宋"/>
          <w:kern w:val="2"/>
          <w:sz w:val="30"/>
          <w:szCs w:val="30"/>
          <w:u w:val="single"/>
          <w:lang w:val="en-US" w:eastAsia="zh-CN" w:bidi="ar"/>
        </w:rPr>
        <w:t>ZZCG2023F-GK-120）</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%，（乙方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附件7：</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kern w:val="0"/>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附件8：</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附件9</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3" w:name="PO_1000000445_PM002"/>
      <w:bookmarkEnd w:id="33"/>
      <w:r>
        <w:rPr>
          <w:rFonts w:hint="eastAsia" w:ascii="仿宋" w:hAnsi="仿宋" w:eastAsia="仿宋" w:cs="仿宋"/>
          <w:b/>
          <w:color w:val="000000"/>
          <w:spacing w:val="40"/>
          <w:kern w:val="2"/>
          <w:sz w:val="52"/>
          <w:szCs w:val="52"/>
          <w:lang w:val="en-US" w:eastAsia="zh-CN" w:bidi="ar"/>
        </w:rPr>
        <w:t>省体育彩票管理中心体彩安卓终端机采购</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4" w:name="PO_15528_PM001_4"/>
      <w:bookmarkEnd w:id="34"/>
      <w:r>
        <w:rPr>
          <w:rFonts w:hint="eastAsia" w:ascii="仿宋" w:hAnsi="仿宋" w:eastAsia="仿宋" w:cs="仿宋"/>
          <w:kern w:val="2"/>
          <w:sz w:val="36"/>
          <w:szCs w:val="36"/>
          <w:lang w:val="en-US" w:eastAsia="zh-CN" w:bidi="ar"/>
        </w:rPr>
        <w:t>ZZCG2023F-GK-120（标项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2"/>
        <w:gridCol w:w="1680"/>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3"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5"/>
        <w:gridCol w:w="2829"/>
        <w:gridCol w:w="2829"/>
        <w:gridCol w:w="28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kern w:val="0"/>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1"/>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3"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3"/>
        <w:gridCol w:w="1004"/>
        <w:gridCol w:w="1664"/>
        <w:gridCol w:w="1260"/>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12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附件14：</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4" w:type="first"/>
          <w:footerReference r:id="rId7" w:type="first"/>
          <w:headerReference r:id="rId3" w:type="default"/>
          <w:footerReference r:id="rId5" w:type="default"/>
          <w:footerReference r:id="rId6" w:type="even"/>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附件15：</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6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8"/>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附件16</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35" w:name="PO_1000000445_PM002_1"/>
      <w:bookmarkEnd w:id="35"/>
      <w:r>
        <w:rPr>
          <w:rFonts w:hint="eastAsia" w:ascii="仿宋" w:hAnsi="仿宋" w:eastAsia="仿宋" w:cs="仿宋"/>
          <w:b/>
          <w:color w:val="000000"/>
          <w:spacing w:val="40"/>
          <w:kern w:val="2"/>
          <w:sz w:val="52"/>
          <w:szCs w:val="52"/>
          <w:lang w:val="en-US" w:eastAsia="zh-CN" w:bidi="ar"/>
        </w:rPr>
        <w:t>省体育彩票管理中心体彩安卓终端机采购</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6" w:name="PO_1000000445_PM001"/>
      <w:bookmarkEnd w:id="36"/>
      <w:r>
        <w:rPr>
          <w:rFonts w:hint="eastAsia" w:ascii="仿宋" w:hAnsi="仿宋" w:eastAsia="仿宋" w:cs="仿宋"/>
          <w:b/>
          <w:color w:val="000000"/>
          <w:kern w:val="2"/>
          <w:sz w:val="36"/>
          <w:szCs w:val="36"/>
          <w:lang w:val="en-US" w:eastAsia="zh-CN" w:bidi="ar"/>
        </w:rPr>
        <w:t>ZZCG2023F-GK-120</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00" w:beforeAutospacing="0" w:after="120" w:afterAutospacing="0"/>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100" w:beforeAutospacing="0" w:after="120" w:afterAutospacing="0"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（1）开标一览表（见附件17）；</w:t>
      </w:r>
    </w:p>
    <w:p>
      <w:pPr>
        <w:pStyle w:val="53"/>
        <w:keepNext w:val="0"/>
        <w:keepLines w:val="0"/>
        <w:widowControl w:val="0"/>
        <w:suppressLineNumbers w:val="0"/>
        <w:snapToGrid w:val="0"/>
        <w:spacing w:before="100" w:beforeAutospacing="0" w:after="120" w:afterAutospacing="0"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附件17：</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p>
    <w:tbl>
      <w:tblPr>
        <w:tblStyle w:val="59"/>
        <w:tblW w:w="916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1"/>
        <w:gridCol w:w="707"/>
        <w:gridCol w:w="849"/>
        <w:gridCol w:w="990"/>
        <w:gridCol w:w="990"/>
        <w:gridCol w:w="849"/>
        <w:gridCol w:w="1133"/>
        <w:gridCol w:w="1273"/>
        <w:gridCol w:w="706"/>
        <w:gridCol w:w="113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6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238"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名称</w:t>
            </w:r>
          </w:p>
        </w:tc>
        <w:tc>
          <w:tcPr>
            <w:tcW w:w="849"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品牌</w:t>
            </w:r>
          </w:p>
        </w:tc>
        <w:tc>
          <w:tcPr>
            <w:tcW w:w="9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产地</w:t>
            </w:r>
          </w:p>
        </w:tc>
        <w:tc>
          <w:tcPr>
            <w:tcW w:w="9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型号</w:t>
            </w:r>
          </w:p>
        </w:tc>
        <w:tc>
          <w:tcPr>
            <w:tcW w:w="849"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数量</w:t>
            </w:r>
          </w:p>
        </w:tc>
        <w:tc>
          <w:tcPr>
            <w:tcW w:w="1133"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color w:val="FF0000"/>
                <w:sz w:val="24"/>
                <w:szCs w:val="24"/>
                <w:lang w:val="en-US"/>
              </w:rPr>
            </w:pPr>
            <w:r>
              <w:rPr>
                <w:rFonts w:hint="eastAsia" w:ascii="仿宋" w:hAnsi="仿宋" w:eastAsia="仿宋" w:cs="仿宋"/>
                <w:b/>
                <w:bCs w:val="0"/>
                <w:color w:val="FF0000"/>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color w:val="FF0000"/>
                <w:kern w:val="2"/>
                <w:sz w:val="24"/>
                <w:szCs w:val="24"/>
                <w:lang w:val="en-US" w:eastAsia="zh-CN" w:bidi="ar"/>
              </w:rPr>
              <w:t>（元）</w:t>
            </w:r>
          </w:p>
        </w:tc>
        <w:tc>
          <w:tcPr>
            <w:tcW w:w="311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238"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49"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49"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133"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3"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1"/>
                <w:szCs w:val="21"/>
                <w:lang w:val="en-US" w:eastAsia="zh-CN" w:bidi="ar"/>
              </w:rPr>
              <w:t>是否中小企业</w:t>
            </w:r>
          </w:p>
        </w:tc>
        <w:tc>
          <w:tcPr>
            <w:tcW w:w="706"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企业全称</w:t>
            </w:r>
          </w:p>
        </w:tc>
        <w:tc>
          <w:tcPr>
            <w:tcW w:w="1133"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2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12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7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bCs w:val="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6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bCs w:val="0"/>
                <w:sz w:val="24"/>
                <w:szCs w:val="24"/>
                <w:lang w:val="en-US"/>
              </w:rPr>
            </w:pPr>
            <w:r>
              <w:rPr>
                <w:rFonts w:hint="eastAsia" w:ascii="仿宋" w:hAnsi="仿宋" w:eastAsia="仿宋" w:cs="仿宋"/>
                <w:b/>
                <w:bCs w:val="0"/>
                <w:color w:val="FF0000"/>
                <w:kern w:val="2"/>
                <w:sz w:val="24"/>
                <w:szCs w:val="24"/>
                <w:lang w:val="en-US" w:eastAsia="zh-CN" w:bidi="ar"/>
              </w:rPr>
              <w:t xml:space="preserve">投标单价金额大写： </w:t>
            </w:r>
            <w:r>
              <w:rPr>
                <w:rFonts w:hint="eastAsia" w:ascii="仿宋" w:hAnsi="仿宋" w:eastAsia="仿宋" w:cs="仿宋"/>
                <w:b/>
                <w:bCs w:val="0"/>
                <w:kern w:val="2"/>
                <w:sz w:val="24"/>
                <w:szCs w:val="24"/>
                <w:lang w:val="en-US" w:eastAsia="zh-CN" w:bidi="ar"/>
              </w:rPr>
              <w:t xml:space="preserve">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0"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4.开标时，招标方在电子交易平台公开投标人的报价信息，投标人对报价信息进行确认。投标人对报价信息不予确认的不影响后续评标过程。</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bCs w:val="0"/>
                <w:color w:val="FF0000"/>
                <w:sz w:val="24"/>
                <w:szCs w:val="24"/>
                <w:lang w:val="en-US"/>
              </w:rPr>
            </w:pPr>
            <w:r>
              <w:rPr>
                <w:rFonts w:hint="eastAsia" w:ascii="仿宋" w:hAnsi="仿宋" w:eastAsia="仿宋" w:cs="仿宋"/>
                <w:b/>
                <w:bCs w:val="0"/>
                <w:color w:val="FF0000"/>
                <w:kern w:val="2"/>
                <w:sz w:val="24"/>
                <w:szCs w:val="24"/>
                <w:lang w:val="en-US" w:eastAsia="zh-CN" w:bidi="ar"/>
              </w:rPr>
              <w:t>5.本项目报价只需报单价，采购合同则根据单价测算相应的数量及总价。</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bCs w:val="0"/>
                <w:color w:val="FF0000"/>
                <w:kern w:val="2"/>
                <w:sz w:val="24"/>
                <w:szCs w:val="24"/>
                <w:lang w:val="en-US" w:eastAsia="zh-CN" w:bidi="ar"/>
              </w:rPr>
              <w:t>5.本项目报价只需报单价，采购合同则根据单价测算相应的数量及总价。</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1"/>
        <w:gridCol w:w="562"/>
        <w:gridCol w:w="997"/>
        <w:gridCol w:w="992"/>
        <w:gridCol w:w="992"/>
        <w:gridCol w:w="850"/>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3"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3"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3"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12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054E3"/>
    <w:multiLevelType w:val="multilevel"/>
    <w:tmpl w:val="E81054E3"/>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7ED5EE7"/>
    <w:multiLevelType w:val="multilevel"/>
    <w:tmpl w:val="37ED5EE7"/>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23"/>
  </w:num>
  <w:num w:numId="9">
    <w:abstractNumId w:val="28"/>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26"/>
  </w:num>
  <w:num w:numId="15">
    <w:abstractNumId w:val="20"/>
  </w:num>
  <w:num w:numId="16">
    <w:abstractNumId w:val="16"/>
  </w:num>
  <w:num w:numId="17">
    <w:abstractNumId w:val="5"/>
  </w:num>
  <w:num w:numId="18">
    <w:abstractNumId w:val="24"/>
  </w:num>
  <w:num w:numId="19">
    <w:abstractNumId w:val="7"/>
  </w:num>
  <w:num w:numId="20">
    <w:abstractNumId w:val="14"/>
  </w:num>
  <w:num w:numId="21">
    <w:abstractNumId w:val="12"/>
  </w:num>
  <w:num w:numId="22">
    <w:abstractNumId w:val="21"/>
  </w:num>
  <w:num w:numId="23">
    <w:abstractNumId w:val="8"/>
  </w:num>
  <w:num w:numId="24">
    <w:abstractNumId w:val="29"/>
  </w:num>
  <w:num w:numId="25">
    <w:abstractNumId w:val="4"/>
  </w:num>
  <w:num w:numId="26">
    <w:abstractNumId w:val="27"/>
  </w:num>
  <w:num w:numId="27">
    <w:abstractNumId w:val="22"/>
  </w:num>
  <w:num w:numId="28">
    <w:abstractNumId w:val="11"/>
  </w:num>
  <w:num w:numId="29">
    <w:abstractNumId w:val="25"/>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0BD36012"/>
    <w:rsid w:val="26D87527"/>
    <w:rsid w:val="3D2F21B3"/>
    <w:rsid w:val="560A00DC"/>
    <w:rsid w:val="6B726C09"/>
    <w:rsid w:val="6B7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93"/>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unhideWhenUsed/>
    <w:qFormat/>
    <w:uiPriority w:val="1"/>
  </w:style>
  <w:style w:type="table" w:default="1" w:styleId="5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11">
    <w:name w:val="List 3"/>
    <w:basedOn w:val="1"/>
    <w:semiHidden/>
    <w:unhideWhenUsed/>
    <w:uiPriority w:val="99"/>
    <w:pPr>
      <w:ind w:left="100" w:leftChars="400" w:hanging="200" w:hangingChars="200"/>
    </w:pPr>
    <w:rPr>
      <w:rFonts w:ascii="Times New Roman" w:hAnsi="Times New Roman"/>
      <w:szCs w:val="20"/>
    </w:rPr>
  </w:style>
  <w:style w:type="paragraph" w:styleId="12">
    <w:name w:val="toc 7"/>
    <w:basedOn w:val="1"/>
    <w:next w:val="1"/>
    <w:semiHidden/>
    <w:unhideWhenUsed/>
    <w:uiPriority w:val="39"/>
    <w:pPr>
      <w:ind w:left="1260"/>
      <w:jc w:val="left"/>
    </w:pPr>
    <w:rPr>
      <w:rFonts w:ascii="Times New Roman" w:hAnsi="Times New Roman"/>
      <w:sz w:val="18"/>
      <w:szCs w:val="18"/>
    </w:rPr>
  </w:style>
  <w:style w:type="paragraph" w:styleId="13">
    <w:name w:val="List Number 2"/>
    <w:basedOn w:val="1"/>
    <w:semiHidden/>
    <w:unhideWhenUsed/>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uiPriority w:val="99"/>
    <w:pPr>
      <w:numPr>
        <w:ilvl w:val="0"/>
        <w:numId w:val="2"/>
      </w:numPr>
    </w:pPr>
    <w:rPr>
      <w:rFonts w:ascii="Times New Roman" w:hAnsi="Times New Roman"/>
      <w:szCs w:val="24"/>
    </w:rPr>
  </w:style>
  <w:style w:type="paragraph" w:styleId="16">
    <w:name w:val="List Number"/>
    <w:basedOn w:val="1"/>
    <w:semiHidden/>
    <w:unhideWhenUsed/>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semiHidden/>
    <w:unhideWhenUsed/>
    <w:qFormat/>
    <w:uiPriority w:val="99"/>
    <w:pPr>
      <w:ind w:firstLine="420"/>
    </w:pPr>
    <w:rPr>
      <w:szCs w:val="20"/>
    </w:rPr>
  </w:style>
  <w:style w:type="paragraph" w:styleId="18">
    <w:name w:val="caption"/>
    <w:basedOn w:val="1"/>
    <w:next w:val="1"/>
    <w:link w:val="107"/>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qFormat/>
    <w:uiPriority w:val="99"/>
    <w:rPr>
      <w:rFonts w:ascii="宋体"/>
      <w:sz w:val="18"/>
      <w:szCs w:val="18"/>
    </w:rPr>
  </w:style>
  <w:style w:type="paragraph" w:styleId="21">
    <w:name w:val="annotation text"/>
    <w:basedOn w:val="1"/>
    <w:link w:val="990"/>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22">
    <w:name w:val="Salutation"/>
    <w:basedOn w:val="1"/>
    <w:next w:val="1"/>
    <w:link w:val="83"/>
    <w:semiHidden/>
    <w:unhideWhenUsed/>
    <w:uiPriority w:val="99"/>
    <w:rPr>
      <w:rFonts w:ascii="宋体" w:hAnsi="Times New Roman"/>
      <w:b/>
      <w:sz w:val="28"/>
      <w:szCs w:val="20"/>
    </w:rPr>
  </w:style>
  <w:style w:type="paragraph" w:styleId="23">
    <w:name w:val="Body Text 3"/>
    <w:basedOn w:val="1"/>
    <w:link w:val="989"/>
    <w:semiHidden/>
    <w:unhideWhenUsed/>
    <w:uiPriority w:val="99"/>
    <w:pPr>
      <w:snapToGrid w:val="0"/>
      <w:spacing w:before="50" w:after="50"/>
    </w:pPr>
    <w:rPr>
      <w:rFonts w:ascii="Times New Roman" w:hAnsi="宋体" w:eastAsia="仿宋_GB2312"/>
      <w:b/>
      <w:bCs/>
      <w:sz w:val="24"/>
      <w:szCs w:val="20"/>
    </w:rPr>
  </w:style>
  <w:style w:type="paragraph" w:styleId="24">
    <w:name w:val="Body Text"/>
    <w:basedOn w:val="1"/>
    <w:link w:val="85"/>
    <w:semiHidden/>
    <w:unhideWhenUsed/>
    <w:qFormat/>
    <w:uiPriority w:val="99"/>
    <w:pPr>
      <w:spacing w:after="120"/>
    </w:pPr>
    <w:rPr>
      <w:sz w:val="28"/>
      <w:szCs w:val="24"/>
    </w:rPr>
  </w:style>
  <w:style w:type="paragraph" w:styleId="25">
    <w:name w:val="Body Text Indent"/>
    <w:basedOn w:val="1"/>
    <w:link w:val="991"/>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uiPriority w:val="99"/>
    <w:pPr>
      <w:numPr>
        <w:ilvl w:val="0"/>
        <w:numId w:val="3"/>
      </w:numPr>
    </w:pPr>
    <w:rPr>
      <w:rFonts w:ascii="Times New Roman" w:hAnsi="Times New Roman"/>
      <w:szCs w:val="24"/>
    </w:rPr>
  </w:style>
  <w:style w:type="paragraph" w:styleId="27">
    <w:name w:val="List 2"/>
    <w:basedOn w:val="1"/>
    <w:semiHidden/>
    <w:unhideWhenUsed/>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uiPriority w:val="39"/>
    <w:pPr>
      <w:ind w:left="840" w:leftChars="400"/>
    </w:pPr>
  </w:style>
  <w:style w:type="paragraph" w:styleId="31">
    <w:name w:val="Plain Text"/>
    <w:basedOn w:val="1"/>
    <w:link w:val="986"/>
    <w:qFormat/>
    <w:uiPriority w:val="0"/>
    <w:pPr>
      <w:spacing w:beforeLines="50" w:afterLines="50" w:line="400" w:lineRule="exact"/>
    </w:pPr>
    <w:rPr>
      <w:rFonts w:ascii="宋体" w:hAnsi="Courier New"/>
      <w:sz w:val="24"/>
      <w:szCs w:val="24"/>
    </w:rPr>
  </w:style>
  <w:style w:type="paragraph" w:styleId="32">
    <w:name w:val="List Bullet 5"/>
    <w:basedOn w:val="1"/>
    <w:semiHidden/>
    <w:unhideWhenUsed/>
    <w:uiPriority w:val="99"/>
    <w:pPr>
      <w:numPr>
        <w:ilvl w:val="0"/>
        <w:numId w:val="4"/>
      </w:numPr>
    </w:pPr>
    <w:rPr>
      <w:rFonts w:ascii="Times New Roman" w:hAnsi="Times New Roman"/>
      <w:szCs w:val="24"/>
    </w:rPr>
  </w:style>
  <w:style w:type="paragraph" w:styleId="33">
    <w:name w:val="toc 8"/>
    <w:basedOn w:val="1"/>
    <w:next w:val="1"/>
    <w:semiHidden/>
    <w:unhideWhenUsed/>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994"/>
    <w:semiHidden/>
    <w:unhideWhenUsed/>
    <w:uiPriority w:val="99"/>
    <w:pPr>
      <w:ind w:left="2500" w:leftChars="2500"/>
    </w:pPr>
    <w:rPr>
      <w:rFonts w:eastAsia="楷体_GB2312"/>
      <w:sz w:val="32"/>
      <w:szCs w:val="20"/>
    </w:rPr>
  </w:style>
  <w:style w:type="paragraph" w:styleId="35">
    <w:name w:val="Body Text Indent 2"/>
    <w:basedOn w:val="1"/>
    <w:link w:val="89"/>
    <w:semiHidden/>
    <w:unhideWhenUsed/>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unhideWhenUsed/>
    <w:qFormat/>
    <w:uiPriority w:val="99"/>
    <w:rPr>
      <w:sz w:val="18"/>
      <w:szCs w:val="18"/>
    </w:rPr>
  </w:style>
  <w:style w:type="paragraph" w:styleId="38">
    <w:name w:val="footer"/>
    <w:basedOn w:val="1"/>
    <w:link w:val="819"/>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uiPriority w:val="39"/>
    <w:pPr>
      <w:spacing w:before="240" w:after="240"/>
    </w:pPr>
    <w:rPr>
      <w:rFonts w:ascii="Times New Roman" w:hAnsi="Times New Roman" w:eastAsia="仿宋"/>
      <w:sz w:val="36"/>
      <w:szCs w:val="24"/>
    </w:rPr>
  </w:style>
  <w:style w:type="paragraph" w:styleId="41">
    <w:name w:val="toc 4"/>
    <w:basedOn w:val="1"/>
    <w:next w:val="1"/>
    <w:semiHidden/>
    <w:unhideWhenUsed/>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uiPriority w:val="99"/>
    <w:pPr>
      <w:snapToGrid w:val="0"/>
      <w:jc w:val="left"/>
    </w:pPr>
    <w:rPr>
      <w:sz w:val="18"/>
      <w:szCs w:val="18"/>
    </w:rPr>
  </w:style>
  <w:style w:type="paragraph" w:styleId="45">
    <w:name w:val="toc 6"/>
    <w:basedOn w:val="1"/>
    <w:next w:val="1"/>
    <w:semiHidden/>
    <w:unhideWhenUsed/>
    <w:uiPriority w:val="39"/>
    <w:pPr>
      <w:ind w:left="1050"/>
      <w:jc w:val="left"/>
    </w:pPr>
    <w:rPr>
      <w:rFonts w:ascii="Times New Roman" w:hAnsi="Times New Roman"/>
      <w:sz w:val="18"/>
      <w:szCs w:val="18"/>
    </w:rPr>
  </w:style>
  <w:style w:type="paragraph" w:styleId="46">
    <w:name w:val="Body Text Indent 3"/>
    <w:basedOn w:val="1"/>
    <w:link w:val="96"/>
    <w:semiHidden/>
    <w:unhideWhenUsed/>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uiPriority w:val="39"/>
    <w:pPr>
      <w:ind w:left="1680"/>
      <w:jc w:val="left"/>
    </w:pPr>
    <w:rPr>
      <w:rFonts w:ascii="Times New Roman" w:hAnsi="Times New Roman"/>
      <w:sz w:val="18"/>
      <w:szCs w:val="18"/>
    </w:rPr>
  </w:style>
  <w:style w:type="paragraph" w:styleId="50">
    <w:name w:val="Body Text 2"/>
    <w:basedOn w:val="1"/>
    <w:link w:val="987"/>
    <w:semiHidden/>
    <w:unhideWhenUsed/>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uiPriority w:val="99"/>
    <w:rPr>
      <w:b/>
      <w:bCs/>
    </w:rPr>
  </w:style>
  <w:style w:type="paragraph" w:styleId="57">
    <w:name w:val="Body Text First Indent"/>
    <w:basedOn w:val="24"/>
    <w:link w:val="102"/>
    <w:semiHidden/>
    <w:unhideWhenUsed/>
    <w:uiPriority w:val="99"/>
    <w:pPr>
      <w:ind w:firstLine="420" w:firstLineChars="100"/>
    </w:pPr>
    <w:rPr>
      <w:sz w:val="21"/>
      <w:szCs w:val="22"/>
    </w:rPr>
  </w:style>
  <w:style w:type="paragraph" w:styleId="58">
    <w:name w:val="Body Text First Indent 2"/>
    <w:basedOn w:val="25"/>
    <w:link w:val="964"/>
    <w:semiHidden/>
    <w:unhideWhenUsed/>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semiHidden/>
    <w:unhideWhenUsed/>
    <w:uiPriority w:val="99"/>
    <w:rPr>
      <w:color w:val="800080"/>
      <w:u w:val="single"/>
    </w:rPr>
  </w:style>
  <w:style w:type="character" w:styleId="68">
    <w:name w:val="Emphasis"/>
    <w:qFormat/>
    <w:uiPriority w:val="20"/>
    <w:rPr>
      <w:color w:val="CC0033"/>
    </w:rPr>
  </w:style>
  <w:style w:type="character" w:styleId="69">
    <w:name w:val="Hyperlink"/>
    <w:semiHidden/>
    <w:unhideWhenUsed/>
    <w:uiPriority w:val="99"/>
    <w:rPr>
      <w:color w:val="0000FF"/>
      <w:u w:val="single"/>
    </w:rPr>
  </w:style>
  <w:style w:type="character" w:styleId="70">
    <w:name w:val="annotation reference"/>
    <w:semiHidden/>
    <w:unhideWhenUsed/>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8"/>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basedOn w:val="64"/>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日期 字符1"/>
    <w:basedOn w:val="64"/>
    <w:semiHidden/>
    <w:uiPriority w:val="0"/>
    <w:rPr>
      <w:rFonts w:ascii="Calibri" w:hAnsi="Calibri" w:eastAsia="宋体" w:cs="Times New Roman"/>
    </w:rPr>
  </w:style>
  <w:style w:type="character" w:customStyle="1" w:styleId="982">
    <w:name w:val="正文文本 2 字符1"/>
    <w:basedOn w:val="64"/>
    <w:semiHidden/>
    <w:uiPriority w:val="0"/>
    <w:rPr>
      <w:rFonts w:ascii="Calibri" w:hAnsi="Calibri" w:eastAsia="宋体" w:cs="Times New Roman"/>
    </w:rPr>
  </w:style>
  <w:style w:type="character" w:customStyle="1" w:styleId="983">
    <w:name w:val="纯文本 字符1"/>
    <w:basedOn w:val="64"/>
    <w:semiHidden/>
    <w:uiPriority w:val="99"/>
    <w:rPr>
      <w:rFonts w:hAnsi="Courier New" w:cs="Courier New" w:asciiTheme="minorEastAsia"/>
    </w:rPr>
  </w:style>
  <w:style w:type="table" w:customStyle="1" w:styleId="984">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85">
    <w:name w:val="16"/>
    <w:basedOn w:val="64"/>
    <w:uiPriority w:val="0"/>
    <w:rPr>
      <w:rFonts w:hint="default" w:ascii="Calibri" w:hAnsi="Calibri" w:cs="Calibri"/>
    </w:rPr>
  </w:style>
  <w:style w:type="character" w:customStyle="1" w:styleId="986">
    <w:name w:val="纯文本 Char"/>
    <w:basedOn w:val="64"/>
    <w:link w:val="31"/>
    <w:uiPriority w:val="0"/>
    <w:rPr>
      <w:rFonts w:hint="eastAsia" w:ascii="宋体" w:hAnsi="Courier New" w:eastAsia="宋体" w:cs="Times New Roman"/>
      <w:sz w:val="24"/>
      <w:szCs w:val="24"/>
    </w:rPr>
  </w:style>
  <w:style w:type="character" w:customStyle="1" w:styleId="987">
    <w:name w:val="正文文本 2 Char"/>
    <w:basedOn w:val="64"/>
    <w:link w:val="50"/>
    <w:uiPriority w:val="0"/>
    <w:rPr>
      <w:rFonts w:hint="eastAsia" w:ascii="宋体" w:hAnsi="宋体" w:eastAsia="宋体" w:cs="Times New Roman"/>
      <w:color w:val="000000"/>
      <w:sz w:val="24"/>
      <w:szCs w:val="24"/>
    </w:rPr>
  </w:style>
  <w:style w:type="character" w:customStyle="1" w:styleId="988">
    <w:name w:val="10"/>
    <w:basedOn w:val="64"/>
    <w:uiPriority w:val="0"/>
    <w:rPr>
      <w:rFonts w:hint="default" w:ascii="Calibri" w:hAnsi="Calibri" w:cs="Calibri"/>
    </w:rPr>
  </w:style>
  <w:style w:type="character" w:customStyle="1" w:styleId="989">
    <w:name w:val="正文文本 3 Char"/>
    <w:basedOn w:val="64"/>
    <w:link w:val="23"/>
    <w:uiPriority w:val="0"/>
    <w:rPr>
      <w:rFonts w:hint="default" w:ascii="Times New Roman" w:hAnsi="宋体" w:eastAsia="仿宋_GB2312" w:cs="Times New Roman"/>
      <w:b/>
      <w:sz w:val="24"/>
      <w:szCs w:val="24"/>
    </w:rPr>
  </w:style>
  <w:style w:type="character" w:customStyle="1" w:styleId="990">
    <w:name w:val="批注文字 Char"/>
    <w:basedOn w:val="64"/>
    <w:link w:val="21"/>
    <w:uiPriority w:val="0"/>
    <w:rPr>
      <w:rFonts w:hint="default" w:ascii="Calibri" w:hAnsi="Calibri" w:eastAsia="宋体" w:cs="Times New Roman"/>
      <w:szCs w:val="21"/>
    </w:rPr>
  </w:style>
  <w:style w:type="character" w:customStyle="1" w:styleId="991">
    <w:name w:val="正文文本缩进 Char"/>
    <w:basedOn w:val="64"/>
    <w:link w:val="25"/>
    <w:uiPriority w:val="0"/>
    <w:rPr>
      <w:rFonts w:hint="eastAsia" w:ascii="宋体" w:hAnsi="Courier New" w:eastAsia="宋体" w:cs="Times New Roman"/>
      <w:spacing w:val="-4"/>
      <w:sz w:val="18"/>
      <w:szCs w:val="18"/>
    </w:rPr>
  </w:style>
  <w:style w:type="paragraph" w:customStyle="1" w:styleId="992">
    <w:name w:val="列出段落111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993">
    <w:name w:val="标题 1 Char"/>
    <w:basedOn w:val="64"/>
    <w:link w:val="2"/>
    <w:uiPriority w:val="0"/>
    <w:rPr>
      <w:rFonts w:hint="default" w:ascii="Calibri" w:hAnsi="Calibri" w:eastAsia="隶书" w:cs="Times New Roman"/>
      <w:b/>
      <w:kern w:val="0"/>
      <w:sz w:val="36"/>
      <w:szCs w:val="36"/>
    </w:rPr>
  </w:style>
  <w:style w:type="character" w:customStyle="1" w:styleId="994">
    <w:name w:val="日期 Char"/>
    <w:basedOn w:val="64"/>
    <w:link w:val="34"/>
    <w:uiPriority w:val="0"/>
    <w:rPr>
      <w:rFonts w:hint="default" w:ascii="Calibri" w:hAnsi="Calibri" w:eastAsia="楷体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25197</Words>
  <Characters>27007</Characters>
  <Lines>37</Lines>
  <Paragraphs>10</Paragraphs>
  <TotalTime>51</TotalTime>
  <ScaleCrop>false</ScaleCrop>
  <LinksUpToDate>false</LinksUpToDate>
  <CharactersWithSpaces>29296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2023-04-06T09:34:00Z</dcterms:created>
  <dc:creator>Ray</dc:creator>
  <cp:lastModifiedBy>Administrator</cp:lastModifiedBy>
  <cp:lastPrinted>2023-03-28T09:49:00Z</cp:lastPrinted>
  <dcterms:modified xsi:type="dcterms:W3CDTF">2023-06-09T02:13:14Z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