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B1341">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lang w:eastAsia="zh-CN"/>
          <w14:textFill>
            <w14:solidFill>
              <w14:schemeClr w14:val="tx1"/>
            </w14:solidFill>
          </w14:textFill>
        </w:rPr>
        <w:t>浙江理工大学2025-2028年临平校区物业服务项目</w:t>
      </w:r>
      <w:bookmarkEnd w:id="0"/>
    </w:p>
    <w:p w14:paraId="6AE9B398">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ZZCG2025H-GK-115</w:t>
      </w:r>
      <w:bookmarkEnd w:id="1"/>
    </w:p>
    <w:p w14:paraId="6899054C">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7E1E996A">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097A26D3">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007C0781">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74C9E936">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786A0BC2">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53FA04A2">
      <w:pPr>
        <w:ind w:right="-110"/>
        <w:rPr>
          <w:rFonts w:ascii="宋体" w:hAnsi="宋体"/>
          <w:color w:val="000000" w:themeColor="text1"/>
          <w:sz w:val="32"/>
          <w:szCs w:val="32"/>
          <w14:textFill>
            <w14:solidFill>
              <w14:schemeClr w14:val="tx1"/>
            </w14:solidFill>
          </w14:textFill>
        </w:rPr>
      </w:pPr>
    </w:p>
    <w:p w14:paraId="7564D7D8">
      <w:pPr>
        <w:ind w:right="-110"/>
        <w:rPr>
          <w:rFonts w:ascii="宋体" w:hAnsi="宋体"/>
          <w:color w:val="000000" w:themeColor="text1"/>
          <w:sz w:val="32"/>
          <w:szCs w:val="32"/>
          <w14:textFill>
            <w14:solidFill>
              <w14:schemeClr w14:val="tx1"/>
            </w14:solidFill>
          </w14:textFill>
        </w:rPr>
      </w:pPr>
    </w:p>
    <w:p w14:paraId="39A8595F">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09ADBA21">
      <w:pPr>
        <w:spacing w:line="500" w:lineRule="exact"/>
        <w:ind w:right="532"/>
        <w:rPr>
          <w:rFonts w:ascii="宋体" w:hAnsi="宋体"/>
          <w:color w:val="000000" w:themeColor="text1"/>
          <w:sz w:val="36"/>
          <w:szCs w:val="36"/>
          <w14:textFill>
            <w14:solidFill>
              <w14:schemeClr w14:val="tx1"/>
            </w14:solidFill>
          </w14:textFill>
        </w:rPr>
      </w:pPr>
    </w:p>
    <w:p w14:paraId="4F6F1C54">
      <w:pPr>
        <w:wordWrap w:val="0"/>
        <w:spacing w:line="500" w:lineRule="exact"/>
        <w:ind w:right="-108" w:firstLine="540" w:firstLineChars="150"/>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067DEE95">
      <w:pPr>
        <w:spacing w:line="500" w:lineRule="exact"/>
        <w:ind w:right="-108" w:firstLine="3072" w:firstLineChars="850"/>
        <w:rPr>
          <w:rFonts w:hAnsi="宋体"/>
          <w:b/>
          <w:color w:val="000000" w:themeColor="text1"/>
          <w:sz w:val="36"/>
          <w:szCs w:val="36"/>
          <w14:textFill>
            <w14:solidFill>
              <w14:schemeClr w14:val="tx1"/>
            </w14:solidFill>
          </w14:textFill>
        </w:rPr>
      </w:pPr>
    </w:p>
    <w:p w14:paraId="37CFDFA7">
      <w:pPr>
        <w:spacing w:line="500" w:lineRule="exact"/>
        <w:ind w:right="-108" w:firstLine="3072" w:firstLineChars="850"/>
        <w:rPr>
          <w:rFonts w:hAnsi="宋体"/>
          <w:b/>
          <w:color w:val="000000" w:themeColor="text1"/>
          <w:sz w:val="36"/>
          <w:szCs w:val="36"/>
          <w14:textFill>
            <w14:solidFill>
              <w14:schemeClr w14:val="tx1"/>
            </w14:solidFill>
          </w14:textFill>
        </w:rPr>
      </w:pPr>
    </w:p>
    <w:p w14:paraId="369C9B5B">
      <w:pPr>
        <w:spacing w:line="500" w:lineRule="exact"/>
        <w:ind w:right="-108" w:firstLine="3072" w:firstLineChars="850"/>
        <w:rPr>
          <w:rFonts w:hAnsi="宋体"/>
          <w:b/>
          <w:color w:val="000000" w:themeColor="text1"/>
          <w:sz w:val="36"/>
          <w:szCs w:val="36"/>
          <w14:textFill>
            <w14:solidFill>
              <w14:schemeClr w14:val="tx1"/>
            </w14:solidFill>
          </w14:textFill>
        </w:rPr>
      </w:pPr>
    </w:p>
    <w:p w14:paraId="18DA11B5">
      <w:pPr>
        <w:spacing w:line="500" w:lineRule="exact"/>
        <w:ind w:right="-108" w:firstLine="3072" w:firstLineChars="850"/>
        <w:rPr>
          <w:rFonts w:hAnsi="宋体"/>
          <w:b/>
          <w:color w:val="000000" w:themeColor="text1"/>
          <w:sz w:val="36"/>
          <w:szCs w:val="36"/>
          <w14:textFill>
            <w14:solidFill>
              <w14:schemeClr w14:val="tx1"/>
            </w14:solidFill>
          </w14:textFill>
        </w:rPr>
      </w:pPr>
    </w:p>
    <w:p w14:paraId="10833DF1">
      <w:pPr>
        <w:spacing w:line="500" w:lineRule="exact"/>
        <w:ind w:right="-108" w:firstLine="3072" w:firstLineChars="850"/>
        <w:rPr>
          <w:rFonts w:hAnsi="宋体"/>
          <w:b/>
          <w:color w:val="000000" w:themeColor="text1"/>
          <w:sz w:val="36"/>
          <w:szCs w:val="36"/>
          <w14:textFill>
            <w14:solidFill>
              <w14:schemeClr w14:val="tx1"/>
            </w14:solidFill>
          </w14:textFill>
        </w:rPr>
      </w:pPr>
    </w:p>
    <w:p w14:paraId="62110C03">
      <w:pPr>
        <w:spacing w:line="500" w:lineRule="exact"/>
        <w:ind w:right="-108" w:firstLine="3072" w:firstLineChars="850"/>
        <w:rPr>
          <w:rFonts w:hAnsi="宋体"/>
          <w:b/>
          <w:color w:val="000000" w:themeColor="text1"/>
          <w:sz w:val="36"/>
          <w:szCs w:val="36"/>
          <w14:textFill>
            <w14:solidFill>
              <w14:schemeClr w14:val="tx1"/>
            </w14:solidFill>
          </w14:textFill>
        </w:rPr>
      </w:pPr>
    </w:p>
    <w:p w14:paraId="65AE3286">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412084B5">
      <w:pPr>
        <w:pStyle w:val="31"/>
        <w:spacing w:before="156" w:after="156" w:line="360" w:lineRule="auto"/>
        <w:jc w:val="center"/>
        <w:rPr>
          <w:rFonts w:hAnsi="宋体" w:eastAsia="仿宋_GB2312"/>
          <w:color w:val="000000" w:themeColor="text1"/>
          <w:sz w:val="32"/>
          <w:szCs w:val="32"/>
          <w14:textFill>
            <w14:solidFill>
              <w14:schemeClr w14:val="tx1"/>
            </w14:solidFill>
          </w14:textFill>
        </w:rPr>
      </w:pPr>
    </w:p>
    <w:p w14:paraId="3E2C8C4A">
      <w:pPr>
        <w:pStyle w:val="40"/>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6BBF929B">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620157F4">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fldChar w:fldCharType="end"/>
      </w:r>
    </w:p>
    <w:p w14:paraId="57292091">
      <w:pPr>
        <w:pStyle w:val="40"/>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29</w:t>
      </w:r>
      <w:r>
        <w:fldChar w:fldCharType="end"/>
      </w:r>
      <w:r>
        <w:fldChar w:fldCharType="end"/>
      </w:r>
    </w:p>
    <w:p w14:paraId="0864426C">
      <w:pPr>
        <w:pStyle w:val="40"/>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31</w:t>
      </w:r>
      <w:r>
        <w:fldChar w:fldCharType="end"/>
      </w:r>
      <w:r>
        <w:fldChar w:fldCharType="end"/>
      </w:r>
    </w:p>
    <w:p w14:paraId="0C235E06">
      <w:pPr>
        <w:pStyle w:val="40"/>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36</w:t>
      </w:r>
      <w:r>
        <w:fldChar w:fldCharType="end"/>
      </w:r>
      <w:r>
        <w:fldChar w:fldCharType="end"/>
      </w:r>
    </w:p>
    <w:p w14:paraId="3E336186">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4BB6A514">
      <w:pPr>
        <w:pStyle w:val="31"/>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652043C9">
      <w:pPr>
        <w:pStyle w:val="398"/>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2CC5CF6D">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ZZCG2025H-GK-115</w:t>
      </w:r>
      <w:bookmarkEnd w:id="3"/>
    </w:p>
    <w:p w14:paraId="2A729E3A">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1118A53A">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486"/>
        <w:gridCol w:w="1114"/>
        <w:gridCol w:w="1114"/>
        <w:gridCol w:w="1114"/>
        <w:gridCol w:w="1114"/>
        <w:gridCol w:w="1115"/>
        <w:gridCol w:w="1115"/>
      </w:tblGrid>
      <w:tr w14:paraId="41A7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4" w:type="dxa"/>
          </w:tcPr>
          <w:p w14:paraId="37CC28C6">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1486" w:type="dxa"/>
          </w:tcPr>
          <w:p w14:paraId="7DDD1395">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1114" w:type="dxa"/>
          </w:tcPr>
          <w:p w14:paraId="07F2E4CE">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1114" w:type="dxa"/>
          </w:tcPr>
          <w:p w14:paraId="5B09F55C">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1114" w:type="dxa"/>
          </w:tcPr>
          <w:p w14:paraId="1BB5186B">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1114" w:type="dxa"/>
          </w:tcPr>
          <w:p w14:paraId="64197E7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c>
          <w:tcPr>
            <w:tcW w:w="1115" w:type="dxa"/>
          </w:tcPr>
          <w:p w14:paraId="0991A594">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最高限价(万元)</w:t>
            </w:r>
          </w:p>
        </w:tc>
        <w:tc>
          <w:tcPr>
            <w:tcW w:w="1115" w:type="dxa"/>
          </w:tcPr>
          <w:p w14:paraId="701DDBAE">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备注</w:t>
            </w:r>
          </w:p>
        </w:tc>
      </w:tr>
      <w:tr w14:paraId="0880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14:paraId="6232B13A">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486" w:type="dxa"/>
          </w:tcPr>
          <w:p w14:paraId="02381EFA">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浙江理工大学2025-2028年临平校区物业服务项目</w:t>
            </w:r>
          </w:p>
        </w:tc>
        <w:tc>
          <w:tcPr>
            <w:tcW w:w="1114" w:type="dxa"/>
          </w:tcPr>
          <w:p w14:paraId="346C4DEB">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不限</w:t>
            </w:r>
          </w:p>
        </w:tc>
        <w:tc>
          <w:tcPr>
            <w:tcW w:w="1114" w:type="dxa"/>
          </w:tcPr>
          <w:p w14:paraId="7ACBCB20">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批</w:t>
            </w:r>
          </w:p>
        </w:tc>
        <w:tc>
          <w:tcPr>
            <w:tcW w:w="1114" w:type="dxa"/>
          </w:tcPr>
          <w:p w14:paraId="1713566D">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3340</w:t>
            </w:r>
          </w:p>
        </w:tc>
        <w:tc>
          <w:tcPr>
            <w:tcW w:w="1114" w:type="dxa"/>
          </w:tcPr>
          <w:p w14:paraId="1625C797">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详见需求</w:t>
            </w:r>
          </w:p>
        </w:tc>
        <w:tc>
          <w:tcPr>
            <w:tcW w:w="1115" w:type="dxa"/>
          </w:tcPr>
          <w:p w14:paraId="457AEF1E">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3300.0</w:t>
            </w:r>
          </w:p>
        </w:tc>
        <w:tc>
          <w:tcPr>
            <w:tcW w:w="1115" w:type="dxa"/>
          </w:tcPr>
          <w:p w14:paraId="6155A296">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p>
        </w:tc>
      </w:tr>
    </w:tbl>
    <w:p w14:paraId="1F6B235A">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14:paraId="01188F86">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262E8675">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520531EF">
      <w:pPr>
        <w:snapToGrid w:val="0"/>
        <w:spacing w:line="46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bookmarkStart w:id="5" w:name="PO_416_PM006"/>
      <w:r>
        <w:rPr>
          <w:rFonts w:hint="eastAsia" w:ascii="仿宋" w:hAnsi="仿宋" w:eastAsia="仿宋" w:cs="Arial"/>
          <w:b/>
          <w:bCs/>
          <w:color w:val="000000" w:themeColor="text1"/>
          <w:sz w:val="30"/>
          <w:szCs w:val="30"/>
          <w:lang w:val="en-US" w:eastAsia="zh-CN"/>
          <w14:textFill>
            <w14:solidFill>
              <w14:schemeClr w14:val="tx1"/>
            </w14:solidFill>
          </w14:textFill>
        </w:rPr>
        <w:t xml:space="preserve"> </w:t>
      </w:r>
      <w:bookmarkEnd w:id="5"/>
      <w:r>
        <w:rPr>
          <w:rFonts w:hint="eastAsia" w:ascii="仿宋" w:hAnsi="仿宋" w:eastAsia="仿宋" w:cs="Arial"/>
          <w:b/>
          <w:bCs/>
          <w:color w:val="000000" w:themeColor="text1"/>
          <w:sz w:val="30"/>
          <w:szCs w:val="30"/>
          <w:lang w:val="en-US" w:eastAsia="zh-CN"/>
          <w14:textFill>
            <w14:solidFill>
              <w14:schemeClr w14:val="tx1"/>
            </w14:solidFill>
          </w14:textFill>
        </w:rPr>
        <w:t>投</w:t>
      </w:r>
      <w:r>
        <w:rPr>
          <w:rFonts w:hint="eastAsia" w:ascii="仿宋" w:hAnsi="仿宋" w:eastAsia="仿宋" w:cs="Arial"/>
          <w:b/>
          <w:bCs/>
          <w:color w:val="000000" w:themeColor="text1"/>
          <w:sz w:val="30"/>
          <w:szCs w:val="30"/>
          <w14:textFill>
            <w14:solidFill>
              <w14:schemeClr w14:val="tx1"/>
            </w14:solidFill>
          </w14:textFill>
        </w:rPr>
        <w:t>标人的特定条件：</w:t>
      </w:r>
      <w:r>
        <w:rPr>
          <w:rFonts w:hint="eastAsia" w:ascii="仿宋" w:hAnsi="仿宋" w:eastAsia="仿宋" w:cs="Arial"/>
          <w:b/>
          <w:bCs/>
          <w:color w:val="000000" w:themeColor="text1"/>
          <w:sz w:val="30"/>
          <w:szCs w:val="30"/>
          <w:lang w:eastAsia="zh-CN"/>
          <w14:textFill>
            <w14:solidFill>
              <w14:schemeClr w14:val="tx1"/>
            </w14:solidFill>
          </w14:textFill>
        </w:rPr>
        <w:t>无</w:t>
      </w:r>
    </w:p>
    <w:p w14:paraId="4DC754FA">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6" w:name="PO_15528_PM007"/>
      <w:r>
        <w:rPr>
          <w:rFonts w:hint="eastAsia" w:ascii="仿宋" w:hAnsi="仿宋" w:eastAsia="仿宋" w:cs="Arial"/>
          <w:b/>
          <w:bCs/>
          <w:color w:val="000000" w:themeColor="text1"/>
          <w:sz w:val="30"/>
          <w:szCs w:val="30"/>
          <w:lang w:eastAsia="zh-CN"/>
          <w14:textFill>
            <w14:solidFill>
              <w14:schemeClr w14:val="tx1"/>
            </w14:solidFill>
          </w14:textFill>
        </w:rPr>
        <w:t>标项1:允许联合体投标</w:t>
      </w:r>
      <w:bookmarkEnd w:id="6"/>
    </w:p>
    <w:p w14:paraId="14FC7056">
      <w:pPr>
        <w:snapToGrid w:val="0"/>
        <w:spacing w:line="500" w:lineRule="exact"/>
        <w:ind w:firstLine="562" w:firstLineChars="200"/>
        <w:rPr>
          <w:rFonts w:hint="eastAsia" w:ascii="宋体" w:hAnsi="宋体" w:eastAsia="宋体" w:cs="Arial"/>
          <w:b/>
          <w:bCs/>
          <w:color w:val="000000" w:themeColor="text1"/>
          <w:sz w:val="28"/>
          <w:szCs w:val="28"/>
          <w:lang w:val="en-US" w:eastAsia="zh-CN"/>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lang w:val="en-US" w:eastAsia="zh-CN"/>
          <w14:textFill>
            <w14:solidFill>
              <w14:schemeClr w14:val="tx1"/>
            </w14:solidFill>
          </w14:textFill>
        </w:rPr>
        <w:t>招标文件</w:t>
      </w:r>
    </w:p>
    <w:p w14:paraId="53B90B41">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[项目采购-报名开始日期] 至</w:t>
      </w:r>
      <w:r>
        <w:rPr>
          <w:rFonts w:hint="eastAsia" w:ascii="仿宋" w:hAnsi="仿宋" w:eastAsia="仿宋" w:cs="Arial"/>
          <w:color w:val="000000" w:themeColor="text1"/>
          <w:sz w:val="30"/>
          <w:szCs w:val="30"/>
          <w:lang w:eastAsia="zh-CN"/>
          <w14:textFill>
            <w14:solidFill>
              <w14:schemeClr w14:val="tx1"/>
            </w14:solidFill>
          </w14:textFill>
        </w:rPr>
        <w:t>2025-07-17 09:00:00</w:t>
      </w:r>
      <w:r>
        <w:rPr>
          <w:rFonts w:hint="eastAsia" w:ascii="仿宋" w:hAnsi="仿宋" w:eastAsia="仿宋"/>
          <w:color w:val="000000" w:themeColor="text1"/>
          <w:kern w:val="0"/>
          <w:sz w:val="30"/>
          <w:szCs w:val="30"/>
          <w14:textFill>
            <w14:solidFill>
              <w14:schemeClr w14:val="tx1"/>
            </w14:solidFill>
          </w14:textFill>
        </w:rPr>
        <w:t xml:space="preserve"> </w:t>
      </w:r>
      <w:bookmarkStart w:id="7" w:name="PO_15528_PM009"/>
      <w:r>
        <w:rPr>
          <w:rFonts w:hint="eastAsia" w:ascii="仿宋" w:hAnsi="仿宋" w:eastAsia="仿宋"/>
          <w:color w:val="000000" w:themeColor="text1"/>
          <w:kern w:val="0"/>
          <w:sz w:val="30"/>
          <w:szCs w:val="30"/>
          <w:lang w:eastAsia="zh-CN"/>
          <w14:textFill>
            <w14:solidFill>
              <w14:schemeClr w14:val="tx1"/>
            </w14:solidFill>
          </w14:textFill>
        </w:rPr>
        <w:t xml:space="preserve"> </w:t>
      </w:r>
      <w:bookmarkEnd w:id="7"/>
      <w:r>
        <w:rPr>
          <w:rFonts w:hint="eastAsia" w:ascii="宋体" w:hAnsi="宋体"/>
          <w:color w:val="000000" w:themeColor="text1"/>
          <w:kern w:val="0"/>
          <w:sz w:val="28"/>
          <w:szCs w:val="28"/>
          <w14:textFill>
            <w14:solidFill>
              <w14:schemeClr w14:val="tx1"/>
            </w14:solidFill>
          </w14:textFill>
        </w:rPr>
        <w:t>。</w:t>
      </w:r>
    </w:p>
    <w:p w14:paraId="19DF1BAC">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58F5A776">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766AFAD4">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7F0012A6">
      <w:pPr>
        <w:pStyle w:val="31"/>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8" w:name="PO_15528_PM015"/>
      <w:r>
        <w:rPr>
          <w:rFonts w:hint="eastAsia" w:ascii="仿宋" w:hAnsi="仿宋" w:eastAsia="仿宋" w:cs="Arial"/>
          <w:color w:val="000000" w:themeColor="text1"/>
          <w:sz w:val="30"/>
          <w:szCs w:val="30"/>
          <w:lang w:eastAsia="zh-CN"/>
          <w14:textFill>
            <w14:solidFill>
              <w14:schemeClr w14:val="tx1"/>
            </w14:solidFill>
          </w14:textFill>
        </w:rPr>
        <w:t xml:space="preserve">2025-07-17 09:00:00 </w:t>
      </w:r>
      <w:bookmarkEnd w:id="8"/>
      <w:r>
        <w:rPr>
          <w:rFonts w:hint="eastAsia" w:hAnsi="宋体"/>
          <w:b/>
          <w:color w:val="000000" w:themeColor="text1"/>
          <w:kern w:val="0"/>
          <w:sz w:val="28"/>
          <w:szCs w:val="28"/>
          <w14:textFill>
            <w14:solidFill>
              <w14:schemeClr w14:val="tx1"/>
            </w14:solidFill>
          </w14:textFill>
        </w:rPr>
        <w:t>。</w:t>
      </w:r>
    </w:p>
    <w:p w14:paraId="12B5A7E8">
      <w:pPr>
        <w:pStyle w:val="31"/>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10F3A3E3">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1560A37B">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w:t>
      </w:r>
      <w:r>
        <w:rPr>
          <w:rFonts w:hint="eastAsia" w:ascii="宋体" w:hAnsi="宋体"/>
          <w:color w:val="000000" w:themeColor="text1"/>
          <w:kern w:val="0"/>
          <w:sz w:val="28"/>
          <w:szCs w:val="28"/>
          <w:lang w:val="en-US" w:eastAsia="zh-CN"/>
          <w14:textFill>
            <w14:solidFill>
              <w14:schemeClr w14:val="tx1"/>
            </w14:solidFill>
          </w14:textFill>
        </w:rPr>
        <w:t>0</w:t>
      </w:r>
      <w:r>
        <w:rPr>
          <w:rFonts w:ascii="宋体" w:hAnsi="宋体"/>
          <w:color w:val="000000" w:themeColor="text1"/>
          <w:kern w:val="0"/>
          <w:sz w:val="28"/>
          <w:szCs w:val="28"/>
          <w14:textFill>
            <w14:solidFill>
              <w14:schemeClr w14:val="tx1"/>
            </w14:solidFill>
          </w14:textFill>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17881BB4">
      <w:pPr>
        <w:pStyle w:val="31"/>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2D8DDBAA">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2A3838F7">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9" w:name="PO_15528_PM015_1"/>
      <w:r>
        <w:rPr>
          <w:rFonts w:hint="eastAsia" w:ascii="宋体" w:hAnsi="宋体" w:cs="Arial"/>
          <w:b/>
          <w:color w:val="000000" w:themeColor="text1"/>
          <w:sz w:val="28"/>
          <w:szCs w:val="28"/>
          <w:lang w:eastAsia="zh-CN"/>
          <w14:textFill>
            <w14:solidFill>
              <w14:schemeClr w14:val="tx1"/>
            </w14:solidFill>
          </w14:textFill>
        </w:rPr>
        <w:t>2025-07-17 09:00:00</w:t>
      </w:r>
      <w:bookmarkEnd w:id="9"/>
      <w:r>
        <w:rPr>
          <w:rFonts w:hint="eastAsia" w:ascii="宋体" w:hAnsi="宋体" w:cs="Arial"/>
          <w:b/>
          <w:color w:val="000000" w:themeColor="text1"/>
          <w:sz w:val="28"/>
          <w:szCs w:val="28"/>
          <w14:textFill>
            <w14:solidFill>
              <w14:schemeClr w14:val="tx1"/>
            </w14:solidFill>
          </w14:textFill>
        </w:rPr>
        <w:t>时整在</w:t>
      </w:r>
      <w:bookmarkStart w:id="10"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w:t>
      </w:r>
      <w:r>
        <w:rPr>
          <w:rFonts w:hint="eastAsia" w:ascii="宋体" w:hAnsi="宋体" w:cs="Arial"/>
          <w:b/>
          <w:color w:val="000000" w:themeColor="text1"/>
          <w:sz w:val="28"/>
          <w:szCs w:val="28"/>
          <w:lang w:val="en-US" w:eastAsia="zh-CN"/>
          <w14:textFill>
            <w14:solidFill>
              <w14:schemeClr w14:val="tx1"/>
            </w14:solidFill>
          </w14:textFill>
        </w:rPr>
        <w:t>301</w:t>
      </w:r>
      <w:r>
        <w:rPr>
          <w:rFonts w:hint="eastAsia" w:ascii="宋体" w:hAnsi="宋体" w:cs="Arial"/>
          <w:b/>
          <w:color w:val="000000" w:themeColor="text1"/>
          <w:sz w:val="28"/>
          <w:szCs w:val="28"/>
          <w:lang w:eastAsia="zh-CN"/>
          <w14:textFill>
            <w14:solidFill>
              <w14:schemeClr w14:val="tx1"/>
            </w14:solidFill>
          </w14:textFill>
        </w:rPr>
        <w:t>开标室</w:t>
      </w:r>
      <w:bookmarkEnd w:id="10"/>
      <w:r>
        <w:rPr>
          <w:rFonts w:hint="eastAsia" w:ascii="宋体" w:hAnsi="宋体" w:cs="Arial"/>
          <w:b/>
          <w:color w:val="000000" w:themeColor="text1"/>
          <w:sz w:val="28"/>
          <w:szCs w:val="28"/>
          <w14:textFill>
            <w14:solidFill>
              <w14:schemeClr w14:val="tx1"/>
            </w14:solidFill>
          </w14:textFill>
        </w:rPr>
        <w:t>开标。</w:t>
      </w:r>
    </w:p>
    <w:p w14:paraId="2CBD015A">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6"/>
        <w:gridCol w:w="3442"/>
      </w:tblGrid>
      <w:tr w14:paraId="4A77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6" w:type="dxa"/>
            <w:vMerge w:val="restart"/>
            <w:tcBorders>
              <w:top w:val="single" w:color="auto" w:sz="4" w:space="0"/>
              <w:left w:val="single" w:color="auto" w:sz="4" w:space="0"/>
              <w:right w:val="single" w:color="auto" w:sz="4" w:space="0"/>
            </w:tcBorders>
            <w:vAlign w:val="center"/>
          </w:tcPr>
          <w:p w14:paraId="540B4057">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3CF9BB72">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14:paraId="3FD1CECE">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r>
      <w:tr w14:paraId="1CBB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Merge w:val="continue"/>
            <w:tcBorders>
              <w:left w:val="single" w:color="auto" w:sz="4" w:space="0"/>
              <w:bottom w:val="single" w:color="auto" w:sz="4" w:space="0"/>
              <w:right w:val="single" w:color="auto" w:sz="4" w:space="0"/>
            </w:tcBorders>
            <w:vAlign w:val="center"/>
          </w:tcPr>
          <w:p w14:paraId="730B71C0">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71CF527D">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w:t>
            </w: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会议室：</w:t>
            </w:r>
          </w:p>
          <w:p w14:paraId="515E0D0B">
            <w:pPr>
              <w:adjustRightInd w:val="0"/>
              <w:snapToGrid w:val="0"/>
              <w:spacing w:line="360" w:lineRule="auto"/>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w:t>
            </w:r>
            <w:r>
              <w:rPr>
                <w:rFonts w:hint="eastAsia" w:ascii="宋体" w:hAnsi="宋体" w:cs="宋体"/>
                <w:color w:val="000000" w:themeColor="text1"/>
                <w:kern w:val="0"/>
                <w:sz w:val="28"/>
                <w:szCs w:val="28"/>
                <w:lang w:val="en-US" w:eastAsia="zh-CN"/>
                <w14:textFill>
                  <w14:solidFill>
                    <w14:schemeClr w14:val="tx1"/>
                  </w14:solidFill>
                </w14:textFill>
              </w:rPr>
              <w:t>19</w:t>
            </w:r>
          </w:p>
        </w:tc>
      </w:tr>
    </w:tbl>
    <w:p w14:paraId="5CC02651">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4765DDD1">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461EE3A6">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7BC4BD9D">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06C0F2F0">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49E8EB8B">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52E1E7D3">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20F6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7B94AC6">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637ABADD">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24D8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3982A370">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6C5EAA7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508B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78D5E247">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4E049A1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267D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0FB5F7FC">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676D0F74">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374C3EBD">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51505D42">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65834B0B">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30B1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4595A9A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7AD549C0">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1AF34E70">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1" w:name="PO_15528_PM032"/>
            <w:r>
              <w:rPr>
                <w:rFonts w:hint="eastAsia" w:ascii="仿宋" w:hAnsi="仿宋" w:eastAsia="仿宋" w:cs="仿宋"/>
                <w:color w:val="000000" w:themeColor="text1"/>
                <w:sz w:val="28"/>
                <w:szCs w:val="28"/>
                <w:lang w:eastAsia="zh-CN"/>
                <w14:textFill>
                  <w14:solidFill>
                    <w14:schemeClr w14:val="tx1"/>
                  </w14:solidFill>
                </w14:textFill>
              </w:rPr>
              <w:t>方岚</w:t>
            </w:r>
            <w:bookmarkEnd w:id="11"/>
          </w:p>
        </w:tc>
        <w:tc>
          <w:tcPr>
            <w:tcW w:w="2089" w:type="dxa"/>
            <w:tcBorders>
              <w:top w:val="single" w:color="auto" w:sz="4" w:space="0"/>
              <w:left w:val="single" w:color="auto" w:sz="4" w:space="0"/>
              <w:bottom w:val="single" w:color="auto" w:sz="4" w:space="0"/>
              <w:right w:val="single" w:color="auto" w:sz="4" w:space="0"/>
            </w:tcBorders>
            <w:vAlign w:val="center"/>
          </w:tcPr>
          <w:p w14:paraId="7A494049">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2" w:name="PO_15528_PM033"/>
            <w:r>
              <w:rPr>
                <w:rFonts w:hint="eastAsia" w:ascii="仿宋" w:hAnsi="仿宋" w:eastAsia="仿宋" w:cs="仿宋"/>
                <w:color w:val="000000" w:themeColor="text1"/>
                <w:sz w:val="28"/>
                <w:szCs w:val="28"/>
                <w:lang w:eastAsia="zh-CN"/>
                <w14:textFill>
                  <w14:solidFill>
                    <w14:schemeClr w14:val="tx1"/>
                  </w14:solidFill>
                </w14:textFill>
              </w:rPr>
              <w:t>0571-88907784</w:t>
            </w:r>
            <w:bookmarkEnd w:id="12"/>
          </w:p>
        </w:tc>
        <w:tc>
          <w:tcPr>
            <w:tcW w:w="2066" w:type="dxa"/>
            <w:tcBorders>
              <w:top w:val="single" w:color="auto" w:sz="4" w:space="0"/>
              <w:left w:val="single" w:color="auto" w:sz="4" w:space="0"/>
              <w:bottom w:val="single" w:color="auto" w:sz="4" w:space="0"/>
              <w:right w:val="single" w:color="auto" w:sz="4" w:space="0"/>
            </w:tcBorders>
            <w:vAlign w:val="center"/>
          </w:tcPr>
          <w:p w14:paraId="3CBA2F3D">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3" w:name="PO_15528_PM034"/>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3"/>
          </w:p>
        </w:tc>
        <w:tc>
          <w:tcPr>
            <w:tcW w:w="2645" w:type="dxa"/>
            <w:vMerge w:val="restart"/>
            <w:tcBorders>
              <w:top w:val="single" w:color="auto" w:sz="4" w:space="0"/>
              <w:left w:val="single" w:color="auto" w:sz="4" w:space="0"/>
              <w:bottom w:val="single" w:color="auto" w:sz="4" w:space="0"/>
              <w:right w:val="single" w:color="auto" w:sz="4" w:space="0"/>
            </w:tcBorders>
          </w:tcPr>
          <w:p w14:paraId="0B267388">
            <w:pPr>
              <w:spacing w:line="48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4" w:name="PO_409_PM001385"/>
            <w:r>
              <w:rPr>
                <w:rFonts w:hint="eastAsia" w:ascii="仿宋" w:hAnsi="仿宋" w:eastAsia="仿宋" w:cs="仿宋"/>
                <w:color w:val="000000" w:themeColor="text1"/>
                <w:sz w:val="28"/>
                <w:szCs w:val="28"/>
                <w:lang w:eastAsia="zh-CN"/>
                <w14:textFill>
                  <w14:solidFill>
                    <w14:schemeClr w14:val="tx1"/>
                  </w14:solidFill>
                </w14:textFill>
              </w:rPr>
              <w:t>采购二部</w:t>
            </w:r>
            <w:bookmarkEnd w:id="14"/>
          </w:p>
        </w:tc>
      </w:tr>
      <w:tr w14:paraId="2801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986" w:type="dxa"/>
            <w:tcBorders>
              <w:top w:val="single" w:color="auto" w:sz="4" w:space="0"/>
              <w:left w:val="single" w:color="auto" w:sz="4" w:space="0"/>
              <w:bottom w:val="single" w:color="auto" w:sz="4" w:space="0"/>
              <w:right w:val="single" w:color="auto" w:sz="4" w:space="0"/>
            </w:tcBorders>
            <w:vAlign w:val="center"/>
          </w:tcPr>
          <w:p w14:paraId="3034681B">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5DCB3A4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1026B4FD">
            <w:pPr>
              <w:spacing w:line="480" w:lineRule="exact"/>
              <w:jc w:val="center"/>
              <w:rPr>
                <w:rFonts w:ascii="仿宋" w:hAnsi="仿宋" w:eastAsia="仿宋" w:cs="仿宋"/>
                <w:kern w:val="2"/>
                <w:sz w:val="28"/>
                <w:szCs w:val="28"/>
                <w:lang w:val="en-US" w:eastAsia="zh-CN" w:bidi="ar-SA"/>
              </w:rPr>
            </w:pPr>
            <w:r>
              <w:rPr>
                <w:rFonts w:hint="eastAsia" w:ascii="仿宋" w:hAnsi="仿宋" w:eastAsia="仿宋" w:cs="仿宋"/>
                <w:sz w:val="28"/>
                <w:szCs w:val="28"/>
              </w:rPr>
              <w:t>孙松丽</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38B10A3B">
            <w:pPr>
              <w:spacing w:line="480" w:lineRule="exact"/>
              <w:jc w:val="center"/>
              <w:rPr>
                <w:rFonts w:ascii="仿宋" w:hAnsi="仿宋" w:eastAsia="仿宋" w:cs="仿宋"/>
                <w:kern w:val="2"/>
                <w:sz w:val="28"/>
                <w:szCs w:val="28"/>
                <w:lang w:val="en-US" w:eastAsia="zh-CN" w:bidi="ar-SA"/>
              </w:rPr>
            </w:pPr>
            <w:r>
              <w:rPr>
                <w:rFonts w:hint="eastAsia" w:ascii="仿宋" w:hAnsi="仿宋" w:eastAsia="仿宋" w:cs="仿宋"/>
                <w:sz w:val="28"/>
                <w:szCs w:val="28"/>
              </w:rPr>
              <w:t>0571-88906928</w:t>
            </w:r>
          </w:p>
        </w:tc>
        <w:tc>
          <w:tcPr>
            <w:tcW w:w="2066" w:type="dxa"/>
            <w:tcBorders>
              <w:top w:val="single" w:color="auto" w:sz="4" w:space="0"/>
              <w:left w:val="single" w:color="auto" w:sz="4" w:space="0"/>
              <w:bottom w:val="single" w:color="auto" w:sz="4" w:space="0"/>
              <w:right w:val="single" w:color="auto" w:sz="4" w:space="0"/>
            </w:tcBorders>
            <w:vAlign w:val="center"/>
          </w:tcPr>
          <w:p w14:paraId="407A55C8">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3A17742E">
            <w:pPr>
              <w:widowControl/>
              <w:jc w:val="left"/>
              <w:rPr>
                <w:rFonts w:ascii="仿宋" w:hAnsi="仿宋" w:eastAsia="仿宋" w:cs="仿宋"/>
                <w:color w:val="000000" w:themeColor="text1"/>
                <w:sz w:val="28"/>
                <w:szCs w:val="28"/>
                <w14:textFill>
                  <w14:solidFill>
                    <w14:schemeClr w14:val="tx1"/>
                  </w14:solidFill>
                </w14:textFill>
              </w:rPr>
            </w:pPr>
          </w:p>
        </w:tc>
      </w:tr>
      <w:tr w14:paraId="3A3E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C888A10">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513AB458">
            <w:pPr>
              <w:spacing w:line="480" w:lineRule="exact"/>
              <w:jc w:val="center"/>
              <w:rPr>
                <w:rFonts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邵</w:t>
            </w:r>
            <w:r>
              <w:rPr>
                <w:rFonts w:hint="eastAsia" w:ascii="仿宋" w:hAnsi="仿宋" w:eastAsia="仿宋" w:cs="仿宋"/>
                <w:sz w:val="28"/>
                <w:szCs w:val="28"/>
              </w:rPr>
              <w:t>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042726D0">
            <w:pPr>
              <w:spacing w:line="480" w:lineRule="exact"/>
              <w:jc w:val="center"/>
              <w:rPr>
                <w:rFonts w:hint="default" w:ascii="仿宋" w:hAnsi="仿宋" w:eastAsia="仿宋" w:cs="仿宋"/>
                <w:kern w:val="2"/>
                <w:sz w:val="28"/>
                <w:szCs w:val="28"/>
                <w:lang w:val="en-US" w:eastAsia="zh-CN" w:bidi="ar-SA"/>
              </w:rPr>
            </w:pPr>
            <w:r>
              <w:rPr>
                <w:rFonts w:hint="eastAsia" w:ascii="仿宋" w:hAnsi="仿宋" w:eastAsia="仿宋" w:cs="仿宋"/>
                <w:sz w:val="28"/>
                <w:szCs w:val="28"/>
              </w:rPr>
              <w:t>0571-8890</w:t>
            </w:r>
            <w:r>
              <w:rPr>
                <w:rFonts w:hint="eastAsia" w:ascii="仿宋" w:hAnsi="仿宋" w:eastAsia="仿宋" w:cs="仿宋"/>
                <w:sz w:val="28"/>
                <w:szCs w:val="28"/>
                <w:lang w:val="en-US" w:eastAsia="zh-CN"/>
              </w:rPr>
              <w:t>7750</w:t>
            </w:r>
          </w:p>
        </w:tc>
        <w:tc>
          <w:tcPr>
            <w:tcW w:w="2066" w:type="dxa"/>
            <w:tcBorders>
              <w:top w:val="single" w:color="auto" w:sz="4" w:space="0"/>
              <w:left w:val="single" w:color="auto" w:sz="4" w:space="0"/>
              <w:bottom w:val="single" w:color="auto" w:sz="4" w:space="0"/>
              <w:right w:val="single" w:color="auto" w:sz="4" w:space="0"/>
            </w:tcBorders>
            <w:vAlign w:val="center"/>
          </w:tcPr>
          <w:p w14:paraId="60F692C6">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6A3CE19D">
            <w:pPr>
              <w:widowControl/>
              <w:jc w:val="left"/>
              <w:rPr>
                <w:rFonts w:ascii="仿宋" w:hAnsi="仿宋" w:eastAsia="仿宋" w:cs="仿宋"/>
                <w:color w:val="000000" w:themeColor="text1"/>
                <w:sz w:val="28"/>
                <w:szCs w:val="28"/>
                <w14:textFill>
                  <w14:solidFill>
                    <w14:schemeClr w14:val="tx1"/>
                  </w14:solidFill>
                </w14:textFill>
              </w:rPr>
            </w:pPr>
          </w:p>
        </w:tc>
      </w:tr>
      <w:tr w14:paraId="7E7F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E51C1D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5692ED0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w:t>
            </w:r>
            <w:r>
              <w:rPr>
                <w:rFonts w:hint="eastAsia" w:ascii="仿宋" w:hAnsi="仿宋" w:eastAsia="仿宋" w:cs="仿宋"/>
                <w:color w:val="000000" w:themeColor="text1"/>
                <w:sz w:val="28"/>
                <w:szCs w:val="28"/>
                <w:lang w:eastAsia="zh-CN"/>
                <w14:textFill>
                  <w14:solidFill>
                    <w14:schemeClr w14:val="tx1"/>
                  </w14:solidFill>
                </w14:textFill>
              </w:rPr>
              <w:t>哲</w:t>
            </w:r>
          </w:p>
        </w:tc>
        <w:tc>
          <w:tcPr>
            <w:tcW w:w="2089" w:type="dxa"/>
            <w:tcBorders>
              <w:top w:val="single" w:color="auto" w:sz="4" w:space="0"/>
              <w:left w:val="single" w:color="auto" w:sz="4" w:space="0"/>
              <w:bottom w:val="single" w:color="auto" w:sz="4" w:space="0"/>
              <w:right w:val="single" w:color="auto" w:sz="4" w:space="0"/>
            </w:tcBorders>
            <w:vAlign w:val="center"/>
          </w:tcPr>
          <w:p w14:paraId="137260B0">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w:t>
            </w:r>
            <w:r>
              <w:rPr>
                <w:rFonts w:hint="eastAsia" w:ascii="仿宋" w:hAnsi="仿宋" w:eastAsia="仿宋" w:cs="仿宋"/>
                <w:color w:val="000000" w:themeColor="text1"/>
                <w:sz w:val="28"/>
                <w:szCs w:val="28"/>
                <w:lang w:val="en-US" w:eastAsia="zh-CN"/>
                <w14:textFill>
                  <w14:solidFill>
                    <w14:schemeClr w14:val="tx1"/>
                  </w14:solidFill>
                </w14:textFill>
              </w:rPr>
              <w:t>07</w:t>
            </w:r>
          </w:p>
        </w:tc>
        <w:tc>
          <w:tcPr>
            <w:tcW w:w="2066" w:type="dxa"/>
            <w:tcBorders>
              <w:top w:val="single" w:color="auto" w:sz="4" w:space="0"/>
              <w:left w:val="single" w:color="auto" w:sz="4" w:space="0"/>
              <w:bottom w:val="single" w:color="auto" w:sz="4" w:space="0"/>
              <w:right w:val="single" w:color="auto" w:sz="4" w:space="0"/>
            </w:tcBorders>
            <w:vAlign w:val="center"/>
          </w:tcPr>
          <w:p w14:paraId="1A697BE0">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271FA86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58E9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7737726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6E96E377">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5B46A4CD">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679522E6">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1DFF5271">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2D7BCCFF">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25C72D96">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tbl>
      <w:tblPr>
        <w:tblStyle w:val="6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4F16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468486E3">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5" w:name="PO_TDCUS_ITEM_PRC_TABLE_1_1_2"/>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4643" w:type="dxa"/>
          </w:tcPr>
          <w:p w14:paraId="45927AAC">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浙江理工大学</w:t>
            </w:r>
          </w:p>
        </w:tc>
      </w:tr>
      <w:tr w14:paraId="24D0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15176FF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4643" w:type="dxa"/>
          </w:tcPr>
          <w:p w14:paraId="5326A684">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杭州市钱塘区2号大街928号</w:t>
            </w:r>
          </w:p>
        </w:tc>
      </w:tr>
      <w:tr w14:paraId="74CE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6FCB317C">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4643" w:type="dxa"/>
          </w:tcPr>
          <w:p w14:paraId="779527F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46F2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45D7572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4643" w:type="dxa"/>
          </w:tcPr>
          <w:p w14:paraId="70FE729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密老师</w:t>
            </w:r>
          </w:p>
        </w:tc>
      </w:tr>
      <w:tr w14:paraId="386B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7C321D63">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4643" w:type="dxa"/>
          </w:tcPr>
          <w:p w14:paraId="61CD3FC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0571-86849185</w:t>
            </w:r>
          </w:p>
        </w:tc>
      </w:tr>
      <w:tr w14:paraId="38A0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04094D0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4643" w:type="dxa"/>
          </w:tcPr>
          <w:p w14:paraId="1CA60AF7">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14:paraId="1E0E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6D883FC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4643" w:type="dxa"/>
          </w:tcPr>
          <w:p w14:paraId="5B6114D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bookmarkEnd w:id="15"/>
    </w:tbl>
    <w:p w14:paraId="41CDDD2B">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p>
    <w:p w14:paraId="79DF8320">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7ED9587F">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29A17DB6">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14E59D2F">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联系人：匡老师</w:t>
      </w:r>
    </w:p>
    <w:p w14:paraId="43CDF5F4">
      <w:pPr>
        <w:jc w:val="both"/>
        <w:rPr>
          <w:rFonts w:hint="eastAsia" w:ascii="仿宋" w:hAnsi="仿宋" w:eastAsia="仿宋" w:cs="仿宋"/>
          <w:kern w:val="0"/>
          <w:sz w:val="30"/>
          <w:szCs w:val="30"/>
        </w:rPr>
      </w:pPr>
      <w:r>
        <w:rPr>
          <w:rFonts w:hint="eastAsia" w:ascii="仿宋" w:hAnsi="仿宋" w:eastAsia="仿宋"/>
          <w:sz w:val="30"/>
          <w:szCs w:val="30"/>
        </w:rPr>
        <w:t>监督投诉电话：0571-87807798</w:t>
      </w:r>
    </w:p>
    <w:p w14:paraId="58E51FD2">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6C479655">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6" w:name="_Toc29498"/>
      <w:bookmarkStart w:id="17" w:name="_Toc496796636"/>
      <w:r>
        <w:rPr>
          <w:rFonts w:hint="eastAsia" w:ascii="仿宋" w:hAnsi="仿宋" w:eastAsia="仿宋"/>
          <w:b/>
          <w:color w:val="000000" w:themeColor="text1"/>
          <w:sz w:val="36"/>
          <w:szCs w:val="36"/>
          <w14:textFill>
            <w14:solidFill>
              <w14:schemeClr w14:val="tx1"/>
            </w14:solidFill>
          </w14:textFill>
        </w:rPr>
        <w:t>第二章</w:t>
      </w:r>
      <w:bookmarkStart w:id="18" w:name="投标人须知"/>
      <w:r>
        <w:rPr>
          <w:rFonts w:hint="eastAsia" w:ascii="仿宋" w:hAnsi="仿宋" w:eastAsia="仿宋"/>
          <w:b/>
          <w:color w:val="000000" w:themeColor="text1"/>
          <w:sz w:val="36"/>
          <w:szCs w:val="36"/>
          <w14:textFill>
            <w14:solidFill>
              <w14:schemeClr w14:val="tx1"/>
            </w14:solidFill>
          </w14:textFill>
        </w:rPr>
        <w:t>投标人须知</w:t>
      </w:r>
      <w:bookmarkEnd w:id="16"/>
      <w:bookmarkEnd w:id="17"/>
      <w:bookmarkEnd w:id="18"/>
    </w:p>
    <w:p w14:paraId="5B5FE090">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61325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4C26323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8" w:type="dxa"/>
            <w:tcBorders>
              <w:top w:val="single" w:color="auto" w:sz="4" w:space="0"/>
              <w:left w:val="single" w:color="auto" w:sz="4" w:space="0"/>
              <w:bottom w:val="single" w:color="auto" w:sz="4" w:space="0"/>
              <w:right w:val="single" w:color="auto" w:sz="4" w:space="0"/>
            </w:tcBorders>
            <w:vAlign w:val="center"/>
          </w:tcPr>
          <w:p w14:paraId="2A1CB13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68" w:type="dxa"/>
            <w:tcBorders>
              <w:top w:val="single" w:color="auto" w:sz="4" w:space="0"/>
              <w:left w:val="single" w:color="auto" w:sz="4" w:space="0"/>
              <w:bottom w:val="single" w:color="auto" w:sz="4" w:space="0"/>
              <w:right w:val="single" w:color="auto" w:sz="4" w:space="0"/>
            </w:tcBorders>
            <w:vAlign w:val="center"/>
          </w:tcPr>
          <w:p w14:paraId="1AE3B2C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551A4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65B26A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8" w:type="dxa"/>
            <w:tcBorders>
              <w:top w:val="single" w:color="auto" w:sz="4" w:space="0"/>
              <w:left w:val="single" w:color="auto" w:sz="4" w:space="0"/>
              <w:bottom w:val="single" w:color="auto" w:sz="4" w:space="0"/>
              <w:right w:val="single" w:color="auto" w:sz="4" w:space="0"/>
            </w:tcBorders>
            <w:vAlign w:val="center"/>
          </w:tcPr>
          <w:p w14:paraId="6857D19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14:paraId="1F652B6C">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467E7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955264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7D5AEA3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14:paraId="1954DD3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重大税收违法失信主体名单）、政府采购严重违法失信行为记录名单的供应商，其投标将作无效标处理。</w:t>
            </w:r>
          </w:p>
        </w:tc>
      </w:tr>
      <w:tr w14:paraId="39554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A3586B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5C4CA9D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14:paraId="0ACD4D9B">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6A46D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6D5E08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2A5217A8">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14:paraId="249A1D88">
            <w:pPr>
              <w:pStyle w:val="183"/>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项目属性（服务类）</w:t>
            </w:r>
          </w:p>
          <w:p w14:paraId="121AA20C">
            <w:pPr>
              <w:pStyle w:val="183"/>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2292581E">
            <w:pPr>
              <w:snapToGrid w:val="0"/>
              <w:spacing w:line="460" w:lineRule="exact"/>
              <w:ind w:left="600"/>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         ，所属行业：</w:t>
            </w:r>
            <w:r>
              <w:rPr>
                <w:rFonts w:hint="eastAsia" w:ascii="仿宋" w:hAnsi="仿宋" w:eastAsia="仿宋"/>
                <w:b/>
                <w:color w:val="000000" w:themeColor="text1"/>
                <w:sz w:val="24"/>
                <w:szCs w:val="24"/>
                <w:lang w:val="en-US" w:eastAsia="zh-CN"/>
                <w14:textFill>
                  <w14:solidFill>
                    <w14:schemeClr w14:val="tx1"/>
                  </w14:solidFill>
                </w14:textFill>
              </w:rPr>
              <w:t>物业管理</w:t>
            </w:r>
          </w:p>
          <w:p w14:paraId="3388C908">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10%</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（10%-20%）（工程项目为</w:t>
            </w:r>
            <w:r>
              <w:rPr>
                <w:rFonts w:hint="eastAsia" w:ascii="仿宋" w:hAnsi="仿宋" w:eastAsia="仿宋"/>
                <w:b/>
                <w:color w:val="000000" w:themeColor="text1"/>
                <w:sz w:val="24"/>
                <w:szCs w:val="24"/>
                <w:u w:val="single"/>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4675EF45">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lang w:val="en-US" w:eastAsia="zh-CN"/>
                <w14:textFill>
                  <w14:solidFill>
                    <w14:schemeClr w14:val="tx1"/>
                  </w14:solidFill>
                </w14:textFill>
              </w:rPr>
              <w:t>4%</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(4%-6%)（工程项目为</w:t>
            </w:r>
            <w:r>
              <w:rPr>
                <w:rFonts w:hint="eastAsia" w:ascii="仿宋" w:hAnsi="仿宋" w:eastAsia="仿宋"/>
                <w:b/>
                <w:color w:val="000000" w:themeColor="text1"/>
                <w:sz w:val="24"/>
                <w:szCs w:val="24"/>
                <w:u w:val="single"/>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0EE50E7E">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11034579">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44DFC150">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7F4C48EC">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4838B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9EF0DF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7F2E077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14:paraId="0C74DC0B">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1D5F350">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053FC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08324E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693A3D66">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68" w:type="dxa"/>
            <w:tcBorders>
              <w:top w:val="single" w:color="auto" w:sz="4" w:space="0"/>
              <w:left w:val="single" w:color="auto" w:sz="4" w:space="0"/>
              <w:bottom w:val="single" w:color="auto" w:sz="4" w:space="0"/>
              <w:right w:val="single" w:color="auto" w:sz="4" w:space="0"/>
            </w:tcBorders>
            <w:vAlign w:val="center"/>
          </w:tcPr>
          <w:p w14:paraId="6FFD5E97">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0ED76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02A7F7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7A412D60">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68" w:type="dxa"/>
            <w:tcBorders>
              <w:top w:val="single" w:color="auto" w:sz="4" w:space="0"/>
              <w:left w:val="single" w:color="auto" w:sz="4" w:space="0"/>
              <w:bottom w:val="single" w:color="auto" w:sz="4" w:space="0"/>
              <w:right w:val="single" w:color="auto" w:sz="4" w:space="0"/>
            </w:tcBorders>
            <w:vAlign w:val="center"/>
          </w:tcPr>
          <w:p w14:paraId="21068538">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7B357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2F0E7F9">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423A70C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p>
        </w:tc>
        <w:tc>
          <w:tcPr>
            <w:tcW w:w="7368" w:type="dxa"/>
            <w:tcBorders>
              <w:top w:val="single" w:color="auto" w:sz="4" w:space="0"/>
              <w:left w:val="single" w:color="auto" w:sz="4" w:space="0"/>
              <w:bottom w:val="single" w:color="auto" w:sz="4" w:space="0"/>
              <w:right w:val="single" w:color="auto" w:sz="4" w:space="0"/>
            </w:tcBorders>
            <w:vAlign w:val="center"/>
          </w:tcPr>
          <w:p w14:paraId="35A83D03">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r>
              <w:rPr>
                <w:rFonts w:ascii="仿宋" w:hAnsi="仿宋" w:eastAsia="仿宋"/>
                <w:color w:val="000000" w:themeColor="text1"/>
                <w:sz w:val="24"/>
                <w:szCs w:val="24"/>
                <w14:textFill>
                  <w14:solidFill>
                    <w14:schemeClr w14:val="tx1"/>
                  </w14:solidFill>
                </w14:textFill>
              </w:rPr>
              <w:t>。</w:t>
            </w:r>
          </w:p>
        </w:tc>
      </w:tr>
      <w:tr w14:paraId="1A5AF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FA8D02A">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1359C54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14:paraId="537F66B0">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不允许进口产品</w:t>
            </w:r>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4BC9B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F50570B">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8" w:type="dxa"/>
            <w:tcBorders>
              <w:top w:val="single" w:color="auto" w:sz="4" w:space="0"/>
              <w:left w:val="single" w:color="auto" w:sz="4" w:space="0"/>
              <w:bottom w:val="single" w:color="auto" w:sz="4" w:space="0"/>
              <w:right w:val="single" w:color="auto" w:sz="4" w:space="0"/>
            </w:tcBorders>
            <w:vAlign w:val="center"/>
          </w:tcPr>
          <w:p w14:paraId="5A9A69D8">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68" w:type="dxa"/>
            <w:tcBorders>
              <w:top w:val="single" w:color="auto" w:sz="4" w:space="0"/>
              <w:left w:val="single" w:color="auto" w:sz="4" w:space="0"/>
              <w:bottom w:val="single" w:color="auto" w:sz="4" w:space="0"/>
              <w:right w:val="single" w:color="auto" w:sz="4" w:space="0"/>
            </w:tcBorders>
            <w:vAlign w:val="center"/>
          </w:tcPr>
          <w:p w14:paraId="3498DF74">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00D3A0DD">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19"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19"/>
            <w:r>
              <w:rPr>
                <w:rFonts w:hint="eastAsia" w:ascii="仿宋_GB2312" w:hAnsi="仿宋" w:eastAsia="仿宋_GB2312"/>
                <w:bCs/>
                <w:color w:val="000000" w:themeColor="text1"/>
                <w:sz w:val="24"/>
                <w14:textFill>
                  <w14:solidFill>
                    <w14:schemeClr w14:val="tx1"/>
                  </w14:solidFill>
                </w14:textFill>
              </w:rPr>
              <w:t>；非主体、非关键性工作</w:t>
            </w:r>
            <w:r>
              <w:rPr>
                <w:rFonts w:hint="eastAsia" w:ascii="仿宋_GB2312" w:hAnsi="仿宋" w:eastAsia="仿宋_GB2312"/>
                <w:bCs/>
                <w:color w:val="000000" w:themeColor="text1"/>
                <w:sz w:val="24"/>
                <w:lang w:eastAsia="zh-CN"/>
                <w14:textFill>
                  <w14:solidFill>
                    <w14:schemeClr w14:val="tx1"/>
                  </w14:solidFill>
                </w14:textFill>
              </w:rPr>
              <w:t>【</w:t>
            </w:r>
            <w:r>
              <w:rPr>
                <w:rFonts w:hint="eastAsia" w:ascii="仿宋_GB2312" w:hAnsi="仿宋" w:eastAsia="仿宋_GB2312"/>
                <w:bCs/>
                <w:color w:val="000000" w:themeColor="text1"/>
                <w:sz w:val="24"/>
                <w:lang w:val="en-US" w:eastAsia="zh-CN"/>
                <w14:textFill>
                  <w14:solidFill>
                    <w14:schemeClr w14:val="tx1"/>
                  </w14:solidFill>
                </w14:textFill>
              </w:rPr>
              <w:t>具体内容、金额或比例】</w:t>
            </w:r>
            <w:r>
              <w:rPr>
                <w:rFonts w:hint="eastAsia" w:ascii="仿宋_GB2312" w:hAnsi="仿宋" w:eastAsia="仿宋_GB2312"/>
                <w:bCs/>
                <w:color w:val="000000" w:themeColor="text1"/>
                <w:sz w:val="24"/>
                <w14:textFill>
                  <w14:solidFill>
                    <w14:schemeClr w14:val="tx1"/>
                  </w14:solidFill>
                </w14:textFill>
              </w:rPr>
              <w:t>允许分包。</w:t>
            </w:r>
          </w:p>
          <w:p w14:paraId="73293E4F">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1E7C8986">
            <w:pPr>
              <w:spacing w:line="500" w:lineRule="exact"/>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r>
              <w:rPr>
                <w:rFonts w:hint="eastAsia" w:ascii="仿宋_GB2312" w:hAnsi="仿宋" w:eastAsia="仿宋_GB2312"/>
                <w:bCs/>
                <w:color w:val="000000" w:themeColor="text1"/>
                <w:sz w:val="24"/>
                <w:lang w:eastAsia="zh-CN"/>
                <w14:textFill>
                  <w14:solidFill>
                    <w14:schemeClr w14:val="tx1"/>
                  </w14:solidFill>
                </w14:textFill>
              </w:rPr>
              <w:t>。</w:t>
            </w:r>
          </w:p>
          <w:p w14:paraId="1AE67ABF">
            <w:pPr>
              <w:spacing w:line="500" w:lineRule="exact"/>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▲注：不得在允许分包的范围之外进行分包。</w:t>
            </w:r>
          </w:p>
        </w:tc>
      </w:tr>
      <w:tr w14:paraId="08C7A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A06ACD0">
            <w:pPr>
              <w:spacing w:line="500" w:lineRule="exact"/>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11</w:t>
            </w:r>
          </w:p>
        </w:tc>
        <w:tc>
          <w:tcPr>
            <w:tcW w:w="1558" w:type="dxa"/>
            <w:tcBorders>
              <w:top w:val="single" w:color="auto" w:sz="4" w:space="0"/>
              <w:left w:val="single" w:color="auto" w:sz="4" w:space="0"/>
              <w:bottom w:val="single" w:color="auto" w:sz="4" w:space="0"/>
              <w:right w:val="single" w:color="auto" w:sz="4" w:space="0"/>
            </w:tcBorders>
            <w:vAlign w:val="center"/>
          </w:tcPr>
          <w:p w14:paraId="6DD3852B">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14:paraId="22A7382F">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允许。</w:t>
            </w:r>
          </w:p>
        </w:tc>
      </w:tr>
      <w:tr w14:paraId="42D2A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51D4F71">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14E7FAFD">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cs="Times New Roman"/>
                <w:b w:val="0"/>
                <w:bCs/>
                <w:color w:val="000000" w:themeColor="text1"/>
                <w:sz w:val="24"/>
                <w:szCs w:val="22"/>
                <w14:textFill>
                  <w14:solidFill>
                    <w14:schemeClr w14:val="tx1"/>
                  </w14:solidFill>
                </w14:textFill>
              </w:rPr>
              <w:t>联合体</w:t>
            </w:r>
            <w:r>
              <w:rPr>
                <w:rFonts w:hint="eastAsia" w:ascii="仿宋_GB2312" w:hAnsi="仿宋" w:eastAsia="仿宋_GB2312" w:cs="Times New Roman"/>
                <w:b w:val="0"/>
                <w:bCs/>
                <w:color w:val="000000" w:themeColor="text1"/>
                <w:sz w:val="24"/>
                <w:szCs w:val="22"/>
                <w:lang w:val="en-US" w:eastAsia="zh-CN"/>
                <w14:textFill>
                  <w14:solidFill>
                    <w14:schemeClr w14:val="tx1"/>
                  </w14:solidFill>
                </w14:textFill>
              </w:rPr>
              <w:t>商务和技术证明材料</w:t>
            </w:r>
            <w:r>
              <w:rPr>
                <w:rFonts w:hint="eastAsia" w:ascii="仿宋_GB2312" w:hAnsi="仿宋" w:eastAsia="仿宋_GB2312" w:cs="Times New Roman"/>
                <w:b w:val="0"/>
                <w:bCs/>
                <w:color w:val="000000" w:themeColor="text1"/>
                <w:sz w:val="24"/>
                <w:szCs w:val="22"/>
                <w14:textFill>
                  <w14:solidFill>
                    <w14:schemeClr w14:val="tx1"/>
                  </w14:solidFill>
                </w14:textFill>
              </w:rPr>
              <w:t>认定</w:t>
            </w:r>
          </w:p>
        </w:tc>
        <w:tc>
          <w:tcPr>
            <w:tcW w:w="7368" w:type="dxa"/>
            <w:tcBorders>
              <w:top w:val="single" w:color="auto" w:sz="4" w:space="0"/>
              <w:left w:val="single" w:color="auto" w:sz="4" w:space="0"/>
              <w:bottom w:val="single" w:color="auto" w:sz="4" w:space="0"/>
              <w:right w:val="single" w:color="auto" w:sz="4" w:space="0"/>
            </w:tcBorders>
            <w:vAlign w:val="center"/>
          </w:tcPr>
          <w:p w14:paraId="5ADDA5B5">
            <w:pPr>
              <w:keepNext w:val="0"/>
              <w:keepLines w:val="0"/>
              <w:pageBreakBefore w:val="0"/>
              <w:widowControl/>
              <w:kinsoku/>
              <w:wordWrap/>
              <w:overflowPunct/>
              <w:topLinePunct w:val="0"/>
              <w:bidi w:val="0"/>
              <w:adjustRightInd/>
              <w:snapToGrid/>
              <w:spacing w:line="500" w:lineRule="exact"/>
              <w:jc w:val="left"/>
              <w:textAlignment w:val="auto"/>
              <w:rPr>
                <w:rFonts w:hint="eastAsia" w:ascii="仿宋" w:hAnsi="仿宋" w:eastAsia="仿宋" w:cs="Times New Roman"/>
                <w:b w:val="0"/>
                <w:bCs w:val="0"/>
                <w:color w:val="000000" w:themeColor="text1"/>
                <w:sz w:val="24"/>
                <w:szCs w:val="24"/>
                <w:u w:val="none"/>
                <w14:textFill>
                  <w14:solidFill>
                    <w14:schemeClr w14:val="tx1"/>
                  </w14:solidFill>
                </w14:textFill>
              </w:rPr>
            </w:pP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1</w:t>
            </w: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14:textFill>
                  <w14:solidFill>
                    <w14:schemeClr w14:val="tx1"/>
                  </w14:solidFill>
                </w14:textFill>
              </w:rPr>
              <w:t>联合体业绩认定</w:t>
            </w: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14:textFill>
                  <w14:solidFill>
                    <w14:schemeClr w14:val="tx1"/>
                  </w14:solidFill>
                </w14:textFill>
              </w:rPr>
              <w:t>联合体投标的，联合体各方分别提供与联合体协议中规定的分工内容相应的业绩证明材料，业绩数量以提供材料较少的一方为准。</w:t>
            </w:r>
          </w:p>
          <w:p w14:paraId="44CEC2BA">
            <w:pPr>
              <w:keepNext w:val="0"/>
              <w:keepLines w:val="0"/>
              <w:pageBreakBefore w:val="0"/>
              <w:widowControl/>
              <w:kinsoku/>
              <w:wordWrap/>
              <w:overflowPunct/>
              <w:topLinePunct w:val="0"/>
              <w:bidi w:val="0"/>
              <w:adjustRightInd/>
              <w:snapToGrid/>
              <w:spacing w:line="500" w:lineRule="exact"/>
              <w:jc w:val="left"/>
              <w:textAlignment w:val="auto"/>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pP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2</w:t>
            </w: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联合体商务和技术</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证明</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材料认定：</w:t>
            </w:r>
          </w:p>
          <w:p w14:paraId="01FAF983">
            <w:pPr>
              <w:keepNext w:val="0"/>
              <w:keepLines w:val="0"/>
              <w:pageBreakBefore w:val="0"/>
              <w:widowControl/>
              <w:kinsoku/>
              <w:wordWrap/>
              <w:overflowPunct/>
              <w:topLinePunct w:val="0"/>
              <w:bidi w:val="0"/>
              <w:adjustRightInd/>
              <w:snapToGrid/>
              <w:spacing w:line="500" w:lineRule="exact"/>
              <w:ind w:left="0" w:leftChars="0" w:firstLine="0" w:firstLineChars="0"/>
              <w:jc w:val="left"/>
              <w:textAlignment w:val="auto"/>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pP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联合体投标的，联合体各方均需按招标文件</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“第三章评标办法及评分标准”</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要求提供</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商务和技术</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证明</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材料</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，否则视为不符合相关要求。</w:t>
            </w:r>
          </w:p>
          <w:p w14:paraId="411B2770">
            <w:pPr>
              <w:keepNext w:val="0"/>
              <w:keepLines w:val="0"/>
              <w:pageBreakBefore w:val="0"/>
              <w:widowControl/>
              <w:kinsoku/>
              <w:wordWrap/>
              <w:overflowPunct/>
              <w:topLinePunct w:val="0"/>
              <w:bidi w:val="0"/>
              <w:adjustRightInd/>
              <w:snapToGrid/>
              <w:spacing w:line="500" w:lineRule="exact"/>
              <w:ind w:left="0" w:leftChars="0" w:firstLine="0" w:firstLineChars="0"/>
              <w:jc w:val="left"/>
              <w:textAlignment w:val="auto"/>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pP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联合体投标的，联合体中有一方或者联合体成员根据分工按招标文件</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“第三章评标办法及评分标准”</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要求提供了</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商务和技术</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证明</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材料</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的，视为符合了相关要求。</w:t>
            </w:r>
          </w:p>
          <w:p w14:paraId="65C6BB5C">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注：“</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第三章评标办法及评分标准”</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有其他约定的，以“</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第三章评标办法及评分标准”</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为准。</w:t>
            </w:r>
          </w:p>
        </w:tc>
      </w:tr>
      <w:tr w14:paraId="502A7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0F0D3C20">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6096829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14:paraId="2920E6D3">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不组织现场踏勘</w:t>
            </w:r>
            <w:r>
              <w:rPr>
                <w:rFonts w:hint="eastAsia" w:ascii="仿宋" w:hAnsi="仿宋" w:eastAsia="仿宋"/>
                <w:color w:val="000000" w:themeColor="text1"/>
                <w:sz w:val="24"/>
                <w:szCs w:val="24"/>
                <w14:textFill>
                  <w14:solidFill>
                    <w14:schemeClr w14:val="tx1"/>
                  </w14:solidFill>
                </w14:textFill>
              </w:rPr>
              <w:t>。</w:t>
            </w:r>
          </w:p>
        </w:tc>
      </w:tr>
      <w:tr w14:paraId="00E54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2D1DB979">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40AB791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14:paraId="20056C72">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不进行演示</w:t>
            </w:r>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如是, 演示顺序原则上按投标文件“解密时间从早到晚”顺序，演示要求详见招标需求。</w:t>
            </w:r>
          </w:p>
        </w:tc>
      </w:tr>
      <w:tr w14:paraId="2367D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0A961661">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3EF2758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14:paraId="270119F4">
            <w:pPr>
              <w:spacing w:line="500" w:lineRule="exact"/>
              <w:jc w:val="left"/>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不要求提供样品</w:t>
            </w:r>
            <w:r>
              <w:rPr>
                <w:rFonts w:hint="eastAsia" w:ascii="仿宋" w:hAnsi="仿宋" w:eastAsia="仿宋"/>
                <w:color w:val="000000" w:themeColor="text1"/>
                <w:sz w:val="24"/>
                <w:szCs w:val="24"/>
                <w14:textFill>
                  <w14:solidFill>
                    <w14:schemeClr w14:val="tx1"/>
                  </w14:solidFill>
                </w14:textFill>
              </w:rPr>
              <w:t>。</w:t>
            </w:r>
          </w:p>
        </w:tc>
      </w:tr>
      <w:tr w14:paraId="556CB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049D74AE">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7404C2E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14:paraId="3147D128">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35A114E4">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22701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37F7A55A">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3118441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14:paraId="54060543">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482B95B4">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0D61893B">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0EC8AF6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761DB778">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3C57D6EA">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0F611811">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6EED6DB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1A8350E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76717848">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5272D642">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26C33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5EC1C349">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58F1EE5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14:paraId="30702359">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513B0B5C">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48A4D4F2">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5A86C2A0">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未按规定密封或标记的；</w:t>
            </w:r>
          </w:p>
          <w:p w14:paraId="20479E02">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由于包装不妥，在送交途中严重破损或失散的；</w:t>
            </w:r>
          </w:p>
          <w:p w14:paraId="75A087AE">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超过投标截止时间送达的。</w:t>
            </w:r>
          </w:p>
        </w:tc>
      </w:tr>
      <w:tr w14:paraId="756BF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20E0629E">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53EE96E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68" w:type="dxa"/>
            <w:tcBorders>
              <w:top w:val="single" w:color="auto" w:sz="4" w:space="0"/>
              <w:left w:val="single" w:color="auto" w:sz="4" w:space="0"/>
              <w:bottom w:val="single" w:color="auto" w:sz="4" w:space="0"/>
              <w:right w:val="single" w:color="auto" w:sz="4" w:space="0"/>
            </w:tcBorders>
            <w:vAlign w:val="center"/>
          </w:tcPr>
          <w:p w14:paraId="3E1CACBF">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017F287F">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4341B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133D0BF9">
            <w:pPr>
              <w:spacing w:line="500" w:lineRule="exact"/>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20</w:t>
            </w:r>
          </w:p>
        </w:tc>
        <w:tc>
          <w:tcPr>
            <w:tcW w:w="1558" w:type="dxa"/>
            <w:tcBorders>
              <w:top w:val="single" w:color="auto" w:sz="4" w:space="0"/>
              <w:left w:val="single" w:color="auto" w:sz="4" w:space="0"/>
              <w:bottom w:val="single" w:color="auto" w:sz="4" w:space="0"/>
              <w:right w:val="single" w:color="auto" w:sz="4" w:space="0"/>
            </w:tcBorders>
            <w:vAlign w:val="center"/>
          </w:tcPr>
          <w:p w14:paraId="7CCCD60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14:paraId="55AD4ADC">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14F82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5A847E4">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1</w:t>
            </w:r>
          </w:p>
        </w:tc>
        <w:tc>
          <w:tcPr>
            <w:tcW w:w="1558" w:type="dxa"/>
            <w:tcBorders>
              <w:top w:val="single" w:color="auto" w:sz="4" w:space="0"/>
              <w:left w:val="single" w:color="auto" w:sz="4" w:space="0"/>
              <w:bottom w:val="single" w:color="auto" w:sz="4" w:space="0"/>
              <w:right w:val="single" w:color="auto" w:sz="4" w:space="0"/>
            </w:tcBorders>
            <w:vAlign w:val="center"/>
          </w:tcPr>
          <w:p w14:paraId="3299871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vAlign w:val="center"/>
          </w:tcPr>
          <w:p w14:paraId="2253C2A8">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2B73E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3C99A56">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07CDD724">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14:paraId="47F43B11">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1BFDB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07E24BA">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305090B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14:paraId="4718A13A">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2C3A6973">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79AB9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6A65B258">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7A455D58">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14:paraId="622AFDB9">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4E136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0A862490">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7D87CE2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14:paraId="4AC08A51">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w:t>
            </w:r>
            <w:r>
              <w:rPr>
                <w:rFonts w:hint="eastAsia" w:ascii="仿宋" w:hAnsi="仿宋" w:eastAsia="仿宋"/>
                <w:color w:val="000000" w:themeColor="text1"/>
                <w:sz w:val="24"/>
                <w:szCs w:val="24"/>
                <w:lang w:val="en-US" w:eastAsia="zh-CN"/>
                <w14:textFill>
                  <w14:solidFill>
                    <w14:schemeClr w14:val="tx1"/>
                  </w14:solidFill>
                </w14:textFill>
              </w:rPr>
              <w:t>之日起</w:t>
            </w:r>
            <w:r>
              <w:rPr>
                <w:rFonts w:hint="eastAsia" w:ascii="仿宋" w:hAnsi="仿宋" w:eastAsia="仿宋"/>
                <w:color w:val="000000" w:themeColor="text1"/>
                <w:sz w:val="24"/>
                <w:szCs w:val="24"/>
                <w14:textFill>
                  <w14:solidFill>
                    <w14:schemeClr w14:val="tx1"/>
                  </w14:solidFill>
                </w14:textFill>
              </w:rPr>
              <w:t>30日内。</w:t>
            </w:r>
          </w:p>
        </w:tc>
      </w:tr>
      <w:tr w14:paraId="55C7C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53C374CE">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2F623F2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14:paraId="09B04894">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029D2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622454B0">
            <w:pPr>
              <w:spacing w:line="50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3EDE044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68" w:type="dxa"/>
            <w:tcBorders>
              <w:top w:val="single" w:color="auto" w:sz="4" w:space="0"/>
              <w:left w:val="single" w:color="auto" w:sz="4" w:space="0"/>
              <w:bottom w:val="single" w:color="auto" w:sz="4" w:space="0"/>
              <w:right w:val="single" w:color="auto" w:sz="4" w:space="0"/>
            </w:tcBorders>
            <w:vAlign w:val="center"/>
          </w:tcPr>
          <w:p w14:paraId="1FBD848E">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564BFDD4">
      <w:pPr>
        <w:pStyle w:val="31"/>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一、总  则</w:t>
      </w:r>
    </w:p>
    <w:p w14:paraId="70E3E27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5C0BCB5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2CA7FB0A">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67873F4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554B4E6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52C7FE0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1104CDB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4CD98C7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48CF3A2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3696C31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2FAAEAD2">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20677056">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0F8CFFF5">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50AAB7F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66197DCB">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07284D5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55C7A8F8">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遵循诚实信用原则在投标文件中提供真实材料</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按照招标文件的要求提交投标文件，并对所提供的全部资料的真实性承担法律责任。投标人</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可事先在公开官网查询、核对相关证书和报告内容</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确保投标文件资料准确无误</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14B1AB22">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7C4A059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1C16C572">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w:t>
      </w:r>
      <w:r>
        <w:rPr>
          <w:rFonts w:hint="eastAsia" w:ascii="仿宋" w:hAnsi="仿宋" w:eastAsia="仿宋"/>
          <w:bCs/>
          <w:color w:val="000000" w:themeColor="text1"/>
          <w:sz w:val="28"/>
          <w:szCs w:val="28"/>
          <w:lang w:val="en-US" w:eastAsia="zh-CN"/>
          <w14:textFill>
            <w14:solidFill>
              <w14:schemeClr w14:val="tx1"/>
            </w14:solidFill>
          </w14:textFill>
        </w:rPr>
        <w:t>询问和</w:t>
      </w:r>
      <w:r>
        <w:rPr>
          <w:rFonts w:hint="eastAsia" w:ascii="仿宋" w:hAnsi="仿宋" w:eastAsia="仿宋"/>
          <w:bCs/>
          <w:color w:val="000000" w:themeColor="text1"/>
          <w:sz w:val="28"/>
          <w:szCs w:val="28"/>
          <w14:textFill>
            <w14:solidFill>
              <w14:schemeClr w14:val="tx1"/>
            </w14:solidFill>
          </w14:textFill>
        </w:rPr>
        <w:t>质疑</w:t>
      </w:r>
    </w:p>
    <w:p w14:paraId="0CEDFDE7">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704C84">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p>
    <w:p w14:paraId="29D923AD">
      <w:pPr>
        <w:snapToGrid w:val="0"/>
        <w:spacing w:line="460" w:lineRule="exact"/>
        <w:ind w:firstLine="560" w:firstLineChars="200"/>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投标人的询问</w:t>
      </w:r>
    </w:p>
    <w:p w14:paraId="1D1624A3">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225F5A54">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投标人的质疑</w:t>
      </w:r>
    </w:p>
    <w:p w14:paraId="09C8D261">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1.投标人认为</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文件使自己的权益受到损害的，可以自获取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文件之日或者采购公告期限届满之日（公告期限届满后获取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文件的，以公告期限届满之日为准）起7个工作日内，对</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文件需求的以书面形式向采购人提出质疑，对其他内容的以书面形式向采购人和招标方提出质疑。</w:t>
      </w:r>
    </w:p>
    <w:p w14:paraId="722E3C93">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45CAD92C">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3.质疑应当以书面形式提出，格式见《政府采购质疑和投诉办法》（财政部令第94号）附件范本，下载网址：浙江政府采购网(</w:t>
      </w:r>
      <w:r>
        <w:rPr>
          <w:rFonts w:hint="eastAsia" w:ascii="仿宋" w:hAnsi="仿宋" w:eastAsia="仿宋"/>
          <w:bCs/>
          <w:color w:val="000000" w:themeColor="text1"/>
          <w:sz w:val="28"/>
          <w:szCs w:val="28"/>
          <w14:textFill>
            <w14:solidFill>
              <w14:schemeClr w14:val="tx1"/>
            </w14:solidFill>
          </w14:textFill>
        </w:rPr>
        <w:fldChar w:fldCharType="begin"/>
      </w:r>
      <w:r>
        <w:rPr>
          <w:rFonts w:hint="eastAsia" w:ascii="仿宋" w:hAnsi="仿宋" w:eastAsia="仿宋"/>
          <w:bCs/>
          <w:color w:val="000000" w:themeColor="text1"/>
          <w:sz w:val="28"/>
          <w:szCs w:val="28"/>
          <w14:textFill>
            <w14:solidFill>
              <w14:schemeClr w14:val="tx1"/>
            </w14:solidFill>
          </w14:textFill>
        </w:rPr>
        <w:instrText xml:space="preserve"> HYPERLINK "http://zfcg.czt.zj.gov.cn/" </w:instrText>
      </w:r>
      <w:r>
        <w:rPr>
          <w:rFonts w:hint="eastAsia" w:ascii="仿宋" w:hAnsi="仿宋" w:eastAsia="仿宋"/>
          <w:bCs/>
          <w:color w:val="000000" w:themeColor="text1"/>
          <w:sz w:val="28"/>
          <w:szCs w:val="28"/>
          <w14:textFill>
            <w14:solidFill>
              <w14:schemeClr w14:val="tx1"/>
            </w14:solidFill>
          </w14:textFill>
        </w:rP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48E6FF95">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1188E028">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51AE5859">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1D930C11">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341729C8">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6168175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1D285BC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667CF13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724CABBD">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77C0FAA8">
      <w:pPr>
        <w:pStyle w:val="31"/>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19D85BC3">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12B96579">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23A180FF">
      <w:pPr>
        <w:pStyle w:val="31"/>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0B99AE42">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286E570C">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71B17070">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7757B3F8">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3A9CB3EC">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205C013A">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4F49BE86">
      <w:pPr>
        <w:pStyle w:val="50"/>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19C87804">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353C8421">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6E23222F">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1F14CDCE">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5F6B2B6C">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3970848F">
      <w:pPr>
        <w:pStyle w:val="16"/>
        <w:tabs>
          <w:tab w:val="clear" w:pos="454"/>
        </w:tabs>
        <w:snapToGrid w:val="0"/>
        <w:spacing w:before="156" w:beforeLines="50" w:after="156" w:line="460" w:lineRule="exact"/>
        <w:ind w:left="0"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26D85E18">
      <w:pPr>
        <w:pStyle w:val="16"/>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76438C6A">
      <w:pPr>
        <w:pStyle w:val="16"/>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48300988">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0BB5787E">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242DC9EE">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09A4A961">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68CB5EC4">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335A4E51">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24828135">
      <w:pPr>
        <w:pStyle w:val="31"/>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016A9D1C">
      <w:pPr>
        <w:pStyle w:val="31"/>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576790AA">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4D7778E9">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4B12ADCB">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3D858B6E">
      <w:pPr>
        <w:pStyle w:val="31"/>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w:t>
      </w:r>
      <w:r>
        <w:rPr>
          <w:rFonts w:hint="eastAsia" w:ascii="仿宋" w:hAnsi="仿宋" w:eastAsia="仿宋"/>
          <w:bCs/>
          <w:color w:val="000000" w:themeColor="text1"/>
          <w:sz w:val="28"/>
          <w:szCs w:val="28"/>
          <w:lang w:val="en-US" w:eastAsia="zh-CN"/>
          <w14:textFill>
            <w14:solidFill>
              <w14:schemeClr w14:val="tx1"/>
            </w14:solidFill>
          </w14:textFill>
        </w:rPr>
        <w:t>分为止。</w:t>
      </w:r>
    </w:p>
    <w:p w14:paraId="4A958BCD">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0B413652">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6BFC1E45">
      <w:pPr>
        <w:pStyle w:val="31"/>
        <w:snapToGrid w:val="0"/>
        <w:spacing w:before="156" w:after="156" w:line="460" w:lineRule="exact"/>
        <w:ind w:firstLine="560" w:firstLineChars="200"/>
        <w:jc w:val="left"/>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6.投标报价</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出现下列情形之一的，</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lang w:val="en-US" w:eastAsia="zh-CN"/>
          <w14:textFill>
            <w14:solidFill>
              <w14:schemeClr w14:val="tx1"/>
            </w14:solidFill>
          </w14:textFill>
        </w:rPr>
        <w:t>将</w:t>
      </w:r>
      <w:r>
        <w:rPr>
          <w:rFonts w:hint="eastAsia" w:ascii="仿宋" w:hAnsi="仿宋" w:eastAsia="仿宋" w:cs="仿宋"/>
          <w:sz w:val="28"/>
          <w:szCs w:val="28"/>
          <w:lang w:val="en-US" w:eastAsia="zh-CN"/>
        </w:rPr>
        <w:t>对相关供应商进行询标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委员会认为供应商报价过低，有可能影响产品质量或者不能诚信履约的情形。</w:t>
      </w:r>
    </w:p>
    <w:p w14:paraId="68BB357E">
      <w:pPr>
        <w:pStyle w:val="31"/>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vertAlign w:val="baseline"/>
          <w:lang w:val="en-US" w:eastAsia="zh-CN"/>
          <w14:textFill>
            <w14:solidFill>
              <w14:schemeClr w14:val="tx1"/>
            </w14:solidFill>
          </w14:textFill>
        </w:rPr>
        <w:t>发起询标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后，</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投标人必须</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在评审现场合理的时间内提供书面说明及必要的证明材料，对投标价格作出解释。书面说明、证明材料主要是项目具体成本测算等与报价合理性相关的说明、材料。</w:t>
      </w:r>
    </w:p>
    <w:p w14:paraId="5D46AF68">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p>
    <w:p w14:paraId="764D0D7E">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1B3F3A5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1D421D8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692EB64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19884B7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626ED98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556E64F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3DBBFFE6">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5C963D0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1B94C01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6A1ACD6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2.投标人被列入失信被执行人、重大税收违法案件当事人名单（重大税收违法失信主体名单）、政府采购严重违法失信行为记录名单的；</w:t>
      </w:r>
    </w:p>
    <w:p w14:paraId="3CF35872">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3F76AD4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1771649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59B3B6D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61E5EAA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3D604349">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4783D5F8">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048B277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186374A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48EF11D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11755CD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40234FD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173FADA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021191D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1671773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.投标人被视为串通投标的；</w:t>
      </w:r>
    </w:p>
    <w:p w14:paraId="2DA57236">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1</w:t>
      </w: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8</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.不同供应商的电子投标文件上传计算机的网卡MAC地址或硬盘序列号等硬件信息相同</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3E5BEF72">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19</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35B0CF6F">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20</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69FFE397">
      <w:pPr>
        <w:snapToGrid w:val="0"/>
        <w:spacing w:line="460" w:lineRule="exact"/>
        <w:ind w:firstLine="560" w:firstLineChars="200"/>
        <w:rPr>
          <w:rFonts w:hint="eastAsia" w:ascii="仿宋" w:hAnsi="仿宋" w:eastAsia="仿宋"/>
          <w:bCs/>
          <w:color w:val="000000" w:themeColor="text1"/>
          <w:sz w:val="28"/>
          <w:szCs w:val="28"/>
          <w:lang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21</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1DCD576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22</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498C8A03">
      <w:pPr>
        <w:pStyle w:val="31"/>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1066B9DC">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395C447F">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24E481E0">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5FC2251E">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1A52ECF4">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7AA4A782">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6AE9E140">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59DDD7D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69DB6D84">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5F7F0A4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08D6EDE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0638A42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15833C6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1D91116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73127AEA">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0E39EACB">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236F5BCF">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194A999E">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0A5987CF">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52CA2900">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627A013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22B7E86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4492C84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4F4C856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1EB5BC15">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508E2C42">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6DC7F73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480E673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150DFA8E">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50D07D18">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0F5F9AF5">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开启开标场地录音录像采集设备，并确保正常运行。</w:t>
      </w:r>
    </w:p>
    <w:p w14:paraId="742C7D76">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按规定统一收缴、保存评标现场相关人员通讯工具。</w:t>
      </w:r>
    </w:p>
    <w:p w14:paraId="4C2B190B">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介绍评审现场的人员情况，宣布评审工作纪律，告知评审人员应当回避情形；组织推选评标委员会组长。</w:t>
      </w:r>
    </w:p>
    <w:p w14:paraId="2DB6EA40">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宣读提交投标文件的供应商名单，组织评标委员会各位成员签订纸质形式的《政府采购评审人员廉洁自律承诺书》。</w:t>
      </w:r>
    </w:p>
    <w:p w14:paraId="2708331C">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采购人可以在评标前说明项目背景和采购需求，说明内容不得含有歧视性、倾向性意见，不得超出招标文件所述范围。说明应当提交书面材料，并随</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文件一并存档。</w:t>
      </w:r>
    </w:p>
    <w:p w14:paraId="53E5304D">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48B00BA2">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036CB199">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2A69533C">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做好评审现场相关记录，协助评标委员会组长做好评审报告起草、有关内容电脑文字录入等工作，并要求评标委员会各成员签字确认。</w:t>
      </w:r>
    </w:p>
    <w:p w14:paraId="262846B7">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评审结束后，招标方应对评标委员会各成员的专业水平、职业道德、遵纪守法等情况进行评价；同时按规定向评审专家发放评审费，并交还评审人员及其他现场相关人员的通讯工具。</w:t>
      </w:r>
    </w:p>
    <w:p w14:paraId="64314CD7">
      <w:pPr>
        <w:pStyle w:val="31"/>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lang w:val="en-US" w:eastAsia="zh-CN"/>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31775E92">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7C7D9A21">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在评审专家中推选评标委员会组长。</w:t>
      </w:r>
    </w:p>
    <w:p w14:paraId="461FBA0F">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011E7BAD">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评审人员对各投标人投标文件的有效性、符合性、完整性和响应程度进行审查，确定是否对招标文件作出实质性响应。</w:t>
      </w:r>
    </w:p>
    <w:p w14:paraId="6799AD71">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评审人员按招标文件规定的评审方法和评审标准，依法独立对投标人投标文件进行评估、比较，并给予评价或打分，不受任何单位和个人的干预。</w:t>
      </w:r>
    </w:p>
    <w:p w14:paraId="4D392D65">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3A022F13">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2E811E8">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 xml:space="preserve">评标委员会根据评审汇总情况和招标文件规定确定中标候选供应商排序名单。 </w:t>
      </w:r>
    </w:p>
    <w:p w14:paraId="53F2A67A">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起草评审报告，所有评审人员须在评审报告上签字确认。</w:t>
      </w:r>
    </w:p>
    <w:p w14:paraId="69A1F632">
      <w:pPr>
        <w:pStyle w:val="31"/>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4519AB70">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28C44787">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064AF944">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5639E351">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DAA2977">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619E91C5">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09706F4">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107EDEA9">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72332D38">
      <w:pPr>
        <w:pStyle w:val="31"/>
        <w:snapToGrid w:val="0"/>
        <w:spacing w:before="156" w:after="156" w:line="460" w:lineRule="exact"/>
        <w:ind w:firstLine="560" w:firstLineChars="200"/>
        <w:rPr>
          <w:rFonts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03E218C1">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0AB12ECA">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32342726">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63B4EC38">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7356D916">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74D63161">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685C33F">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02D875FC">
      <w:pPr>
        <w:pStyle w:val="31"/>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4449433F">
      <w:pPr>
        <w:pStyle w:val="31"/>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7FBF19B3">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2DC8A0E4">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1A01633A">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1404218C">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36192A68">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6DB1F732">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7E3AFBE3">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29B984E2">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21084C90">
      <w:pPr>
        <w:pStyle w:val="31"/>
        <w:snapToGrid w:val="0"/>
        <w:spacing w:before="156" w:after="156" w:line="360" w:lineRule="auto"/>
        <w:ind w:firstLine="560" w:firstLineChars="200"/>
        <w:jc w:val="center"/>
        <w:rPr>
          <w:rFonts w:hAnsi="宋体"/>
          <w:b/>
          <w:color w:val="000000" w:themeColor="text1"/>
          <w:sz w:val="36"/>
          <w:szCs w:val="36"/>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r>
        <w:rPr>
          <w:rFonts w:hint="eastAsia" w:hAnsi="宋体"/>
          <w:b/>
          <w:color w:val="000000" w:themeColor="text1"/>
          <w:kern w:val="0"/>
          <w:sz w:val="36"/>
          <w:szCs w:val="36"/>
          <w14:textFill>
            <w14:solidFill>
              <w14:schemeClr w14:val="tx1"/>
            </w14:solidFill>
          </w14:textFill>
        </w:rPr>
        <w:br w:type="page"/>
      </w:r>
      <w:bookmarkStart w:id="20" w:name="_Toc496796637"/>
      <w:bookmarkStart w:id="21" w:name="_Toc2834"/>
      <w:r>
        <w:rPr>
          <w:rFonts w:hint="eastAsia" w:hAnsi="宋体"/>
          <w:b/>
          <w:color w:val="000000" w:themeColor="text1"/>
          <w:sz w:val="36"/>
          <w:szCs w:val="36"/>
          <w14:textFill>
            <w14:solidFill>
              <w14:schemeClr w14:val="tx1"/>
            </w14:solidFill>
          </w14:textFill>
        </w:rPr>
        <w:t>第三章</w:t>
      </w:r>
      <w:bookmarkStart w:id="22" w:name="评标办法及评分标准"/>
      <w:r>
        <w:rPr>
          <w:rFonts w:hint="eastAsia" w:hAnsi="宋体"/>
          <w:b/>
          <w:color w:val="000000" w:themeColor="text1"/>
          <w:sz w:val="36"/>
          <w:szCs w:val="36"/>
          <w14:textFill>
            <w14:solidFill>
              <w14:schemeClr w14:val="tx1"/>
            </w14:solidFill>
          </w14:textFill>
        </w:rPr>
        <w:t>评标办法及评分标准</w:t>
      </w:r>
      <w:bookmarkEnd w:id="20"/>
      <w:bookmarkEnd w:id="21"/>
      <w:bookmarkEnd w:id="22"/>
    </w:p>
    <w:p w14:paraId="5E9A5C1D">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0EE8E271">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4D1E379F">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609C0F2E">
      <w:pPr>
        <w:spacing w:before="156" w:beforeLines="50" w:after="156" w:afterLines="50" w:line="460" w:lineRule="exact"/>
        <w:ind w:firstLine="602" w:firstLineChars="200"/>
        <w:rPr>
          <w:rFonts w:hint="default" w:ascii="仿宋" w:hAnsi="仿宋" w:eastAsia="仿宋"/>
          <w:b/>
          <w:bCs/>
          <w:color w:val="FF0000"/>
          <w:sz w:val="30"/>
          <w:szCs w:val="30"/>
          <w:u w:val="single"/>
          <w:lang w:val="en-US" w:eastAsia="zh-CN"/>
        </w:rPr>
      </w:pPr>
      <w:r>
        <w:rPr>
          <w:rFonts w:hint="eastAsia" w:ascii="仿宋" w:hAnsi="仿宋" w:eastAsia="仿宋"/>
          <w:b/>
          <w:bCs/>
          <w:color w:val="FF0000"/>
          <w:sz w:val="30"/>
          <w:szCs w:val="30"/>
          <w:u w:val="single"/>
          <w:lang w:val="en-US" w:eastAsia="zh-CN"/>
        </w:rPr>
        <w:t>中标候选人数量：有效投标供应商数量等于3家时，中标候选人数量为1家；有效投标供应商数量等于4家时，中标候选人数量为2家；有效投标供应商数量大于等于5家时，中标候选人数量为3家。</w:t>
      </w:r>
    </w:p>
    <w:p w14:paraId="130801A5">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42404E4F">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587FC608">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6E3D4858">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lang w:val="en-US" w:eastAsia="zh-CN"/>
          <w14:textFill>
            <w14:solidFill>
              <w14:schemeClr w14:val="tx1"/>
            </w14:solidFill>
          </w14:textFill>
        </w:rPr>
        <w:t>总</w:t>
      </w:r>
      <w:r>
        <w:rPr>
          <w:rFonts w:hint="eastAsia" w:ascii="仿宋" w:hAnsi="仿宋" w:eastAsia="仿宋"/>
          <w:bCs/>
          <w:color w:val="000000" w:themeColor="text1"/>
          <w:sz w:val="30"/>
          <w:szCs w:val="30"/>
          <w14:textFill>
            <w14:solidFill>
              <w14:schemeClr w14:val="tx1"/>
            </w14:solidFill>
          </w14:textFill>
        </w:rPr>
        <w:t>得分=价格分+(技术分+资信商务及其他分)</w:t>
      </w:r>
    </w:p>
    <w:p w14:paraId="46DEC92D">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1D5388F6">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6EE744C9">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391E986F">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3" w:name="_Toc496796638"/>
    </w:p>
    <w:tbl>
      <w:tblPr>
        <w:tblStyle w:val="59"/>
        <w:tblW w:w="808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3765"/>
        <w:gridCol w:w="1080"/>
        <w:gridCol w:w="1080"/>
      </w:tblGrid>
      <w:tr w14:paraId="62BDF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F1F1F1"/>
            <w:vAlign w:val="center"/>
          </w:tcPr>
          <w:p w14:paraId="1CD40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24" w:name="PO_TDCUS_ITEM_SM_TABLE_1_1"/>
            <w:r>
              <w:rPr>
                <w:rFonts w:hint="eastAsia" w:ascii="宋体" w:hAnsi="宋体" w:eastAsia="宋体" w:cs="宋体"/>
                <w:i w:val="0"/>
                <w:iCs w:val="0"/>
                <w:color w:val="000000"/>
                <w:kern w:val="0"/>
                <w:sz w:val="21"/>
                <w:szCs w:val="21"/>
                <w:u w:val="none"/>
                <w:lang w:val="en-US" w:eastAsia="zh-CN" w:bidi="ar"/>
              </w:rPr>
              <w:t>序号</w:t>
            </w:r>
          </w:p>
        </w:tc>
        <w:tc>
          <w:tcPr>
            <w:tcW w:w="1080" w:type="dxa"/>
            <w:tcBorders>
              <w:top w:val="single" w:color="000000" w:sz="8" w:space="0"/>
              <w:left w:val="nil"/>
              <w:bottom w:val="single" w:color="000000" w:sz="8" w:space="0"/>
              <w:right w:val="single" w:color="000000" w:sz="8" w:space="0"/>
            </w:tcBorders>
            <w:shd w:val="clear" w:color="auto" w:fill="F1F1F1"/>
            <w:vAlign w:val="center"/>
          </w:tcPr>
          <w:p w14:paraId="6EBC7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评分类型</w:t>
            </w:r>
          </w:p>
        </w:tc>
        <w:tc>
          <w:tcPr>
            <w:tcW w:w="3765" w:type="dxa"/>
            <w:tcBorders>
              <w:top w:val="single" w:color="000000" w:sz="8" w:space="0"/>
              <w:left w:val="nil"/>
              <w:bottom w:val="single" w:color="000000" w:sz="8" w:space="0"/>
              <w:right w:val="single" w:color="000000" w:sz="8" w:space="0"/>
            </w:tcBorders>
            <w:shd w:val="clear" w:color="auto" w:fill="F1F1F1"/>
            <w:vAlign w:val="center"/>
          </w:tcPr>
          <w:p w14:paraId="0F1B26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评分细则</w:t>
            </w:r>
          </w:p>
        </w:tc>
        <w:tc>
          <w:tcPr>
            <w:tcW w:w="1080" w:type="dxa"/>
            <w:tcBorders>
              <w:top w:val="single" w:color="000000" w:sz="8" w:space="0"/>
              <w:left w:val="nil"/>
              <w:bottom w:val="single" w:color="000000" w:sz="8" w:space="0"/>
              <w:right w:val="single" w:color="000000" w:sz="8" w:space="0"/>
            </w:tcBorders>
            <w:shd w:val="clear" w:color="auto" w:fill="F1F1F1"/>
            <w:vAlign w:val="center"/>
          </w:tcPr>
          <w:p w14:paraId="61E72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c>
          <w:tcPr>
            <w:tcW w:w="1080" w:type="dxa"/>
            <w:tcBorders>
              <w:top w:val="single" w:color="000000" w:sz="8" w:space="0"/>
              <w:left w:val="nil"/>
              <w:bottom w:val="single" w:color="000000" w:sz="8" w:space="0"/>
              <w:right w:val="single" w:color="000000" w:sz="8" w:space="0"/>
            </w:tcBorders>
            <w:shd w:val="clear" w:color="auto" w:fill="F1F1F1"/>
            <w:vAlign w:val="center"/>
          </w:tcPr>
          <w:p w14:paraId="6165D9E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打分办法</w:t>
            </w:r>
          </w:p>
        </w:tc>
      </w:tr>
      <w:tr w14:paraId="617B7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EC32C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80" w:type="dxa"/>
            <w:tcBorders>
              <w:top w:val="nil"/>
              <w:left w:val="nil"/>
              <w:bottom w:val="single" w:color="000000" w:sz="8" w:space="0"/>
              <w:right w:val="single" w:color="000000" w:sz="8" w:space="0"/>
            </w:tcBorders>
            <w:shd w:val="clear" w:color="auto" w:fill="auto"/>
            <w:vAlign w:val="center"/>
          </w:tcPr>
          <w:p w14:paraId="7D037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价格评审</w:t>
            </w:r>
          </w:p>
        </w:tc>
        <w:tc>
          <w:tcPr>
            <w:tcW w:w="3765" w:type="dxa"/>
            <w:tcBorders>
              <w:top w:val="nil"/>
              <w:left w:val="nil"/>
              <w:bottom w:val="single" w:color="000000" w:sz="8" w:space="0"/>
              <w:right w:val="single" w:color="000000" w:sz="8" w:space="0"/>
            </w:tcBorders>
            <w:shd w:val="clear" w:color="auto" w:fill="auto"/>
            <w:vAlign w:val="center"/>
          </w:tcPr>
          <w:p w14:paraId="1872E38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最低报价</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投标报价</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最大分值</w:t>
            </w:r>
          </w:p>
        </w:tc>
        <w:tc>
          <w:tcPr>
            <w:tcW w:w="1080" w:type="dxa"/>
            <w:tcBorders>
              <w:top w:val="nil"/>
              <w:left w:val="nil"/>
              <w:bottom w:val="single" w:color="000000" w:sz="8" w:space="0"/>
              <w:right w:val="single" w:color="000000" w:sz="8" w:space="0"/>
            </w:tcBorders>
            <w:shd w:val="clear" w:color="auto" w:fill="auto"/>
            <w:vAlign w:val="center"/>
          </w:tcPr>
          <w:p w14:paraId="0349FF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080" w:type="dxa"/>
            <w:tcBorders>
              <w:top w:val="nil"/>
              <w:left w:val="nil"/>
              <w:bottom w:val="single" w:color="000000" w:sz="8" w:space="0"/>
              <w:right w:val="single" w:color="000000" w:sz="8" w:space="0"/>
            </w:tcBorders>
            <w:shd w:val="clear" w:color="auto" w:fill="auto"/>
            <w:vAlign w:val="center"/>
          </w:tcPr>
          <w:p w14:paraId="4424CF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3549F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E3D53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w:t>
            </w:r>
          </w:p>
        </w:tc>
        <w:tc>
          <w:tcPr>
            <w:tcW w:w="1080" w:type="dxa"/>
            <w:tcBorders>
              <w:top w:val="nil"/>
              <w:left w:val="nil"/>
              <w:bottom w:val="single" w:color="000000" w:sz="8" w:space="0"/>
              <w:right w:val="single" w:color="000000" w:sz="8" w:space="0"/>
            </w:tcBorders>
            <w:shd w:val="clear" w:color="auto" w:fill="auto"/>
            <w:vAlign w:val="center"/>
          </w:tcPr>
          <w:p w14:paraId="037E87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技术</w:t>
            </w:r>
          </w:p>
        </w:tc>
        <w:tc>
          <w:tcPr>
            <w:tcW w:w="3765" w:type="dxa"/>
            <w:tcBorders>
              <w:top w:val="nil"/>
              <w:left w:val="nil"/>
              <w:bottom w:val="single" w:color="000000" w:sz="8" w:space="0"/>
              <w:right w:val="single" w:color="000000" w:sz="8" w:space="0"/>
            </w:tcBorders>
            <w:shd w:val="clear" w:color="auto" w:fill="auto"/>
            <w:vAlign w:val="top"/>
          </w:tcPr>
          <w:p w14:paraId="29AF3A0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投标人分析本项目的特点提出针对性服务方案</w:t>
            </w:r>
          </w:p>
        </w:tc>
        <w:tc>
          <w:tcPr>
            <w:tcW w:w="1080" w:type="dxa"/>
            <w:tcBorders>
              <w:top w:val="nil"/>
              <w:left w:val="nil"/>
              <w:bottom w:val="single" w:color="000000" w:sz="8" w:space="0"/>
              <w:right w:val="single" w:color="000000" w:sz="8" w:space="0"/>
            </w:tcBorders>
            <w:shd w:val="clear" w:color="auto" w:fill="auto"/>
            <w:vAlign w:val="center"/>
          </w:tcPr>
          <w:p w14:paraId="404AD2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35</w:t>
            </w:r>
          </w:p>
        </w:tc>
        <w:tc>
          <w:tcPr>
            <w:tcW w:w="1080" w:type="dxa"/>
            <w:tcBorders>
              <w:top w:val="nil"/>
              <w:left w:val="nil"/>
              <w:bottom w:val="single" w:color="000000" w:sz="8" w:space="0"/>
              <w:right w:val="single" w:color="000000" w:sz="8" w:space="0"/>
            </w:tcBorders>
            <w:shd w:val="clear" w:color="auto" w:fill="auto"/>
            <w:vAlign w:val="center"/>
          </w:tcPr>
          <w:p w14:paraId="42AD46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4375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6DB74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.1</w:t>
            </w:r>
          </w:p>
        </w:tc>
        <w:tc>
          <w:tcPr>
            <w:tcW w:w="1080" w:type="dxa"/>
            <w:tcBorders>
              <w:top w:val="nil"/>
              <w:left w:val="nil"/>
              <w:bottom w:val="single" w:color="000000" w:sz="8" w:space="0"/>
              <w:right w:val="single" w:color="000000" w:sz="8" w:space="0"/>
            </w:tcBorders>
            <w:shd w:val="clear" w:color="auto" w:fill="auto"/>
            <w:vAlign w:val="center"/>
          </w:tcPr>
          <w:p w14:paraId="4A6C7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3765" w:type="dxa"/>
            <w:tcBorders>
              <w:top w:val="single" w:color="000000" w:sz="8" w:space="0"/>
              <w:left w:val="single" w:color="000000" w:sz="8" w:space="0"/>
              <w:right w:val="single" w:color="000000" w:sz="8" w:space="0"/>
            </w:tcBorders>
            <w:shd w:val="clear" w:color="auto" w:fill="auto"/>
            <w:vAlign w:val="top"/>
          </w:tcPr>
          <w:p w14:paraId="62EFA9F2">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日常保洁服务方案：</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（1）教学楼、办公楼、外围（湖池水体）保洁服务方案；</w:t>
            </w:r>
          </w:p>
          <w:p w14:paraId="41A685E8">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（2）公寓楼保洁服务方案；</w:t>
            </w:r>
          </w:p>
          <w:p w14:paraId="50189B8D">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（3）灭四害、消杀服务方案；</w:t>
            </w:r>
          </w:p>
          <w:p w14:paraId="13BEA814">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（4）垃圾分类服务方案</w:t>
            </w:r>
          </w:p>
          <w:p w14:paraId="52990A4F">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（5）下水管道、化粪池管道、雨污水井、隔油池及管道的沉积物清掏与巡查服务方案。</w:t>
            </w:r>
          </w:p>
          <w:p w14:paraId="1ADA558C">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（评分范围5，4，3，2，1，0）</w:t>
            </w:r>
          </w:p>
        </w:tc>
        <w:tc>
          <w:tcPr>
            <w:tcW w:w="1080" w:type="dxa"/>
            <w:tcBorders>
              <w:top w:val="nil"/>
              <w:left w:val="nil"/>
              <w:bottom w:val="single" w:color="000000" w:sz="8" w:space="0"/>
              <w:right w:val="single" w:color="000000" w:sz="8" w:space="0"/>
            </w:tcBorders>
            <w:shd w:val="clear" w:color="auto" w:fill="auto"/>
            <w:vAlign w:val="center"/>
          </w:tcPr>
          <w:p w14:paraId="60378F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080" w:type="dxa"/>
            <w:tcBorders>
              <w:top w:val="nil"/>
              <w:left w:val="nil"/>
              <w:bottom w:val="single" w:color="000000" w:sz="8" w:space="0"/>
              <w:right w:val="single" w:color="000000" w:sz="8" w:space="0"/>
            </w:tcBorders>
            <w:shd w:val="clear" w:color="auto" w:fill="auto"/>
            <w:vAlign w:val="center"/>
          </w:tcPr>
          <w:p w14:paraId="724D6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主观</w:t>
            </w:r>
          </w:p>
        </w:tc>
      </w:tr>
      <w:tr w14:paraId="31E3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5C27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.2</w:t>
            </w:r>
          </w:p>
        </w:tc>
        <w:tc>
          <w:tcPr>
            <w:tcW w:w="1080" w:type="dxa"/>
            <w:tcBorders>
              <w:top w:val="nil"/>
              <w:left w:val="nil"/>
              <w:bottom w:val="single" w:color="000000" w:sz="8" w:space="0"/>
              <w:right w:val="single" w:color="000000" w:sz="8" w:space="0"/>
            </w:tcBorders>
            <w:shd w:val="clear" w:color="auto" w:fill="auto"/>
            <w:vAlign w:val="center"/>
          </w:tcPr>
          <w:p w14:paraId="7F8E6A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3765" w:type="dxa"/>
            <w:tcBorders>
              <w:top w:val="single" w:color="000000" w:sz="8" w:space="0"/>
              <w:left w:val="nil"/>
              <w:bottom w:val="single" w:color="000000" w:sz="8" w:space="0"/>
              <w:right w:val="single" w:color="000000" w:sz="8" w:space="0"/>
            </w:tcBorders>
            <w:shd w:val="clear" w:color="auto" w:fill="auto"/>
            <w:vAlign w:val="top"/>
          </w:tcPr>
          <w:p w14:paraId="5CA4013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绿化养护服务方案：                                                                     （1）公共绿地的施肥、浇水养护、病虫害防治、灾害预防措施；</w:t>
            </w:r>
          </w:p>
          <w:p w14:paraId="19440177">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（2）日常及重大活动、节假日绿植摆放管理等。</w:t>
            </w:r>
          </w:p>
          <w:p w14:paraId="025DCA7F">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（3）有较强的绿化支撑保障能力，团队素质高。依据招标文件及甲方需求酌情打分：</w:t>
            </w:r>
          </w:p>
          <w:p w14:paraId="34DA3050">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（评分范围</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3，2，1，0）</w:t>
            </w:r>
          </w:p>
        </w:tc>
        <w:tc>
          <w:tcPr>
            <w:tcW w:w="1080" w:type="dxa"/>
            <w:tcBorders>
              <w:top w:val="nil"/>
              <w:left w:val="nil"/>
              <w:bottom w:val="single" w:color="000000" w:sz="8" w:space="0"/>
              <w:right w:val="single" w:color="000000" w:sz="8" w:space="0"/>
            </w:tcBorders>
            <w:shd w:val="clear" w:color="auto" w:fill="auto"/>
            <w:vAlign w:val="center"/>
          </w:tcPr>
          <w:p w14:paraId="287774C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4</w:t>
            </w:r>
          </w:p>
        </w:tc>
        <w:tc>
          <w:tcPr>
            <w:tcW w:w="1080" w:type="dxa"/>
            <w:tcBorders>
              <w:top w:val="nil"/>
              <w:left w:val="nil"/>
              <w:bottom w:val="single" w:color="000000" w:sz="8" w:space="0"/>
              <w:right w:val="single" w:color="000000" w:sz="8" w:space="0"/>
            </w:tcBorders>
            <w:shd w:val="clear" w:color="auto" w:fill="auto"/>
            <w:vAlign w:val="center"/>
          </w:tcPr>
          <w:p w14:paraId="13F84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主观</w:t>
            </w:r>
          </w:p>
        </w:tc>
      </w:tr>
      <w:tr w14:paraId="5B6B5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7CC8A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.3</w:t>
            </w:r>
          </w:p>
        </w:tc>
        <w:tc>
          <w:tcPr>
            <w:tcW w:w="1080" w:type="dxa"/>
            <w:tcBorders>
              <w:top w:val="nil"/>
              <w:left w:val="nil"/>
              <w:bottom w:val="single" w:color="000000" w:sz="8" w:space="0"/>
              <w:right w:val="single" w:color="000000" w:sz="8" w:space="0"/>
            </w:tcBorders>
            <w:shd w:val="clear" w:color="auto" w:fill="auto"/>
            <w:vAlign w:val="center"/>
          </w:tcPr>
          <w:p w14:paraId="63E10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3765" w:type="dxa"/>
            <w:tcBorders>
              <w:top w:val="nil"/>
              <w:left w:val="nil"/>
              <w:bottom w:val="single" w:color="000000" w:sz="8" w:space="0"/>
              <w:right w:val="single" w:color="000000" w:sz="8" w:space="0"/>
            </w:tcBorders>
            <w:shd w:val="clear" w:color="auto" w:fill="auto"/>
            <w:vAlign w:val="top"/>
          </w:tcPr>
          <w:p w14:paraId="28D78C50">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设施设备运行维护与零星维修方案：                               （</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）生活水泵房、配电房（含标准化设备房打造）管理服务方案；</w:t>
            </w:r>
          </w:p>
          <w:p w14:paraId="43AA25B9">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）中央空调系统服务方案；</w:t>
            </w:r>
          </w:p>
          <w:p w14:paraId="56C87D3C">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）锅炉管理服务方案；</w:t>
            </w:r>
          </w:p>
          <w:p w14:paraId="0B81F722">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）电梯管理服务方案；</w:t>
            </w:r>
          </w:p>
          <w:p w14:paraId="71089216">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）信息化系统服务方案；</w:t>
            </w:r>
          </w:p>
          <w:p w14:paraId="7B135CB4">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）零星维修服务方案；</w:t>
            </w:r>
          </w:p>
          <w:p w14:paraId="75625EBC">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）第三方监管服务方案</w:t>
            </w:r>
          </w:p>
          <w:p w14:paraId="514C9379">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（评分范围5，4，3，2，1，0）</w:t>
            </w:r>
          </w:p>
        </w:tc>
        <w:tc>
          <w:tcPr>
            <w:tcW w:w="1080" w:type="dxa"/>
            <w:tcBorders>
              <w:top w:val="nil"/>
              <w:left w:val="nil"/>
              <w:bottom w:val="single" w:color="000000" w:sz="8" w:space="0"/>
              <w:right w:val="single" w:color="000000" w:sz="8" w:space="0"/>
            </w:tcBorders>
            <w:shd w:val="clear" w:color="auto" w:fill="auto"/>
            <w:vAlign w:val="center"/>
          </w:tcPr>
          <w:p w14:paraId="1B09BE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5</w:t>
            </w:r>
          </w:p>
        </w:tc>
        <w:tc>
          <w:tcPr>
            <w:tcW w:w="1080" w:type="dxa"/>
            <w:tcBorders>
              <w:top w:val="nil"/>
              <w:left w:val="nil"/>
              <w:bottom w:val="single" w:color="000000" w:sz="8" w:space="0"/>
              <w:right w:val="single" w:color="000000" w:sz="8" w:space="0"/>
            </w:tcBorders>
            <w:shd w:val="clear" w:color="auto" w:fill="auto"/>
            <w:vAlign w:val="center"/>
          </w:tcPr>
          <w:p w14:paraId="08AFD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主观</w:t>
            </w:r>
          </w:p>
        </w:tc>
      </w:tr>
      <w:tr w14:paraId="29E2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43E3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.4</w:t>
            </w:r>
          </w:p>
        </w:tc>
        <w:tc>
          <w:tcPr>
            <w:tcW w:w="1080" w:type="dxa"/>
            <w:tcBorders>
              <w:top w:val="nil"/>
              <w:left w:val="nil"/>
              <w:bottom w:val="single" w:color="000000" w:sz="8" w:space="0"/>
              <w:right w:val="single" w:color="000000" w:sz="8" w:space="0"/>
            </w:tcBorders>
            <w:shd w:val="clear" w:color="auto" w:fill="auto"/>
            <w:vAlign w:val="center"/>
          </w:tcPr>
          <w:p w14:paraId="3C316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3765" w:type="dxa"/>
            <w:tcBorders>
              <w:top w:val="nil"/>
              <w:left w:val="nil"/>
              <w:bottom w:val="single" w:color="000000" w:sz="8" w:space="0"/>
              <w:right w:val="single" w:color="000000" w:sz="8" w:space="0"/>
            </w:tcBorders>
            <w:shd w:val="clear" w:color="auto" w:fill="auto"/>
            <w:vAlign w:val="top"/>
          </w:tcPr>
          <w:p w14:paraId="11E48816">
            <w:pPr>
              <w:keepNext w:val="0"/>
              <w:keepLines w:val="0"/>
              <w:widowControl/>
              <w:suppressLineNumbers w:val="0"/>
              <w:jc w:val="left"/>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学生宿舍管理服务方案:</w:t>
            </w:r>
          </w:p>
          <w:p w14:paraId="73B8EFFE">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（1）负责学校学生宿舍的管理工作，宿舍楼内学生生活管理、辅导员用房等功能用房的日常管理；</w:t>
            </w:r>
          </w:p>
          <w:p w14:paraId="10066FA9">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（2）学校重大活动、迎新、毕业离校、平安学校建设服务方案；</w:t>
            </w:r>
          </w:p>
          <w:p w14:paraId="3EE4C402">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（3）公寓文化建设等；</w:t>
            </w:r>
          </w:p>
          <w:p w14:paraId="654251BC">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（评分范围</w:t>
            </w:r>
            <w:r>
              <w:rPr>
                <w:rFonts w:hint="eastAsia" w:ascii="宋体" w:hAnsi="宋体" w:cs="宋体"/>
                <w:i w:val="0"/>
                <w:iCs w:val="0"/>
                <w:color w:val="000000"/>
                <w:kern w:val="0"/>
                <w:sz w:val="21"/>
                <w:szCs w:val="21"/>
                <w:u w:val="none"/>
                <w:lang w:val="en-US" w:eastAsia="zh-CN" w:bidi="ar"/>
              </w:rPr>
              <w:t>5，4，</w:t>
            </w:r>
            <w:r>
              <w:rPr>
                <w:rFonts w:hint="eastAsia" w:ascii="宋体" w:hAnsi="宋体" w:eastAsia="宋体" w:cs="宋体"/>
                <w:i w:val="0"/>
                <w:iCs w:val="0"/>
                <w:color w:val="000000"/>
                <w:kern w:val="0"/>
                <w:sz w:val="21"/>
                <w:szCs w:val="21"/>
                <w:u w:val="none"/>
                <w:lang w:val="en-US" w:eastAsia="zh-CN" w:bidi="ar"/>
              </w:rPr>
              <w:t>3，2，1，0）</w:t>
            </w:r>
          </w:p>
        </w:tc>
        <w:tc>
          <w:tcPr>
            <w:tcW w:w="1080" w:type="dxa"/>
            <w:tcBorders>
              <w:top w:val="nil"/>
              <w:left w:val="nil"/>
              <w:bottom w:val="single" w:color="000000" w:sz="8" w:space="0"/>
              <w:right w:val="single" w:color="000000" w:sz="8" w:space="0"/>
            </w:tcBorders>
            <w:shd w:val="clear" w:color="auto" w:fill="auto"/>
            <w:vAlign w:val="center"/>
          </w:tcPr>
          <w:p w14:paraId="5FA368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5</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465E6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主观</w:t>
            </w:r>
          </w:p>
        </w:tc>
      </w:tr>
      <w:tr w14:paraId="22D4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58467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.5</w:t>
            </w:r>
          </w:p>
        </w:tc>
        <w:tc>
          <w:tcPr>
            <w:tcW w:w="1080" w:type="dxa"/>
            <w:tcBorders>
              <w:top w:val="nil"/>
              <w:left w:val="nil"/>
              <w:bottom w:val="single" w:color="000000" w:sz="8" w:space="0"/>
              <w:right w:val="single" w:color="000000" w:sz="8" w:space="0"/>
            </w:tcBorders>
            <w:shd w:val="clear" w:color="auto" w:fill="auto"/>
            <w:vAlign w:val="center"/>
          </w:tcPr>
          <w:p w14:paraId="49FF9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3765" w:type="dxa"/>
            <w:tcBorders>
              <w:top w:val="nil"/>
              <w:left w:val="nil"/>
              <w:bottom w:val="single" w:color="000000" w:sz="8" w:space="0"/>
              <w:right w:val="single" w:color="000000" w:sz="8" w:space="0"/>
            </w:tcBorders>
            <w:shd w:val="clear" w:color="auto" w:fill="auto"/>
            <w:vAlign w:val="top"/>
          </w:tcPr>
          <w:p w14:paraId="54622909">
            <w:pPr>
              <w:keepNext w:val="0"/>
              <w:keepLines w:val="0"/>
              <w:widowControl/>
              <w:suppressLineNumbers w:val="0"/>
              <w:jc w:val="left"/>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综合管理方案：</w:t>
            </w:r>
          </w:p>
          <w:p w14:paraId="1A98BFCE">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）做好项目综合管理、一站式服务、校园文化布置、楼宇综合管理；</w:t>
            </w:r>
          </w:p>
          <w:p w14:paraId="6AA0B240">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）节能管理等服务方案；</w:t>
            </w:r>
          </w:p>
          <w:p w14:paraId="653F6022">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）应急管理、满意度测评等服务方案；</w:t>
            </w:r>
          </w:p>
          <w:p w14:paraId="3FA28A08">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）党建开展服务方案</w:t>
            </w:r>
          </w:p>
          <w:p w14:paraId="394B4C04">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（评分范围</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4，3，2，1，0）</w:t>
            </w:r>
          </w:p>
        </w:tc>
        <w:tc>
          <w:tcPr>
            <w:tcW w:w="1080" w:type="dxa"/>
            <w:tcBorders>
              <w:top w:val="nil"/>
              <w:left w:val="nil"/>
              <w:bottom w:val="single" w:color="000000" w:sz="8" w:space="0"/>
              <w:right w:val="single" w:color="000000" w:sz="8" w:space="0"/>
            </w:tcBorders>
            <w:shd w:val="clear" w:color="auto" w:fill="auto"/>
            <w:vAlign w:val="center"/>
          </w:tcPr>
          <w:p w14:paraId="314C889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5</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6AABB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主观</w:t>
            </w:r>
          </w:p>
        </w:tc>
      </w:tr>
      <w:tr w14:paraId="5E9A4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82D6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.6</w:t>
            </w:r>
          </w:p>
        </w:tc>
        <w:tc>
          <w:tcPr>
            <w:tcW w:w="1080" w:type="dxa"/>
            <w:tcBorders>
              <w:top w:val="nil"/>
              <w:left w:val="nil"/>
              <w:bottom w:val="single" w:color="000000" w:sz="8" w:space="0"/>
              <w:right w:val="single" w:color="000000" w:sz="8" w:space="0"/>
            </w:tcBorders>
            <w:shd w:val="clear" w:color="auto" w:fill="auto"/>
            <w:vAlign w:val="center"/>
          </w:tcPr>
          <w:p w14:paraId="78A3CF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3765" w:type="dxa"/>
            <w:tcBorders>
              <w:top w:val="nil"/>
              <w:left w:val="nil"/>
              <w:bottom w:val="single" w:color="000000" w:sz="8" w:space="0"/>
              <w:right w:val="single" w:color="000000" w:sz="8" w:space="0"/>
            </w:tcBorders>
            <w:shd w:val="clear" w:color="auto" w:fill="auto"/>
            <w:vAlign w:val="top"/>
          </w:tcPr>
          <w:p w14:paraId="5C348BA3">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会务及重大活动服务方案：做好会议室的会务服务工作，包括会议接待、会议室布置等工作；重大会议及活动保障。（评分范围4，3，2，1，0）</w:t>
            </w:r>
          </w:p>
        </w:tc>
        <w:tc>
          <w:tcPr>
            <w:tcW w:w="1080" w:type="dxa"/>
            <w:tcBorders>
              <w:top w:val="nil"/>
              <w:left w:val="nil"/>
              <w:bottom w:val="single" w:color="000000" w:sz="8" w:space="0"/>
              <w:right w:val="single" w:color="000000" w:sz="8" w:space="0"/>
            </w:tcBorders>
            <w:shd w:val="clear" w:color="auto" w:fill="auto"/>
            <w:vAlign w:val="center"/>
          </w:tcPr>
          <w:p w14:paraId="4F077F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2452E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主观</w:t>
            </w:r>
          </w:p>
        </w:tc>
      </w:tr>
      <w:tr w14:paraId="52B27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27993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.7</w:t>
            </w:r>
          </w:p>
        </w:tc>
        <w:tc>
          <w:tcPr>
            <w:tcW w:w="1080" w:type="dxa"/>
            <w:tcBorders>
              <w:top w:val="nil"/>
              <w:left w:val="nil"/>
              <w:bottom w:val="single" w:color="000000" w:sz="8" w:space="0"/>
              <w:right w:val="single" w:color="000000" w:sz="8" w:space="0"/>
            </w:tcBorders>
            <w:shd w:val="clear" w:color="auto" w:fill="auto"/>
            <w:vAlign w:val="center"/>
          </w:tcPr>
          <w:p w14:paraId="136CB4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3765" w:type="dxa"/>
            <w:tcBorders>
              <w:top w:val="nil"/>
              <w:left w:val="nil"/>
              <w:bottom w:val="single" w:color="000000" w:sz="8" w:space="0"/>
              <w:right w:val="single" w:color="000000" w:sz="8" w:space="0"/>
            </w:tcBorders>
            <w:shd w:val="clear" w:color="auto" w:fill="auto"/>
            <w:vAlign w:val="top"/>
          </w:tcPr>
          <w:p w14:paraId="153D2EA5">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突发事件处理方案：负责停电、停水、火灾、渍水、自然灾害、电梯困人，燃气泄露等情况的应急处置工作，提供应急预案；（评分范围</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4，3，2，1，0）</w:t>
            </w:r>
          </w:p>
        </w:tc>
        <w:tc>
          <w:tcPr>
            <w:tcW w:w="1080" w:type="dxa"/>
            <w:tcBorders>
              <w:top w:val="nil"/>
              <w:left w:val="nil"/>
              <w:bottom w:val="single" w:color="000000" w:sz="8" w:space="0"/>
              <w:right w:val="single" w:color="000000" w:sz="8" w:space="0"/>
            </w:tcBorders>
            <w:shd w:val="clear" w:color="auto" w:fill="auto"/>
            <w:vAlign w:val="center"/>
          </w:tcPr>
          <w:p w14:paraId="3F01A8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5</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64ECD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主观</w:t>
            </w:r>
          </w:p>
        </w:tc>
      </w:tr>
      <w:tr w14:paraId="52706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08F2A94">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1.8</w:t>
            </w:r>
          </w:p>
        </w:tc>
        <w:tc>
          <w:tcPr>
            <w:tcW w:w="1080" w:type="dxa"/>
            <w:tcBorders>
              <w:top w:val="nil"/>
              <w:left w:val="nil"/>
              <w:bottom w:val="single" w:color="000000" w:sz="8" w:space="0"/>
              <w:right w:val="single" w:color="000000" w:sz="8" w:space="0"/>
            </w:tcBorders>
            <w:shd w:val="clear" w:color="auto" w:fill="auto"/>
            <w:vAlign w:val="center"/>
          </w:tcPr>
          <w:p w14:paraId="21EDD9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技术</w:t>
            </w:r>
          </w:p>
        </w:tc>
        <w:tc>
          <w:tcPr>
            <w:tcW w:w="3765" w:type="dxa"/>
            <w:tcBorders>
              <w:top w:val="nil"/>
              <w:left w:val="nil"/>
              <w:bottom w:val="single" w:color="000000" w:sz="8" w:space="0"/>
              <w:right w:val="single" w:color="000000" w:sz="8" w:space="0"/>
            </w:tcBorders>
            <w:shd w:val="clear" w:color="auto" w:fill="auto"/>
            <w:vAlign w:val="top"/>
          </w:tcPr>
          <w:p w14:paraId="75D2B1DE">
            <w:pPr>
              <w:keepNext w:val="0"/>
              <w:keepLines w:val="0"/>
              <w:widowControl/>
              <w:suppressLineNumbers w:val="0"/>
              <w:jc w:val="left"/>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投标人周边力量支撑、在发生应急事件时、投标人</w:t>
            </w:r>
            <w:r>
              <w:rPr>
                <w:rFonts w:hint="eastAsia" w:ascii="宋体" w:hAnsi="宋体" w:cs="宋体"/>
                <w:i w:val="0"/>
                <w:iCs w:val="0"/>
                <w:color w:val="000000"/>
                <w:kern w:val="0"/>
                <w:sz w:val="21"/>
                <w:szCs w:val="21"/>
                <w:u w:val="none"/>
                <w:lang w:val="en-US" w:eastAsia="zh-CN" w:bidi="ar"/>
              </w:rPr>
              <w:t>提供承诺函，承诺</w:t>
            </w:r>
            <w:r>
              <w:rPr>
                <w:rFonts w:hint="eastAsia" w:ascii="宋体" w:hAnsi="宋体" w:eastAsia="宋体" w:cs="宋体"/>
                <w:i w:val="0"/>
                <w:iCs w:val="0"/>
                <w:color w:val="000000"/>
                <w:kern w:val="0"/>
                <w:sz w:val="21"/>
                <w:szCs w:val="21"/>
                <w:u w:val="none"/>
                <w:lang w:val="en-US" w:eastAsia="zh-CN" w:bidi="ar"/>
              </w:rPr>
              <w:t>以本项目为中心、周边项目协助人员能在30分钟到达现场。</w:t>
            </w:r>
          </w:p>
        </w:tc>
        <w:tc>
          <w:tcPr>
            <w:tcW w:w="1080" w:type="dxa"/>
            <w:tcBorders>
              <w:top w:val="nil"/>
              <w:left w:val="nil"/>
              <w:bottom w:val="single" w:color="000000" w:sz="8" w:space="0"/>
              <w:right w:val="single" w:color="000000" w:sz="8" w:space="0"/>
            </w:tcBorders>
            <w:shd w:val="clear" w:color="auto" w:fill="auto"/>
            <w:vAlign w:val="center"/>
          </w:tcPr>
          <w:p w14:paraId="72362C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2</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730078F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客观</w:t>
            </w:r>
          </w:p>
        </w:tc>
      </w:tr>
      <w:tr w14:paraId="6EE92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5BA7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1080" w:type="dxa"/>
            <w:tcBorders>
              <w:top w:val="nil"/>
              <w:left w:val="nil"/>
              <w:bottom w:val="single" w:color="000000" w:sz="8" w:space="0"/>
              <w:right w:val="single" w:color="000000" w:sz="8" w:space="0"/>
            </w:tcBorders>
            <w:shd w:val="clear" w:color="auto" w:fill="auto"/>
            <w:vAlign w:val="center"/>
          </w:tcPr>
          <w:p w14:paraId="2A31D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3765" w:type="dxa"/>
            <w:tcBorders>
              <w:top w:val="nil"/>
              <w:left w:val="nil"/>
              <w:bottom w:val="single" w:color="000000" w:sz="8" w:space="0"/>
              <w:right w:val="single" w:color="000000" w:sz="8" w:space="0"/>
            </w:tcBorders>
            <w:shd w:val="clear" w:color="auto" w:fill="auto"/>
            <w:vAlign w:val="top"/>
          </w:tcPr>
          <w:p w14:paraId="42A56E42">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人员稳定方案：结合本项目人员稳定性考虑，避免人员频繁更替、辞职；制定完整的员工考核、管理办法、及薪酬发放规定（评分范围3，2，1，0）</w:t>
            </w:r>
          </w:p>
        </w:tc>
        <w:tc>
          <w:tcPr>
            <w:tcW w:w="1080" w:type="dxa"/>
            <w:tcBorders>
              <w:top w:val="nil"/>
              <w:left w:val="nil"/>
              <w:bottom w:val="single" w:color="000000" w:sz="8" w:space="0"/>
              <w:right w:val="single" w:color="000000" w:sz="8" w:space="0"/>
            </w:tcBorders>
            <w:shd w:val="clear" w:color="auto" w:fill="auto"/>
            <w:vAlign w:val="center"/>
          </w:tcPr>
          <w:p w14:paraId="5065BD1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2CB3D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主观</w:t>
            </w:r>
          </w:p>
        </w:tc>
      </w:tr>
      <w:tr w14:paraId="29998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F0FB4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3</w:t>
            </w:r>
          </w:p>
        </w:tc>
        <w:tc>
          <w:tcPr>
            <w:tcW w:w="1080" w:type="dxa"/>
            <w:tcBorders>
              <w:top w:val="nil"/>
              <w:left w:val="nil"/>
              <w:bottom w:val="single" w:color="000000" w:sz="8" w:space="0"/>
              <w:right w:val="single" w:color="000000" w:sz="8" w:space="0"/>
            </w:tcBorders>
            <w:shd w:val="clear" w:color="auto" w:fill="auto"/>
            <w:vAlign w:val="center"/>
          </w:tcPr>
          <w:p w14:paraId="7AEBD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3765" w:type="dxa"/>
            <w:tcBorders>
              <w:top w:val="nil"/>
              <w:left w:val="nil"/>
              <w:bottom w:val="single" w:color="000000" w:sz="8" w:space="0"/>
              <w:right w:val="single" w:color="000000" w:sz="8" w:space="0"/>
            </w:tcBorders>
            <w:shd w:val="clear" w:color="auto" w:fill="auto"/>
            <w:vAlign w:val="top"/>
          </w:tcPr>
          <w:p w14:paraId="19772FDC">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管理目标、指标及方式。质量管理目标的定位准确性和针对性，以及管理方式的科学性、合理性和可行性。（评分范围3，2，1，0）；</w:t>
            </w:r>
          </w:p>
        </w:tc>
        <w:tc>
          <w:tcPr>
            <w:tcW w:w="1080" w:type="dxa"/>
            <w:tcBorders>
              <w:top w:val="nil"/>
              <w:left w:val="nil"/>
              <w:bottom w:val="single" w:color="000000" w:sz="8" w:space="0"/>
              <w:right w:val="single" w:color="000000" w:sz="8" w:space="0"/>
            </w:tcBorders>
            <w:shd w:val="clear" w:color="auto" w:fill="auto"/>
            <w:vAlign w:val="center"/>
          </w:tcPr>
          <w:p w14:paraId="3CD4EE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17E505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主观</w:t>
            </w:r>
          </w:p>
        </w:tc>
      </w:tr>
      <w:tr w14:paraId="30042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BF43F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1080" w:type="dxa"/>
            <w:tcBorders>
              <w:top w:val="nil"/>
              <w:left w:val="nil"/>
              <w:bottom w:val="single" w:color="000000" w:sz="8" w:space="0"/>
              <w:right w:val="single" w:color="000000" w:sz="8" w:space="0"/>
            </w:tcBorders>
            <w:shd w:val="clear" w:color="auto" w:fill="auto"/>
            <w:vAlign w:val="center"/>
          </w:tcPr>
          <w:p w14:paraId="2BDD5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3765" w:type="dxa"/>
            <w:tcBorders>
              <w:top w:val="nil"/>
              <w:left w:val="nil"/>
              <w:bottom w:val="single" w:color="000000" w:sz="8" w:space="0"/>
              <w:right w:val="single" w:color="000000" w:sz="8" w:space="0"/>
            </w:tcBorders>
            <w:shd w:val="clear" w:color="auto" w:fill="auto"/>
            <w:vAlign w:val="top"/>
          </w:tcPr>
          <w:p w14:paraId="4FF17709">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投标人对项目的理解，对高校物业服务重点难点的应对措施及改进现状措施，管理方式和管理方法。（评分范围3，2，1，0）</w:t>
            </w:r>
          </w:p>
        </w:tc>
        <w:tc>
          <w:tcPr>
            <w:tcW w:w="1080" w:type="dxa"/>
            <w:tcBorders>
              <w:top w:val="nil"/>
              <w:left w:val="nil"/>
              <w:bottom w:val="single" w:color="000000" w:sz="8" w:space="0"/>
              <w:right w:val="single" w:color="000000" w:sz="8" w:space="0"/>
            </w:tcBorders>
            <w:shd w:val="clear" w:color="auto" w:fill="auto"/>
            <w:vAlign w:val="center"/>
          </w:tcPr>
          <w:p w14:paraId="0F6A56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4946D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主观</w:t>
            </w:r>
          </w:p>
        </w:tc>
      </w:tr>
      <w:tr w14:paraId="4A0D7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FE572B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5</w:t>
            </w:r>
          </w:p>
        </w:tc>
        <w:tc>
          <w:tcPr>
            <w:tcW w:w="1080" w:type="dxa"/>
            <w:tcBorders>
              <w:top w:val="nil"/>
              <w:left w:val="nil"/>
              <w:bottom w:val="single" w:color="000000" w:sz="8" w:space="0"/>
              <w:right w:val="single" w:color="000000" w:sz="8" w:space="0"/>
            </w:tcBorders>
            <w:shd w:val="clear" w:color="auto" w:fill="auto"/>
            <w:vAlign w:val="center"/>
          </w:tcPr>
          <w:p w14:paraId="2799EC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37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810D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明确此项目直接负责人及团队管理人员构成，且其服务素质、能力、资格、经验等符合招标文件人员要求情况。</w:t>
            </w:r>
          </w:p>
        </w:tc>
        <w:tc>
          <w:tcPr>
            <w:tcW w:w="1080" w:type="dxa"/>
            <w:tcBorders>
              <w:top w:val="nil"/>
              <w:left w:val="nil"/>
              <w:bottom w:val="single" w:color="000000" w:sz="8" w:space="0"/>
              <w:right w:val="single" w:color="000000" w:sz="8" w:space="0"/>
            </w:tcBorders>
            <w:shd w:val="clear" w:color="auto" w:fill="auto"/>
            <w:vAlign w:val="center"/>
          </w:tcPr>
          <w:p w14:paraId="695BAD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lang w:val="en-US" w:eastAsia="zh-CN"/>
              </w:rPr>
              <w:t>30</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2A628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4C30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6D1E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.1</w:t>
            </w:r>
          </w:p>
        </w:tc>
        <w:tc>
          <w:tcPr>
            <w:tcW w:w="1080" w:type="dxa"/>
            <w:tcBorders>
              <w:top w:val="nil"/>
              <w:left w:val="nil"/>
              <w:bottom w:val="single" w:color="000000" w:sz="8" w:space="0"/>
              <w:right w:val="single" w:color="000000" w:sz="8" w:space="0"/>
            </w:tcBorders>
            <w:shd w:val="clear" w:color="auto" w:fill="auto"/>
            <w:vAlign w:val="center"/>
          </w:tcPr>
          <w:p w14:paraId="1E03D4D6">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3765" w:type="dxa"/>
            <w:tcBorders>
              <w:top w:val="single" w:color="000000" w:sz="8" w:space="0"/>
              <w:left w:val="nil"/>
              <w:bottom w:val="single" w:color="000000" w:sz="8" w:space="0"/>
              <w:right w:val="single" w:color="000000" w:sz="8" w:space="0"/>
            </w:tcBorders>
            <w:shd w:val="clear" w:color="auto" w:fill="auto"/>
            <w:vAlign w:val="center"/>
          </w:tcPr>
          <w:p w14:paraId="78EAD07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项目经理（</w:t>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分）：</w:t>
            </w:r>
          </w:p>
          <w:p w14:paraId="007A098A">
            <w:pPr>
              <w:keepNext w:val="0"/>
              <w:keepLines w:val="0"/>
              <w:widowControl/>
              <w:numPr>
                <w:ilvl w:val="0"/>
                <w:numId w:val="31"/>
              </w:numPr>
              <w:suppressLineNumbers w:val="0"/>
              <w:ind w:left="210" w:hanging="210" w:hanging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、具有人社（事）部门颁发的</w:t>
            </w:r>
            <w:r>
              <w:rPr>
                <w:rFonts w:hint="eastAsia" w:ascii="宋体" w:hAnsi="宋体" w:cs="宋体"/>
                <w:i w:val="0"/>
                <w:iCs w:val="0"/>
                <w:color w:val="000000"/>
                <w:kern w:val="0"/>
                <w:sz w:val="21"/>
                <w:szCs w:val="21"/>
                <w:u w:val="none"/>
                <w:lang w:val="en-US" w:eastAsia="zh-CN" w:bidi="ar"/>
              </w:rPr>
              <w:t>经济类、会计类、工程类等高</w:t>
            </w:r>
            <w:r>
              <w:rPr>
                <w:rFonts w:hint="eastAsia" w:ascii="宋体" w:hAnsi="宋体" w:eastAsia="宋体" w:cs="宋体"/>
                <w:i w:val="0"/>
                <w:iCs w:val="0"/>
                <w:color w:val="000000"/>
                <w:kern w:val="0"/>
                <w:sz w:val="21"/>
                <w:szCs w:val="21"/>
                <w:u w:val="none"/>
                <w:lang w:val="en-US" w:eastAsia="zh-CN" w:bidi="ar"/>
              </w:rPr>
              <w:t>级职称的，得</w:t>
            </w:r>
            <w:r>
              <w:rPr>
                <w:rFonts w:hint="eastAsia"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cs="宋体"/>
                <w:i w:val="0"/>
                <w:iCs w:val="0"/>
                <w:color w:val="000000"/>
                <w:kern w:val="0"/>
                <w:sz w:val="21"/>
                <w:szCs w:val="21"/>
                <w:u w:val="none"/>
                <w:lang w:val="en-US" w:eastAsia="zh-CN" w:bidi="ar"/>
              </w:rPr>
              <w:t>；中级及以上职称的，得2分；</w:t>
            </w:r>
            <w:r>
              <w:rPr>
                <w:rFonts w:hint="eastAsia" w:ascii="宋体" w:hAnsi="宋体" w:eastAsia="宋体" w:cs="宋体"/>
                <w:i w:val="0"/>
                <w:iCs w:val="0"/>
                <w:color w:val="000000"/>
                <w:kern w:val="0"/>
                <w:sz w:val="21"/>
                <w:szCs w:val="21"/>
                <w:u w:val="none"/>
                <w:lang w:val="en-US" w:eastAsia="zh-CN" w:bidi="ar"/>
              </w:rPr>
              <w:t>（提供职称证书复印件</w:t>
            </w:r>
            <w:r>
              <w:rPr>
                <w:rFonts w:hint="eastAsia" w:ascii="宋体" w:hAnsi="宋体" w:cs="宋体"/>
                <w:i w:val="0"/>
                <w:iCs w:val="0"/>
                <w:color w:val="000000"/>
                <w:kern w:val="0"/>
                <w:sz w:val="21"/>
                <w:szCs w:val="21"/>
                <w:u w:val="none"/>
                <w:lang w:val="en-US" w:eastAsia="zh-CN" w:bidi="ar"/>
              </w:rPr>
              <w:t>及投标单位</w:t>
            </w:r>
            <w:r>
              <w:rPr>
                <w:rFonts w:hint="eastAsia" w:ascii="宋体" w:hAnsi="宋体" w:eastAsia="宋体" w:cs="宋体"/>
                <w:i w:val="0"/>
                <w:iCs w:val="0"/>
                <w:color w:val="000000"/>
                <w:kern w:val="0"/>
                <w:sz w:val="21"/>
                <w:szCs w:val="21"/>
                <w:u w:val="none"/>
                <w:lang w:val="en-US" w:eastAsia="zh-CN" w:bidi="ar"/>
              </w:rPr>
              <w:t>近六个月内任意一个月社保证明，未提供不得分</w:t>
            </w:r>
            <w:r>
              <w:rPr>
                <w:rFonts w:hint="eastAsia" w:ascii="宋体" w:hAnsi="宋体" w:cs="宋体"/>
                <w:i w:val="0"/>
                <w:iCs w:val="0"/>
                <w:color w:val="000000"/>
                <w:kern w:val="0"/>
                <w:sz w:val="21"/>
                <w:szCs w:val="21"/>
                <w:u w:val="none"/>
                <w:lang w:val="en-US" w:eastAsia="zh-CN" w:bidi="ar"/>
              </w:rPr>
              <w:t>）</w:t>
            </w:r>
          </w:p>
          <w:p w14:paraId="0EF5BCEE">
            <w:pPr>
              <w:keepNext w:val="0"/>
              <w:keepLines w:val="0"/>
              <w:widowControl/>
              <w:suppressLineNumbers w:val="0"/>
              <w:ind w:left="210" w:hanging="210" w:hangingChars="100"/>
              <w:jc w:val="left"/>
              <w:textAlignment w:val="center"/>
              <w:rPr>
                <w:rFonts w:hint="default" w:ascii="Times New Roman" w:hAnsi="Times New Roman" w:eastAsia="宋体" w:cs="Times New Roman"/>
                <w:i w:val="0"/>
                <w:iCs w:val="0"/>
                <w:color w:val="000000"/>
                <w:sz w:val="21"/>
                <w:szCs w:val="21"/>
                <w:u w:val="none"/>
              </w:rPr>
            </w:pPr>
          </w:p>
          <w:p w14:paraId="447AAAB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、具有</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年及以上</w:t>
            </w:r>
            <w:r>
              <w:rPr>
                <w:rFonts w:hint="eastAsia" w:ascii="宋体" w:hAnsi="宋体" w:cs="宋体"/>
                <w:i w:val="0"/>
                <w:iCs w:val="0"/>
                <w:color w:val="000000"/>
                <w:kern w:val="0"/>
                <w:sz w:val="21"/>
                <w:szCs w:val="21"/>
                <w:u w:val="none"/>
                <w:lang w:val="en-US" w:eastAsia="zh-CN" w:bidi="ar"/>
              </w:rPr>
              <w:t>同类</w:t>
            </w:r>
            <w:r>
              <w:rPr>
                <w:rFonts w:hint="eastAsia" w:ascii="宋体" w:hAnsi="宋体" w:eastAsia="宋体" w:cs="宋体"/>
                <w:i w:val="0"/>
                <w:iCs w:val="0"/>
                <w:color w:val="000000"/>
                <w:kern w:val="0"/>
                <w:sz w:val="21"/>
                <w:szCs w:val="21"/>
                <w:u w:val="none"/>
                <w:lang w:val="en-US" w:eastAsia="zh-CN" w:bidi="ar"/>
              </w:rPr>
              <w:t>物业管理服务经验，得</w:t>
            </w:r>
            <w:r>
              <w:rPr>
                <w:rFonts w:hint="eastAsia"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分。（需提供两年的物业公司社保</w:t>
            </w:r>
            <w:r>
              <w:rPr>
                <w:rFonts w:hint="eastAsia" w:ascii="宋体" w:hAnsi="宋体" w:cs="宋体"/>
                <w:i w:val="0"/>
                <w:iCs w:val="0"/>
                <w:color w:val="000000"/>
                <w:kern w:val="0"/>
                <w:sz w:val="21"/>
                <w:szCs w:val="21"/>
                <w:u w:val="none"/>
                <w:lang w:val="en-US" w:eastAsia="zh-CN" w:bidi="ar"/>
              </w:rPr>
              <w:t>，不限定公司</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w:t>
            </w:r>
          </w:p>
          <w:p w14:paraId="6796D5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1080" w:type="dxa"/>
            <w:tcBorders>
              <w:top w:val="nil"/>
              <w:left w:val="nil"/>
              <w:bottom w:val="single" w:color="000000" w:sz="8" w:space="0"/>
              <w:right w:val="single" w:color="000000" w:sz="8" w:space="0"/>
            </w:tcBorders>
            <w:shd w:val="clear" w:color="auto" w:fill="auto"/>
            <w:vAlign w:val="center"/>
          </w:tcPr>
          <w:p w14:paraId="44E3B947">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7</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141CD0CD">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客观</w:t>
            </w:r>
          </w:p>
        </w:tc>
      </w:tr>
      <w:tr w14:paraId="528EE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D3E93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.2</w:t>
            </w:r>
          </w:p>
        </w:tc>
        <w:tc>
          <w:tcPr>
            <w:tcW w:w="1080" w:type="dxa"/>
            <w:tcBorders>
              <w:top w:val="nil"/>
              <w:left w:val="nil"/>
              <w:bottom w:val="single" w:color="000000" w:sz="8" w:space="0"/>
              <w:right w:val="single" w:color="000000" w:sz="8" w:space="0"/>
            </w:tcBorders>
            <w:shd w:val="clear" w:color="auto" w:fill="auto"/>
            <w:vAlign w:val="center"/>
          </w:tcPr>
          <w:p w14:paraId="297C9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3765" w:type="dxa"/>
            <w:tcBorders>
              <w:top w:val="nil"/>
              <w:left w:val="nil"/>
              <w:bottom w:val="single" w:color="000000" w:sz="8" w:space="0"/>
              <w:right w:val="single" w:color="000000" w:sz="8" w:space="0"/>
            </w:tcBorders>
            <w:shd w:val="clear" w:color="auto" w:fill="auto"/>
            <w:vAlign w:val="center"/>
          </w:tcPr>
          <w:p w14:paraId="1712D68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副经理（</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分）：</w:t>
            </w:r>
          </w:p>
          <w:p w14:paraId="408758A2">
            <w:pPr>
              <w:keepNext w:val="0"/>
              <w:keepLines w:val="0"/>
              <w:widowControl/>
              <w:numPr>
                <w:ilvl w:val="0"/>
                <w:numId w:val="31"/>
              </w:numPr>
              <w:suppressLineNumbers w:val="0"/>
              <w:ind w:left="210" w:hanging="210" w:hanging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具有人社（事）部门颁发的</w:t>
            </w:r>
            <w:r>
              <w:rPr>
                <w:rFonts w:hint="eastAsia" w:ascii="宋体" w:hAnsi="宋体" w:cs="宋体"/>
                <w:i w:val="0"/>
                <w:iCs w:val="0"/>
                <w:color w:val="000000"/>
                <w:kern w:val="0"/>
                <w:sz w:val="21"/>
                <w:szCs w:val="21"/>
                <w:u w:val="none"/>
                <w:lang w:val="en-US" w:eastAsia="zh-CN" w:bidi="ar"/>
              </w:rPr>
              <w:t>经济类、会计类等</w:t>
            </w:r>
            <w:r>
              <w:rPr>
                <w:rFonts w:hint="eastAsia" w:ascii="宋体" w:hAnsi="宋体" w:eastAsia="宋体" w:cs="宋体"/>
                <w:i w:val="0"/>
                <w:iCs w:val="0"/>
                <w:color w:val="000000"/>
                <w:kern w:val="0"/>
                <w:sz w:val="21"/>
                <w:szCs w:val="21"/>
                <w:u w:val="none"/>
                <w:lang w:val="en-US" w:eastAsia="zh-CN" w:bidi="ar"/>
              </w:rPr>
              <w:t>中级及以上职称的，得</w:t>
            </w:r>
            <w:r>
              <w:rPr>
                <w:rFonts w:hint="eastAsia"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分（提供职称证书复印件</w:t>
            </w:r>
            <w:r>
              <w:rPr>
                <w:rFonts w:hint="eastAsia" w:ascii="宋体" w:hAnsi="宋体" w:cs="宋体"/>
                <w:i w:val="0"/>
                <w:iCs w:val="0"/>
                <w:color w:val="000000"/>
                <w:kern w:val="0"/>
                <w:sz w:val="21"/>
                <w:szCs w:val="21"/>
                <w:u w:val="none"/>
                <w:lang w:val="en-US" w:eastAsia="zh-CN" w:bidi="ar"/>
              </w:rPr>
              <w:t>及投标单位</w:t>
            </w:r>
            <w:r>
              <w:rPr>
                <w:rFonts w:hint="eastAsia" w:ascii="宋体" w:hAnsi="宋体" w:eastAsia="宋体" w:cs="宋体"/>
                <w:i w:val="0"/>
                <w:iCs w:val="0"/>
                <w:color w:val="000000"/>
                <w:kern w:val="0"/>
                <w:sz w:val="21"/>
                <w:szCs w:val="21"/>
                <w:u w:val="none"/>
                <w:lang w:val="en-US" w:eastAsia="zh-CN" w:bidi="ar"/>
              </w:rPr>
              <w:t>近六个月内任意一个月社保证明，未提供不得分</w:t>
            </w:r>
            <w:r>
              <w:rPr>
                <w:rFonts w:hint="eastAsia" w:ascii="宋体" w:hAnsi="宋体" w:cs="宋体"/>
                <w:i w:val="0"/>
                <w:iCs w:val="0"/>
                <w:color w:val="000000"/>
                <w:kern w:val="0"/>
                <w:sz w:val="21"/>
                <w:szCs w:val="21"/>
                <w:u w:val="none"/>
                <w:lang w:val="en-US" w:eastAsia="zh-CN" w:bidi="ar"/>
              </w:rPr>
              <w:t>）</w:t>
            </w:r>
          </w:p>
          <w:p w14:paraId="279272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、具有</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年及以上</w:t>
            </w:r>
            <w:r>
              <w:rPr>
                <w:rFonts w:hint="eastAsia" w:ascii="宋体" w:hAnsi="宋体" w:cs="宋体"/>
                <w:i w:val="0"/>
                <w:iCs w:val="0"/>
                <w:color w:val="000000"/>
                <w:kern w:val="0"/>
                <w:sz w:val="21"/>
                <w:szCs w:val="21"/>
                <w:u w:val="none"/>
                <w:lang w:val="en-US" w:eastAsia="zh-CN" w:bidi="ar"/>
              </w:rPr>
              <w:t>同类</w:t>
            </w:r>
            <w:r>
              <w:rPr>
                <w:rFonts w:hint="eastAsia" w:ascii="宋体" w:hAnsi="宋体" w:eastAsia="宋体" w:cs="宋体"/>
                <w:i w:val="0"/>
                <w:iCs w:val="0"/>
                <w:color w:val="000000"/>
                <w:kern w:val="0"/>
                <w:sz w:val="21"/>
                <w:szCs w:val="21"/>
                <w:u w:val="none"/>
                <w:lang w:val="en-US" w:eastAsia="zh-CN" w:bidi="ar"/>
              </w:rPr>
              <w:t>物业管理服务经验，得</w:t>
            </w:r>
            <w:r>
              <w:rPr>
                <w:rFonts w:hint="eastAsia"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分。（需提供两年的物业公司社保</w:t>
            </w:r>
            <w:r>
              <w:rPr>
                <w:rFonts w:hint="eastAsia" w:ascii="宋体" w:hAnsi="宋体" w:cs="宋体"/>
                <w:i w:val="0"/>
                <w:iCs w:val="0"/>
                <w:color w:val="000000"/>
                <w:kern w:val="0"/>
                <w:sz w:val="21"/>
                <w:szCs w:val="21"/>
                <w:u w:val="none"/>
                <w:lang w:val="en-US" w:eastAsia="zh-CN" w:bidi="ar"/>
              </w:rPr>
              <w:t>，不限定公司</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14:paraId="5D005C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5</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525109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客观</w:t>
            </w:r>
          </w:p>
        </w:tc>
      </w:tr>
      <w:tr w14:paraId="2A12D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20E1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.3</w:t>
            </w:r>
          </w:p>
        </w:tc>
        <w:tc>
          <w:tcPr>
            <w:tcW w:w="1080" w:type="dxa"/>
            <w:tcBorders>
              <w:top w:val="nil"/>
              <w:left w:val="nil"/>
              <w:bottom w:val="single" w:color="000000" w:sz="8" w:space="0"/>
              <w:right w:val="single" w:color="000000" w:sz="8" w:space="0"/>
            </w:tcBorders>
            <w:shd w:val="clear" w:color="auto" w:fill="auto"/>
            <w:vAlign w:val="center"/>
          </w:tcPr>
          <w:p w14:paraId="0ABD3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3765" w:type="dxa"/>
            <w:tcBorders>
              <w:top w:val="nil"/>
              <w:left w:val="nil"/>
              <w:bottom w:val="single" w:color="000000" w:sz="8" w:space="0"/>
              <w:right w:val="single" w:color="000000" w:sz="8" w:space="0"/>
            </w:tcBorders>
            <w:shd w:val="clear" w:color="auto" w:fill="auto"/>
            <w:vAlign w:val="center"/>
          </w:tcPr>
          <w:p w14:paraId="4A7BF94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工程主管（</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分）</w:t>
            </w:r>
          </w:p>
          <w:p w14:paraId="3B23D611">
            <w:pPr>
              <w:keepNext w:val="0"/>
              <w:keepLines w:val="0"/>
              <w:widowControl/>
              <w:numPr>
                <w:ilvl w:val="0"/>
                <w:numId w:val="31"/>
              </w:numPr>
              <w:suppressLineNumbers w:val="0"/>
              <w:ind w:left="210" w:hanging="210" w:hanging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、具有人社（事）部门颁发的</w:t>
            </w:r>
            <w:r>
              <w:rPr>
                <w:rFonts w:hint="eastAsia" w:ascii="宋体" w:hAnsi="宋体" w:cs="宋体"/>
                <w:i w:val="0"/>
                <w:iCs w:val="0"/>
                <w:color w:val="000000"/>
                <w:kern w:val="0"/>
                <w:sz w:val="21"/>
                <w:szCs w:val="21"/>
                <w:u w:val="none"/>
                <w:lang w:val="en-US" w:eastAsia="zh-CN" w:bidi="ar"/>
              </w:rPr>
              <w:t>工程类、计算机类等</w:t>
            </w:r>
            <w:r>
              <w:rPr>
                <w:rFonts w:hint="eastAsia" w:ascii="宋体" w:hAnsi="宋体" w:eastAsia="宋体" w:cs="宋体"/>
                <w:i w:val="0"/>
                <w:iCs w:val="0"/>
                <w:color w:val="000000"/>
                <w:kern w:val="0"/>
                <w:sz w:val="21"/>
                <w:szCs w:val="21"/>
                <w:u w:val="none"/>
                <w:lang w:val="en-US" w:eastAsia="zh-CN" w:bidi="ar"/>
              </w:rPr>
              <w:t>中级及以上职称的，得</w:t>
            </w:r>
            <w:r>
              <w:rPr>
                <w:rFonts w:hint="eastAsia"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分（提供职称证书复印件</w:t>
            </w:r>
            <w:r>
              <w:rPr>
                <w:rFonts w:hint="eastAsia" w:ascii="宋体" w:hAnsi="宋体" w:cs="宋体"/>
                <w:i w:val="0"/>
                <w:iCs w:val="0"/>
                <w:color w:val="000000"/>
                <w:kern w:val="0"/>
                <w:sz w:val="21"/>
                <w:szCs w:val="21"/>
                <w:u w:val="none"/>
                <w:lang w:val="en-US" w:eastAsia="zh-CN" w:bidi="ar"/>
              </w:rPr>
              <w:t>及投标单位</w:t>
            </w:r>
            <w:r>
              <w:rPr>
                <w:rFonts w:hint="eastAsia" w:ascii="宋体" w:hAnsi="宋体" w:eastAsia="宋体" w:cs="宋体"/>
                <w:i w:val="0"/>
                <w:iCs w:val="0"/>
                <w:color w:val="000000"/>
                <w:kern w:val="0"/>
                <w:sz w:val="21"/>
                <w:szCs w:val="21"/>
                <w:u w:val="none"/>
                <w:lang w:val="en-US" w:eastAsia="zh-CN" w:bidi="ar"/>
              </w:rPr>
              <w:t>近六个月内任意一个月社保证明，未提供不得分</w:t>
            </w:r>
            <w:r>
              <w:rPr>
                <w:rFonts w:hint="eastAsia" w:ascii="宋体" w:hAnsi="宋体" w:cs="宋体"/>
                <w:i w:val="0"/>
                <w:iCs w:val="0"/>
                <w:color w:val="000000"/>
                <w:kern w:val="0"/>
                <w:sz w:val="21"/>
                <w:szCs w:val="21"/>
                <w:u w:val="none"/>
                <w:lang w:val="en-US" w:eastAsia="zh-CN" w:bidi="ar"/>
              </w:rPr>
              <w:t>）</w:t>
            </w:r>
          </w:p>
          <w:p w14:paraId="15DDD228">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p>
          <w:p w14:paraId="7F7F8A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、具有</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年及</w:t>
            </w:r>
            <w:r>
              <w:rPr>
                <w:rFonts w:hint="eastAsia" w:ascii="Times New Roman" w:hAnsi="Times New Roman" w:eastAsia="宋体" w:cs="Times New Roman"/>
                <w:i w:val="0"/>
                <w:iCs w:val="0"/>
                <w:color w:val="000000"/>
                <w:sz w:val="21"/>
                <w:szCs w:val="21"/>
                <w:u w:val="none"/>
                <w:lang w:val="en-US" w:eastAsia="zh-CN"/>
              </w:rPr>
              <w:t>以上同类物业管理服务经验，得</w:t>
            </w:r>
            <w:r>
              <w:rPr>
                <w:rFonts w:hint="eastAsia" w:cs="Times New Roman"/>
                <w:i w:val="0"/>
                <w:iCs w:val="0"/>
                <w:color w:val="000000"/>
                <w:sz w:val="21"/>
                <w:szCs w:val="21"/>
                <w:u w:val="none"/>
                <w:lang w:val="en-US" w:eastAsia="zh-CN"/>
              </w:rPr>
              <w:t>3</w:t>
            </w:r>
            <w:r>
              <w:rPr>
                <w:rFonts w:hint="eastAsia" w:ascii="Times New Roman" w:hAnsi="Times New Roman" w:eastAsia="宋体" w:cs="Times New Roman"/>
                <w:i w:val="0"/>
                <w:iCs w:val="0"/>
                <w:color w:val="000000"/>
                <w:sz w:val="21"/>
                <w:szCs w:val="21"/>
                <w:u w:val="none"/>
                <w:lang w:val="en-US" w:eastAsia="zh-CN"/>
              </w:rPr>
              <w:t>分。</w:t>
            </w:r>
            <w:r>
              <w:rPr>
                <w:rFonts w:hint="eastAsia" w:ascii="宋体" w:hAnsi="宋体" w:eastAsia="宋体" w:cs="宋体"/>
                <w:i w:val="0"/>
                <w:iCs w:val="0"/>
                <w:color w:val="000000"/>
                <w:kern w:val="0"/>
                <w:sz w:val="21"/>
                <w:szCs w:val="21"/>
                <w:u w:val="none"/>
                <w:lang w:val="en-US" w:eastAsia="zh-CN" w:bidi="ar"/>
              </w:rPr>
              <w:t>（需提供两年的物业公司社保</w:t>
            </w:r>
            <w:r>
              <w:rPr>
                <w:rFonts w:hint="eastAsia" w:ascii="宋体" w:hAnsi="宋体" w:cs="宋体"/>
                <w:i w:val="0"/>
                <w:iCs w:val="0"/>
                <w:color w:val="000000"/>
                <w:kern w:val="0"/>
                <w:sz w:val="21"/>
                <w:szCs w:val="21"/>
                <w:u w:val="none"/>
                <w:lang w:val="en-US" w:eastAsia="zh-CN" w:bidi="ar"/>
              </w:rPr>
              <w:t>，不限定公司</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14:paraId="79F92D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5</w:t>
            </w:r>
          </w:p>
        </w:tc>
        <w:tc>
          <w:tcPr>
            <w:tcW w:w="1080" w:type="dxa"/>
            <w:tcBorders>
              <w:top w:val="nil"/>
              <w:left w:val="nil"/>
              <w:bottom w:val="single" w:color="000000" w:sz="8" w:space="0"/>
              <w:right w:val="single" w:color="000000" w:sz="8" w:space="0"/>
            </w:tcBorders>
            <w:shd w:val="clear" w:color="auto" w:fill="auto"/>
            <w:vAlign w:val="center"/>
          </w:tcPr>
          <w:p w14:paraId="04D03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客观</w:t>
            </w:r>
          </w:p>
        </w:tc>
      </w:tr>
      <w:tr w14:paraId="0576C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375F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.4</w:t>
            </w:r>
          </w:p>
        </w:tc>
        <w:tc>
          <w:tcPr>
            <w:tcW w:w="1080" w:type="dxa"/>
            <w:tcBorders>
              <w:top w:val="nil"/>
              <w:left w:val="nil"/>
              <w:bottom w:val="nil"/>
              <w:right w:val="single" w:color="000000" w:sz="8" w:space="0"/>
            </w:tcBorders>
            <w:shd w:val="clear" w:color="auto" w:fill="auto"/>
            <w:vAlign w:val="center"/>
          </w:tcPr>
          <w:p w14:paraId="4E5AF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3765" w:type="dxa"/>
            <w:tcBorders>
              <w:top w:val="nil"/>
              <w:left w:val="nil"/>
              <w:bottom w:val="nil"/>
              <w:right w:val="single" w:color="000000" w:sz="8" w:space="0"/>
            </w:tcBorders>
            <w:shd w:val="clear" w:color="auto" w:fill="auto"/>
            <w:vAlign w:val="center"/>
          </w:tcPr>
          <w:p w14:paraId="047EE3C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公寓主管、楼宇主管、客服主管、保洁主管、绿化主管（</w:t>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分）</w:t>
            </w:r>
          </w:p>
          <w:p w14:paraId="28466E6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、每个人员具有2年及以上</w:t>
            </w:r>
            <w:r>
              <w:rPr>
                <w:rFonts w:hint="eastAsia" w:ascii="宋体" w:hAnsi="宋体" w:cs="宋体"/>
                <w:i w:val="0"/>
                <w:iCs w:val="0"/>
                <w:color w:val="000000"/>
                <w:kern w:val="0"/>
                <w:sz w:val="21"/>
                <w:szCs w:val="21"/>
                <w:u w:val="none"/>
                <w:lang w:val="en-US" w:eastAsia="zh-CN" w:bidi="ar"/>
              </w:rPr>
              <w:t>同类</w:t>
            </w:r>
            <w:r>
              <w:rPr>
                <w:rFonts w:hint="eastAsia" w:ascii="宋体" w:hAnsi="宋体" w:eastAsia="宋体" w:cs="宋体"/>
                <w:i w:val="0"/>
                <w:iCs w:val="0"/>
                <w:color w:val="000000"/>
                <w:kern w:val="0"/>
                <w:sz w:val="21"/>
                <w:szCs w:val="21"/>
                <w:u w:val="none"/>
                <w:lang w:val="en-US" w:eastAsia="zh-CN" w:bidi="ar"/>
              </w:rPr>
              <w:t>物业管理（需对应公寓、楼宇、客服、保洁、绿化业务模块）服务经验，每个人得</w:t>
            </w:r>
            <w:r>
              <w:rPr>
                <w:rFonts w:hint="eastAsia"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分，共计</w:t>
            </w:r>
            <w:r>
              <w:rPr>
                <w:rFonts w:hint="eastAsia"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（需提供两年的物业公司社保</w:t>
            </w:r>
            <w:r>
              <w:rPr>
                <w:rFonts w:hint="eastAsia" w:ascii="宋体" w:hAnsi="宋体" w:cs="宋体"/>
                <w:i w:val="0"/>
                <w:iCs w:val="0"/>
                <w:color w:val="000000"/>
                <w:kern w:val="0"/>
                <w:sz w:val="21"/>
                <w:szCs w:val="21"/>
                <w:u w:val="none"/>
                <w:lang w:val="en-US" w:eastAsia="zh-CN" w:bidi="ar"/>
              </w:rPr>
              <w:t>，不限定公司</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w:t>
            </w:r>
          </w:p>
          <w:p w14:paraId="2816F2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注：须提供相关证明资料及</w:t>
            </w:r>
            <w:r>
              <w:rPr>
                <w:rFonts w:hint="eastAsia" w:ascii="宋体" w:hAnsi="宋体" w:cs="宋体"/>
                <w:i w:val="0"/>
                <w:iCs w:val="0"/>
                <w:color w:val="000000"/>
                <w:kern w:val="0"/>
                <w:sz w:val="21"/>
                <w:szCs w:val="21"/>
                <w:u w:val="none"/>
                <w:lang w:val="en-US" w:eastAsia="zh-CN" w:bidi="ar"/>
              </w:rPr>
              <w:t>投标单位</w:t>
            </w:r>
            <w:r>
              <w:rPr>
                <w:rFonts w:hint="eastAsia" w:ascii="宋体" w:hAnsi="宋体" w:eastAsia="宋体" w:cs="宋体"/>
                <w:i w:val="0"/>
                <w:iCs w:val="0"/>
                <w:color w:val="000000"/>
                <w:kern w:val="0"/>
                <w:sz w:val="21"/>
                <w:szCs w:val="21"/>
                <w:u w:val="none"/>
                <w:lang w:val="en-US" w:eastAsia="zh-CN" w:bidi="ar"/>
              </w:rPr>
              <w:t>近</w:t>
            </w:r>
            <w:r>
              <w:rPr>
                <w:rFonts w:hint="eastAsia" w:cs="Times New Roman"/>
                <w:i w:val="0"/>
                <w:iCs w:val="0"/>
                <w:color w:val="000000"/>
                <w:kern w:val="0"/>
                <w:sz w:val="21"/>
                <w:szCs w:val="21"/>
                <w:u w:val="none"/>
                <w:lang w:val="en-US" w:eastAsia="zh-CN" w:bidi="ar"/>
              </w:rPr>
              <w:t>六</w:t>
            </w:r>
            <w:r>
              <w:rPr>
                <w:rFonts w:hint="eastAsia" w:ascii="宋体" w:hAnsi="宋体" w:eastAsia="宋体" w:cs="宋体"/>
                <w:i w:val="0"/>
                <w:iCs w:val="0"/>
                <w:color w:val="000000"/>
                <w:kern w:val="0"/>
                <w:sz w:val="21"/>
                <w:szCs w:val="21"/>
                <w:u w:val="none"/>
                <w:lang w:val="en-US" w:eastAsia="zh-CN" w:bidi="ar"/>
              </w:rPr>
              <w:t>个月内任意一个月的社保证明，未提供不得分。</w:t>
            </w:r>
          </w:p>
        </w:tc>
        <w:tc>
          <w:tcPr>
            <w:tcW w:w="1080" w:type="dxa"/>
            <w:tcBorders>
              <w:top w:val="nil"/>
              <w:left w:val="nil"/>
              <w:bottom w:val="single" w:color="000000" w:sz="8" w:space="0"/>
              <w:right w:val="single" w:color="000000" w:sz="8" w:space="0"/>
            </w:tcBorders>
            <w:shd w:val="clear" w:color="auto" w:fill="auto"/>
            <w:vAlign w:val="center"/>
          </w:tcPr>
          <w:p w14:paraId="3BEEC4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10</w:t>
            </w:r>
          </w:p>
        </w:tc>
        <w:tc>
          <w:tcPr>
            <w:tcW w:w="1080" w:type="dxa"/>
            <w:tcBorders>
              <w:top w:val="nil"/>
              <w:left w:val="nil"/>
              <w:bottom w:val="single" w:color="000000" w:sz="8" w:space="0"/>
              <w:right w:val="single" w:color="000000" w:sz="8" w:space="0"/>
            </w:tcBorders>
            <w:shd w:val="clear" w:color="auto" w:fill="auto"/>
            <w:vAlign w:val="center"/>
          </w:tcPr>
          <w:p w14:paraId="1EFC75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客观</w:t>
            </w:r>
          </w:p>
        </w:tc>
      </w:tr>
      <w:tr w14:paraId="74D9A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080" w:type="dxa"/>
            <w:tcBorders>
              <w:top w:val="nil"/>
              <w:left w:val="single" w:color="000000" w:sz="8" w:space="0"/>
              <w:bottom w:val="nil"/>
              <w:right w:val="single" w:color="000000" w:sz="8" w:space="0"/>
            </w:tcBorders>
            <w:shd w:val="clear" w:color="auto" w:fill="auto"/>
            <w:vAlign w:val="center"/>
          </w:tcPr>
          <w:p w14:paraId="61F1C4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.5</w:t>
            </w:r>
          </w:p>
        </w:tc>
        <w:tc>
          <w:tcPr>
            <w:tcW w:w="1080" w:type="dxa"/>
            <w:tcBorders>
              <w:top w:val="single" w:color="000000" w:sz="8" w:space="0"/>
              <w:left w:val="nil"/>
              <w:bottom w:val="nil"/>
              <w:right w:val="single" w:color="000000" w:sz="8" w:space="0"/>
            </w:tcBorders>
            <w:shd w:val="clear" w:color="auto" w:fill="auto"/>
            <w:vAlign w:val="center"/>
          </w:tcPr>
          <w:p w14:paraId="27AC94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3765" w:type="dxa"/>
            <w:tcBorders>
              <w:top w:val="single" w:color="000000" w:sz="8" w:space="0"/>
              <w:left w:val="nil"/>
              <w:bottom w:val="nil"/>
              <w:right w:val="single" w:color="000000" w:sz="8" w:space="0"/>
            </w:tcBorders>
            <w:shd w:val="clear" w:color="auto" w:fill="auto"/>
            <w:vAlign w:val="center"/>
          </w:tcPr>
          <w:p w14:paraId="2BEDA55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其他服务人员（</w:t>
            </w:r>
            <w:r>
              <w:rPr>
                <w:rFonts w:hint="eastAsia"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w:t>
            </w:r>
          </w:p>
          <w:p w14:paraId="5D8D08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其他服务人员数量及证书要求符合招标文件的，得</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cs="宋体"/>
                <w:i w:val="0"/>
                <w:iCs w:val="0"/>
                <w:color w:val="000000"/>
                <w:kern w:val="0"/>
                <w:sz w:val="21"/>
                <w:szCs w:val="21"/>
                <w:u w:val="none"/>
                <w:lang w:val="en-US" w:eastAsia="zh-CN" w:bidi="ar"/>
              </w:rPr>
              <w:t>。（需投标人给出书面承诺函，满足需求文件中的人员配置要求）</w:t>
            </w:r>
            <w:r>
              <w:rPr>
                <w:rFonts w:hint="eastAsia" w:ascii="宋体" w:hAnsi="宋体" w:eastAsia="宋体" w:cs="宋体"/>
                <w:i w:val="0"/>
                <w:iCs w:val="0"/>
                <w:color w:val="000000"/>
                <w:kern w:val="0"/>
                <w:sz w:val="21"/>
                <w:szCs w:val="21"/>
                <w:u w:val="none"/>
                <w:lang w:val="en-US" w:eastAsia="zh-CN" w:bidi="ar"/>
              </w:rPr>
              <w:t>。</w:t>
            </w:r>
          </w:p>
        </w:tc>
        <w:tc>
          <w:tcPr>
            <w:tcW w:w="1080" w:type="dxa"/>
            <w:tcBorders>
              <w:top w:val="nil"/>
              <w:left w:val="nil"/>
              <w:bottom w:val="nil"/>
              <w:right w:val="single" w:color="000000" w:sz="8" w:space="0"/>
            </w:tcBorders>
            <w:shd w:val="clear" w:color="auto" w:fill="auto"/>
            <w:vAlign w:val="center"/>
          </w:tcPr>
          <w:p w14:paraId="6AFFFC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3</w:t>
            </w:r>
          </w:p>
        </w:tc>
        <w:tc>
          <w:tcPr>
            <w:tcW w:w="1080" w:type="dxa"/>
            <w:tcBorders>
              <w:top w:val="nil"/>
              <w:left w:val="nil"/>
              <w:bottom w:val="nil"/>
              <w:right w:val="single" w:color="000000" w:sz="8" w:space="0"/>
            </w:tcBorders>
            <w:shd w:val="clear" w:color="auto" w:fill="auto"/>
            <w:vAlign w:val="center"/>
          </w:tcPr>
          <w:p w14:paraId="4F6A9D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客观</w:t>
            </w:r>
          </w:p>
        </w:tc>
      </w:tr>
      <w:tr w14:paraId="00AB2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9AF2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6</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73E4C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3765" w:type="dxa"/>
            <w:tcBorders>
              <w:top w:val="single" w:color="000000" w:sz="8" w:space="0"/>
              <w:left w:val="nil"/>
              <w:bottom w:val="single" w:color="000000" w:sz="8" w:space="0"/>
              <w:right w:val="single" w:color="000000" w:sz="8" w:space="0"/>
            </w:tcBorders>
            <w:shd w:val="clear" w:color="auto" w:fill="auto"/>
            <w:vAlign w:val="top"/>
          </w:tcPr>
          <w:p w14:paraId="7455CD73">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投标人做好管理工作的交接以及对项目的合理化建议和做法。依据招标文件及甲方需求酌情打分（评分范围2，1，0）</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647136C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712C4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主观</w:t>
            </w:r>
          </w:p>
        </w:tc>
      </w:tr>
      <w:tr w14:paraId="58A4B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75E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7</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4173D0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3765" w:type="dxa"/>
            <w:tcBorders>
              <w:top w:val="single" w:color="000000" w:sz="8" w:space="0"/>
              <w:left w:val="nil"/>
              <w:bottom w:val="single" w:color="000000" w:sz="8" w:space="0"/>
              <w:right w:val="single" w:color="000000" w:sz="8" w:space="0"/>
            </w:tcBorders>
            <w:shd w:val="clear" w:color="auto" w:fill="auto"/>
            <w:vAlign w:val="top"/>
          </w:tcPr>
          <w:p w14:paraId="546B70C2">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投标人为本项目所能提供的相关机械设备、器材、物资配备情况。（评分范围3，2，1，0）</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2C1882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370E63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主观</w:t>
            </w:r>
          </w:p>
        </w:tc>
      </w:tr>
      <w:tr w14:paraId="1D83A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950B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8</w:t>
            </w:r>
          </w:p>
        </w:tc>
        <w:tc>
          <w:tcPr>
            <w:tcW w:w="1080" w:type="dxa"/>
            <w:tcBorders>
              <w:top w:val="single" w:color="000000" w:sz="8" w:space="0"/>
              <w:left w:val="nil"/>
              <w:bottom w:val="single" w:color="000000" w:sz="8" w:space="0"/>
              <w:right w:val="nil"/>
            </w:tcBorders>
            <w:shd w:val="clear" w:color="auto" w:fill="auto"/>
            <w:vAlign w:val="center"/>
          </w:tcPr>
          <w:p w14:paraId="4286F4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3765" w:type="dxa"/>
            <w:tcBorders>
              <w:top w:val="single" w:color="000000" w:sz="8" w:space="0"/>
              <w:left w:val="single" w:color="000000" w:sz="8" w:space="0"/>
              <w:bottom w:val="single" w:color="000000" w:sz="8" w:space="0"/>
              <w:right w:val="single" w:color="000000" w:sz="8" w:space="0"/>
            </w:tcBorders>
            <w:shd w:val="clear" w:color="auto" w:fill="auto"/>
            <w:vAlign w:val="top"/>
          </w:tcPr>
          <w:p w14:paraId="23B721A1">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投标人的内部管理情况</w:t>
            </w:r>
          </w:p>
          <w:p w14:paraId="0B5F6112">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）内部管理制度和质量控制标准情况，是否具有完善规章制度和保障措施。（最高</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w:t>
            </w:r>
          </w:p>
          <w:p w14:paraId="3EA1C35A">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2）实行信息化管理等情况。（最高</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w:t>
            </w:r>
          </w:p>
          <w:p w14:paraId="21B87941">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（评分范围4，3，2，1，0）</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3F35D8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7C261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主观</w:t>
            </w:r>
          </w:p>
        </w:tc>
      </w:tr>
      <w:tr w14:paraId="6C9D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6AA85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9</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0F922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3765" w:type="dxa"/>
            <w:tcBorders>
              <w:top w:val="nil"/>
              <w:left w:val="nil"/>
              <w:bottom w:val="single" w:color="000000" w:sz="8" w:space="0"/>
              <w:right w:val="single" w:color="000000" w:sz="8" w:space="0"/>
            </w:tcBorders>
            <w:shd w:val="clear" w:color="auto" w:fill="auto"/>
            <w:vAlign w:val="top"/>
          </w:tcPr>
          <w:p w14:paraId="37D01D97">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投标人提供的服务承诺和优惠措施：项目管理、质量保证和其他方面等所做的承诺及保证措施等。（评分范围3，2，1，0）</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7C9EAB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4292C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主观</w:t>
            </w:r>
          </w:p>
        </w:tc>
      </w:tr>
      <w:tr w14:paraId="1191F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FA54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0</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0A1849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商务资信</w:t>
            </w:r>
          </w:p>
        </w:tc>
        <w:tc>
          <w:tcPr>
            <w:tcW w:w="3765" w:type="dxa"/>
            <w:tcBorders>
              <w:top w:val="single" w:color="000000" w:sz="8" w:space="0"/>
              <w:left w:val="nil"/>
              <w:bottom w:val="single" w:color="000000" w:sz="8" w:space="0"/>
              <w:right w:val="single" w:color="000000" w:sz="8" w:space="0"/>
            </w:tcBorders>
            <w:shd w:val="clear" w:color="auto" w:fill="auto"/>
            <w:vAlign w:val="center"/>
          </w:tcPr>
          <w:p w14:paraId="419BD6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投标人提供整体经营情况、技术力量及相关证明材料等情况（详见商务要求表）。</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62346F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25AD3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客观</w:t>
            </w:r>
          </w:p>
        </w:tc>
      </w:tr>
      <w:tr w14:paraId="023EB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F4F6E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63B0E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商务资信</w:t>
            </w:r>
          </w:p>
        </w:tc>
        <w:tc>
          <w:tcPr>
            <w:tcW w:w="3765" w:type="dxa"/>
            <w:tcBorders>
              <w:top w:val="single" w:color="000000" w:sz="8" w:space="0"/>
              <w:left w:val="nil"/>
              <w:bottom w:val="single" w:color="000000" w:sz="8" w:space="0"/>
              <w:right w:val="single" w:color="000000" w:sz="8" w:space="0"/>
            </w:tcBorders>
            <w:shd w:val="clear" w:color="auto" w:fill="auto"/>
            <w:vAlign w:val="top"/>
          </w:tcPr>
          <w:p w14:paraId="3104180D">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投标人提供类似项目成功经验（详见商务要求表）。</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1BFA4A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29888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客观</w:t>
            </w:r>
          </w:p>
        </w:tc>
      </w:tr>
    </w:tbl>
    <w:p w14:paraId="72407265">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4"/>
    </w:p>
    <w:p w14:paraId="28591C0C">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2DAF2252">
      <w:pPr>
        <w:spacing w:after="312" w:afterLines="100" w:line="340" w:lineRule="exact"/>
        <w:jc w:val="both"/>
        <w:outlineLvl w:val="0"/>
        <w:rPr>
          <w:rFonts w:hAnsi="宋体"/>
          <w:b/>
          <w:color w:val="000000" w:themeColor="text1"/>
          <w:sz w:val="36"/>
          <w:szCs w:val="36"/>
          <w14:textFill>
            <w14:solidFill>
              <w14:schemeClr w14:val="tx1"/>
            </w14:solidFill>
          </w14:textFill>
        </w:rPr>
      </w:pPr>
    </w:p>
    <w:p w14:paraId="39E96BB9">
      <w:pPr>
        <w:spacing w:after="312" w:afterLines="100" w:line="340" w:lineRule="exact"/>
        <w:jc w:val="center"/>
        <w:outlineLvl w:val="0"/>
        <w:rPr>
          <w:rFonts w:hAnsi="宋体"/>
          <w:b/>
          <w:color w:val="000000" w:themeColor="text1"/>
          <w:sz w:val="36"/>
          <w:szCs w:val="36"/>
          <w14:textFill>
            <w14:solidFill>
              <w14:schemeClr w14:val="tx1"/>
            </w14:solidFill>
          </w14:textFill>
        </w:rPr>
      </w:pPr>
      <w:bookmarkStart w:id="25" w:name="_Toc24960"/>
      <w:r>
        <w:rPr>
          <w:rFonts w:hint="eastAsia" w:hAnsi="宋体"/>
          <w:b/>
          <w:color w:val="000000" w:themeColor="text1"/>
          <w:sz w:val="36"/>
          <w:szCs w:val="36"/>
          <w14:textFill>
            <w14:solidFill>
              <w14:schemeClr w14:val="tx1"/>
            </w14:solidFill>
          </w14:textFill>
        </w:rPr>
        <w:t>第四章招标需求</w:t>
      </w:r>
      <w:bookmarkEnd w:id="23"/>
      <w:bookmarkEnd w:id="25"/>
    </w:p>
    <w:p w14:paraId="1023AD37">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58CEC0C3">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09667001">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4D8B6C26">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177492CF">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r>
        <w:rPr>
          <w:rFonts w:hint="eastAsia" w:ascii="仿宋" w:hAnsi="仿宋" w:eastAsia="仿宋"/>
          <w:b/>
          <w:color w:val="000000" w:themeColor="text1"/>
          <w:sz w:val="28"/>
          <w:szCs w:val="28"/>
          <w:lang w:eastAsia="zh-CN"/>
          <w14:textFill>
            <w14:solidFill>
              <w14:schemeClr w14:val="tx1"/>
            </w14:solidFill>
          </w14:textFill>
        </w:rPr>
        <w:t>。</w:t>
      </w:r>
    </w:p>
    <w:p w14:paraId="1D5DF8D7">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2C2D84EE">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3A6CE81B">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bookmarkStart w:id="26" w:name="_Toc26308"/>
      <w:bookmarkStart w:id="27" w:name="_Toc496796639"/>
    </w:p>
    <w:p w14:paraId="7A159F54">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1686DF5D">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641CFAE9">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7E98A477">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4831AE8E">
      <w:pPr>
        <w:pStyle w:val="31"/>
        <w:spacing w:before="156" w:after="156" w:line="360" w:lineRule="auto"/>
        <w:jc w:val="both"/>
        <w:outlineLvl w:val="0"/>
        <w:rPr>
          <w:rFonts w:hint="eastAsia" w:hAnsi="宋体"/>
          <w:b/>
          <w:color w:val="000000" w:themeColor="text1"/>
          <w:sz w:val="36"/>
          <w:szCs w:val="36"/>
          <w14:textFill>
            <w14:solidFill>
              <w14:schemeClr w14:val="tx1"/>
            </w14:solidFill>
          </w14:textFill>
        </w:rPr>
      </w:pPr>
    </w:p>
    <w:p w14:paraId="0EA4EE01">
      <w:pPr>
        <w:shd w:val="clear"/>
        <w:autoSpaceDE w:val="0"/>
        <w:autoSpaceDN w:val="0"/>
        <w:adjustRightInd w:val="0"/>
        <w:spacing w:line="360" w:lineRule="auto"/>
        <w:jc w:val="center"/>
        <w:outlineLvl w:val="0"/>
        <w:rPr>
          <w:rFonts w:ascii="Calibri" w:hAnsi="Calibri" w:eastAsia="隶书" w:cs="Times New Roman"/>
          <w:b/>
          <w:bCs/>
          <w:kern w:val="0"/>
          <w:sz w:val="36"/>
          <w:szCs w:val="36"/>
        </w:rPr>
      </w:pPr>
      <w:bookmarkStart w:id="28" w:name="_Toc97303131"/>
      <w:bookmarkStart w:id="29" w:name="_Toc89023950"/>
      <w:bookmarkStart w:id="30" w:name="_Toc90475275"/>
      <w:bookmarkStart w:id="31" w:name="PO_TDCUS_ITEM_PB_REQ_FILE_1_1"/>
      <w:r>
        <w:rPr>
          <w:rFonts w:hint="eastAsia" w:ascii="Calibri" w:hAnsi="Calibri" w:eastAsia="隶书" w:cs="Times New Roman"/>
          <w:b/>
          <w:bCs/>
          <w:kern w:val="0"/>
          <w:sz w:val="36"/>
          <w:szCs w:val="36"/>
        </w:rPr>
        <w:t>物业概况</w:t>
      </w:r>
      <w:bookmarkEnd w:id="28"/>
    </w:p>
    <w:p w14:paraId="2D0CEA38">
      <w:pPr>
        <w:widowControl/>
        <w:shd w:val="clear" w:color="auto"/>
        <w:spacing w:line="420" w:lineRule="atLeast"/>
        <w:ind w:firstLine="480" w:firstLineChars="200"/>
        <w:jc w:val="left"/>
        <w:rPr>
          <w:rFonts w:ascii="宋体" w:hAnsi="宋体" w:eastAsia="宋体" w:cs="宋体"/>
          <w:kern w:val="0"/>
          <w:sz w:val="24"/>
          <w:szCs w:val="24"/>
          <w:highlight w:val="yellow"/>
        </w:rPr>
      </w:pPr>
      <w:r>
        <w:rPr>
          <w:rFonts w:hint="eastAsia" w:ascii="宋体" w:hAnsi="宋体" w:eastAsia="宋体" w:cs="宋体"/>
          <w:kern w:val="0"/>
          <w:sz w:val="24"/>
          <w:szCs w:val="24"/>
        </w:rPr>
        <w:t>浙江理工大学临平校区，以下简称临平校区，位于临平区，南至康泰路，北至</w:t>
      </w:r>
      <w:r>
        <w:rPr>
          <w:rFonts w:hint="eastAsia" w:ascii="宋体" w:hAnsi="宋体" w:eastAsia="宋体" w:cs="宋体"/>
          <w:kern w:val="0"/>
          <w:sz w:val="24"/>
          <w:szCs w:val="24"/>
          <w:lang w:val="en-US" w:eastAsia="zh-CN"/>
        </w:rPr>
        <w:t>道圣</w:t>
      </w:r>
      <w:r>
        <w:rPr>
          <w:rFonts w:hint="eastAsia" w:ascii="宋体" w:hAnsi="宋体" w:eastAsia="宋体" w:cs="宋体"/>
          <w:kern w:val="0"/>
          <w:sz w:val="24"/>
          <w:szCs w:val="24"/>
        </w:rPr>
        <w:t>路，东至东湖北路，西至华宁路。校内规划有一条水系、一个湖泊。总建筑面积约</w:t>
      </w:r>
      <w:r>
        <w:rPr>
          <w:rFonts w:ascii="宋体" w:hAnsi="宋体" w:eastAsia="宋体" w:cs="宋体"/>
          <w:kern w:val="0"/>
          <w:sz w:val="24"/>
          <w:szCs w:val="24"/>
        </w:rPr>
        <w:t>300686</w:t>
      </w:r>
      <w:r>
        <w:rPr>
          <w:rFonts w:hint="eastAsia" w:ascii="宋体" w:hAnsi="宋体" w:eastAsia="宋体" w:cs="宋体"/>
          <w:kern w:val="0"/>
          <w:sz w:val="24"/>
          <w:szCs w:val="24"/>
        </w:rPr>
        <w:t>㎡，地上建筑面积约</w:t>
      </w:r>
      <w:r>
        <w:rPr>
          <w:rFonts w:ascii="宋体" w:hAnsi="宋体" w:eastAsia="宋体" w:cs="宋体"/>
          <w:kern w:val="0"/>
          <w:sz w:val="24"/>
          <w:szCs w:val="24"/>
        </w:rPr>
        <w:t>273249</w:t>
      </w:r>
      <w:r>
        <w:rPr>
          <w:rFonts w:hint="eastAsia" w:ascii="宋体" w:hAnsi="宋体" w:eastAsia="宋体" w:cs="宋体"/>
          <w:kern w:val="0"/>
          <w:sz w:val="24"/>
          <w:szCs w:val="24"/>
        </w:rPr>
        <w:t>㎡，地下建筑面积约</w:t>
      </w:r>
      <w:r>
        <w:rPr>
          <w:rFonts w:ascii="宋体" w:hAnsi="宋体" w:eastAsia="宋体" w:cs="宋体"/>
          <w:kern w:val="0"/>
          <w:sz w:val="24"/>
          <w:szCs w:val="24"/>
        </w:rPr>
        <w:t>27437</w:t>
      </w:r>
      <w:r>
        <w:rPr>
          <w:rFonts w:hint="eastAsia" w:ascii="宋体" w:hAnsi="宋体" w:eastAsia="宋体" w:cs="宋体"/>
          <w:kern w:val="0"/>
          <w:sz w:val="24"/>
          <w:szCs w:val="24"/>
        </w:rPr>
        <w:t>㎡，绿地面积约</w:t>
      </w:r>
      <w:r>
        <w:rPr>
          <w:rFonts w:ascii="宋体" w:hAnsi="宋体" w:eastAsia="宋体" w:cs="宋体"/>
          <w:kern w:val="0"/>
          <w:sz w:val="24"/>
          <w:szCs w:val="24"/>
        </w:rPr>
        <w:t>110037</w:t>
      </w:r>
      <w:r>
        <w:rPr>
          <w:rFonts w:hint="eastAsia" w:ascii="宋体" w:hAnsi="宋体" w:eastAsia="宋体" w:cs="宋体"/>
          <w:kern w:val="0"/>
          <w:sz w:val="24"/>
          <w:szCs w:val="24"/>
        </w:rPr>
        <w:t>㎡。共建有建筑物、构筑物</w:t>
      </w:r>
      <w:r>
        <w:rPr>
          <w:rFonts w:ascii="宋体" w:hAnsi="宋体" w:eastAsia="宋体" w:cs="宋体"/>
          <w:kern w:val="0"/>
          <w:sz w:val="24"/>
          <w:szCs w:val="24"/>
        </w:rPr>
        <w:t>1</w:t>
      </w:r>
      <w:r>
        <w:rPr>
          <w:rFonts w:hint="eastAsia" w:ascii="宋体" w:hAnsi="宋体" w:eastAsia="宋体" w:cs="宋体"/>
          <w:kern w:val="0"/>
          <w:sz w:val="24"/>
          <w:szCs w:val="24"/>
        </w:rPr>
        <w:t>9</w:t>
      </w:r>
      <w:r>
        <w:rPr>
          <w:rFonts w:ascii="宋体" w:hAnsi="宋体" w:eastAsia="宋体" w:cs="宋体"/>
          <w:kern w:val="0"/>
          <w:sz w:val="24"/>
          <w:szCs w:val="24"/>
        </w:rPr>
        <w:t>幢，</w:t>
      </w:r>
      <w:r>
        <w:rPr>
          <w:rFonts w:hint="eastAsia" w:ascii="宋体" w:hAnsi="宋体" w:eastAsia="宋体" w:cs="宋体"/>
          <w:kern w:val="0"/>
          <w:sz w:val="24"/>
          <w:szCs w:val="24"/>
        </w:rPr>
        <w:t>本项目需要提供物业服务的构筑物为</w:t>
      </w:r>
      <w:r>
        <w:rPr>
          <w:rFonts w:ascii="宋体" w:hAnsi="宋体" w:eastAsia="宋体" w:cs="宋体"/>
          <w:kern w:val="0"/>
          <w:sz w:val="24"/>
          <w:szCs w:val="24"/>
        </w:rPr>
        <w:t>1</w:t>
      </w:r>
      <w:r>
        <w:rPr>
          <w:rFonts w:hint="eastAsia" w:ascii="宋体" w:hAnsi="宋体" w:eastAsia="宋体" w:cs="宋体"/>
          <w:kern w:val="0"/>
          <w:sz w:val="24"/>
          <w:szCs w:val="24"/>
        </w:rPr>
        <w:t>7</w:t>
      </w:r>
      <w:r>
        <w:rPr>
          <w:rFonts w:ascii="宋体" w:hAnsi="宋体" w:eastAsia="宋体" w:cs="宋体"/>
          <w:kern w:val="0"/>
          <w:sz w:val="24"/>
          <w:szCs w:val="24"/>
        </w:rPr>
        <w:t>幢，</w:t>
      </w:r>
      <w:r>
        <w:rPr>
          <w:rFonts w:hint="eastAsia" w:ascii="宋体" w:hAnsi="宋体" w:eastAsia="宋体" w:cs="宋体"/>
          <w:kern w:val="0"/>
          <w:sz w:val="24"/>
          <w:szCs w:val="24"/>
        </w:rPr>
        <w:t>具体建筑列表见附件1。</w:t>
      </w:r>
    </w:p>
    <w:p w14:paraId="236BEAB7">
      <w:pPr>
        <w:widowControl/>
        <w:shd w:val="clear" w:color="auto"/>
        <w:spacing w:line="420" w:lineRule="atLeast"/>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eastAsia="zh-CN"/>
        </w:rPr>
        <w:t>中标单位</w:t>
      </w:r>
      <w:r>
        <w:rPr>
          <w:rFonts w:hint="eastAsia" w:ascii="宋体" w:hAnsi="宋体" w:eastAsia="宋体" w:cs="宋体"/>
          <w:kern w:val="0"/>
          <w:sz w:val="24"/>
          <w:szCs w:val="24"/>
        </w:rPr>
        <w:t>负责校区整体楼宇管理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学生公寓服务管理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校区保洁、公共设备运行管理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设备设施维修</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绿化养护</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水系湖泊管理</w:t>
      </w:r>
      <w:r>
        <w:rPr>
          <w:rFonts w:hint="eastAsia" w:ascii="宋体" w:hAnsi="宋体" w:eastAsia="宋体" w:cs="宋体"/>
          <w:kern w:val="0"/>
          <w:sz w:val="24"/>
          <w:szCs w:val="24"/>
        </w:rPr>
        <w:t>等。所有物业服务均指校方学校内设施设备等保质期外的服务，具体质保到期情况见附件2</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本项目配备物业人员最低标准为143人，具体见附件3.</w:t>
      </w:r>
    </w:p>
    <w:p w14:paraId="6A5463D9">
      <w:pPr>
        <w:shd w:val="clear"/>
        <w:autoSpaceDE w:val="0"/>
        <w:autoSpaceDN w:val="0"/>
        <w:adjustRightInd w:val="0"/>
        <w:spacing w:line="360" w:lineRule="auto"/>
        <w:jc w:val="center"/>
        <w:outlineLvl w:val="0"/>
        <w:rPr>
          <w:rFonts w:ascii="Calibri" w:hAnsi="Calibri" w:eastAsia="隶书" w:cs="Times New Roman"/>
          <w:b/>
          <w:bCs/>
          <w:kern w:val="0"/>
          <w:sz w:val="36"/>
          <w:szCs w:val="36"/>
        </w:rPr>
      </w:pPr>
      <w:bookmarkStart w:id="32" w:name="_Toc97303132"/>
      <w:r>
        <w:rPr>
          <w:rFonts w:ascii="Calibri" w:hAnsi="Calibri" w:eastAsia="隶书" w:cs="Times New Roman"/>
          <w:b/>
          <w:bCs/>
          <w:kern w:val="0"/>
          <w:sz w:val="36"/>
          <w:szCs w:val="36"/>
        </w:rPr>
        <w:t>总体管理要求</w:t>
      </w:r>
      <w:bookmarkEnd w:id="32"/>
    </w:p>
    <w:p w14:paraId="6F89F170">
      <w:pPr>
        <w:shd w:val="clear"/>
        <w:ind w:firstLine="420" w:firstLineChars="200"/>
        <w:rPr>
          <w:rFonts w:hint="eastAsia" w:ascii="宋体" w:hAnsi="宋体" w:eastAsia="宋体" w:cs="Times New Roman"/>
          <w:snapToGrid w:val="0"/>
          <w:kern w:val="0"/>
        </w:rPr>
      </w:pPr>
      <w:r>
        <w:rPr>
          <w:rFonts w:hint="eastAsia" w:ascii="宋体" w:hAnsi="宋体" w:eastAsia="宋体" w:cs="Times New Roman"/>
          <w:snapToGrid w:val="0"/>
          <w:kern w:val="0"/>
          <w:lang w:val="en-US" w:eastAsia="zh-CN"/>
        </w:rPr>
        <w:t>1.</w:t>
      </w:r>
      <w:r>
        <w:rPr>
          <w:rFonts w:hint="eastAsia" w:ascii="宋体" w:hAnsi="宋体" w:eastAsia="宋体" w:cs="Times New Roman"/>
          <w:snapToGrid w:val="0"/>
          <w:kern w:val="0"/>
        </w:rPr>
        <w:t>中标单位须严格按承包协议中的质量保证体系做好各项工作，确保各类人员在岗在位、各尽其职，确保服务质量。</w:t>
      </w:r>
    </w:p>
    <w:p w14:paraId="745E696F">
      <w:pPr>
        <w:shd w:val="clear"/>
        <w:ind w:firstLine="420" w:firstLineChars="200"/>
        <w:rPr>
          <w:rFonts w:hint="eastAsia" w:ascii="宋体" w:hAnsi="宋体" w:eastAsia="宋体" w:cs="Times New Roman"/>
          <w:snapToGrid w:val="0"/>
          <w:kern w:val="0"/>
        </w:rPr>
      </w:pPr>
      <w:r>
        <w:rPr>
          <w:rFonts w:hint="eastAsia" w:ascii="宋体" w:hAnsi="宋体" w:eastAsia="宋体" w:cs="Times New Roman"/>
          <w:snapToGrid w:val="0"/>
          <w:kern w:val="0"/>
          <w:lang w:val="en-US" w:eastAsia="zh-CN"/>
        </w:rPr>
        <w:t>2.</w:t>
      </w:r>
      <w:r>
        <w:rPr>
          <w:rFonts w:hint="eastAsia" w:ascii="宋体" w:hAnsi="宋体" w:eastAsia="宋体" w:cs="Times New Roman"/>
          <w:snapToGrid w:val="0"/>
          <w:kern w:val="0"/>
        </w:rPr>
        <w:t>中标单位按《劳动合同法》规定为每位员工办理用工手续，负责支付上岗人员的工资、津贴、社会保险、专项保险及根据国家规定应支付的有关费用。</w:t>
      </w:r>
    </w:p>
    <w:p w14:paraId="5F1AA0A0">
      <w:pPr>
        <w:shd w:val="clear"/>
        <w:ind w:firstLine="420" w:firstLineChars="200"/>
        <w:rPr>
          <w:rFonts w:hint="eastAsia" w:ascii="宋体" w:hAnsi="宋体" w:eastAsia="宋体" w:cs="Times New Roman"/>
          <w:snapToGrid w:val="0"/>
          <w:kern w:val="0"/>
        </w:rPr>
      </w:pPr>
      <w:r>
        <w:rPr>
          <w:rFonts w:hint="eastAsia" w:ascii="宋体" w:hAnsi="宋体" w:eastAsia="宋体" w:cs="Times New Roman"/>
          <w:snapToGrid w:val="0"/>
          <w:kern w:val="0"/>
          <w:lang w:val="en-US" w:eastAsia="zh-CN"/>
        </w:rPr>
        <w:t>3.</w:t>
      </w:r>
      <w:r>
        <w:rPr>
          <w:rFonts w:hint="eastAsia" w:ascii="宋体" w:hAnsi="宋体" w:eastAsia="宋体" w:cs="Times New Roman"/>
          <w:snapToGrid w:val="0"/>
          <w:kern w:val="0"/>
        </w:rPr>
        <w:t>中标单位必须对上岗人员按规定进行岗位培训，并对上岗人员定期进行职业道德教育，端正服务态度，提高服务质量；遵守</w:t>
      </w:r>
      <w:r>
        <w:rPr>
          <w:rFonts w:hint="eastAsia" w:ascii="宋体" w:hAnsi="宋体" w:eastAsia="宋体" w:cs="Times New Roman"/>
          <w:snapToGrid w:val="0"/>
          <w:kern w:val="0"/>
          <w:lang w:eastAsia="zh-CN"/>
        </w:rPr>
        <w:t>学校</w:t>
      </w:r>
      <w:r>
        <w:rPr>
          <w:rFonts w:hint="eastAsia" w:ascii="宋体" w:hAnsi="宋体" w:eastAsia="宋体" w:cs="Times New Roman"/>
          <w:snapToGrid w:val="0"/>
          <w:kern w:val="0"/>
        </w:rPr>
        <w:t>的各项规章制度及工作规范，服从校方管理，接受校方监督、检查和指导，对发现的问题整改及时到位。做好员工的教育管理工作，具有良好的服务态度和意识，不与师生发生冲突，校方有权对违反规定的</w:t>
      </w:r>
      <w:r>
        <w:rPr>
          <w:rFonts w:hint="eastAsia" w:ascii="宋体" w:hAnsi="宋体" w:eastAsia="宋体" w:cs="Times New Roman"/>
          <w:snapToGrid w:val="0"/>
          <w:kern w:val="0"/>
          <w:lang w:eastAsia="zh-CN"/>
        </w:rPr>
        <w:t>中标单位</w:t>
      </w:r>
      <w:r>
        <w:rPr>
          <w:rFonts w:hint="eastAsia" w:ascii="宋体" w:hAnsi="宋体" w:eastAsia="宋体" w:cs="Times New Roman"/>
          <w:snapToGrid w:val="0"/>
          <w:kern w:val="0"/>
        </w:rPr>
        <w:t>及员工进行处理，员工违反规章制度给校方造成损失的由</w:t>
      </w:r>
      <w:r>
        <w:rPr>
          <w:rFonts w:hint="eastAsia" w:ascii="宋体" w:hAnsi="宋体" w:eastAsia="宋体" w:cs="Times New Roman"/>
          <w:snapToGrid w:val="0"/>
          <w:kern w:val="0"/>
          <w:lang w:eastAsia="zh-CN"/>
        </w:rPr>
        <w:t>中标单位</w:t>
      </w:r>
      <w:r>
        <w:rPr>
          <w:rFonts w:hint="eastAsia" w:ascii="宋体" w:hAnsi="宋体" w:eastAsia="宋体" w:cs="Times New Roman"/>
          <w:snapToGrid w:val="0"/>
          <w:kern w:val="0"/>
        </w:rPr>
        <w:t>负责全额赔偿；履行合约前</w:t>
      </w:r>
      <w:r>
        <w:rPr>
          <w:rFonts w:hint="eastAsia" w:ascii="宋体" w:hAnsi="宋体" w:eastAsia="宋体" w:cs="Times New Roman"/>
          <w:snapToGrid w:val="0"/>
          <w:kern w:val="0"/>
          <w:lang w:eastAsia="zh-CN"/>
        </w:rPr>
        <w:t>中标单位</w:t>
      </w:r>
      <w:r>
        <w:rPr>
          <w:rFonts w:hint="eastAsia" w:ascii="宋体" w:hAnsi="宋体" w:eastAsia="宋体" w:cs="Times New Roman"/>
          <w:snapToGrid w:val="0"/>
          <w:kern w:val="0"/>
        </w:rPr>
        <w:t>须将全体工作人员基本情况报校方备案。</w:t>
      </w:r>
    </w:p>
    <w:p w14:paraId="7265A226">
      <w:pPr>
        <w:shd w:val="clear"/>
        <w:ind w:firstLine="420" w:firstLineChars="200"/>
        <w:rPr>
          <w:rFonts w:hint="eastAsia" w:ascii="宋体" w:hAnsi="宋体" w:eastAsia="宋体" w:cs="Times New Roman"/>
          <w:snapToGrid w:val="0"/>
          <w:kern w:val="0"/>
        </w:rPr>
      </w:pPr>
      <w:r>
        <w:rPr>
          <w:rFonts w:hint="eastAsia" w:ascii="宋体" w:hAnsi="宋体" w:eastAsia="宋体" w:cs="Times New Roman"/>
          <w:snapToGrid w:val="0"/>
          <w:kern w:val="0"/>
          <w:lang w:val="en-US" w:eastAsia="zh-CN"/>
        </w:rPr>
        <w:t>4.</w:t>
      </w:r>
      <w:r>
        <w:rPr>
          <w:rFonts w:hint="eastAsia" w:ascii="宋体" w:hAnsi="宋体" w:eastAsia="宋体" w:cs="Times New Roman"/>
          <w:snapToGrid w:val="0"/>
          <w:kern w:val="0"/>
        </w:rPr>
        <w:t>中标单位须在项目内设立管理处，制定各项内部管理制度，并由公司派专职督导人员定期进行现场督导，落实好各项制度。应主动配合</w:t>
      </w:r>
      <w:r>
        <w:rPr>
          <w:rFonts w:hint="eastAsia" w:ascii="宋体" w:hAnsi="宋体" w:eastAsia="宋体" w:cs="Times New Roman"/>
          <w:snapToGrid w:val="0"/>
          <w:kern w:val="0"/>
          <w:lang w:eastAsia="zh-CN"/>
        </w:rPr>
        <w:t>学校</w:t>
      </w:r>
      <w:r>
        <w:rPr>
          <w:rFonts w:hint="eastAsia" w:ascii="宋体" w:hAnsi="宋体" w:eastAsia="宋体" w:cs="Times New Roman"/>
          <w:snapToGrid w:val="0"/>
          <w:kern w:val="0"/>
        </w:rPr>
        <w:t>行政管理工作，服从调度，建立例会制度和专项检查制度，认真听取</w:t>
      </w:r>
      <w:r>
        <w:rPr>
          <w:rFonts w:hint="eastAsia" w:ascii="宋体" w:hAnsi="宋体" w:eastAsia="宋体" w:cs="Times New Roman"/>
          <w:snapToGrid w:val="0"/>
          <w:kern w:val="0"/>
          <w:lang w:eastAsia="zh-CN"/>
        </w:rPr>
        <w:t>学校</w:t>
      </w:r>
      <w:r>
        <w:rPr>
          <w:rFonts w:hint="eastAsia" w:ascii="宋体" w:hAnsi="宋体" w:eastAsia="宋体" w:cs="Times New Roman"/>
          <w:snapToGrid w:val="0"/>
          <w:kern w:val="0"/>
        </w:rPr>
        <w:t>有关部门提出的建议和意见，对在物业服务中出现问题和薄弱环节立即整改。</w:t>
      </w:r>
    </w:p>
    <w:p w14:paraId="29AB8583">
      <w:pPr>
        <w:shd w:val="clear"/>
        <w:ind w:firstLine="420" w:firstLineChars="200"/>
        <w:rPr>
          <w:rFonts w:hint="eastAsia" w:ascii="宋体" w:hAnsi="宋体" w:eastAsia="宋体" w:cs="Times New Roman"/>
          <w:snapToGrid w:val="0"/>
          <w:kern w:val="0"/>
        </w:rPr>
      </w:pPr>
      <w:r>
        <w:rPr>
          <w:rFonts w:hint="eastAsia" w:ascii="宋体" w:hAnsi="宋体" w:eastAsia="宋体" w:cs="Times New Roman"/>
          <w:snapToGrid w:val="0"/>
          <w:kern w:val="0"/>
          <w:lang w:val="en-US" w:eastAsia="zh-CN"/>
        </w:rPr>
        <w:t>5.</w:t>
      </w:r>
      <w:r>
        <w:rPr>
          <w:rFonts w:hint="eastAsia" w:ascii="宋体" w:hAnsi="宋体" w:eastAsia="宋体" w:cs="Times New Roman"/>
          <w:snapToGrid w:val="0"/>
          <w:kern w:val="0"/>
        </w:rPr>
        <w:t>中标单位须确保</w:t>
      </w:r>
      <w:r>
        <w:rPr>
          <w:rFonts w:hint="eastAsia" w:ascii="宋体" w:hAnsi="宋体" w:eastAsia="宋体" w:cs="Times New Roman"/>
          <w:snapToGrid w:val="0"/>
          <w:kern w:val="0"/>
          <w:lang w:val="en-US" w:eastAsia="zh-CN"/>
        </w:rPr>
        <w:t>校方</w:t>
      </w:r>
      <w:r>
        <w:rPr>
          <w:rFonts w:hint="eastAsia" w:ascii="宋体" w:hAnsi="宋体" w:eastAsia="宋体" w:cs="Times New Roman"/>
          <w:snapToGrid w:val="0"/>
          <w:kern w:val="0"/>
        </w:rPr>
        <w:t>设备、设施完好，因员工</w:t>
      </w:r>
      <w:r>
        <w:rPr>
          <w:rFonts w:hint="eastAsia" w:ascii="宋体" w:hAnsi="宋体" w:eastAsia="宋体" w:cs="Times New Roman"/>
          <w:snapToGrid w:val="0"/>
          <w:kern w:val="0"/>
          <w:lang w:val="en-US" w:eastAsia="zh-CN"/>
        </w:rPr>
        <w:t>误操作</w:t>
      </w:r>
      <w:r>
        <w:rPr>
          <w:rFonts w:hint="eastAsia" w:ascii="宋体" w:hAnsi="宋体" w:eastAsia="宋体" w:cs="Times New Roman"/>
          <w:snapToGrid w:val="0"/>
          <w:kern w:val="0"/>
        </w:rPr>
        <w:t>导致设备、设施损坏、丢失应照价赔偿，</w:t>
      </w:r>
      <w:r>
        <w:rPr>
          <w:rFonts w:hint="eastAsia" w:ascii="宋体" w:hAnsi="宋体" w:eastAsia="宋体" w:cs="Times New Roman"/>
          <w:snapToGrid w:val="0"/>
          <w:kern w:val="0"/>
          <w:lang w:val="en-US" w:eastAsia="zh-CN"/>
        </w:rPr>
        <w:t>另外</w:t>
      </w:r>
      <w:r>
        <w:rPr>
          <w:rFonts w:hint="eastAsia" w:ascii="宋体" w:hAnsi="宋体" w:eastAsia="宋体" w:cs="Times New Roman"/>
          <w:snapToGrid w:val="0"/>
          <w:kern w:val="0"/>
        </w:rPr>
        <w:t>应</w:t>
      </w:r>
      <w:r>
        <w:rPr>
          <w:rFonts w:hint="eastAsia" w:ascii="宋体" w:hAnsi="宋体" w:eastAsia="宋体" w:cs="Times New Roman"/>
          <w:snapToGrid w:val="0"/>
          <w:kern w:val="0"/>
          <w:lang w:val="en-US" w:eastAsia="zh-CN"/>
        </w:rPr>
        <w:t>按物业服务要求配备</w:t>
      </w:r>
      <w:r>
        <w:rPr>
          <w:rFonts w:hint="eastAsia" w:ascii="宋体" w:hAnsi="宋体" w:eastAsia="宋体" w:cs="Times New Roman"/>
          <w:snapToGrid w:val="0"/>
          <w:kern w:val="0"/>
        </w:rPr>
        <w:t>先进的机械、工具、车辆和仪器</w:t>
      </w:r>
      <w:r>
        <w:rPr>
          <w:rFonts w:hint="eastAsia" w:ascii="宋体" w:hAnsi="宋体" w:eastAsia="宋体" w:cs="Times New Roman"/>
          <w:snapToGrid w:val="0"/>
          <w:kern w:val="0"/>
          <w:lang w:val="en-US" w:eastAsia="zh-CN"/>
        </w:rPr>
        <w:t>等</w:t>
      </w:r>
      <w:r>
        <w:rPr>
          <w:rFonts w:hint="eastAsia" w:ascii="宋体" w:hAnsi="宋体" w:eastAsia="宋体" w:cs="Times New Roman"/>
          <w:snapToGrid w:val="0"/>
          <w:kern w:val="0"/>
        </w:rPr>
        <w:t>。</w:t>
      </w:r>
    </w:p>
    <w:p w14:paraId="7079F078">
      <w:pPr>
        <w:shd w:val="clear"/>
        <w:ind w:firstLine="420" w:firstLineChars="200"/>
        <w:rPr>
          <w:rFonts w:ascii="宋体" w:hAnsi="宋体" w:eastAsia="宋体" w:cs="Times New Roman"/>
        </w:rPr>
      </w:pPr>
      <w:r>
        <w:rPr>
          <w:rFonts w:hint="eastAsia" w:ascii="宋体" w:hAnsi="宋体" w:eastAsia="宋体" w:cs="Times New Roman"/>
          <w:snapToGrid w:val="0"/>
          <w:kern w:val="0"/>
          <w:lang w:val="en-US" w:eastAsia="zh-CN"/>
        </w:rPr>
        <w:t>6.</w:t>
      </w:r>
      <w:r>
        <w:rPr>
          <w:rFonts w:hint="eastAsia" w:ascii="宋体" w:hAnsi="宋体" w:eastAsia="宋体" w:cs="Times New Roman"/>
          <w:snapToGrid w:val="0"/>
          <w:kern w:val="0"/>
        </w:rPr>
        <w:t>中标单位应根据国务院379号《物业管理条例》、《浙江省高校物业管理行业规范标准》、《浙江省高校文明寝室建设标准》及学校提出的要求及标准，制订物业管理服务响应方案，中标后按服务管理方案及承诺履行物业管理责任。学校按</w:t>
      </w:r>
      <w:r>
        <w:rPr>
          <w:rFonts w:hint="eastAsia" w:ascii="宋体" w:hAnsi="宋体" w:eastAsia="宋体" w:cs="Times New Roman"/>
        </w:rPr>
        <w:t>月、年对中标单位物业管理服务质量进行考核</w:t>
      </w:r>
      <w:r>
        <w:rPr>
          <w:rFonts w:hint="eastAsia" w:ascii="宋体" w:hAnsi="宋体" w:eastAsia="宋体" w:cs="Times New Roman"/>
          <w:lang w:eastAsia="zh-CN"/>
        </w:rPr>
        <w:t>，</w:t>
      </w:r>
      <w:r>
        <w:rPr>
          <w:rFonts w:hint="eastAsia" w:ascii="宋体" w:hAnsi="宋体" w:eastAsia="宋体" w:cs="Times New Roman"/>
          <w:snapToGrid w:val="0"/>
          <w:kern w:val="0"/>
        </w:rPr>
        <w:t>考核结果作为合同款结算依据及中止物业管理合同的依据。</w:t>
      </w:r>
    </w:p>
    <w:p w14:paraId="0C085D3F">
      <w:pPr>
        <w:shd w:val="clear"/>
        <w:ind w:firstLine="420" w:firstLineChars="200"/>
        <w:rPr>
          <w:rFonts w:ascii="宋体" w:hAnsi="宋体" w:eastAsia="宋体" w:cs="宋体"/>
        </w:rPr>
      </w:pPr>
      <w:r>
        <w:rPr>
          <w:rFonts w:hint="eastAsia" w:ascii="宋体" w:hAnsi="宋体" w:eastAsia="宋体" w:cs="宋体"/>
          <w:lang w:val="en-US" w:eastAsia="zh-CN"/>
        </w:rPr>
        <w:t>7.</w:t>
      </w:r>
      <w:r>
        <w:rPr>
          <w:rFonts w:hint="eastAsia" w:ascii="宋体" w:hAnsi="宋体" w:eastAsia="宋体" w:cs="宋体"/>
        </w:rPr>
        <w:t xml:space="preserve">物业管理系统信息化：中标单位应根据校区物业管理的整体要求，落实校方中枢舱式信息化管理模式，建有设施设备巡查系统，从而实现精确的巡检巡检功能,提高在线管理效果，确保设施设备长期的稳定运行。利用校方线上管理软件，对于维修及进度管理、学生公寓管理及调配、会议室借用会务等服务，提出物业服务建议。 </w:t>
      </w:r>
    </w:p>
    <w:p w14:paraId="3A328EE5">
      <w:pPr>
        <w:shd w:val="clear"/>
        <w:ind w:firstLine="420" w:firstLineChars="200"/>
        <w:rPr>
          <w:rFonts w:ascii="宋体" w:hAnsi="宋体" w:eastAsia="宋体" w:cs="宋体"/>
        </w:rPr>
      </w:pPr>
      <w:r>
        <w:rPr>
          <w:rFonts w:hint="eastAsia" w:ascii="宋体" w:hAnsi="宋体" w:eastAsia="宋体" w:cs="宋体"/>
          <w:lang w:val="en-US" w:eastAsia="zh-CN"/>
        </w:rPr>
        <w:t>8.</w:t>
      </w:r>
      <w:r>
        <w:rPr>
          <w:rFonts w:hint="eastAsia" w:ascii="宋体" w:hAnsi="宋体" w:eastAsia="宋体" w:cs="宋体"/>
        </w:rPr>
        <w:t>中标单位物业管理规范化：所制定方案具体措施需满足“绿色校园、平安校园、水环境治理、实现垃圾分类、安全文明标准化作业、机器换人、专业人员持证上岗”等要素。</w:t>
      </w:r>
    </w:p>
    <w:p w14:paraId="5EE987D3">
      <w:pPr>
        <w:shd w:val="clear"/>
        <w:ind w:firstLine="420" w:firstLineChars="200"/>
        <w:rPr>
          <w:rFonts w:ascii="宋体" w:hAnsi="宋体" w:eastAsia="宋体" w:cs="宋体"/>
        </w:rPr>
      </w:pPr>
      <w:r>
        <w:rPr>
          <w:rFonts w:hint="eastAsia" w:ascii="宋体" w:hAnsi="宋体" w:eastAsia="宋体" w:cs="宋体"/>
          <w:lang w:val="en-US" w:eastAsia="zh-CN"/>
        </w:rPr>
        <w:t>9.</w:t>
      </w:r>
      <w:r>
        <w:rPr>
          <w:rFonts w:hint="eastAsia" w:ascii="宋体" w:hAnsi="宋体" w:eastAsia="宋体" w:cs="宋体"/>
        </w:rPr>
        <w:t>中标单位负责做好校方聘用的第三方服务商的监管工作（空气源热水、洗衣房、饮用水站、空调租赁、非机动车充电桩、工程施工等）。</w:t>
      </w:r>
    </w:p>
    <w:p w14:paraId="1B585F4C">
      <w:pPr>
        <w:shd w:val="clear"/>
        <w:ind w:firstLine="420" w:firstLineChars="200"/>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对中标单位工作人员原则上不提供住宿（有特殊工作要求的岗位除外）。</w:t>
      </w:r>
    </w:p>
    <w:p w14:paraId="4925E7C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lang w:val="en-US" w:eastAsia="zh-CN"/>
        </w:rPr>
        <w:t>11.转包、分包要求：本项目不允许转包，保洁服务、绿化养护、工程服务（含零星维修及能源动力日常管理）、公寓管理、楼宇管理、会务服务不允许分包。其他服务如分包，分包单位须取得相关行业资质并报学校审核同意，分包业务的主管级以上管理人员必须是中标单位直接聘用。</w:t>
      </w:r>
    </w:p>
    <w:p w14:paraId="173AFEA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12.管理人员任职标准（详见下表）</w:t>
      </w:r>
    </w:p>
    <w:tbl>
      <w:tblPr>
        <w:tblStyle w:val="59"/>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910"/>
        <w:gridCol w:w="940"/>
        <w:gridCol w:w="2690"/>
        <w:gridCol w:w="3460"/>
      </w:tblGrid>
      <w:tr w14:paraId="3F4A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12" w:type="dxa"/>
            <w:tcBorders>
              <w:top w:val="single" w:color="auto" w:sz="4" w:space="0"/>
              <w:left w:val="single" w:color="auto" w:sz="4" w:space="0"/>
              <w:bottom w:val="single" w:color="auto" w:sz="4" w:space="0"/>
              <w:right w:val="single" w:color="auto" w:sz="4" w:space="0"/>
              <w:tl2br w:val="nil"/>
              <w:tr2bl w:val="nil"/>
            </w:tcBorders>
            <w:vAlign w:val="center"/>
          </w:tcPr>
          <w:p w14:paraId="17CCDB7C">
            <w:pPr>
              <w:jc w:val="center"/>
              <w:rPr>
                <w:rFonts w:hint="eastAsia"/>
                <w:b/>
                <w:bCs/>
                <w:sz w:val="24"/>
                <w:szCs w:val="24"/>
              </w:rPr>
            </w:pPr>
            <w:r>
              <w:rPr>
                <w:rFonts w:hint="eastAsia"/>
                <w:b/>
                <w:bCs/>
                <w:sz w:val="24"/>
                <w:szCs w:val="24"/>
              </w:rPr>
              <w:t>岗位</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5E1A7D83">
            <w:pPr>
              <w:jc w:val="center"/>
              <w:rPr>
                <w:rFonts w:hint="eastAsia"/>
                <w:b/>
                <w:bCs/>
                <w:sz w:val="24"/>
                <w:szCs w:val="24"/>
              </w:rPr>
            </w:pPr>
            <w:r>
              <w:rPr>
                <w:rFonts w:hint="eastAsia"/>
                <w:b/>
                <w:bCs/>
                <w:sz w:val="24"/>
                <w:szCs w:val="24"/>
              </w:rPr>
              <w:t>年龄</w:t>
            </w: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172EB1FA">
            <w:pPr>
              <w:jc w:val="center"/>
              <w:rPr>
                <w:rFonts w:hint="eastAsia"/>
                <w:b/>
                <w:bCs/>
                <w:sz w:val="24"/>
                <w:szCs w:val="24"/>
              </w:rPr>
            </w:pPr>
            <w:r>
              <w:rPr>
                <w:rFonts w:hint="eastAsia"/>
                <w:b/>
                <w:bCs/>
                <w:sz w:val="24"/>
                <w:szCs w:val="24"/>
              </w:rPr>
              <w:t>学历</w:t>
            </w:r>
          </w:p>
        </w:tc>
        <w:tc>
          <w:tcPr>
            <w:tcW w:w="2690" w:type="dxa"/>
            <w:tcBorders>
              <w:top w:val="single" w:color="auto" w:sz="4" w:space="0"/>
              <w:left w:val="single" w:color="auto" w:sz="4" w:space="0"/>
              <w:bottom w:val="single" w:color="auto" w:sz="4" w:space="0"/>
              <w:right w:val="single" w:color="auto" w:sz="4" w:space="0"/>
              <w:tl2br w:val="nil"/>
              <w:tr2bl w:val="nil"/>
            </w:tcBorders>
            <w:vAlign w:val="center"/>
          </w:tcPr>
          <w:p w14:paraId="5803CE4B">
            <w:pPr>
              <w:jc w:val="center"/>
              <w:rPr>
                <w:rFonts w:hint="eastAsia"/>
                <w:b/>
                <w:bCs/>
                <w:sz w:val="24"/>
                <w:szCs w:val="24"/>
              </w:rPr>
            </w:pPr>
            <w:r>
              <w:rPr>
                <w:rFonts w:hint="eastAsia"/>
                <w:b/>
                <w:bCs/>
                <w:sz w:val="24"/>
                <w:szCs w:val="24"/>
              </w:rPr>
              <w:t>工作经验</w:t>
            </w:r>
          </w:p>
        </w:tc>
        <w:tc>
          <w:tcPr>
            <w:tcW w:w="3460" w:type="dxa"/>
            <w:tcBorders>
              <w:top w:val="single" w:color="auto" w:sz="4" w:space="0"/>
              <w:left w:val="single" w:color="auto" w:sz="4" w:space="0"/>
              <w:bottom w:val="single" w:color="auto" w:sz="4" w:space="0"/>
              <w:right w:val="single" w:color="auto" w:sz="4" w:space="0"/>
              <w:tl2br w:val="nil"/>
              <w:tr2bl w:val="nil"/>
            </w:tcBorders>
            <w:vAlign w:val="center"/>
          </w:tcPr>
          <w:p w14:paraId="72EAE998">
            <w:pPr>
              <w:jc w:val="center"/>
              <w:rPr>
                <w:rFonts w:hint="eastAsia" w:eastAsia="宋体"/>
                <w:b/>
                <w:bCs/>
                <w:sz w:val="24"/>
                <w:szCs w:val="24"/>
              </w:rPr>
            </w:pPr>
            <w:r>
              <w:rPr>
                <w:rFonts w:hint="eastAsia"/>
                <w:b/>
                <w:bCs/>
                <w:sz w:val="24"/>
                <w:szCs w:val="24"/>
              </w:rPr>
              <w:t>证书及其他要求</w:t>
            </w:r>
          </w:p>
        </w:tc>
      </w:tr>
      <w:tr w14:paraId="39AE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jc w:val="center"/>
        </w:trPr>
        <w:tc>
          <w:tcPr>
            <w:tcW w:w="812" w:type="dxa"/>
            <w:tcBorders>
              <w:top w:val="single" w:color="auto" w:sz="4" w:space="0"/>
              <w:left w:val="single" w:color="auto" w:sz="4" w:space="0"/>
              <w:bottom w:val="single" w:color="auto" w:sz="4" w:space="0"/>
              <w:right w:val="single" w:color="auto" w:sz="4" w:space="0"/>
              <w:tl2br w:val="nil"/>
              <w:tr2bl w:val="nil"/>
            </w:tcBorders>
            <w:vAlign w:val="center"/>
          </w:tcPr>
          <w:p w14:paraId="5DDC31A0">
            <w:pPr>
              <w:jc w:val="center"/>
              <w:rPr>
                <w:rFonts w:hint="eastAsia"/>
                <w:szCs w:val="24"/>
              </w:rPr>
            </w:pPr>
            <w:r>
              <w:rPr>
                <w:rFonts w:hint="eastAsia"/>
                <w:szCs w:val="24"/>
              </w:rPr>
              <w:t>项目经理</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46FE20FE">
            <w:pPr>
              <w:jc w:val="center"/>
              <w:rPr>
                <w:rFonts w:hint="eastAsia" w:eastAsiaTheme="minorEastAsia"/>
                <w:szCs w:val="24"/>
                <w:lang w:val="en-US" w:eastAsia="zh-CN"/>
              </w:rPr>
            </w:pPr>
            <w:r>
              <w:rPr>
                <w:rFonts w:hint="eastAsia"/>
                <w:szCs w:val="24"/>
              </w:rPr>
              <w:t>45周岁</w:t>
            </w:r>
            <w:r>
              <w:rPr>
                <w:rFonts w:hint="eastAsia"/>
                <w:szCs w:val="24"/>
                <w:lang w:val="en-US" w:eastAsia="zh-CN"/>
              </w:rPr>
              <w:t>及以下</w:t>
            </w: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683C2473">
            <w:pPr>
              <w:jc w:val="center"/>
              <w:rPr>
                <w:rFonts w:hint="eastAsia"/>
                <w:szCs w:val="24"/>
              </w:rPr>
            </w:pPr>
            <w:r>
              <w:rPr>
                <w:rFonts w:hint="eastAsia"/>
                <w:szCs w:val="24"/>
              </w:rPr>
              <w:t>本科及以上</w:t>
            </w:r>
          </w:p>
        </w:tc>
        <w:tc>
          <w:tcPr>
            <w:tcW w:w="2690" w:type="dxa"/>
            <w:tcBorders>
              <w:top w:val="single" w:color="auto" w:sz="4" w:space="0"/>
              <w:left w:val="single" w:color="auto" w:sz="4" w:space="0"/>
              <w:bottom w:val="single" w:color="auto" w:sz="4" w:space="0"/>
              <w:right w:val="single" w:color="auto" w:sz="4" w:space="0"/>
              <w:tl2br w:val="nil"/>
              <w:tr2bl w:val="nil"/>
            </w:tcBorders>
            <w:vAlign w:val="center"/>
          </w:tcPr>
          <w:p w14:paraId="66BECD24">
            <w:pPr>
              <w:jc w:val="left"/>
              <w:rPr>
                <w:rFonts w:hint="eastAsia"/>
                <w:szCs w:val="24"/>
              </w:rPr>
            </w:pPr>
            <w:r>
              <w:rPr>
                <w:lang w:val="en-US" w:eastAsia="zh-CN" w:bidi="ar"/>
              </w:rPr>
              <w:t>具有</w:t>
            </w:r>
            <w:r>
              <w:rPr>
                <w:rStyle w:val="816"/>
                <w:rFonts w:eastAsia="宋体"/>
                <w:lang w:val="en-US" w:eastAsia="zh-CN" w:bidi="ar"/>
              </w:rPr>
              <w:t>2</w:t>
            </w:r>
            <w:r>
              <w:rPr>
                <w:lang w:val="en-US" w:eastAsia="zh-CN" w:bidi="ar"/>
              </w:rPr>
              <w:t>年及以上高校物业管理服务经验</w:t>
            </w:r>
          </w:p>
        </w:tc>
        <w:tc>
          <w:tcPr>
            <w:tcW w:w="3460" w:type="dxa"/>
            <w:tcBorders>
              <w:top w:val="single" w:color="auto" w:sz="4" w:space="0"/>
              <w:left w:val="single" w:color="auto" w:sz="4" w:space="0"/>
              <w:bottom w:val="single" w:color="auto" w:sz="4" w:space="0"/>
              <w:right w:val="single" w:color="auto" w:sz="4" w:space="0"/>
              <w:tl2br w:val="nil"/>
              <w:tr2bl w:val="nil"/>
            </w:tcBorders>
            <w:vAlign w:val="center"/>
          </w:tcPr>
          <w:p w14:paraId="7AE4DEA6">
            <w:pPr>
              <w:jc w:val="left"/>
              <w:rPr>
                <w:rFonts w:hint="eastAsia"/>
                <w:szCs w:val="24"/>
              </w:rPr>
            </w:pPr>
            <w:r>
              <w:rPr>
                <w:rFonts w:hint="eastAsia"/>
                <w:szCs w:val="24"/>
              </w:rPr>
              <w:t>持有物业管理相关证书，熟悉物业管理相关知识，深入了解与物业服务相关的工作内容和技术要求、以及相应的法律法规；熟练使用办公软件，良好的word\Excel\PPT操作能力；善于决策；具有较强的组织协调、计划与执行、控制、指导、沟通的能力。</w:t>
            </w:r>
          </w:p>
        </w:tc>
      </w:tr>
      <w:tr w14:paraId="692C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jc w:val="center"/>
        </w:trPr>
        <w:tc>
          <w:tcPr>
            <w:tcW w:w="812" w:type="dxa"/>
            <w:tcBorders>
              <w:top w:val="single" w:color="auto" w:sz="4" w:space="0"/>
              <w:left w:val="single" w:color="auto" w:sz="4" w:space="0"/>
              <w:bottom w:val="single" w:color="auto" w:sz="4" w:space="0"/>
              <w:right w:val="single" w:color="auto" w:sz="4" w:space="0"/>
              <w:tl2br w:val="nil"/>
              <w:tr2bl w:val="nil"/>
            </w:tcBorders>
            <w:vAlign w:val="center"/>
          </w:tcPr>
          <w:p w14:paraId="5C9BF7A7">
            <w:pPr>
              <w:jc w:val="center"/>
              <w:rPr>
                <w:rFonts w:hint="default" w:eastAsiaTheme="minorEastAsia"/>
                <w:szCs w:val="24"/>
                <w:lang w:val="en-US" w:eastAsia="zh-CN"/>
              </w:rPr>
            </w:pPr>
            <w:r>
              <w:rPr>
                <w:rFonts w:hint="eastAsia"/>
                <w:szCs w:val="24"/>
                <w:lang w:val="en-US" w:eastAsia="zh-CN"/>
              </w:rPr>
              <w:t>副经理</w:t>
            </w:r>
          </w:p>
        </w:tc>
        <w:tc>
          <w:tcPr>
            <w:tcW w:w="9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3AA5C60">
            <w:pPr>
              <w:jc w:val="center"/>
              <w:rPr>
                <w:rFonts w:hint="eastAsia" w:asciiTheme="minorHAnsi" w:hAnsiTheme="minorHAnsi" w:eastAsiaTheme="minorEastAsia" w:cstheme="minorBidi"/>
                <w:kern w:val="2"/>
                <w:sz w:val="21"/>
                <w:szCs w:val="24"/>
                <w:lang w:val="en-US" w:eastAsia="zh-CN" w:bidi="ar-SA"/>
              </w:rPr>
            </w:pPr>
            <w:r>
              <w:rPr>
                <w:rFonts w:hint="eastAsia"/>
                <w:szCs w:val="24"/>
              </w:rPr>
              <w:t>45周岁</w:t>
            </w:r>
            <w:r>
              <w:rPr>
                <w:rFonts w:hint="eastAsia"/>
                <w:szCs w:val="24"/>
                <w:lang w:val="en-US" w:eastAsia="zh-CN"/>
              </w:rPr>
              <w:t>及以下</w:t>
            </w:r>
          </w:p>
        </w:tc>
        <w:tc>
          <w:tcPr>
            <w:tcW w:w="9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7221FE8">
            <w:pPr>
              <w:jc w:val="center"/>
              <w:rPr>
                <w:rFonts w:hint="eastAsia" w:asciiTheme="minorHAnsi" w:hAnsiTheme="minorHAnsi" w:eastAsiaTheme="minorEastAsia" w:cstheme="minorBidi"/>
                <w:kern w:val="2"/>
                <w:sz w:val="21"/>
                <w:szCs w:val="24"/>
                <w:lang w:val="en-US" w:eastAsia="zh-CN" w:bidi="ar-SA"/>
              </w:rPr>
            </w:pPr>
            <w:r>
              <w:rPr>
                <w:rFonts w:hint="eastAsia"/>
                <w:szCs w:val="24"/>
                <w:lang w:val="en-US" w:eastAsia="zh-CN"/>
              </w:rPr>
              <w:t>专</w:t>
            </w:r>
            <w:r>
              <w:rPr>
                <w:rFonts w:hint="eastAsia"/>
                <w:szCs w:val="24"/>
              </w:rPr>
              <w:t>科及以上</w:t>
            </w:r>
          </w:p>
        </w:tc>
        <w:tc>
          <w:tcPr>
            <w:tcW w:w="2690" w:type="dxa"/>
            <w:tcBorders>
              <w:top w:val="single" w:color="auto" w:sz="4" w:space="0"/>
              <w:left w:val="single" w:color="auto" w:sz="4" w:space="0"/>
              <w:bottom w:val="single" w:color="auto" w:sz="4" w:space="0"/>
              <w:right w:val="single" w:color="auto" w:sz="4" w:space="0"/>
              <w:tl2br w:val="nil"/>
              <w:tr2bl w:val="nil"/>
            </w:tcBorders>
            <w:vAlign w:val="center"/>
          </w:tcPr>
          <w:p w14:paraId="3871B576">
            <w:pPr>
              <w:jc w:val="left"/>
              <w:rPr>
                <w:lang w:val="en-US" w:eastAsia="zh-CN" w:bidi="ar"/>
              </w:rPr>
            </w:pPr>
            <w:r>
              <w:rPr>
                <w:lang w:val="en-US" w:eastAsia="zh-CN" w:bidi="ar"/>
              </w:rPr>
              <w:t>具有</w:t>
            </w:r>
            <w:r>
              <w:rPr>
                <w:rStyle w:val="816"/>
                <w:rFonts w:eastAsia="宋体"/>
                <w:lang w:val="en-US" w:eastAsia="zh-CN" w:bidi="ar"/>
              </w:rPr>
              <w:t>2</w:t>
            </w:r>
            <w:r>
              <w:rPr>
                <w:lang w:val="en-US" w:eastAsia="zh-CN" w:bidi="ar"/>
              </w:rPr>
              <w:t>年及以上高校物业管理服务经验</w:t>
            </w:r>
          </w:p>
        </w:tc>
        <w:tc>
          <w:tcPr>
            <w:tcW w:w="3460" w:type="dxa"/>
            <w:tcBorders>
              <w:top w:val="single" w:color="auto" w:sz="4" w:space="0"/>
              <w:left w:val="single" w:color="auto" w:sz="4" w:space="0"/>
              <w:bottom w:val="single" w:color="auto" w:sz="4" w:space="0"/>
              <w:right w:val="single" w:color="auto" w:sz="4" w:space="0"/>
              <w:tl2br w:val="nil"/>
              <w:tr2bl w:val="nil"/>
            </w:tcBorders>
            <w:vAlign w:val="center"/>
          </w:tcPr>
          <w:p w14:paraId="4A20D8B9">
            <w:pPr>
              <w:jc w:val="left"/>
              <w:rPr>
                <w:rFonts w:hint="eastAsia"/>
                <w:szCs w:val="24"/>
              </w:rPr>
            </w:pPr>
            <w:r>
              <w:rPr>
                <w:rFonts w:hint="eastAsia"/>
                <w:szCs w:val="24"/>
              </w:rPr>
              <w:t>持有物业管理相关证书，熟悉物业管理相关知识，深入了解与物业服务相关的工作内容和技术要求、以及相应的法律法规；熟练使用办公软件，良好的word\Excel\PPT操作能力；善于决策；具有较强的组织协调、计划与执行、控制、指导、沟通的能力。</w:t>
            </w:r>
          </w:p>
        </w:tc>
      </w:tr>
      <w:tr w14:paraId="1719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812" w:type="dxa"/>
            <w:tcBorders>
              <w:top w:val="single" w:color="auto" w:sz="4" w:space="0"/>
              <w:left w:val="single" w:color="auto" w:sz="4" w:space="0"/>
              <w:bottom w:val="single" w:color="auto" w:sz="4" w:space="0"/>
              <w:right w:val="single" w:color="auto" w:sz="4" w:space="0"/>
              <w:tl2br w:val="nil"/>
              <w:tr2bl w:val="nil"/>
            </w:tcBorders>
            <w:vAlign w:val="center"/>
          </w:tcPr>
          <w:p w14:paraId="14A0614F">
            <w:pPr>
              <w:jc w:val="center"/>
              <w:rPr>
                <w:rFonts w:hint="eastAsia"/>
                <w:szCs w:val="24"/>
              </w:rPr>
            </w:pPr>
            <w:r>
              <w:rPr>
                <w:rFonts w:hint="eastAsia"/>
                <w:szCs w:val="24"/>
              </w:rPr>
              <w:t>公寓经理</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4502FD36">
            <w:pPr>
              <w:jc w:val="center"/>
              <w:rPr>
                <w:rFonts w:hint="eastAsia"/>
                <w:szCs w:val="24"/>
              </w:rPr>
            </w:pPr>
            <w:r>
              <w:rPr>
                <w:rFonts w:hint="eastAsia"/>
                <w:szCs w:val="24"/>
              </w:rPr>
              <w:t>45周岁</w:t>
            </w:r>
            <w:r>
              <w:rPr>
                <w:rFonts w:hint="eastAsia"/>
                <w:szCs w:val="24"/>
                <w:lang w:val="en-US" w:eastAsia="zh-CN"/>
              </w:rPr>
              <w:t>及以下</w:t>
            </w: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62F3F1F1">
            <w:pPr>
              <w:jc w:val="center"/>
              <w:rPr>
                <w:rFonts w:hint="eastAsia"/>
                <w:szCs w:val="24"/>
              </w:rPr>
            </w:pPr>
            <w:r>
              <w:rPr>
                <w:rFonts w:hint="eastAsia"/>
                <w:szCs w:val="24"/>
                <w:lang w:val="en-US" w:eastAsia="zh-CN"/>
              </w:rPr>
              <w:t>本科</w:t>
            </w:r>
            <w:r>
              <w:rPr>
                <w:rFonts w:hint="eastAsia"/>
                <w:szCs w:val="24"/>
              </w:rPr>
              <w:t>及以上</w:t>
            </w:r>
          </w:p>
        </w:tc>
        <w:tc>
          <w:tcPr>
            <w:tcW w:w="2690" w:type="dxa"/>
            <w:tcBorders>
              <w:top w:val="single" w:color="auto" w:sz="4" w:space="0"/>
              <w:left w:val="single" w:color="auto" w:sz="4" w:space="0"/>
              <w:bottom w:val="single" w:color="auto" w:sz="4" w:space="0"/>
              <w:right w:val="single" w:color="auto" w:sz="4" w:space="0"/>
              <w:tl2br w:val="nil"/>
              <w:tr2bl w:val="nil"/>
            </w:tcBorders>
            <w:vAlign w:val="center"/>
          </w:tcPr>
          <w:p w14:paraId="7642A0F5">
            <w:pPr>
              <w:jc w:val="left"/>
              <w:rPr>
                <w:rFonts w:hint="eastAsia"/>
                <w:szCs w:val="24"/>
              </w:rPr>
            </w:pPr>
            <w:r>
              <w:rPr>
                <w:lang w:val="en-US" w:eastAsia="zh-CN" w:bidi="ar"/>
              </w:rPr>
              <w:t>具有</w:t>
            </w:r>
            <w:r>
              <w:rPr>
                <w:rStyle w:val="816"/>
                <w:rFonts w:eastAsia="宋体"/>
                <w:lang w:val="en-US" w:eastAsia="zh-CN" w:bidi="ar"/>
              </w:rPr>
              <w:t>2</w:t>
            </w:r>
            <w:r>
              <w:rPr>
                <w:lang w:val="en-US" w:eastAsia="zh-CN" w:bidi="ar"/>
              </w:rPr>
              <w:t>年及以上高校物业管理服务经验</w:t>
            </w:r>
          </w:p>
        </w:tc>
        <w:tc>
          <w:tcPr>
            <w:tcW w:w="3460" w:type="dxa"/>
            <w:tcBorders>
              <w:top w:val="single" w:color="auto" w:sz="4" w:space="0"/>
              <w:left w:val="single" w:color="auto" w:sz="4" w:space="0"/>
              <w:bottom w:val="single" w:color="auto" w:sz="4" w:space="0"/>
              <w:right w:val="single" w:color="auto" w:sz="4" w:space="0"/>
              <w:tl2br w:val="nil"/>
              <w:tr2bl w:val="nil"/>
            </w:tcBorders>
            <w:vAlign w:val="center"/>
          </w:tcPr>
          <w:p w14:paraId="4A56D5B2">
            <w:pPr>
              <w:jc w:val="left"/>
              <w:rPr>
                <w:rFonts w:hint="eastAsia" w:eastAsia="宋体"/>
                <w:szCs w:val="24"/>
              </w:rPr>
            </w:pPr>
            <w:r>
              <w:rPr>
                <w:rFonts w:hint="eastAsia"/>
                <w:szCs w:val="24"/>
              </w:rPr>
              <w:t>持有物业管理相关证书，熟悉物业管理相关知识，了解高校公寓管理相关工作内容和要求、以及相应的法律法规；熟练使用办公软件，良好的word\Excel\PPT操作能力；具有优秀的综合事务处理能力；对于问题的识别、优先级分配有见解。</w:t>
            </w:r>
          </w:p>
        </w:tc>
      </w:tr>
      <w:tr w14:paraId="1ED4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jc w:val="center"/>
        </w:trPr>
        <w:tc>
          <w:tcPr>
            <w:tcW w:w="812" w:type="dxa"/>
            <w:tcBorders>
              <w:top w:val="single" w:color="auto" w:sz="4" w:space="0"/>
              <w:left w:val="single" w:color="auto" w:sz="4" w:space="0"/>
              <w:bottom w:val="single" w:color="auto" w:sz="4" w:space="0"/>
              <w:right w:val="single" w:color="auto" w:sz="4" w:space="0"/>
              <w:tl2br w:val="nil"/>
              <w:tr2bl w:val="nil"/>
            </w:tcBorders>
            <w:vAlign w:val="center"/>
          </w:tcPr>
          <w:p w14:paraId="63A878D8">
            <w:pPr>
              <w:jc w:val="center"/>
              <w:rPr>
                <w:rFonts w:hint="eastAsia"/>
                <w:szCs w:val="24"/>
              </w:rPr>
            </w:pPr>
            <w:r>
              <w:rPr>
                <w:rFonts w:hint="eastAsia"/>
                <w:szCs w:val="24"/>
              </w:rPr>
              <w:t>楼宇经理</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0FE81D9A">
            <w:pPr>
              <w:jc w:val="center"/>
              <w:rPr>
                <w:rFonts w:hint="eastAsia"/>
                <w:szCs w:val="24"/>
              </w:rPr>
            </w:pPr>
            <w:r>
              <w:rPr>
                <w:rFonts w:hint="eastAsia"/>
                <w:szCs w:val="24"/>
              </w:rPr>
              <w:t>45周岁</w:t>
            </w:r>
            <w:r>
              <w:rPr>
                <w:rFonts w:hint="eastAsia"/>
                <w:szCs w:val="24"/>
                <w:lang w:val="en-US" w:eastAsia="zh-CN"/>
              </w:rPr>
              <w:t>及以下</w:t>
            </w: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1BC16701">
            <w:pPr>
              <w:jc w:val="center"/>
              <w:rPr>
                <w:rFonts w:hint="eastAsia"/>
                <w:szCs w:val="24"/>
              </w:rPr>
            </w:pPr>
            <w:r>
              <w:rPr>
                <w:rFonts w:hint="eastAsia"/>
                <w:szCs w:val="24"/>
                <w:lang w:val="en-US" w:eastAsia="zh-CN"/>
              </w:rPr>
              <w:t>专</w:t>
            </w:r>
            <w:r>
              <w:rPr>
                <w:rFonts w:hint="eastAsia"/>
                <w:szCs w:val="24"/>
              </w:rPr>
              <w:t>科及以上</w:t>
            </w:r>
          </w:p>
        </w:tc>
        <w:tc>
          <w:tcPr>
            <w:tcW w:w="2690" w:type="dxa"/>
            <w:tcBorders>
              <w:top w:val="single" w:color="auto" w:sz="4" w:space="0"/>
              <w:left w:val="single" w:color="auto" w:sz="4" w:space="0"/>
              <w:bottom w:val="single" w:color="auto" w:sz="4" w:space="0"/>
              <w:right w:val="single" w:color="auto" w:sz="4" w:space="0"/>
              <w:tl2br w:val="nil"/>
              <w:tr2bl w:val="nil"/>
            </w:tcBorders>
            <w:vAlign w:val="center"/>
          </w:tcPr>
          <w:p w14:paraId="3AB7ADF7">
            <w:pPr>
              <w:jc w:val="left"/>
              <w:rPr>
                <w:rFonts w:hint="eastAsia"/>
                <w:szCs w:val="24"/>
              </w:rPr>
            </w:pPr>
            <w:r>
              <w:rPr>
                <w:lang w:val="en-US" w:eastAsia="zh-CN" w:bidi="ar"/>
              </w:rPr>
              <w:t>具有</w:t>
            </w:r>
            <w:r>
              <w:rPr>
                <w:rStyle w:val="816"/>
                <w:rFonts w:eastAsia="宋体"/>
                <w:lang w:val="en-US" w:eastAsia="zh-CN" w:bidi="ar"/>
              </w:rPr>
              <w:t>2</w:t>
            </w:r>
            <w:r>
              <w:rPr>
                <w:lang w:val="en-US" w:eastAsia="zh-CN" w:bidi="ar"/>
              </w:rPr>
              <w:t>年及以上高校</w:t>
            </w:r>
            <w:r>
              <w:rPr>
                <w:rFonts w:hint="eastAsia"/>
                <w:lang w:val="en-US" w:eastAsia="zh-CN" w:bidi="ar"/>
              </w:rPr>
              <w:t>楼宇（场馆）管理</w:t>
            </w:r>
            <w:r>
              <w:rPr>
                <w:lang w:val="en-US" w:eastAsia="zh-CN" w:bidi="ar"/>
              </w:rPr>
              <w:t>服务经验</w:t>
            </w:r>
          </w:p>
        </w:tc>
        <w:tc>
          <w:tcPr>
            <w:tcW w:w="3460" w:type="dxa"/>
            <w:tcBorders>
              <w:top w:val="single" w:color="auto" w:sz="4" w:space="0"/>
              <w:left w:val="single" w:color="auto" w:sz="4" w:space="0"/>
              <w:bottom w:val="single" w:color="auto" w:sz="4" w:space="0"/>
              <w:right w:val="single" w:color="auto" w:sz="4" w:space="0"/>
              <w:tl2br w:val="nil"/>
              <w:tr2bl w:val="nil"/>
            </w:tcBorders>
            <w:vAlign w:val="center"/>
          </w:tcPr>
          <w:p w14:paraId="7B3B0D83">
            <w:pPr>
              <w:jc w:val="left"/>
              <w:rPr>
                <w:rFonts w:hint="eastAsia" w:eastAsia="宋体"/>
                <w:szCs w:val="24"/>
              </w:rPr>
            </w:pPr>
            <w:r>
              <w:rPr>
                <w:rFonts w:hint="eastAsia"/>
                <w:szCs w:val="24"/>
              </w:rPr>
              <w:t>持有物业管理相关证书，熟悉物业管理相关知识，了解高校楼宇管理相关工作内容和要求、以及相应的法律法规；熟练使用办公软件，良好的word\Excel\PPT操作能力；项目管理2个或以上功能领域，具有优秀的综合事务处理能力，对于学校教学楼宇、活动中心和场馆管理有创新的办法。</w:t>
            </w:r>
          </w:p>
        </w:tc>
      </w:tr>
      <w:tr w14:paraId="6ED0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jc w:val="center"/>
        </w:trPr>
        <w:tc>
          <w:tcPr>
            <w:tcW w:w="812" w:type="dxa"/>
            <w:tcBorders>
              <w:top w:val="single" w:color="auto" w:sz="4" w:space="0"/>
              <w:left w:val="single" w:color="auto" w:sz="4" w:space="0"/>
              <w:bottom w:val="single" w:color="auto" w:sz="4" w:space="0"/>
              <w:right w:val="single" w:color="auto" w:sz="4" w:space="0"/>
              <w:tl2br w:val="nil"/>
              <w:tr2bl w:val="nil"/>
            </w:tcBorders>
            <w:vAlign w:val="center"/>
          </w:tcPr>
          <w:p w14:paraId="315CC412">
            <w:pPr>
              <w:jc w:val="center"/>
              <w:rPr>
                <w:rFonts w:hint="eastAsia"/>
                <w:szCs w:val="24"/>
              </w:rPr>
            </w:pPr>
            <w:r>
              <w:rPr>
                <w:rFonts w:hint="eastAsia"/>
                <w:szCs w:val="24"/>
              </w:rPr>
              <w:t>客服主管</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5441E061">
            <w:pPr>
              <w:jc w:val="center"/>
              <w:rPr>
                <w:rFonts w:hint="eastAsia"/>
                <w:szCs w:val="24"/>
              </w:rPr>
            </w:pPr>
            <w:r>
              <w:rPr>
                <w:rFonts w:hint="eastAsia"/>
                <w:szCs w:val="24"/>
              </w:rPr>
              <w:t>45周岁</w:t>
            </w:r>
            <w:r>
              <w:rPr>
                <w:rFonts w:hint="eastAsia"/>
                <w:szCs w:val="24"/>
                <w:lang w:val="en-US" w:eastAsia="zh-CN"/>
              </w:rPr>
              <w:t>及以下</w:t>
            </w: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0C590991">
            <w:pPr>
              <w:jc w:val="center"/>
              <w:rPr>
                <w:rFonts w:hint="eastAsia"/>
                <w:szCs w:val="24"/>
              </w:rPr>
            </w:pPr>
            <w:r>
              <w:rPr>
                <w:rFonts w:hint="eastAsia"/>
                <w:szCs w:val="24"/>
              </w:rPr>
              <w:t>本科及以上</w:t>
            </w:r>
          </w:p>
        </w:tc>
        <w:tc>
          <w:tcPr>
            <w:tcW w:w="2690" w:type="dxa"/>
            <w:tcBorders>
              <w:top w:val="single" w:color="auto" w:sz="4" w:space="0"/>
              <w:left w:val="single" w:color="auto" w:sz="4" w:space="0"/>
              <w:bottom w:val="single" w:color="auto" w:sz="4" w:space="0"/>
              <w:right w:val="single" w:color="auto" w:sz="4" w:space="0"/>
              <w:tl2br w:val="nil"/>
              <w:tr2bl w:val="nil"/>
            </w:tcBorders>
            <w:vAlign w:val="center"/>
          </w:tcPr>
          <w:p w14:paraId="11F13DA3">
            <w:pPr>
              <w:jc w:val="left"/>
              <w:rPr>
                <w:rFonts w:hint="eastAsia"/>
                <w:szCs w:val="24"/>
              </w:rPr>
            </w:pPr>
            <w:r>
              <w:rPr>
                <w:rFonts w:hint="eastAsia"/>
                <w:lang w:val="en-US" w:eastAsia="zh-CN" w:bidi="ar"/>
              </w:rPr>
              <w:t>具</w:t>
            </w:r>
            <w:r>
              <w:rPr>
                <w:lang w:val="en-US" w:eastAsia="zh-CN" w:bidi="ar"/>
              </w:rPr>
              <w:t>有</w:t>
            </w:r>
            <w:r>
              <w:rPr>
                <w:rStyle w:val="816"/>
                <w:rFonts w:eastAsia="宋体"/>
                <w:lang w:val="en-US" w:eastAsia="zh-CN" w:bidi="ar"/>
              </w:rPr>
              <w:t>2</w:t>
            </w:r>
            <w:r>
              <w:rPr>
                <w:lang w:val="en-US" w:eastAsia="zh-CN" w:bidi="ar"/>
              </w:rPr>
              <w:t>年及以上高校</w:t>
            </w:r>
            <w:r>
              <w:rPr>
                <w:rFonts w:hint="eastAsia"/>
                <w:lang w:val="en-US" w:eastAsia="zh-CN" w:bidi="ar"/>
              </w:rPr>
              <w:t>客服管理</w:t>
            </w:r>
            <w:r>
              <w:rPr>
                <w:lang w:val="en-US" w:eastAsia="zh-CN" w:bidi="ar"/>
              </w:rPr>
              <w:t>服务经验</w:t>
            </w:r>
          </w:p>
        </w:tc>
        <w:tc>
          <w:tcPr>
            <w:tcW w:w="3460" w:type="dxa"/>
            <w:tcBorders>
              <w:top w:val="single" w:color="auto" w:sz="4" w:space="0"/>
              <w:left w:val="single" w:color="auto" w:sz="4" w:space="0"/>
              <w:bottom w:val="single" w:color="auto" w:sz="4" w:space="0"/>
              <w:right w:val="single" w:color="auto" w:sz="4" w:space="0"/>
              <w:tl2br w:val="nil"/>
              <w:tr2bl w:val="nil"/>
            </w:tcBorders>
            <w:vAlign w:val="center"/>
          </w:tcPr>
          <w:p w14:paraId="1CFDFC2C">
            <w:pPr>
              <w:jc w:val="left"/>
              <w:rPr>
                <w:rFonts w:hint="eastAsia"/>
                <w:szCs w:val="24"/>
              </w:rPr>
            </w:pPr>
            <w:r>
              <w:rPr>
                <w:rFonts w:hint="eastAsia"/>
                <w:szCs w:val="24"/>
                <w:lang w:val="en-US" w:eastAsia="zh-CN"/>
              </w:rPr>
              <w:t>具有英语六级及以上证书、普通话相关证书，</w:t>
            </w:r>
            <w:r>
              <w:rPr>
                <w:rFonts w:hint="eastAsia"/>
                <w:szCs w:val="24"/>
              </w:rPr>
              <w:t>具有优秀的对客服务能力，对于学校教学楼宇、活动中心和场馆管理有创新的办法。</w:t>
            </w:r>
          </w:p>
        </w:tc>
      </w:tr>
      <w:tr w14:paraId="20DA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atLeast"/>
          <w:jc w:val="center"/>
        </w:trPr>
        <w:tc>
          <w:tcPr>
            <w:tcW w:w="812" w:type="dxa"/>
            <w:tcBorders>
              <w:top w:val="single" w:color="auto" w:sz="4" w:space="0"/>
              <w:left w:val="single" w:color="auto" w:sz="4" w:space="0"/>
              <w:bottom w:val="single" w:color="auto" w:sz="4" w:space="0"/>
              <w:right w:val="single" w:color="auto" w:sz="4" w:space="0"/>
              <w:tl2br w:val="nil"/>
              <w:tr2bl w:val="nil"/>
            </w:tcBorders>
            <w:vAlign w:val="center"/>
          </w:tcPr>
          <w:p w14:paraId="4FFB75C5">
            <w:pPr>
              <w:jc w:val="center"/>
              <w:rPr>
                <w:rFonts w:hint="eastAsia"/>
                <w:szCs w:val="24"/>
              </w:rPr>
            </w:pPr>
            <w:r>
              <w:rPr>
                <w:rFonts w:hint="eastAsia"/>
                <w:szCs w:val="24"/>
              </w:rPr>
              <w:t>工程主管</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6BA610F4">
            <w:pPr>
              <w:jc w:val="center"/>
              <w:rPr>
                <w:rFonts w:hint="eastAsia"/>
                <w:szCs w:val="24"/>
              </w:rPr>
            </w:pPr>
            <w:r>
              <w:rPr>
                <w:rFonts w:hint="eastAsia"/>
                <w:szCs w:val="24"/>
              </w:rPr>
              <w:t>45周岁</w:t>
            </w:r>
            <w:r>
              <w:rPr>
                <w:rFonts w:hint="eastAsia"/>
                <w:szCs w:val="24"/>
                <w:lang w:val="en-US" w:eastAsia="zh-CN"/>
              </w:rPr>
              <w:t>及以下</w:t>
            </w: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4BB40416">
            <w:pPr>
              <w:jc w:val="center"/>
              <w:rPr>
                <w:rFonts w:hint="eastAsia"/>
                <w:szCs w:val="24"/>
              </w:rPr>
            </w:pPr>
            <w:r>
              <w:rPr>
                <w:rFonts w:hint="eastAsia"/>
                <w:szCs w:val="24"/>
              </w:rPr>
              <w:t>本科及以上</w:t>
            </w:r>
          </w:p>
        </w:tc>
        <w:tc>
          <w:tcPr>
            <w:tcW w:w="2690" w:type="dxa"/>
            <w:tcBorders>
              <w:top w:val="single" w:color="auto" w:sz="4" w:space="0"/>
              <w:left w:val="single" w:color="auto" w:sz="4" w:space="0"/>
              <w:bottom w:val="single" w:color="auto" w:sz="4" w:space="0"/>
              <w:right w:val="single" w:color="auto" w:sz="4" w:space="0"/>
              <w:tl2br w:val="nil"/>
              <w:tr2bl w:val="nil"/>
            </w:tcBorders>
            <w:vAlign w:val="center"/>
          </w:tcPr>
          <w:p w14:paraId="71893284">
            <w:pPr>
              <w:jc w:val="left"/>
              <w:rPr>
                <w:rFonts w:hint="eastAsia"/>
                <w:szCs w:val="24"/>
              </w:rPr>
            </w:pPr>
            <w:r>
              <w:rPr>
                <w:lang w:val="en-US" w:eastAsia="zh-CN" w:bidi="ar"/>
              </w:rPr>
              <w:t>具有2年及以上</w:t>
            </w:r>
            <w:r>
              <w:rPr>
                <w:rFonts w:hint="eastAsia"/>
                <w:lang w:val="en-US" w:eastAsia="zh-CN" w:bidi="ar"/>
              </w:rPr>
              <w:t>高校</w:t>
            </w:r>
            <w:r>
              <w:rPr>
                <w:lang w:val="en-US" w:eastAsia="zh-CN" w:bidi="ar"/>
              </w:rPr>
              <w:t>工程主管工作经验</w:t>
            </w:r>
          </w:p>
        </w:tc>
        <w:tc>
          <w:tcPr>
            <w:tcW w:w="3460" w:type="dxa"/>
            <w:tcBorders>
              <w:top w:val="single" w:color="auto" w:sz="4" w:space="0"/>
              <w:left w:val="single" w:color="auto" w:sz="4" w:space="0"/>
              <w:bottom w:val="single" w:color="auto" w:sz="4" w:space="0"/>
              <w:right w:val="single" w:color="auto" w:sz="4" w:space="0"/>
              <w:tl2br w:val="nil"/>
              <w:tr2bl w:val="nil"/>
            </w:tcBorders>
            <w:vAlign w:val="center"/>
          </w:tcPr>
          <w:p w14:paraId="1FCFEDC9">
            <w:pPr>
              <w:rPr>
                <w:rFonts w:hint="eastAsia"/>
                <w:szCs w:val="24"/>
              </w:rPr>
            </w:pPr>
            <w:r>
              <w:rPr>
                <w:rFonts w:hint="eastAsia"/>
                <w:szCs w:val="24"/>
              </w:rPr>
              <w:t>持有高低压电工证</w:t>
            </w:r>
            <w:r>
              <w:rPr>
                <w:rFonts w:hint="eastAsia"/>
                <w:szCs w:val="24"/>
                <w:lang w:eastAsia="zh-CN"/>
              </w:rPr>
              <w:t>、</w:t>
            </w:r>
            <w:r>
              <w:rPr>
                <w:rFonts w:hint="eastAsia"/>
                <w:szCs w:val="24"/>
                <w:lang w:val="en-US" w:eastAsia="zh-CN"/>
              </w:rPr>
              <w:t>特种设备安全管理员证</w:t>
            </w:r>
            <w:r>
              <w:rPr>
                <w:rFonts w:hint="eastAsia"/>
                <w:szCs w:val="24"/>
              </w:rPr>
              <w:t>；熟练使用办公软件，良好的word\Excel\PPT操作能力；具有定期监测项目能耗情况，分析能耗数据、制定整改计划、实施整改方案等促进项目节能降耗的管理能力。</w:t>
            </w:r>
          </w:p>
        </w:tc>
      </w:tr>
      <w:tr w14:paraId="50D7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812" w:type="dxa"/>
            <w:tcBorders>
              <w:top w:val="single" w:color="auto" w:sz="4" w:space="0"/>
              <w:left w:val="single" w:color="auto" w:sz="4" w:space="0"/>
              <w:bottom w:val="single" w:color="auto" w:sz="4" w:space="0"/>
              <w:right w:val="single" w:color="auto" w:sz="4" w:space="0"/>
              <w:tl2br w:val="nil"/>
              <w:tr2bl w:val="nil"/>
            </w:tcBorders>
            <w:vAlign w:val="center"/>
          </w:tcPr>
          <w:p w14:paraId="185CF46B">
            <w:pPr>
              <w:jc w:val="center"/>
              <w:rPr>
                <w:rFonts w:hint="eastAsia"/>
                <w:szCs w:val="24"/>
              </w:rPr>
            </w:pPr>
            <w:r>
              <w:rPr>
                <w:rFonts w:hint="eastAsia"/>
                <w:szCs w:val="24"/>
              </w:rPr>
              <w:t>保洁主管</w:t>
            </w:r>
          </w:p>
        </w:tc>
        <w:tc>
          <w:tcPr>
            <w:tcW w:w="910" w:type="dxa"/>
            <w:tcBorders>
              <w:top w:val="single" w:color="auto" w:sz="4" w:space="0"/>
              <w:left w:val="single" w:color="auto" w:sz="4" w:space="0"/>
              <w:bottom w:val="single" w:color="auto" w:sz="4" w:space="0"/>
              <w:right w:val="single" w:color="auto" w:sz="4" w:space="0"/>
              <w:tl2br w:val="nil"/>
              <w:tr2bl w:val="nil"/>
            </w:tcBorders>
            <w:vAlign w:val="center"/>
          </w:tcPr>
          <w:p w14:paraId="64AFE058">
            <w:pPr>
              <w:jc w:val="center"/>
              <w:rPr>
                <w:rFonts w:hint="eastAsia"/>
                <w:szCs w:val="24"/>
              </w:rPr>
            </w:pPr>
            <w:r>
              <w:rPr>
                <w:rFonts w:hint="eastAsia"/>
                <w:szCs w:val="24"/>
              </w:rPr>
              <w:t>45周岁</w:t>
            </w:r>
            <w:r>
              <w:rPr>
                <w:rFonts w:hint="eastAsia"/>
                <w:szCs w:val="24"/>
                <w:lang w:val="en-US" w:eastAsia="zh-CN"/>
              </w:rPr>
              <w:t>及以下</w:t>
            </w: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4343CDE0">
            <w:pPr>
              <w:jc w:val="center"/>
              <w:rPr>
                <w:rFonts w:hint="eastAsia"/>
                <w:szCs w:val="24"/>
              </w:rPr>
            </w:pPr>
            <w:r>
              <w:rPr>
                <w:rFonts w:hint="eastAsia"/>
                <w:szCs w:val="24"/>
                <w:lang w:val="en-US" w:eastAsia="zh-CN"/>
              </w:rPr>
              <w:t>专</w:t>
            </w:r>
            <w:r>
              <w:rPr>
                <w:rFonts w:hint="eastAsia"/>
                <w:szCs w:val="24"/>
              </w:rPr>
              <w:t>科及以上</w:t>
            </w:r>
          </w:p>
        </w:tc>
        <w:tc>
          <w:tcPr>
            <w:tcW w:w="2690" w:type="dxa"/>
            <w:tcBorders>
              <w:top w:val="single" w:color="auto" w:sz="4" w:space="0"/>
              <w:left w:val="single" w:color="auto" w:sz="4" w:space="0"/>
              <w:bottom w:val="single" w:color="auto" w:sz="4" w:space="0"/>
              <w:right w:val="single" w:color="auto" w:sz="4" w:space="0"/>
              <w:tl2br w:val="nil"/>
              <w:tr2bl w:val="nil"/>
            </w:tcBorders>
            <w:vAlign w:val="center"/>
          </w:tcPr>
          <w:p w14:paraId="12E8DC6B">
            <w:pPr>
              <w:jc w:val="left"/>
              <w:rPr>
                <w:rFonts w:hint="eastAsia"/>
                <w:szCs w:val="24"/>
              </w:rPr>
            </w:pPr>
            <w:r>
              <w:rPr>
                <w:lang w:val="en-US" w:eastAsia="zh-CN" w:bidi="ar"/>
              </w:rPr>
              <w:t>具有2年及以上</w:t>
            </w:r>
            <w:r>
              <w:rPr>
                <w:rFonts w:hint="eastAsia"/>
                <w:lang w:val="en-US" w:eastAsia="zh-CN" w:bidi="ar"/>
              </w:rPr>
              <w:t>高校保洁</w:t>
            </w:r>
            <w:r>
              <w:rPr>
                <w:lang w:val="en-US" w:eastAsia="zh-CN" w:bidi="ar"/>
              </w:rPr>
              <w:t>主管工作经验</w:t>
            </w:r>
          </w:p>
        </w:tc>
        <w:tc>
          <w:tcPr>
            <w:tcW w:w="3460" w:type="dxa"/>
            <w:tcBorders>
              <w:top w:val="single" w:color="auto" w:sz="4" w:space="0"/>
              <w:left w:val="single" w:color="auto" w:sz="4" w:space="0"/>
              <w:bottom w:val="single" w:color="auto" w:sz="4" w:space="0"/>
              <w:right w:val="single" w:color="auto" w:sz="4" w:space="0"/>
              <w:tl2br w:val="nil"/>
              <w:tr2bl w:val="nil"/>
            </w:tcBorders>
            <w:vAlign w:val="center"/>
          </w:tcPr>
          <w:p w14:paraId="2DADA5CF">
            <w:pPr>
              <w:jc w:val="left"/>
              <w:rPr>
                <w:rFonts w:hint="eastAsia"/>
                <w:szCs w:val="24"/>
              </w:rPr>
            </w:pPr>
            <w:r>
              <w:rPr>
                <w:rFonts w:hint="eastAsia"/>
                <w:szCs w:val="24"/>
              </w:rPr>
              <w:t>熟悉各种清洁工具和清洁设备使用与保养；具有执行落地质量标准、作业程序，通过循环检查督导工作提升改进能力；熟练使用办公软件，良好的word\Excel\PPT操作能力；具有结合公司标准及项目特点，形成项目的保洁作业标准化流程、标准化服务的能力；能快速响应项目各类保洁问题，在规定时间内完成问题闭环。</w:t>
            </w:r>
          </w:p>
        </w:tc>
      </w:tr>
      <w:tr w14:paraId="7E07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812" w:type="dxa"/>
            <w:tcBorders>
              <w:top w:val="single" w:color="auto" w:sz="4" w:space="0"/>
              <w:left w:val="single" w:color="auto" w:sz="4" w:space="0"/>
              <w:bottom w:val="single" w:color="auto" w:sz="4" w:space="0"/>
              <w:right w:val="single" w:color="auto" w:sz="4" w:space="0"/>
              <w:tl2br w:val="nil"/>
              <w:tr2bl w:val="nil"/>
            </w:tcBorders>
            <w:vAlign w:val="center"/>
          </w:tcPr>
          <w:p w14:paraId="66B4E305">
            <w:pPr>
              <w:jc w:val="center"/>
              <w:rPr>
                <w:rFonts w:hint="eastAsia" w:eastAsiaTheme="minorEastAsia"/>
                <w:szCs w:val="24"/>
                <w:lang w:val="en-US" w:eastAsia="zh-CN"/>
              </w:rPr>
            </w:pPr>
            <w:r>
              <w:rPr>
                <w:rFonts w:hint="eastAsia"/>
                <w:szCs w:val="24"/>
                <w:lang w:val="en-US" w:eastAsia="zh-CN"/>
              </w:rPr>
              <w:t>绿化</w:t>
            </w:r>
            <w:r>
              <w:rPr>
                <w:rFonts w:hint="eastAsia"/>
                <w:szCs w:val="24"/>
              </w:rPr>
              <w:t>主管</w:t>
            </w:r>
          </w:p>
        </w:tc>
        <w:tc>
          <w:tcPr>
            <w:tcW w:w="9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7E27E53">
            <w:pPr>
              <w:jc w:val="center"/>
              <w:rPr>
                <w:rFonts w:hint="eastAsia" w:asciiTheme="minorHAnsi" w:hAnsiTheme="minorHAnsi" w:eastAsiaTheme="minorEastAsia" w:cstheme="minorBidi"/>
                <w:kern w:val="2"/>
                <w:sz w:val="21"/>
                <w:szCs w:val="24"/>
                <w:lang w:val="en-US" w:eastAsia="zh-CN" w:bidi="ar-SA"/>
              </w:rPr>
            </w:pPr>
            <w:r>
              <w:rPr>
                <w:rFonts w:hint="eastAsia"/>
                <w:szCs w:val="24"/>
              </w:rPr>
              <w:t>45周岁</w:t>
            </w:r>
            <w:r>
              <w:rPr>
                <w:rFonts w:hint="eastAsia"/>
                <w:szCs w:val="24"/>
                <w:lang w:val="en-US" w:eastAsia="zh-CN"/>
              </w:rPr>
              <w:t>及以下</w:t>
            </w:r>
          </w:p>
        </w:tc>
        <w:tc>
          <w:tcPr>
            <w:tcW w:w="9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59D173C">
            <w:pPr>
              <w:jc w:val="center"/>
              <w:rPr>
                <w:rFonts w:hint="eastAsia" w:asciiTheme="minorHAnsi" w:hAnsiTheme="minorHAnsi" w:eastAsiaTheme="minorEastAsia" w:cstheme="minorBidi"/>
                <w:kern w:val="2"/>
                <w:sz w:val="21"/>
                <w:szCs w:val="24"/>
                <w:lang w:val="en-US" w:eastAsia="zh-CN" w:bidi="ar-SA"/>
              </w:rPr>
            </w:pPr>
            <w:r>
              <w:rPr>
                <w:rFonts w:hint="eastAsia"/>
                <w:szCs w:val="24"/>
                <w:lang w:val="en-US" w:eastAsia="zh-CN"/>
              </w:rPr>
              <w:t>专</w:t>
            </w:r>
            <w:r>
              <w:rPr>
                <w:rFonts w:hint="eastAsia"/>
                <w:szCs w:val="24"/>
              </w:rPr>
              <w:t>科及以上</w:t>
            </w:r>
          </w:p>
        </w:tc>
        <w:tc>
          <w:tcPr>
            <w:tcW w:w="2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0A0901">
            <w:pPr>
              <w:jc w:val="left"/>
              <w:rPr>
                <w:rFonts w:hint="eastAsia" w:asciiTheme="minorHAnsi" w:hAnsiTheme="minorHAnsi" w:eastAsiaTheme="minorEastAsia" w:cstheme="minorBidi"/>
                <w:kern w:val="2"/>
                <w:sz w:val="21"/>
                <w:szCs w:val="24"/>
                <w:lang w:val="en-US" w:eastAsia="zh-CN" w:bidi="ar-SA"/>
              </w:rPr>
            </w:pPr>
            <w:r>
              <w:rPr>
                <w:lang w:val="en-US" w:eastAsia="zh-CN" w:bidi="ar"/>
              </w:rPr>
              <w:t>具有2年及以上</w:t>
            </w:r>
            <w:r>
              <w:rPr>
                <w:rFonts w:hint="eastAsia"/>
                <w:lang w:val="en-US" w:eastAsia="zh-CN" w:bidi="ar"/>
              </w:rPr>
              <w:t>高校绿化</w:t>
            </w:r>
            <w:r>
              <w:rPr>
                <w:lang w:val="en-US" w:eastAsia="zh-CN" w:bidi="ar"/>
              </w:rPr>
              <w:t>主管工作经验</w:t>
            </w:r>
          </w:p>
        </w:tc>
        <w:tc>
          <w:tcPr>
            <w:tcW w:w="3460" w:type="dxa"/>
            <w:tcBorders>
              <w:top w:val="single" w:color="auto" w:sz="4" w:space="0"/>
              <w:left w:val="single" w:color="auto" w:sz="4" w:space="0"/>
              <w:bottom w:val="single" w:color="auto" w:sz="4" w:space="0"/>
              <w:right w:val="single" w:color="auto" w:sz="4" w:space="0"/>
              <w:tl2br w:val="nil"/>
              <w:tr2bl w:val="nil"/>
            </w:tcBorders>
            <w:vAlign w:val="center"/>
          </w:tcPr>
          <w:p w14:paraId="2D8E62D1">
            <w:pPr>
              <w:jc w:val="left"/>
              <w:rPr>
                <w:rFonts w:hint="eastAsia" w:eastAsiaTheme="minorEastAsia"/>
                <w:szCs w:val="24"/>
                <w:lang w:eastAsia="zh-CN"/>
              </w:rPr>
            </w:pPr>
            <w:r>
              <w:rPr>
                <w:rFonts w:hint="eastAsia"/>
                <w:szCs w:val="24"/>
              </w:rPr>
              <w:t>熟悉各种</w:t>
            </w:r>
            <w:r>
              <w:rPr>
                <w:rFonts w:hint="eastAsia"/>
                <w:szCs w:val="24"/>
                <w:lang w:val="en-US" w:eastAsia="zh-CN"/>
              </w:rPr>
              <w:t>绿化养护工作流程，</w:t>
            </w:r>
            <w:r>
              <w:rPr>
                <w:rFonts w:hint="eastAsia"/>
                <w:szCs w:val="24"/>
              </w:rPr>
              <w:t>具有执行落地质量标准、作业程序，通过循环检查督导工作提升改进能力；熟练使用办公软件，良好的word\Excel\PPT操作能力；具有结合公司标准及项目特点，形成项目的</w:t>
            </w:r>
            <w:r>
              <w:rPr>
                <w:rFonts w:hint="eastAsia"/>
                <w:szCs w:val="24"/>
                <w:lang w:val="en-US" w:eastAsia="zh-CN"/>
              </w:rPr>
              <w:t>绿化</w:t>
            </w:r>
            <w:r>
              <w:rPr>
                <w:rFonts w:hint="eastAsia"/>
                <w:szCs w:val="24"/>
              </w:rPr>
              <w:t>作业标准化流程、标准化服务的能力</w:t>
            </w:r>
            <w:r>
              <w:rPr>
                <w:rFonts w:hint="eastAsia"/>
                <w:szCs w:val="24"/>
                <w:lang w:eastAsia="zh-CN"/>
              </w:rPr>
              <w:t>。</w:t>
            </w:r>
          </w:p>
        </w:tc>
      </w:tr>
    </w:tbl>
    <w:p w14:paraId="1E9DE04E">
      <w:pPr>
        <w:shd w:val="clear"/>
        <w:ind w:firstLine="420" w:firstLineChars="200"/>
        <w:rPr>
          <w:rFonts w:hint="eastAsia" w:ascii="宋体" w:hAnsi="宋体" w:eastAsia="宋体" w:cs="宋体"/>
          <w:lang w:val="en-US" w:eastAsia="zh-CN"/>
        </w:rPr>
      </w:pPr>
    </w:p>
    <w:p w14:paraId="412B4024">
      <w:pPr>
        <w:shd w:val="clear"/>
        <w:ind w:firstLine="420" w:firstLineChars="200"/>
        <w:rPr>
          <w:rFonts w:hint="eastAsia" w:ascii="宋体" w:hAnsi="宋体" w:eastAsia="宋体" w:cs="宋体"/>
          <w:lang w:val="en-US" w:eastAsia="zh-CN"/>
        </w:rPr>
      </w:pPr>
    </w:p>
    <w:p w14:paraId="1FEE38F8">
      <w:pPr>
        <w:shd w:val="clear"/>
        <w:ind w:firstLine="420" w:firstLineChars="200"/>
        <w:rPr>
          <w:rFonts w:hint="eastAsia" w:ascii="宋体" w:hAnsi="宋体" w:eastAsia="宋体" w:cs="宋体"/>
          <w:lang w:val="en-US" w:eastAsia="zh-CN"/>
        </w:rPr>
      </w:pPr>
    </w:p>
    <w:p w14:paraId="48FB0310">
      <w:pPr>
        <w:shd w:val="clear"/>
        <w:rPr>
          <w:rFonts w:ascii="Calibri" w:hAnsi="Calibri" w:eastAsia="宋体" w:cs="Times New Roman"/>
        </w:rPr>
      </w:pPr>
    </w:p>
    <w:p w14:paraId="7F0F5914">
      <w:pPr>
        <w:shd w:val="clear"/>
        <w:autoSpaceDE w:val="0"/>
        <w:autoSpaceDN w:val="0"/>
        <w:adjustRightInd w:val="0"/>
        <w:spacing w:line="360" w:lineRule="auto"/>
        <w:jc w:val="center"/>
        <w:outlineLvl w:val="0"/>
        <w:rPr>
          <w:rFonts w:ascii="Calibri" w:hAnsi="Calibri" w:eastAsia="隶书" w:cs="Times New Roman"/>
          <w:b/>
          <w:bCs/>
          <w:kern w:val="0"/>
          <w:sz w:val="36"/>
          <w:szCs w:val="36"/>
        </w:rPr>
      </w:pPr>
      <w:bookmarkStart w:id="33" w:name="_Toc97303133"/>
      <w:r>
        <w:rPr>
          <w:rFonts w:ascii="Calibri" w:hAnsi="Calibri" w:eastAsia="隶书" w:cs="Times New Roman"/>
          <w:b/>
          <w:bCs/>
          <w:kern w:val="0"/>
          <w:sz w:val="36"/>
          <w:szCs w:val="36"/>
        </w:rPr>
        <w:t>一、保洁管理</w:t>
      </w:r>
      <w:bookmarkEnd w:id="29"/>
      <w:bookmarkEnd w:id="30"/>
      <w:bookmarkEnd w:id="33"/>
    </w:p>
    <w:p w14:paraId="224B7E68">
      <w:pPr>
        <w:keepNext/>
        <w:keepLines/>
        <w:shd w:val="clear"/>
        <w:spacing w:before="260" w:after="260" w:line="416" w:lineRule="auto"/>
        <w:outlineLvl w:val="1"/>
        <w:rPr>
          <w:rFonts w:ascii="Arial" w:hAnsi="Arial" w:eastAsia="黑体" w:cs="Times New Roman"/>
          <w:b/>
          <w:bCs/>
          <w:sz w:val="32"/>
          <w:szCs w:val="32"/>
        </w:rPr>
      </w:pPr>
      <w:bookmarkStart w:id="34" w:name="_Toc97303134"/>
      <w:bookmarkStart w:id="35" w:name="_Toc90475276"/>
      <w:r>
        <w:rPr>
          <w:rFonts w:hint="eastAsia" w:ascii="Arial" w:hAnsi="Arial" w:eastAsia="黑体" w:cs="Times New Roman"/>
          <w:b/>
          <w:bCs/>
          <w:sz w:val="32"/>
          <w:szCs w:val="32"/>
        </w:rPr>
        <w:t>1.1总体要求</w:t>
      </w:r>
      <w:bookmarkEnd w:id="34"/>
      <w:bookmarkEnd w:id="35"/>
    </w:p>
    <w:p w14:paraId="5BDAF032">
      <w:pPr>
        <w:shd w:val="clear"/>
        <w:ind w:firstLine="480"/>
        <w:rPr>
          <w:rFonts w:ascii="Calibri" w:hAnsi="Calibri" w:eastAsia="宋体" w:cs="Times New Roman"/>
        </w:rPr>
      </w:pPr>
      <w:r>
        <w:rPr>
          <w:rFonts w:ascii="Calibri" w:hAnsi="Calibri" w:eastAsia="宋体" w:cs="Times New Roman"/>
        </w:rPr>
        <w:t>1.</w:t>
      </w:r>
      <w:r>
        <w:rPr>
          <w:rFonts w:hint="eastAsia" w:ascii="Calibri" w:hAnsi="Calibri" w:eastAsia="宋体" w:cs="Times New Roman"/>
        </w:rPr>
        <w:t>1.1 临平校区卫生保洁面积约49万㎡（室外31万㎡，室内18万㎡），具体面积最终以实测面积为准。</w:t>
      </w:r>
    </w:p>
    <w:p w14:paraId="5502634D">
      <w:pPr>
        <w:shd w:val="clear"/>
        <w:ind w:firstLine="480"/>
        <w:rPr>
          <w:rFonts w:ascii="Calibri" w:hAnsi="Calibri" w:eastAsia="宋体" w:cs="Times New Roman"/>
        </w:rPr>
      </w:pPr>
      <w:r>
        <w:rPr>
          <w:rFonts w:ascii="Calibri" w:hAnsi="Calibri" w:eastAsia="宋体" w:cs="Times New Roman"/>
        </w:rPr>
        <w:t>1.</w:t>
      </w:r>
      <w:r>
        <w:rPr>
          <w:rFonts w:hint="eastAsia" w:ascii="Calibri" w:hAnsi="Calibri" w:eastAsia="宋体" w:cs="Times New Roman"/>
        </w:rPr>
        <w:t>1.2 人员设置与要求：为确保卫生保洁服务质量，要求保洁部服务人员不少于71人的人数标准设置服务岗位（含主管）。会务部服务人员不少于6人（含主管），会务服务人员须为女性，身高165-1</w:t>
      </w:r>
      <w:r>
        <w:rPr>
          <w:rFonts w:ascii="Calibri" w:hAnsi="Calibri" w:eastAsia="宋体" w:cs="Times New Roman"/>
        </w:rPr>
        <w:t>75</w:t>
      </w:r>
      <w:r>
        <w:rPr>
          <w:rFonts w:hint="eastAsia" w:ascii="Calibri" w:hAnsi="Calibri" w:eastAsia="宋体" w:cs="Times New Roman"/>
        </w:rPr>
        <w:t>cm，形象、气质佳，沟通表达能力强，年龄不得超过35周岁；其余保洁人员男女合理配比，年龄均不得超过</w:t>
      </w:r>
      <w:r>
        <w:rPr>
          <w:rFonts w:ascii="Calibri" w:hAnsi="Calibri" w:eastAsia="宋体" w:cs="Times New Roman"/>
        </w:rPr>
        <w:t>60</w:t>
      </w:r>
      <w:r>
        <w:rPr>
          <w:rFonts w:hint="eastAsia" w:ascii="Calibri" w:hAnsi="Calibri" w:eastAsia="宋体" w:cs="Times New Roman"/>
        </w:rPr>
        <w:t>周岁。</w:t>
      </w:r>
    </w:p>
    <w:p w14:paraId="58C65A82">
      <w:pPr>
        <w:shd w:val="clear"/>
        <w:ind w:firstLine="480"/>
        <w:rPr>
          <w:rFonts w:ascii="Calibri" w:hAnsi="Calibri" w:eastAsia="宋体" w:cs="Times New Roman"/>
        </w:rPr>
      </w:pPr>
      <w:r>
        <w:rPr>
          <w:rFonts w:ascii="Calibri" w:hAnsi="Calibri" w:eastAsia="宋体" w:cs="Times New Roman"/>
        </w:rPr>
        <w:t>1.</w:t>
      </w:r>
      <w:r>
        <w:rPr>
          <w:rFonts w:hint="eastAsia" w:ascii="Calibri" w:hAnsi="Calibri" w:eastAsia="宋体" w:cs="Times New Roman"/>
        </w:rPr>
        <w:t xml:space="preserve">1.3 </w:t>
      </w:r>
      <w:r>
        <w:rPr>
          <w:rFonts w:hint="eastAsia" w:ascii="Calibri" w:hAnsi="Calibri" w:eastAsia="宋体" w:cs="Times New Roman"/>
          <w:lang w:eastAsia="zh-CN"/>
        </w:rPr>
        <w:t>中标单位</w:t>
      </w:r>
      <w:r>
        <w:rPr>
          <w:rFonts w:hint="eastAsia" w:ascii="Calibri" w:hAnsi="Calibri" w:eastAsia="宋体" w:cs="Times New Roman"/>
        </w:rPr>
        <w:t>经现场勘查并根据实际情况，列出用工计划、用工人数，做好区域责任公示牌（责任公示牌样式必须提前与</w:t>
      </w:r>
      <w:r>
        <w:rPr>
          <w:rFonts w:hint="eastAsia" w:ascii="Calibri" w:hAnsi="Calibri" w:eastAsia="宋体" w:cs="Times New Roman"/>
          <w:lang w:eastAsia="zh-CN"/>
        </w:rPr>
        <w:t>校方</w:t>
      </w:r>
      <w:r>
        <w:rPr>
          <w:rFonts w:hint="eastAsia" w:ascii="Calibri" w:hAnsi="Calibri" w:eastAsia="宋体" w:cs="Times New Roman"/>
        </w:rPr>
        <w:t>商议决定）。</w:t>
      </w:r>
    </w:p>
    <w:p w14:paraId="73B3EBF5">
      <w:pPr>
        <w:shd w:val="clear"/>
        <w:ind w:firstLine="480"/>
        <w:rPr>
          <w:rFonts w:ascii="Calibri" w:hAnsi="Calibri" w:eastAsia="宋体" w:cs="Times New Roman"/>
        </w:rPr>
      </w:pPr>
      <w:r>
        <w:rPr>
          <w:rFonts w:ascii="Calibri" w:hAnsi="Calibri" w:eastAsia="宋体" w:cs="Times New Roman"/>
        </w:rPr>
        <w:t>1.</w:t>
      </w:r>
      <w:r>
        <w:rPr>
          <w:rFonts w:hint="eastAsia" w:ascii="Calibri" w:hAnsi="Calibri" w:eastAsia="宋体" w:cs="Times New Roman"/>
        </w:rPr>
        <w:t>1.4 鉴于学校教学和科研工作特点，要求</w:t>
      </w:r>
      <w:r>
        <w:rPr>
          <w:rFonts w:hint="eastAsia" w:ascii="Calibri" w:hAnsi="Calibri" w:eastAsia="宋体" w:cs="Times New Roman"/>
          <w:lang w:eastAsia="zh-CN"/>
        </w:rPr>
        <w:t>中标单位</w:t>
      </w:r>
      <w:r>
        <w:rPr>
          <w:rFonts w:hint="eastAsia" w:ascii="Calibri" w:hAnsi="Calibri" w:eastAsia="宋体" w:cs="Times New Roman"/>
        </w:rPr>
        <w:t>拟定相关的作业计划，校园卫生保洁工作不得因国家及学校规定的休假日而中断，每天上班时间内必须确保服务人员在岗，并有专职人员随时巡查校园保洁情况。</w:t>
      </w:r>
    </w:p>
    <w:p w14:paraId="10F6EE6B">
      <w:pPr>
        <w:shd w:val="clear"/>
        <w:ind w:firstLine="480"/>
        <w:rPr>
          <w:rFonts w:ascii="Calibri" w:hAnsi="Calibri" w:eastAsia="宋体" w:cs="Times New Roman"/>
        </w:rPr>
      </w:pPr>
      <w:r>
        <w:rPr>
          <w:rFonts w:ascii="Calibri" w:hAnsi="Calibri" w:eastAsia="宋体" w:cs="Times New Roman"/>
        </w:rPr>
        <w:t>1.</w:t>
      </w:r>
      <w:r>
        <w:rPr>
          <w:rFonts w:hint="eastAsia" w:ascii="Calibri" w:hAnsi="Calibri" w:eastAsia="宋体" w:cs="Times New Roman"/>
        </w:rPr>
        <w:t>1.5学校若有临时任务或重要活动，需加班保洁时，应无条件配合学校，并处理好各项突发性任务。</w:t>
      </w:r>
    </w:p>
    <w:p w14:paraId="11E6C8C3">
      <w:pPr>
        <w:shd w:val="clear"/>
        <w:ind w:firstLine="480"/>
        <w:rPr>
          <w:rFonts w:ascii="Calibri" w:hAnsi="Calibri" w:eastAsia="宋体" w:cs="Times New Roman"/>
        </w:rPr>
      </w:pPr>
      <w:r>
        <w:rPr>
          <w:rFonts w:ascii="Calibri" w:hAnsi="Calibri" w:eastAsia="宋体" w:cs="Times New Roman"/>
        </w:rPr>
        <w:t>1.</w:t>
      </w:r>
      <w:r>
        <w:rPr>
          <w:rFonts w:hint="eastAsia" w:ascii="Calibri" w:hAnsi="Calibri" w:eastAsia="宋体" w:cs="Times New Roman"/>
        </w:rPr>
        <w:t>1.6 无特殊情况，在学校每学期正式开学前一周，保洁人员应进行开学前的大清扫。</w:t>
      </w:r>
    </w:p>
    <w:p w14:paraId="5EE27C25">
      <w:pPr>
        <w:shd w:val="clear"/>
        <w:ind w:firstLine="480"/>
        <w:rPr>
          <w:rFonts w:ascii="Calibri" w:hAnsi="Calibri" w:eastAsia="宋体" w:cs="Times New Roman"/>
        </w:rPr>
      </w:pPr>
      <w:r>
        <w:rPr>
          <w:rFonts w:ascii="Calibri" w:hAnsi="Calibri" w:eastAsia="宋体" w:cs="Times New Roman"/>
        </w:rPr>
        <w:t>1.</w:t>
      </w:r>
      <w:r>
        <w:rPr>
          <w:rFonts w:hint="eastAsia" w:ascii="Calibri" w:hAnsi="Calibri" w:eastAsia="宋体" w:cs="Times New Roman"/>
        </w:rPr>
        <w:t xml:space="preserve">1.7 </w:t>
      </w:r>
      <w:r>
        <w:rPr>
          <w:rFonts w:hint="eastAsia" w:ascii="Calibri" w:hAnsi="Calibri" w:eastAsia="宋体" w:cs="Times New Roman"/>
          <w:lang w:eastAsia="zh-CN"/>
        </w:rPr>
        <w:t>中标单位</w:t>
      </w:r>
      <w:r>
        <w:rPr>
          <w:rFonts w:hint="eastAsia" w:ascii="Calibri" w:hAnsi="Calibri" w:eastAsia="宋体" w:cs="Times New Roman"/>
        </w:rPr>
        <w:t>负责保洁人员的招聘、使用、管理、调配和辞退。若有违反校纪校规，对工作不负责的保洁人员，学校有权提出人员更换。</w:t>
      </w:r>
    </w:p>
    <w:p w14:paraId="1422C214">
      <w:pPr>
        <w:shd w:val="clear"/>
        <w:ind w:firstLine="480"/>
        <w:rPr>
          <w:rFonts w:ascii="Calibri" w:hAnsi="Calibri" w:eastAsia="宋体" w:cs="Times New Roman"/>
        </w:rPr>
      </w:pPr>
      <w:r>
        <w:rPr>
          <w:rFonts w:ascii="Calibri" w:hAnsi="Calibri" w:eastAsia="宋体" w:cs="Times New Roman"/>
        </w:rPr>
        <w:t>1.</w:t>
      </w:r>
      <w:r>
        <w:rPr>
          <w:rFonts w:hint="eastAsia" w:ascii="Calibri" w:hAnsi="Calibri" w:eastAsia="宋体" w:cs="Times New Roman"/>
        </w:rPr>
        <w:t>1.8 保洁人员的素质要求：</w:t>
      </w:r>
    </w:p>
    <w:p w14:paraId="5427A9A6">
      <w:pPr>
        <w:shd w:val="clear"/>
        <w:ind w:firstLine="480"/>
        <w:rPr>
          <w:rFonts w:ascii="Calibri" w:hAnsi="Calibri" w:eastAsia="宋体" w:cs="Times New Roman"/>
        </w:rPr>
      </w:pPr>
      <w:r>
        <w:rPr>
          <w:rFonts w:hint="eastAsia" w:ascii="Calibri" w:hAnsi="Calibri" w:eastAsia="宋体" w:cs="Times New Roman"/>
          <w:lang w:eastAsia="zh-CN"/>
        </w:rPr>
        <w:t>（</w:t>
      </w:r>
      <w:r>
        <w:rPr>
          <w:rFonts w:hint="eastAsia" w:ascii="Calibri" w:hAnsi="Calibri" w:eastAsia="宋体" w:cs="Times New Roman"/>
          <w:lang w:val="en-US" w:eastAsia="zh-CN"/>
        </w:rPr>
        <w:t>1）</w:t>
      </w:r>
      <w:r>
        <w:rPr>
          <w:rFonts w:hint="eastAsia" w:ascii="Calibri" w:hAnsi="Calibri" w:eastAsia="宋体" w:cs="Times New Roman"/>
        </w:rPr>
        <w:t>要求保洁人员热爱学校，认真对待本职工作，身体健康，踏实肯干，具有较强的工作责任心。</w:t>
      </w:r>
    </w:p>
    <w:p w14:paraId="38E52B45">
      <w:pPr>
        <w:shd w:val="clear"/>
        <w:ind w:firstLine="480"/>
        <w:rPr>
          <w:rFonts w:ascii="Calibri" w:hAnsi="Calibri" w:eastAsia="宋体" w:cs="Times New Roman"/>
        </w:rPr>
      </w:pPr>
      <w:r>
        <w:rPr>
          <w:rFonts w:hint="eastAsia" w:ascii="Calibri" w:hAnsi="Calibri" w:eastAsia="宋体" w:cs="Times New Roman"/>
          <w:lang w:eastAsia="zh-CN"/>
        </w:rPr>
        <w:t>（</w:t>
      </w:r>
      <w:r>
        <w:rPr>
          <w:rFonts w:hint="eastAsia" w:ascii="Calibri" w:hAnsi="Calibri" w:eastAsia="宋体" w:cs="Times New Roman"/>
          <w:lang w:val="en-US" w:eastAsia="zh-CN"/>
        </w:rPr>
        <w:t>2）</w:t>
      </w:r>
      <w:r>
        <w:rPr>
          <w:rFonts w:hint="eastAsia" w:ascii="Calibri" w:hAnsi="Calibri" w:eastAsia="宋体" w:cs="Times New Roman"/>
        </w:rPr>
        <w:t>全部从业人员受过专业培训，业务熟练，统一着装，标识鲜明，礼仪规范。</w:t>
      </w:r>
    </w:p>
    <w:p w14:paraId="5FF16DBF">
      <w:pPr>
        <w:shd w:val="clear"/>
        <w:ind w:firstLine="480"/>
        <w:rPr>
          <w:rFonts w:ascii="Calibri" w:hAnsi="Calibri" w:eastAsia="宋体" w:cs="Times New Roman"/>
        </w:rPr>
      </w:pPr>
      <w:r>
        <w:rPr>
          <w:rFonts w:hint="eastAsia" w:ascii="Calibri" w:hAnsi="Calibri" w:eastAsia="宋体" w:cs="Times New Roman"/>
          <w:lang w:eastAsia="zh-CN"/>
        </w:rPr>
        <w:t>（</w:t>
      </w:r>
      <w:r>
        <w:rPr>
          <w:rFonts w:hint="eastAsia" w:ascii="Calibri" w:hAnsi="Calibri" w:eastAsia="宋体" w:cs="Times New Roman"/>
          <w:lang w:val="en-US" w:eastAsia="zh-CN"/>
        </w:rPr>
        <w:t>3）</w:t>
      </w:r>
      <w:r>
        <w:rPr>
          <w:rFonts w:hint="eastAsia" w:ascii="Calibri" w:hAnsi="Calibri" w:eastAsia="宋体" w:cs="Times New Roman"/>
        </w:rPr>
        <w:t>保洁人员与学校方面发生纠纷时，首先应服从学校相关职能部门的协调安排，积极主动与学校相关职能部门配合，化解矛盾、解决纠纷。</w:t>
      </w:r>
    </w:p>
    <w:p w14:paraId="4879C361">
      <w:pPr>
        <w:shd w:val="clear"/>
        <w:ind w:firstLine="480"/>
        <w:rPr>
          <w:rFonts w:ascii="Calibri" w:hAnsi="Calibri" w:eastAsia="宋体" w:cs="Times New Roman"/>
        </w:rPr>
      </w:pPr>
      <w:r>
        <w:rPr>
          <w:rFonts w:hint="eastAsia" w:ascii="Calibri" w:hAnsi="Calibri" w:eastAsia="宋体" w:cs="Times New Roman"/>
          <w:lang w:eastAsia="zh-CN"/>
        </w:rPr>
        <w:t>（</w:t>
      </w:r>
      <w:r>
        <w:rPr>
          <w:rFonts w:hint="eastAsia" w:ascii="Calibri" w:hAnsi="Calibri" w:eastAsia="宋体" w:cs="Times New Roman"/>
          <w:lang w:val="en-US" w:eastAsia="zh-CN"/>
        </w:rPr>
        <w:t>4）</w:t>
      </w:r>
      <w:r>
        <w:rPr>
          <w:rFonts w:hint="eastAsia" w:ascii="Calibri" w:hAnsi="Calibri" w:eastAsia="宋体" w:cs="Times New Roman"/>
        </w:rPr>
        <w:t>未经学校保卫部门批准和放行，保洁人员不得擅自将清理的废弃物运出学校。</w:t>
      </w:r>
    </w:p>
    <w:p w14:paraId="01F02C95">
      <w:pPr>
        <w:shd w:val="clear"/>
        <w:ind w:firstLine="480"/>
        <w:rPr>
          <w:rFonts w:hint="eastAsia" w:ascii="Calibri" w:hAnsi="Calibri" w:eastAsia="宋体" w:cs="Times New Roman"/>
        </w:rPr>
      </w:pPr>
      <w:r>
        <w:rPr>
          <w:rFonts w:ascii="Calibri" w:hAnsi="Calibri" w:eastAsia="宋体" w:cs="Times New Roman"/>
        </w:rPr>
        <w:t xml:space="preserve">1.1.9 </w:t>
      </w:r>
      <w:r>
        <w:rPr>
          <w:rFonts w:hint="eastAsia" w:ascii="Calibri" w:hAnsi="Calibri" w:eastAsia="宋体" w:cs="Times New Roman"/>
        </w:rPr>
        <w:t>卫生保洁时间（物业入驻后以校方实际需求为准）：</w:t>
      </w:r>
    </w:p>
    <w:p w14:paraId="7393E1AD">
      <w:pPr>
        <w:shd w:val="clear"/>
        <w:ind w:firstLine="480"/>
        <w:rPr>
          <w:rFonts w:hint="eastAsia" w:ascii="Calibri" w:hAnsi="Calibri" w:eastAsia="宋体" w:cs="Times New Roman"/>
          <w:lang w:eastAsia="zh-CN"/>
        </w:rPr>
      </w:pPr>
      <w:r>
        <w:rPr>
          <w:rFonts w:hint="eastAsia" w:ascii="Calibri" w:hAnsi="Calibri" w:eastAsia="宋体" w:cs="Times New Roman"/>
          <w:lang w:eastAsia="zh-CN"/>
        </w:rPr>
        <w:t>（</w:t>
      </w:r>
      <w:r>
        <w:rPr>
          <w:rFonts w:hint="eastAsia" w:ascii="Calibri" w:hAnsi="Calibri" w:eastAsia="宋体" w:cs="Times New Roman"/>
          <w:lang w:val="en-US" w:eastAsia="zh-CN"/>
        </w:rPr>
        <w:t>1）</w:t>
      </w:r>
      <w:r>
        <w:rPr>
          <w:rFonts w:hint="eastAsia" w:ascii="Calibri" w:hAnsi="Calibri" w:eastAsia="宋体" w:cs="Times New Roman"/>
        </w:rPr>
        <w:t>3号图文信息中心、4号公共教学楼、5号教学楼、6号教学楼、7号教学楼7:00——22:00（确保正常教学秩序）</w:t>
      </w:r>
      <w:r>
        <w:rPr>
          <w:rFonts w:hint="eastAsia" w:ascii="Calibri" w:hAnsi="Calibri" w:eastAsia="宋体" w:cs="Times New Roman"/>
          <w:lang w:eastAsia="zh-CN"/>
        </w:rPr>
        <w:t>。</w:t>
      </w:r>
    </w:p>
    <w:p w14:paraId="340B6C6A">
      <w:pPr>
        <w:shd w:val="clear"/>
        <w:ind w:firstLine="480"/>
        <w:rPr>
          <w:rFonts w:hint="eastAsia" w:ascii="Calibri" w:hAnsi="Calibri" w:eastAsia="宋体" w:cs="Times New Roman"/>
        </w:rPr>
      </w:pPr>
      <w:r>
        <w:rPr>
          <w:rFonts w:hint="eastAsia" w:ascii="Calibri" w:hAnsi="Calibri" w:eastAsia="宋体" w:cs="Times New Roman"/>
          <w:lang w:eastAsia="zh-CN"/>
        </w:rPr>
        <w:t>（</w:t>
      </w:r>
      <w:r>
        <w:rPr>
          <w:rFonts w:hint="eastAsia" w:ascii="Calibri" w:hAnsi="Calibri" w:eastAsia="宋体" w:cs="Times New Roman"/>
          <w:lang w:val="en-US" w:eastAsia="zh-CN"/>
        </w:rPr>
        <w:t>1）</w:t>
      </w:r>
      <w:r>
        <w:rPr>
          <w:rFonts w:hint="eastAsia" w:ascii="Calibri" w:hAnsi="Calibri" w:eastAsia="宋体" w:cs="Times New Roman"/>
        </w:rPr>
        <w:t>1号学生活动中心、2号体育馆、11号蚕学馆等公共建筑7:00—16:00</w:t>
      </w:r>
      <w:r>
        <w:rPr>
          <w:rFonts w:hint="eastAsia" w:ascii="Calibri" w:hAnsi="Calibri" w:eastAsia="宋体" w:cs="Times New Roman"/>
          <w:lang w:eastAsia="zh-CN"/>
        </w:rPr>
        <w:t>。</w:t>
      </w:r>
    </w:p>
    <w:p w14:paraId="6D494C8C">
      <w:pPr>
        <w:shd w:val="clear"/>
        <w:ind w:firstLine="480"/>
        <w:rPr>
          <w:rFonts w:hint="eastAsia" w:ascii="Calibri" w:hAnsi="Calibri" w:eastAsia="宋体" w:cs="Times New Roman"/>
          <w:lang w:eastAsia="zh-CN"/>
        </w:rPr>
      </w:pPr>
      <w:r>
        <w:rPr>
          <w:rFonts w:hint="eastAsia" w:ascii="Calibri" w:hAnsi="Calibri" w:eastAsia="宋体" w:cs="Times New Roman"/>
          <w:lang w:eastAsia="zh-CN"/>
        </w:rPr>
        <w:t>（</w:t>
      </w:r>
      <w:r>
        <w:rPr>
          <w:rFonts w:hint="eastAsia" w:ascii="Calibri" w:hAnsi="Calibri" w:eastAsia="宋体" w:cs="Times New Roman"/>
          <w:lang w:val="en-US" w:eastAsia="zh-CN"/>
        </w:rPr>
        <w:t>2）</w:t>
      </w:r>
      <w:r>
        <w:rPr>
          <w:rFonts w:hint="eastAsia" w:ascii="Calibri" w:hAnsi="Calibri" w:eastAsia="宋体" w:cs="Times New Roman"/>
        </w:rPr>
        <w:t>12-18号公寓楼7:00—16:00</w:t>
      </w:r>
      <w:r>
        <w:rPr>
          <w:rFonts w:hint="eastAsia" w:ascii="Calibri" w:hAnsi="Calibri" w:eastAsia="宋体" w:cs="Times New Roman"/>
          <w:lang w:eastAsia="zh-CN"/>
        </w:rPr>
        <w:t>。</w:t>
      </w:r>
    </w:p>
    <w:p w14:paraId="66E421C9">
      <w:pPr>
        <w:shd w:val="clear"/>
        <w:ind w:firstLine="480"/>
        <w:rPr>
          <w:rFonts w:hint="eastAsia" w:ascii="Calibri" w:hAnsi="Calibri" w:eastAsia="宋体" w:cs="Times New Roman"/>
          <w:lang w:eastAsia="zh-CN"/>
        </w:rPr>
      </w:pPr>
      <w:r>
        <w:rPr>
          <w:rFonts w:hint="eastAsia" w:ascii="Calibri" w:hAnsi="Calibri" w:eastAsia="宋体" w:cs="Times New Roman"/>
          <w:lang w:eastAsia="zh-CN"/>
        </w:rPr>
        <w:t>（</w:t>
      </w:r>
      <w:r>
        <w:rPr>
          <w:rFonts w:hint="eastAsia" w:ascii="Calibri" w:hAnsi="Calibri" w:eastAsia="宋体" w:cs="Times New Roman"/>
          <w:lang w:val="en-US" w:eastAsia="zh-CN"/>
        </w:rPr>
        <w:t>3）</w:t>
      </w:r>
      <w:r>
        <w:rPr>
          <w:rFonts w:hint="eastAsia" w:ascii="Calibri" w:hAnsi="Calibri" w:eastAsia="宋体" w:cs="Times New Roman"/>
        </w:rPr>
        <w:t>10号楼食堂一楼架空层、外围楼梯（含二、四楼平台）7:00—18:00</w:t>
      </w:r>
      <w:r>
        <w:rPr>
          <w:rFonts w:hint="eastAsia" w:ascii="Calibri" w:hAnsi="Calibri" w:eastAsia="宋体" w:cs="Times New Roman"/>
          <w:lang w:eastAsia="zh-CN"/>
        </w:rPr>
        <w:t>。</w:t>
      </w:r>
    </w:p>
    <w:p w14:paraId="4CC8BB0B">
      <w:pPr>
        <w:shd w:val="clear"/>
        <w:ind w:firstLine="480"/>
        <w:rPr>
          <w:rFonts w:hint="eastAsia" w:ascii="Calibri" w:hAnsi="Calibri" w:eastAsia="宋体" w:cs="Times New Roman"/>
          <w:lang w:eastAsia="zh-CN"/>
        </w:rPr>
      </w:pPr>
      <w:r>
        <w:rPr>
          <w:rFonts w:hint="eastAsia" w:ascii="Calibri" w:hAnsi="Calibri" w:eastAsia="宋体" w:cs="Times New Roman"/>
          <w:lang w:eastAsia="zh-CN"/>
        </w:rPr>
        <w:t>（</w:t>
      </w:r>
      <w:r>
        <w:rPr>
          <w:rFonts w:hint="eastAsia" w:ascii="Calibri" w:hAnsi="Calibri" w:eastAsia="宋体" w:cs="Times New Roman"/>
          <w:lang w:val="en-US" w:eastAsia="zh-CN"/>
        </w:rPr>
        <w:t>4）</w:t>
      </w:r>
      <w:r>
        <w:rPr>
          <w:rFonts w:hint="eastAsia" w:ascii="Calibri" w:hAnsi="Calibri" w:eastAsia="宋体" w:cs="Times New Roman"/>
        </w:rPr>
        <w:t>外围公共区域、外围道路等6:30—20:30</w:t>
      </w:r>
      <w:r>
        <w:rPr>
          <w:rFonts w:hint="eastAsia" w:ascii="Calibri" w:hAnsi="Calibri" w:eastAsia="宋体" w:cs="Times New Roman"/>
          <w:lang w:eastAsia="zh-CN"/>
        </w:rPr>
        <w:t>。</w:t>
      </w:r>
    </w:p>
    <w:p w14:paraId="21D77EC9">
      <w:pPr>
        <w:shd w:val="clear"/>
        <w:ind w:firstLine="480"/>
        <w:rPr>
          <w:rFonts w:ascii="Calibri" w:hAnsi="Calibri" w:eastAsia="宋体" w:cs="Times New Roman"/>
        </w:rPr>
      </w:pPr>
      <w:r>
        <w:rPr>
          <w:rFonts w:ascii="Calibri" w:hAnsi="Calibri" w:eastAsia="宋体" w:cs="Times New Roman"/>
        </w:rPr>
        <w:t xml:space="preserve">1.1.10 </w:t>
      </w:r>
      <w:r>
        <w:rPr>
          <w:rFonts w:hint="eastAsia" w:ascii="Calibri" w:hAnsi="Calibri" w:eastAsia="宋体" w:cs="Times New Roman"/>
          <w:lang w:eastAsia="zh-CN"/>
        </w:rPr>
        <w:t>中标单位</w:t>
      </w:r>
      <w:r>
        <w:rPr>
          <w:rFonts w:hint="eastAsia" w:ascii="Calibri" w:hAnsi="Calibri" w:eastAsia="宋体" w:cs="Times New Roman"/>
        </w:rPr>
        <w:t>负责校园</w:t>
      </w:r>
      <w:r>
        <w:rPr>
          <w:rFonts w:hint="eastAsia" w:ascii="Calibri" w:hAnsi="Calibri" w:eastAsia="宋体" w:cs="Times New Roman"/>
          <w:lang w:val="en-US" w:eastAsia="zh-CN"/>
        </w:rPr>
        <w:t>楼宇</w:t>
      </w:r>
      <w:r>
        <w:rPr>
          <w:rFonts w:hint="eastAsia" w:ascii="Calibri" w:hAnsi="Calibri" w:eastAsia="宋体" w:cs="Times New Roman"/>
        </w:rPr>
        <w:t>外围公共区域、</w:t>
      </w:r>
      <w:r>
        <w:rPr>
          <w:rFonts w:hint="eastAsia" w:ascii="Calibri" w:hAnsi="Calibri" w:eastAsia="宋体" w:cs="Times New Roman"/>
          <w:lang w:val="en-US" w:eastAsia="zh-CN"/>
        </w:rPr>
        <w:t>楼宇</w:t>
      </w:r>
      <w:r>
        <w:rPr>
          <w:rFonts w:hint="eastAsia" w:ascii="Calibri" w:hAnsi="Calibri" w:eastAsia="宋体" w:cs="Times New Roman"/>
        </w:rPr>
        <w:t>外围道路、楼宇内公共区域的垃圾桶、垃圾袋的配置、学生宿舍日常使用垃圾袋（</w:t>
      </w:r>
      <w:r>
        <w:rPr>
          <w:rFonts w:hint="eastAsia" w:ascii="Calibri" w:hAnsi="Calibri" w:eastAsia="宋体" w:cs="Times New Roman"/>
          <w:b/>
        </w:rPr>
        <w:t>每个宿舍每日</w:t>
      </w:r>
      <w:r>
        <w:rPr>
          <w:rFonts w:ascii="Calibri" w:hAnsi="Calibri" w:eastAsia="宋体" w:cs="Times New Roman"/>
          <w:b/>
        </w:rPr>
        <w:t>1</w:t>
      </w:r>
      <w:r>
        <w:rPr>
          <w:rFonts w:hint="eastAsia" w:ascii="Calibri" w:hAnsi="Calibri" w:eastAsia="宋体" w:cs="Times New Roman"/>
          <w:b/>
        </w:rPr>
        <w:t>只可回收垃圾袋</w:t>
      </w:r>
      <w:r>
        <w:rPr>
          <w:rFonts w:hint="eastAsia" w:ascii="Calibri" w:hAnsi="Calibri" w:eastAsia="宋体" w:cs="Times New Roman"/>
        </w:rPr>
        <w:t>）、学生宿舍保洁用具（</w:t>
      </w:r>
      <w:r>
        <w:rPr>
          <w:rFonts w:hint="eastAsia" w:ascii="Calibri" w:hAnsi="Calibri" w:eastAsia="宋体" w:cs="Times New Roman"/>
          <w:b/>
        </w:rPr>
        <w:t>每年每间新生宿舍配</w:t>
      </w:r>
      <w:r>
        <w:rPr>
          <w:rFonts w:ascii="Calibri" w:hAnsi="Calibri" w:eastAsia="宋体" w:cs="Times New Roman"/>
          <w:b/>
        </w:rPr>
        <w:t>1</w:t>
      </w:r>
      <w:r>
        <w:rPr>
          <w:rFonts w:hint="eastAsia" w:ascii="Calibri" w:hAnsi="Calibri" w:eastAsia="宋体" w:cs="Times New Roman"/>
          <w:b/>
        </w:rPr>
        <w:t>套，每套保洁用具含扫把、簸箕、可回收垃圾桶、纸篓、衣叉、马桶刷、拖把</w:t>
      </w:r>
      <w:r>
        <w:rPr>
          <w:rFonts w:hint="eastAsia" w:ascii="Calibri" w:hAnsi="Calibri" w:eastAsia="宋体" w:cs="Times New Roman"/>
        </w:rPr>
        <w:t>），垃圾清扫、校内运输、集中处置等严格按照《浙江省生活垃圾管理条例》、《杭州市生活垃圾管理条例》、《杭州市城镇生活垃圾分类管理规范》等文件精神执行。</w:t>
      </w:r>
    </w:p>
    <w:p w14:paraId="5F363EDA">
      <w:pPr>
        <w:shd w:val="clear"/>
        <w:ind w:firstLine="480"/>
        <w:rPr>
          <w:rFonts w:ascii="Calibri" w:hAnsi="Calibri" w:eastAsia="宋体" w:cs="Times New Roman"/>
        </w:rPr>
      </w:pPr>
      <w:r>
        <w:rPr>
          <w:rFonts w:ascii="Calibri" w:hAnsi="Calibri" w:eastAsia="宋体" w:cs="Times New Roman"/>
        </w:rPr>
        <w:t>1.</w:t>
      </w:r>
      <w:r>
        <w:rPr>
          <w:rFonts w:hint="eastAsia" w:ascii="Calibri" w:hAnsi="Calibri" w:eastAsia="宋体" w:cs="Times New Roman"/>
        </w:rPr>
        <w:t>1.11负责校区的消杀灭虫工作（含食堂），并及时做好台账，特殊时段按学校相关规定执行。</w:t>
      </w:r>
    </w:p>
    <w:p w14:paraId="7131369A">
      <w:pPr>
        <w:keepNext/>
        <w:keepLines/>
        <w:shd w:val="clear"/>
        <w:spacing w:before="260" w:after="260" w:line="416" w:lineRule="auto"/>
        <w:outlineLvl w:val="1"/>
        <w:rPr>
          <w:rFonts w:ascii="Arial" w:hAnsi="Arial" w:eastAsia="黑体" w:cs="Times New Roman"/>
          <w:b/>
          <w:bCs/>
          <w:sz w:val="32"/>
          <w:szCs w:val="32"/>
        </w:rPr>
      </w:pPr>
      <w:bookmarkStart w:id="36" w:name="_Toc90475277"/>
      <w:bookmarkStart w:id="37" w:name="_Toc97303135"/>
      <w:r>
        <w:rPr>
          <w:rFonts w:hint="eastAsia" w:ascii="Arial" w:hAnsi="Arial" w:eastAsia="黑体" w:cs="Times New Roman"/>
          <w:b/>
          <w:bCs/>
          <w:sz w:val="32"/>
          <w:szCs w:val="32"/>
        </w:rPr>
        <w:t>1.2服务要求及标准</w:t>
      </w:r>
      <w:bookmarkEnd w:id="36"/>
      <w:bookmarkEnd w:id="37"/>
    </w:p>
    <w:p w14:paraId="7E771062">
      <w:pPr>
        <w:shd w:val="clear"/>
        <w:rPr>
          <w:rFonts w:ascii="Calibri" w:hAnsi="Calibri" w:eastAsia="宋体" w:cs="Times New Roman"/>
        </w:rPr>
      </w:pPr>
    </w:p>
    <w:p w14:paraId="54A876C5">
      <w:pPr>
        <w:shd w:val="clear"/>
        <w:ind w:firstLine="482"/>
        <w:rPr>
          <w:rFonts w:ascii="Calibri" w:hAnsi="Calibri" w:eastAsia="宋体" w:cs="Times New Roman"/>
          <w:b/>
        </w:rPr>
      </w:pPr>
      <w:bookmarkStart w:id="38" w:name="_Toc90475279"/>
      <w:r>
        <w:rPr>
          <w:rFonts w:hint="eastAsia" w:ascii="Calibri" w:hAnsi="Calibri" w:eastAsia="宋体" w:cs="Times New Roman"/>
          <w:b/>
        </w:rPr>
        <w:t>1.2.1 楼宇保洁服务内容及标准</w:t>
      </w:r>
    </w:p>
    <w:bookmarkEnd w:id="38"/>
    <w:p w14:paraId="7CA5E482">
      <w:pPr>
        <w:shd w:val="clear"/>
        <w:ind w:firstLine="480"/>
        <w:rPr>
          <w:rFonts w:hint="eastAsia" w:ascii="Calibri" w:hAnsi="Calibri" w:eastAsia="宋体" w:cs="Times New Roman"/>
        </w:rPr>
      </w:pPr>
      <w:r>
        <w:rPr>
          <w:rFonts w:hint="eastAsia" w:ascii="Calibri" w:hAnsi="Calibri" w:eastAsia="宋体" w:cs="Times New Roman"/>
        </w:rPr>
        <w:t>4号公共教学楼、5号教学楼、6号教学楼、7号教学楼等含有公共教室的楼宇，配置专人（可兼保洁）负责公共教室门的开关及管理工作。</w:t>
      </w:r>
    </w:p>
    <w:p w14:paraId="389336B9">
      <w:pPr>
        <w:shd w:val="clear"/>
        <w:ind w:firstLine="480"/>
        <w:rPr>
          <w:rFonts w:ascii="Calibri" w:hAnsi="Calibri" w:eastAsia="宋体" w:cs="Times New Roman"/>
          <w:b/>
          <w:bCs/>
        </w:rPr>
      </w:pPr>
      <w:r>
        <w:rPr>
          <w:rFonts w:hint="eastAsia" w:ascii="Calibri" w:hAnsi="Calibri" w:eastAsia="宋体" w:cs="Times New Roman"/>
          <w:b/>
          <w:bCs/>
        </w:rPr>
        <w:t>楼宇管理员应做好以下工作：</w:t>
      </w:r>
    </w:p>
    <w:p w14:paraId="1FC3A6E5">
      <w:pPr>
        <w:shd w:val="clear"/>
        <w:ind w:firstLine="480"/>
        <w:rPr>
          <w:rFonts w:hint="eastAsia" w:ascii="Calibri" w:hAnsi="Calibri" w:eastAsia="宋体" w:cs="Times New Roman"/>
          <w:lang w:eastAsia="zh-CN"/>
        </w:rPr>
      </w:pPr>
      <w:r>
        <w:rPr>
          <w:rFonts w:hint="eastAsia" w:ascii="Calibri" w:hAnsi="Calibri" w:eastAsia="宋体" w:cs="Times New Roman"/>
        </w:rPr>
        <w:t>（1）每日须坚守岗位，作好值班记录</w:t>
      </w:r>
      <w:r>
        <w:rPr>
          <w:rFonts w:hint="eastAsia" w:ascii="Calibri" w:hAnsi="Calibri" w:eastAsia="宋体" w:cs="Times New Roman"/>
          <w:lang w:eastAsia="zh-CN"/>
        </w:rPr>
        <w:t>。</w:t>
      </w:r>
    </w:p>
    <w:p w14:paraId="65789C32">
      <w:pPr>
        <w:shd w:val="clear"/>
        <w:ind w:firstLine="480"/>
        <w:rPr>
          <w:rFonts w:hint="eastAsia" w:ascii="Calibri" w:hAnsi="Calibri" w:eastAsia="宋体" w:cs="Times New Roman"/>
          <w:lang w:eastAsia="zh-CN"/>
        </w:rPr>
      </w:pPr>
      <w:r>
        <w:rPr>
          <w:rFonts w:hint="eastAsia" w:ascii="Calibri" w:hAnsi="Calibri" w:eastAsia="宋体" w:cs="Times New Roman"/>
        </w:rPr>
        <w:t>（2）按学校规定的时间开关教室门</w:t>
      </w:r>
      <w:r>
        <w:rPr>
          <w:rFonts w:hint="eastAsia" w:ascii="Calibri" w:hAnsi="Calibri" w:eastAsia="宋体" w:cs="Times New Roman"/>
          <w:lang w:eastAsia="zh-CN"/>
        </w:rPr>
        <w:t>。</w:t>
      </w:r>
    </w:p>
    <w:p w14:paraId="5638AB90">
      <w:pPr>
        <w:shd w:val="clear"/>
        <w:ind w:firstLine="480"/>
        <w:rPr>
          <w:rFonts w:hint="eastAsia" w:ascii="Calibri" w:hAnsi="Calibri" w:eastAsia="宋体" w:cs="Times New Roman"/>
          <w:lang w:eastAsia="zh-CN"/>
        </w:rPr>
      </w:pPr>
      <w:r>
        <w:rPr>
          <w:rFonts w:hint="eastAsia" w:ascii="Calibri" w:hAnsi="Calibri" w:eastAsia="宋体" w:cs="Times New Roman"/>
        </w:rPr>
        <w:t>（3）不得擅自出借教室及多媒体设备</w:t>
      </w:r>
      <w:r>
        <w:rPr>
          <w:rFonts w:hint="eastAsia" w:ascii="Calibri" w:hAnsi="Calibri" w:eastAsia="宋体" w:cs="Times New Roman"/>
          <w:lang w:eastAsia="zh-CN"/>
        </w:rPr>
        <w:t>。</w:t>
      </w:r>
    </w:p>
    <w:p w14:paraId="21A66FA2">
      <w:pPr>
        <w:shd w:val="clear"/>
        <w:ind w:firstLine="480"/>
        <w:rPr>
          <w:rFonts w:hint="eastAsia" w:ascii="Calibri" w:hAnsi="Calibri" w:eastAsia="宋体" w:cs="Times New Roman"/>
          <w:lang w:eastAsia="zh-CN"/>
        </w:rPr>
      </w:pPr>
      <w:r>
        <w:rPr>
          <w:rFonts w:hint="eastAsia" w:ascii="Calibri" w:hAnsi="Calibri" w:eastAsia="宋体" w:cs="Times New Roman"/>
        </w:rPr>
        <w:t>（4）做好教室内的无尘粉笔、黑板擦等教育用品的领用发放管理工作（教育用品由</w:t>
      </w:r>
      <w:r>
        <w:rPr>
          <w:rFonts w:hint="eastAsia" w:ascii="Calibri" w:hAnsi="Calibri" w:eastAsia="宋体" w:cs="Times New Roman"/>
          <w:lang w:eastAsia="zh-CN"/>
        </w:rPr>
        <w:t>中标单位</w:t>
      </w:r>
      <w:r>
        <w:rPr>
          <w:rFonts w:hint="eastAsia" w:ascii="Calibri" w:hAnsi="Calibri" w:eastAsia="宋体" w:cs="Times New Roman"/>
        </w:rPr>
        <w:t>提供，品牌档次不得低于校方推荐品牌）</w:t>
      </w:r>
      <w:r>
        <w:rPr>
          <w:rFonts w:hint="eastAsia" w:ascii="Calibri" w:hAnsi="Calibri" w:eastAsia="宋体" w:cs="Times New Roman"/>
          <w:lang w:eastAsia="zh-CN"/>
        </w:rPr>
        <w:t>。</w:t>
      </w:r>
    </w:p>
    <w:p w14:paraId="0E4285E0">
      <w:pPr>
        <w:shd w:val="clear"/>
        <w:ind w:firstLine="480"/>
        <w:rPr>
          <w:rFonts w:hint="eastAsia" w:ascii="Calibri" w:hAnsi="Calibri" w:eastAsia="宋体" w:cs="Times New Roman"/>
          <w:lang w:eastAsia="zh-CN"/>
        </w:rPr>
      </w:pPr>
      <w:r>
        <w:rPr>
          <w:rFonts w:hint="eastAsia" w:ascii="Calibri" w:hAnsi="Calibri" w:eastAsia="宋体" w:cs="Times New Roman"/>
        </w:rPr>
        <w:t>（5）晚上教学楼大门关闭前应检查教室门窗是否关好，方可离开教学楼</w:t>
      </w:r>
      <w:r>
        <w:rPr>
          <w:rFonts w:hint="eastAsia" w:ascii="Calibri" w:hAnsi="Calibri" w:eastAsia="宋体" w:cs="Times New Roman"/>
          <w:lang w:eastAsia="zh-CN"/>
        </w:rPr>
        <w:t>。</w:t>
      </w:r>
    </w:p>
    <w:p w14:paraId="3DDAA524">
      <w:pPr>
        <w:shd w:val="clear"/>
        <w:ind w:firstLine="480"/>
        <w:rPr>
          <w:rFonts w:hint="eastAsia" w:ascii="Calibri" w:hAnsi="Calibri" w:eastAsia="宋体" w:cs="Times New Roman"/>
          <w:lang w:eastAsia="zh-CN"/>
        </w:rPr>
      </w:pPr>
      <w:r>
        <w:rPr>
          <w:rFonts w:hint="eastAsia" w:ascii="Calibri" w:hAnsi="Calibri" w:eastAsia="宋体" w:cs="Times New Roman"/>
        </w:rPr>
        <w:t>（6）平时做好教学楼内设备设施（水、电、空调、门、窗、教学设备等）的及时报修工作</w:t>
      </w:r>
      <w:r>
        <w:rPr>
          <w:rFonts w:hint="eastAsia" w:ascii="Calibri" w:hAnsi="Calibri" w:eastAsia="宋体" w:cs="Times New Roman"/>
          <w:lang w:eastAsia="zh-CN"/>
        </w:rPr>
        <w:t>。</w:t>
      </w:r>
    </w:p>
    <w:p w14:paraId="24ECDE00">
      <w:pPr>
        <w:shd w:val="clear"/>
        <w:ind w:firstLine="480"/>
        <w:rPr>
          <w:rFonts w:hint="eastAsia" w:ascii="Calibri" w:hAnsi="Calibri" w:eastAsia="宋体" w:cs="Times New Roman"/>
          <w:highlight w:val="yellow"/>
          <w:lang w:eastAsia="zh-CN"/>
        </w:rPr>
      </w:pPr>
      <w:r>
        <w:rPr>
          <w:rFonts w:hint="eastAsia" w:ascii="Calibri" w:hAnsi="Calibri" w:eastAsia="宋体" w:cs="Times New Roman"/>
        </w:rPr>
        <w:t>（7）根据教学规律，每日巡回保洁清理室内和课桌内杂物、擦黑板</w:t>
      </w:r>
      <w:r>
        <w:rPr>
          <w:rFonts w:hint="eastAsia" w:ascii="Calibri" w:hAnsi="Calibri" w:eastAsia="宋体" w:cs="Times New Roman"/>
          <w:lang w:eastAsia="zh-CN"/>
        </w:rPr>
        <w:t>。</w:t>
      </w:r>
    </w:p>
    <w:p w14:paraId="05578331">
      <w:pPr>
        <w:shd w:val="clear"/>
        <w:ind w:firstLine="480"/>
        <w:rPr>
          <w:rFonts w:hint="eastAsia" w:ascii="Calibri" w:hAnsi="Calibri" w:eastAsia="宋体" w:cs="Times New Roman"/>
          <w:lang w:eastAsia="zh-CN"/>
        </w:rPr>
      </w:pPr>
      <w:r>
        <w:rPr>
          <w:rFonts w:hint="eastAsia" w:ascii="Calibri" w:hAnsi="Calibri" w:eastAsia="宋体" w:cs="Times New Roman"/>
        </w:rPr>
        <w:t>（8）卫生间、走廊、楼梯、扶手栏杆等公共部位和公共设施须巡回保洁</w:t>
      </w:r>
      <w:r>
        <w:rPr>
          <w:rFonts w:hint="eastAsia" w:ascii="Calibri" w:hAnsi="Calibri" w:eastAsia="宋体" w:cs="Times New Roman"/>
          <w:lang w:eastAsia="zh-CN"/>
        </w:rPr>
        <w:t>。</w:t>
      </w:r>
    </w:p>
    <w:p w14:paraId="583186C4">
      <w:pPr>
        <w:shd w:val="clear"/>
        <w:ind w:firstLine="480"/>
        <w:rPr>
          <w:rFonts w:hint="eastAsia" w:ascii="Calibri" w:hAnsi="Calibri" w:eastAsia="宋体" w:cs="Times New Roman"/>
          <w:lang w:eastAsia="zh-CN"/>
        </w:rPr>
      </w:pPr>
      <w:r>
        <w:rPr>
          <w:rFonts w:hint="eastAsia" w:ascii="Calibri" w:hAnsi="Calibri" w:eastAsia="宋体" w:cs="Times New Roman"/>
        </w:rPr>
        <w:t>（9）做好节水节电工作，及时关灯、关水龙头、关空调、关电扇等</w:t>
      </w:r>
      <w:r>
        <w:rPr>
          <w:rFonts w:hint="eastAsia" w:ascii="Calibri" w:hAnsi="Calibri" w:eastAsia="宋体" w:cs="Times New Roman"/>
          <w:lang w:eastAsia="zh-CN"/>
        </w:rPr>
        <w:t>。</w:t>
      </w:r>
    </w:p>
    <w:p w14:paraId="141C8F87">
      <w:pPr>
        <w:shd w:val="clear"/>
        <w:ind w:firstLine="480"/>
        <w:rPr>
          <w:rFonts w:ascii="Calibri" w:hAnsi="Calibri" w:eastAsia="宋体" w:cs="Times New Roman"/>
        </w:rPr>
      </w:pPr>
      <w:r>
        <w:rPr>
          <w:rFonts w:hint="eastAsia" w:ascii="Calibri" w:hAnsi="Calibri" w:eastAsia="宋体" w:cs="Times New Roman"/>
        </w:rPr>
        <w:t>（10）做好公共教室内桌椅摆放管理。</w:t>
      </w:r>
    </w:p>
    <w:p w14:paraId="15A2B131">
      <w:pPr>
        <w:shd w:val="clear"/>
        <w:ind w:firstLine="480"/>
        <w:rPr>
          <w:rFonts w:ascii="Calibri" w:hAnsi="Calibri" w:eastAsia="宋体" w:cs="Times New Roman"/>
          <w:b/>
          <w:bCs/>
        </w:rPr>
      </w:pPr>
      <w:r>
        <w:rPr>
          <w:rFonts w:hint="eastAsia" w:ascii="Calibri" w:hAnsi="Calibri" w:eastAsia="宋体" w:cs="Times New Roman"/>
          <w:b/>
          <w:bCs/>
        </w:rPr>
        <w:t>校内建筑（除8-10号楼外），要做到以下要求：</w:t>
      </w:r>
    </w:p>
    <w:p w14:paraId="1EB08399">
      <w:pPr>
        <w:numPr>
          <w:ilvl w:val="0"/>
          <w:numId w:val="32"/>
        </w:numPr>
        <w:shd w:val="clear"/>
        <w:ind w:firstLine="480"/>
        <w:rPr>
          <w:rFonts w:ascii="Calibri" w:hAnsi="Calibri" w:eastAsia="宋体" w:cs="Times New Roman"/>
        </w:rPr>
      </w:pPr>
      <w:r>
        <w:rPr>
          <w:rFonts w:hint="eastAsia" w:ascii="Calibri" w:hAnsi="Calibri" w:eastAsia="宋体" w:cs="Times New Roman"/>
        </w:rPr>
        <w:t>上午8:00分之前做好各楼宇内部保洁。</w:t>
      </w:r>
    </w:p>
    <w:p w14:paraId="2299A3CF">
      <w:pPr>
        <w:shd w:val="clear"/>
        <w:ind w:firstLine="480"/>
        <w:rPr>
          <w:rFonts w:ascii="Calibri" w:hAnsi="Calibri" w:eastAsia="宋体" w:cs="Times New Roman"/>
        </w:rPr>
      </w:pPr>
      <w:r>
        <w:rPr>
          <w:rFonts w:hint="eastAsia" w:ascii="Calibri" w:hAnsi="Calibri" w:eastAsia="宋体" w:cs="Times New Roman"/>
        </w:rPr>
        <w:t>（2）发现保洁范围内的公共设施有损坏的（如石材、草坪灯、卫生间门窗、自来水阀、各类宣传栏橱窗及指示牌等）应及时报修。</w:t>
      </w:r>
    </w:p>
    <w:p w14:paraId="768ABDAC">
      <w:pPr>
        <w:shd w:val="clear"/>
        <w:ind w:firstLine="480"/>
        <w:rPr>
          <w:rFonts w:ascii="Calibri" w:hAnsi="Calibri" w:eastAsia="宋体" w:cs="Times New Roman"/>
        </w:rPr>
      </w:pPr>
      <w:r>
        <w:rPr>
          <w:rFonts w:hint="eastAsia" w:ascii="Calibri" w:hAnsi="Calibri" w:eastAsia="宋体" w:cs="Times New Roman"/>
        </w:rPr>
        <w:t>（3）做好校园内无主物品的清理，及时清运到各区指定位置。</w:t>
      </w:r>
    </w:p>
    <w:p w14:paraId="51BC8A2D">
      <w:pPr>
        <w:shd w:val="clear"/>
        <w:ind w:firstLine="480"/>
        <w:rPr>
          <w:rFonts w:ascii="Calibri" w:hAnsi="Calibri" w:eastAsia="宋体" w:cs="Times New Roman"/>
        </w:rPr>
      </w:pPr>
      <w:r>
        <w:rPr>
          <w:rFonts w:hint="eastAsia" w:ascii="Calibri" w:hAnsi="Calibri" w:eastAsia="宋体" w:cs="Times New Roman"/>
        </w:rPr>
        <w:t>（4）做好保洁员垃圾分类知识培训，并引导做好垃圾分类工作。</w:t>
      </w:r>
    </w:p>
    <w:p w14:paraId="0675FB26">
      <w:pPr>
        <w:keepNext/>
        <w:shd w:val="clear"/>
        <w:spacing w:before="152" w:after="160"/>
        <w:jc w:val="center"/>
        <w:rPr>
          <w:rFonts w:ascii="宋体" w:hAnsi="宋体" w:eastAsia="黑体" w:cs="Times New Roman"/>
          <w:b/>
          <w:bCs/>
          <w:sz w:val="20"/>
          <w:szCs w:val="24"/>
        </w:rPr>
      </w:pPr>
      <w:r>
        <w:rPr>
          <w:rFonts w:hint="eastAsia" w:ascii="宋体" w:hAnsi="宋体" w:eastAsia="宋体" w:cs="Times New Roman"/>
          <w:b/>
          <w:bCs/>
          <w:sz w:val="24"/>
          <w:szCs w:val="24"/>
        </w:rPr>
        <w:t>表1楼宇保洁详细服务标准</w:t>
      </w:r>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235"/>
        <w:gridCol w:w="2415"/>
        <w:gridCol w:w="2371"/>
      </w:tblGrid>
      <w:tr w14:paraId="01F5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14:paraId="476E1127">
            <w:pPr>
              <w:shd w:val="clear"/>
              <w:spacing w:after="156"/>
              <w:jc w:val="center"/>
              <w:rPr>
                <w:rFonts w:ascii="Calibri" w:hAnsi="Calibri" w:eastAsia="宋体" w:cs="Times New Roman"/>
                <w:kern w:val="0"/>
                <w:sz w:val="18"/>
                <w:szCs w:val="18"/>
              </w:rPr>
            </w:pPr>
            <w:r>
              <w:rPr>
                <w:rFonts w:hint="eastAsia" w:ascii="Calibri" w:hAnsi="Calibri" w:eastAsia="宋体" w:cs="Times New Roman"/>
                <w:kern w:val="0"/>
                <w:sz w:val="18"/>
                <w:szCs w:val="18"/>
              </w:rPr>
              <w:t>项目</w:t>
            </w:r>
          </w:p>
        </w:tc>
        <w:tc>
          <w:tcPr>
            <w:tcW w:w="2235" w:type="dxa"/>
          </w:tcPr>
          <w:p w14:paraId="68D88DC3">
            <w:pPr>
              <w:shd w:val="clear"/>
              <w:spacing w:after="156"/>
              <w:jc w:val="center"/>
              <w:rPr>
                <w:rFonts w:ascii="Calibri" w:hAnsi="Calibri" w:eastAsia="宋体" w:cs="Times New Roman"/>
                <w:kern w:val="0"/>
                <w:sz w:val="18"/>
                <w:szCs w:val="18"/>
              </w:rPr>
            </w:pPr>
            <w:r>
              <w:rPr>
                <w:rFonts w:hint="eastAsia" w:ascii="Calibri" w:hAnsi="Calibri" w:eastAsia="宋体" w:cs="Times New Roman"/>
                <w:kern w:val="0"/>
                <w:sz w:val="18"/>
                <w:szCs w:val="18"/>
              </w:rPr>
              <w:t>保洁范围</w:t>
            </w:r>
          </w:p>
        </w:tc>
        <w:tc>
          <w:tcPr>
            <w:tcW w:w="2415" w:type="dxa"/>
          </w:tcPr>
          <w:p w14:paraId="39624EFA">
            <w:pPr>
              <w:shd w:val="clear"/>
              <w:spacing w:after="156"/>
              <w:jc w:val="center"/>
              <w:rPr>
                <w:rFonts w:ascii="Calibri" w:hAnsi="Calibri" w:eastAsia="宋体" w:cs="Times New Roman"/>
                <w:kern w:val="0"/>
                <w:sz w:val="18"/>
                <w:szCs w:val="18"/>
              </w:rPr>
            </w:pPr>
            <w:r>
              <w:rPr>
                <w:rFonts w:hint="eastAsia" w:ascii="Calibri" w:hAnsi="Calibri" w:eastAsia="宋体" w:cs="Times New Roman"/>
                <w:kern w:val="0"/>
                <w:sz w:val="18"/>
                <w:szCs w:val="18"/>
              </w:rPr>
              <w:t>作业要求</w:t>
            </w:r>
          </w:p>
        </w:tc>
        <w:tc>
          <w:tcPr>
            <w:tcW w:w="2371" w:type="dxa"/>
          </w:tcPr>
          <w:p w14:paraId="3FEC1EF8">
            <w:pPr>
              <w:shd w:val="clear"/>
              <w:spacing w:after="156"/>
              <w:jc w:val="center"/>
              <w:rPr>
                <w:rFonts w:ascii="Calibri" w:hAnsi="Calibri" w:eastAsia="宋体" w:cs="Times New Roman"/>
                <w:kern w:val="0"/>
                <w:sz w:val="18"/>
                <w:szCs w:val="18"/>
              </w:rPr>
            </w:pPr>
            <w:r>
              <w:rPr>
                <w:rFonts w:hint="eastAsia" w:ascii="Calibri" w:hAnsi="Calibri" w:eastAsia="宋体" w:cs="Times New Roman"/>
                <w:kern w:val="0"/>
                <w:sz w:val="18"/>
                <w:szCs w:val="18"/>
              </w:rPr>
              <w:t>质量标准</w:t>
            </w:r>
          </w:p>
        </w:tc>
      </w:tr>
      <w:tr w14:paraId="4483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trPr>
        <w:tc>
          <w:tcPr>
            <w:tcW w:w="1507" w:type="dxa"/>
          </w:tcPr>
          <w:p w14:paraId="28E3A896">
            <w:pPr>
              <w:shd w:val="clear"/>
              <w:spacing w:after="156"/>
              <w:jc w:val="center"/>
              <w:rPr>
                <w:rFonts w:ascii="Calibri" w:hAnsi="Calibri" w:eastAsia="宋体" w:cs="Times New Roman"/>
                <w:kern w:val="0"/>
                <w:sz w:val="18"/>
                <w:szCs w:val="18"/>
              </w:rPr>
            </w:pPr>
          </w:p>
          <w:p w14:paraId="51654008">
            <w:pPr>
              <w:shd w:val="clear"/>
              <w:spacing w:after="156"/>
              <w:jc w:val="center"/>
              <w:rPr>
                <w:rFonts w:ascii="Calibri" w:hAnsi="Calibri" w:eastAsia="宋体" w:cs="Times New Roman"/>
                <w:kern w:val="0"/>
                <w:sz w:val="18"/>
                <w:szCs w:val="18"/>
              </w:rPr>
            </w:pPr>
          </w:p>
          <w:p w14:paraId="28355D53">
            <w:pPr>
              <w:shd w:val="clear"/>
              <w:spacing w:after="156"/>
              <w:jc w:val="center"/>
              <w:rPr>
                <w:rFonts w:ascii="Calibri" w:hAnsi="Calibri" w:eastAsia="宋体" w:cs="Times New Roman"/>
                <w:kern w:val="0"/>
                <w:sz w:val="18"/>
                <w:szCs w:val="18"/>
              </w:rPr>
            </w:pPr>
          </w:p>
          <w:p w14:paraId="13E9CF8C">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大厅</w:t>
            </w:r>
          </w:p>
        </w:tc>
        <w:tc>
          <w:tcPr>
            <w:tcW w:w="2235" w:type="dxa"/>
          </w:tcPr>
          <w:p w14:paraId="7814E8CC">
            <w:pPr>
              <w:shd w:val="clear"/>
              <w:spacing w:after="156"/>
              <w:jc w:val="left"/>
              <w:rPr>
                <w:rFonts w:ascii="Calibri" w:hAnsi="Calibri" w:eastAsia="宋体" w:cs="Times New Roman"/>
                <w:kern w:val="0"/>
                <w:sz w:val="18"/>
                <w:szCs w:val="18"/>
              </w:rPr>
            </w:pPr>
            <w:r>
              <w:rPr>
                <w:rFonts w:hint="eastAsia" w:ascii="Calibri" w:hAnsi="Calibri" w:eastAsia="宋体" w:cs="Times New Roman"/>
                <w:kern w:val="0"/>
                <w:sz w:val="18"/>
                <w:szCs w:val="18"/>
              </w:rPr>
              <w:t>地面、墙面、踢脚线、台阶、天棚、门及门套、门窗玻璃、窗台、宣传窗、垃圾桶、消防设施、灯具、柱子、植物花盆等。</w:t>
            </w:r>
          </w:p>
        </w:tc>
        <w:tc>
          <w:tcPr>
            <w:tcW w:w="2415" w:type="dxa"/>
          </w:tcPr>
          <w:p w14:paraId="313EAE63">
            <w:pPr>
              <w:shd w:val="clear"/>
              <w:spacing w:after="156"/>
              <w:jc w:val="left"/>
              <w:rPr>
                <w:rFonts w:ascii="Calibri" w:hAnsi="Calibri" w:eastAsia="宋体" w:cs="Times New Roman"/>
                <w:kern w:val="0"/>
                <w:sz w:val="18"/>
                <w:szCs w:val="18"/>
              </w:rPr>
            </w:pPr>
            <w:r>
              <w:rPr>
                <w:rFonts w:hint="eastAsia" w:ascii="Calibri" w:hAnsi="Calibri" w:eastAsia="宋体" w:cs="Times New Roman"/>
                <w:kern w:val="0"/>
                <w:sz w:val="18"/>
                <w:szCs w:val="18"/>
              </w:rPr>
              <w:t>地面、台阶、宣传窗、垃圾桶、柱子、植物花盆等每天清洁</w:t>
            </w:r>
            <w:r>
              <w:rPr>
                <w:rFonts w:ascii="Calibri" w:hAnsi="Calibri" w:eastAsia="宋体" w:cs="Times New Roman"/>
                <w:kern w:val="0"/>
                <w:sz w:val="18"/>
                <w:szCs w:val="18"/>
              </w:rPr>
              <w:t xml:space="preserve"> 1 </w:t>
            </w:r>
            <w:r>
              <w:rPr>
                <w:rFonts w:hint="eastAsia" w:ascii="Calibri" w:hAnsi="Calibri" w:eastAsia="宋体" w:cs="Times New Roman"/>
                <w:kern w:val="0"/>
                <w:sz w:val="18"/>
                <w:szCs w:val="18"/>
              </w:rPr>
              <w:t>次且巡回保洁；窗台每天一次；门及门套、踢脚线等</w:t>
            </w:r>
            <w:r>
              <w:rPr>
                <w:rFonts w:ascii="Calibri" w:hAnsi="Calibri" w:eastAsia="宋体" w:cs="Times New Roman"/>
                <w:kern w:val="0"/>
                <w:sz w:val="18"/>
                <w:szCs w:val="18"/>
              </w:rPr>
              <w:t xml:space="preserve"> 3</w:t>
            </w:r>
            <w:r>
              <w:rPr>
                <w:rFonts w:hint="eastAsia" w:ascii="Calibri" w:hAnsi="Calibri" w:eastAsia="宋体" w:cs="Times New Roman"/>
                <w:kern w:val="0"/>
                <w:sz w:val="18"/>
                <w:szCs w:val="18"/>
              </w:rPr>
              <w:t>天保洁</w:t>
            </w:r>
            <w:r>
              <w:rPr>
                <w:rFonts w:ascii="Calibri" w:hAnsi="Calibri" w:eastAsia="宋体" w:cs="Times New Roman"/>
                <w:kern w:val="0"/>
                <w:sz w:val="18"/>
                <w:szCs w:val="18"/>
              </w:rPr>
              <w:t xml:space="preserve"> 1 </w:t>
            </w:r>
            <w:r>
              <w:rPr>
                <w:rFonts w:hint="eastAsia" w:ascii="Calibri" w:hAnsi="Calibri" w:eastAsia="宋体" w:cs="Times New Roman"/>
                <w:kern w:val="0"/>
                <w:sz w:val="18"/>
                <w:szCs w:val="18"/>
              </w:rPr>
              <w:t>次；门窗玻璃、墙面、天棚、消防设施、灯具、吊扇每二周保洁</w:t>
            </w:r>
            <w:r>
              <w:rPr>
                <w:rFonts w:ascii="Calibri" w:hAnsi="Calibri" w:eastAsia="宋体" w:cs="Times New Roman"/>
                <w:kern w:val="0"/>
                <w:sz w:val="18"/>
                <w:szCs w:val="18"/>
              </w:rPr>
              <w:t xml:space="preserve"> 1 </w:t>
            </w:r>
            <w:r>
              <w:rPr>
                <w:rFonts w:hint="eastAsia" w:ascii="Calibri" w:hAnsi="Calibri" w:eastAsia="宋体" w:cs="Times New Roman"/>
                <w:kern w:val="0"/>
                <w:sz w:val="18"/>
                <w:szCs w:val="18"/>
              </w:rPr>
              <w:t>次；大理石（花岗岩）每</w:t>
            </w:r>
            <w:r>
              <w:rPr>
                <w:rFonts w:ascii="Calibri" w:hAnsi="Calibri" w:eastAsia="宋体" w:cs="Times New Roman"/>
                <w:kern w:val="0"/>
                <w:sz w:val="18"/>
                <w:szCs w:val="18"/>
              </w:rPr>
              <w:t xml:space="preserve"> 2</w:t>
            </w:r>
            <w:r>
              <w:rPr>
                <w:rFonts w:hint="eastAsia" w:ascii="Calibri" w:hAnsi="Calibri" w:eastAsia="宋体" w:cs="Times New Roman"/>
                <w:kern w:val="0"/>
                <w:sz w:val="18"/>
                <w:szCs w:val="18"/>
              </w:rPr>
              <w:t>个月抛光镜面</w:t>
            </w:r>
            <w:r>
              <w:rPr>
                <w:rFonts w:ascii="Calibri" w:hAnsi="Calibri" w:eastAsia="宋体" w:cs="Times New Roman"/>
                <w:kern w:val="0"/>
                <w:sz w:val="18"/>
                <w:szCs w:val="18"/>
              </w:rPr>
              <w:t xml:space="preserve"> 1 </w:t>
            </w:r>
            <w:r>
              <w:rPr>
                <w:rFonts w:hint="eastAsia" w:ascii="Calibri" w:hAnsi="Calibri" w:eastAsia="宋体" w:cs="Times New Roman"/>
                <w:kern w:val="0"/>
                <w:sz w:val="18"/>
                <w:szCs w:val="18"/>
              </w:rPr>
              <w:t>次；地砖或固化地坪地面每月彻底刷洗</w:t>
            </w:r>
            <w:r>
              <w:rPr>
                <w:rFonts w:ascii="Calibri" w:hAnsi="Calibri" w:eastAsia="宋体" w:cs="Times New Roman"/>
                <w:kern w:val="0"/>
                <w:sz w:val="18"/>
                <w:szCs w:val="18"/>
              </w:rPr>
              <w:t xml:space="preserve"> 1 </w:t>
            </w:r>
            <w:r>
              <w:rPr>
                <w:rFonts w:hint="eastAsia" w:ascii="Calibri" w:hAnsi="Calibri" w:eastAsia="宋体" w:cs="Times New Roman"/>
                <w:kern w:val="0"/>
                <w:sz w:val="18"/>
                <w:szCs w:val="18"/>
              </w:rPr>
              <w:t>次、地毯每周吸尘</w:t>
            </w:r>
            <w:r>
              <w:rPr>
                <w:rFonts w:ascii="Calibri" w:hAnsi="Calibri" w:eastAsia="宋体" w:cs="Times New Roman"/>
                <w:kern w:val="0"/>
                <w:sz w:val="18"/>
                <w:szCs w:val="18"/>
              </w:rPr>
              <w:t xml:space="preserve"> 1 </w:t>
            </w:r>
            <w:r>
              <w:rPr>
                <w:rFonts w:hint="eastAsia" w:ascii="Calibri" w:hAnsi="Calibri" w:eastAsia="宋体" w:cs="Times New Roman"/>
                <w:kern w:val="0"/>
                <w:sz w:val="18"/>
                <w:szCs w:val="18"/>
              </w:rPr>
              <w:t>次，每学期清洗</w:t>
            </w:r>
            <w:r>
              <w:rPr>
                <w:rFonts w:ascii="Calibri" w:hAnsi="Calibri" w:eastAsia="宋体" w:cs="Times New Roman"/>
                <w:kern w:val="0"/>
                <w:sz w:val="18"/>
                <w:szCs w:val="18"/>
              </w:rPr>
              <w:t xml:space="preserve"> 1 </w:t>
            </w:r>
            <w:r>
              <w:rPr>
                <w:rFonts w:hint="eastAsia" w:ascii="Calibri" w:hAnsi="Calibri" w:eastAsia="宋体" w:cs="Times New Roman"/>
                <w:kern w:val="0"/>
                <w:sz w:val="18"/>
                <w:szCs w:val="18"/>
              </w:rPr>
              <w:t>次。</w:t>
            </w:r>
          </w:p>
        </w:tc>
        <w:tc>
          <w:tcPr>
            <w:tcW w:w="2371" w:type="dxa"/>
          </w:tcPr>
          <w:p w14:paraId="007883D6">
            <w:pPr>
              <w:shd w:val="clear"/>
              <w:spacing w:after="156"/>
              <w:jc w:val="left"/>
              <w:rPr>
                <w:rFonts w:ascii="Calibri" w:hAnsi="Calibri" w:eastAsia="宋体" w:cs="Times New Roman"/>
                <w:kern w:val="0"/>
                <w:sz w:val="18"/>
                <w:szCs w:val="18"/>
              </w:rPr>
            </w:pPr>
            <w:r>
              <w:rPr>
                <w:rFonts w:hint="eastAsia" w:ascii="Calibri" w:hAnsi="Calibri" w:eastAsia="宋体" w:cs="Times New Roman"/>
                <w:kern w:val="0"/>
                <w:sz w:val="18"/>
                <w:szCs w:val="18"/>
              </w:rPr>
              <w:t>地面无水渍、无污渍，无垃圾，无积尘，光亮；墙面无灰尘、无污渍，光亮，墙角无蜘蛛网；公共设施表面无积尘、无污渍、光亮；不锈钢表面无手印，无积尘，无污渍、光亮；玻璃上无手印，无积尘，无污渍、明亮植物花盆无积尘，无污渍。</w:t>
            </w:r>
          </w:p>
        </w:tc>
      </w:tr>
      <w:tr w14:paraId="462C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14:paraId="24CA6CAE">
            <w:pPr>
              <w:shd w:val="clear"/>
              <w:spacing w:after="156"/>
              <w:jc w:val="center"/>
              <w:rPr>
                <w:rFonts w:ascii="Calibri" w:hAnsi="Calibri" w:eastAsia="宋体" w:cs="Times New Roman"/>
                <w:kern w:val="0"/>
                <w:sz w:val="18"/>
                <w:szCs w:val="18"/>
              </w:rPr>
            </w:pPr>
          </w:p>
          <w:p w14:paraId="75C7B1C9">
            <w:pPr>
              <w:shd w:val="clear"/>
              <w:spacing w:after="156"/>
              <w:jc w:val="center"/>
              <w:rPr>
                <w:rFonts w:ascii="Calibri" w:hAnsi="Calibri" w:eastAsia="宋体" w:cs="Times New Roman"/>
                <w:kern w:val="0"/>
                <w:sz w:val="18"/>
                <w:szCs w:val="18"/>
              </w:rPr>
            </w:pPr>
          </w:p>
          <w:p w14:paraId="4E0D47F5">
            <w:pPr>
              <w:shd w:val="clear"/>
              <w:spacing w:after="156"/>
              <w:jc w:val="center"/>
              <w:rPr>
                <w:rFonts w:ascii="Calibri" w:hAnsi="Calibri" w:eastAsia="宋体" w:cs="Times New Roman"/>
                <w:kern w:val="0"/>
                <w:sz w:val="18"/>
                <w:szCs w:val="18"/>
              </w:rPr>
            </w:pPr>
          </w:p>
          <w:p w14:paraId="522F5B41">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公共教室</w:t>
            </w:r>
          </w:p>
        </w:tc>
        <w:tc>
          <w:tcPr>
            <w:tcW w:w="2235" w:type="dxa"/>
          </w:tcPr>
          <w:p w14:paraId="1782E759">
            <w:pPr>
              <w:shd w:val="clear"/>
              <w:spacing w:after="156"/>
              <w:jc w:val="left"/>
              <w:rPr>
                <w:rFonts w:ascii="Calibri" w:hAnsi="Calibri" w:eastAsia="宋体" w:cs="Times New Roman"/>
                <w:kern w:val="0"/>
                <w:sz w:val="18"/>
                <w:szCs w:val="18"/>
              </w:rPr>
            </w:pPr>
            <w:r>
              <w:rPr>
                <w:rFonts w:hint="eastAsia" w:ascii="Calibri" w:hAnsi="Calibri" w:eastAsia="宋体" w:cs="Times New Roman"/>
                <w:kern w:val="0"/>
                <w:sz w:val="18"/>
                <w:szCs w:val="18"/>
              </w:rPr>
              <w:t>桌椅、讲台，白板、地面、窗台、门窗玻璃、门楣、门套、墙面、墙角、灯具及设备、吊扇等。</w:t>
            </w:r>
          </w:p>
        </w:tc>
        <w:tc>
          <w:tcPr>
            <w:tcW w:w="2415" w:type="dxa"/>
          </w:tcPr>
          <w:p w14:paraId="3DDCEA33">
            <w:pPr>
              <w:shd w:val="clear"/>
              <w:spacing w:after="156"/>
              <w:jc w:val="left"/>
              <w:rPr>
                <w:rFonts w:ascii="Calibri" w:hAnsi="Calibri" w:eastAsia="宋体" w:cs="Times New Roman"/>
                <w:kern w:val="0"/>
                <w:sz w:val="18"/>
                <w:szCs w:val="18"/>
              </w:rPr>
            </w:pPr>
            <w:r>
              <w:rPr>
                <w:rFonts w:hint="eastAsia" w:ascii="Calibri" w:hAnsi="Calibri" w:eastAsia="宋体" w:cs="Times New Roman"/>
                <w:kern w:val="0"/>
                <w:sz w:val="18"/>
                <w:szCs w:val="18"/>
              </w:rPr>
              <w:t>桌椅、讲台，黑板、地面、踏步、窗台、门楣、门套、墙面、墙角每日中、晚共</w:t>
            </w:r>
            <w:r>
              <w:rPr>
                <w:rFonts w:ascii="Calibri" w:hAnsi="Calibri" w:eastAsia="宋体" w:cs="Times New Roman"/>
                <w:kern w:val="0"/>
                <w:sz w:val="18"/>
                <w:szCs w:val="18"/>
              </w:rPr>
              <w:t xml:space="preserve"> 2 </w:t>
            </w:r>
            <w:r>
              <w:rPr>
                <w:rFonts w:hint="eastAsia" w:ascii="Calibri" w:hAnsi="Calibri" w:eastAsia="宋体" w:cs="Times New Roman"/>
                <w:kern w:val="0"/>
                <w:sz w:val="18"/>
                <w:szCs w:val="18"/>
              </w:rPr>
              <w:t>次；灯具、吊扇、设备每</w:t>
            </w:r>
            <w:r>
              <w:rPr>
                <w:rFonts w:ascii="Calibri" w:hAnsi="Calibri" w:eastAsia="宋体" w:cs="Times New Roman"/>
                <w:kern w:val="0"/>
                <w:sz w:val="18"/>
                <w:szCs w:val="18"/>
              </w:rPr>
              <w:t xml:space="preserve"> 2</w:t>
            </w:r>
            <w:r>
              <w:rPr>
                <w:rFonts w:hint="eastAsia" w:ascii="Calibri" w:hAnsi="Calibri" w:eastAsia="宋体" w:cs="Times New Roman"/>
                <w:kern w:val="0"/>
                <w:sz w:val="18"/>
                <w:szCs w:val="18"/>
              </w:rPr>
              <w:t>周</w:t>
            </w:r>
            <w:r>
              <w:rPr>
                <w:rFonts w:ascii="Calibri" w:hAnsi="Calibri" w:eastAsia="宋体" w:cs="Times New Roman"/>
                <w:kern w:val="0"/>
                <w:sz w:val="18"/>
                <w:szCs w:val="18"/>
              </w:rPr>
              <w:t xml:space="preserve"> 1 </w:t>
            </w:r>
            <w:r>
              <w:rPr>
                <w:rFonts w:hint="eastAsia" w:ascii="Calibri" w:hAnsi="Calibri" w:eastAsia="宋体" w:cs="Times New Roman"/>
                <w:kern w:val="0"/>
                <w:sz w:val="18"/>
                <w:szCs w:val="18"/>
              </w:rPr>
              <w:t>次；门窗玻璃每</w:t>
            </w:r>
            <w:r>
              <w:rPr>
                <w:rFonts w:ascii="Calibri" w:hAnsi="Calibri" w:eastAsia="宋体" w:cs="Times New Roman"/>
                <w:kern w:val="0"/>
                <w:sz w:val="18"/>
                <w:szCs w:val="18"/>
              </w:rPr>
              <w:t xml:space="preserve"> 2 </w:t>
            </w:r>
            <w:r>
              <w:rPr>
                <w:rFonts w:hint="eastAsia" w:ascii="Calibri" w:hAnsi="Calibri" w:eastAsia="宋体" w:cs="Times New Roman"/>
                <w:kern w:val="0"/>
                <w:sz w:val="18"/>
                <w:szCs w:val="18"/>
              </w:rPr>
              <w:t>周</w:t>
            </w:r>
            <w:r>
              <w:rPr>
                <w:rFonts w:ascii="Calibri" w:hAnsi="Calibri" w:eastAsia="宋体" w:cs="Times New Roman"/>
                <w:kern w:val="0"/>
                <w:sz w:val="18"/>
                <w:szCs w:val="18"/>
              </w:rPr>
              <w:t xml:space="preserve"> 1 </w:t>
            </w:r>
            <w:r>
              <w:rPr>
                <w:rFonts w:hint="eastAsia" w:ascii="Calibri" w:hAnsi="Calibri" w:eastAsia="宋体" w:cs="Times New Roman"/>
                <w:kern w:val="0"/>
                <w:sz w:val="18"/>
                <w:szCs w:val="18"/>
              </w:rPr>
              <w:t>次。</w:t>
            </w:r>
          </w:p>
        </w:tc>
        <w:tc>
          <w:tcPr>
            <w:tcW w:w="2371" w:type="dxa"/>
          </w:tcPr>
          <w:p w14:paraId="1B213ECE">
            <w:pPr>
              <w:shd w:val="clear"/>
              <w:spacing w:after="156"/>
              <w:jc w:val="left"/>
              <w:rPr>
                <w:rFonts w:ascii="Calibri" w:hAnsi="Calibri" w:eastAsia="宋体" w:cs="Times New Roman"/>
                <w:kern w:val="0"/>
                <w:sz w:val="18"/>
                <w:szCs w:val="18"/>
              </w:rPr>
            </w:pPr>
            <w:r>
              <w:rPr>
                <w:rFonts w:hint="eastAsia" w:ascii="Calibri" w:hAnsi="Calibri" w:eastAsia="宋体" w:cs="Times New Roman"/>
                <w:kern w:val="0"/>
                <w:sz w:val="18"/>
                <w:szCs w:val="18"/>
              </w:rPr>
              <w:t>桌椅、讲台，窗台、黑板、地面、踏步、门楣、门套、墙面、墙角无积尘，光亮；桌斗内无杂质；黑板板面擦净，黑板周围整洁；窗台无积尘，窗帘挂放整齐；室内无异味；捡拾物品及时上交做失物招领，不私自处理。</w:t>
            </w:r>
          </w:p>
        </w:tc>
      </w:tr>
      <w:tr w14:paraId="4099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14:paraId="44D17A8F">
            <w:pPr>
              <w:shd w:val="clear"/>
              <w:spacing w:after="156"/>
              <w:jc w:val="center"/>
              <w:rPr>
                <w:rFonts w:ascii="Calibri" w:hAnsi="Calibri" w:eastAsia="宋体" w:cs="Times New Roman"/>
                <w:kern w:val="0"/>
                <w:sz w:val="18"/>
                <w:szCs w:val="18"/>
              </w:rPr>
            </w:pPr>
          </w:p>
          <w:p w14:paraId="5184E373">
            <w:pPr>
              <w:shd w:val="clear"/>
              <w:spacing w:after="156"/>
              <w:rPr>
                <w:rFonts w:ascii="Calibri" w:hAnsi="Calibri" w:eastAsia="宋体" w:cs="Times New Roman"/>
                <w:kern w:val="0"/>
                <w:sz w:val="18"/>
                <w:szCs w:val="18"/>
              </w:rPr>
            </w:pPr>
          </w:p>
          <w:p w14:paraId="25720615">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校级会议室、接待室</w:t>
            </w:r>
          </w:p>
        </w:tc>
        <w:tc>
          <w:tcPr>
            <w:tcW w:w="2235" w:type="dxa"/>
          </w:tcPr>
          <w:p w14:paraId="1A122E54">
            <w:pPr>
              <w:shd w:val="clear"/>
              <w:spacing w:after="156"/>
              <w:jc w:val="left"/>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rPr>
              <w:t>会议室、接待室：桌椅、地面、窗台、门窗玻璃、门楣、门套、墙面、墙角、天棚、灯具、茶具设备等</w:t>
            </w:r>
            <w:r>
              <w:rPr>
                <w:rFonts w:hint="eastAsia" w:ascii="Calibri" w:hAnsi="Calibri" w:eastAsia="宋体" w:cs="Times New Roman"/>
                <w:kern w:val="0"/>
                <w:sz w:val="18"/>
                <w:szCs w:val="18"/>
                <w:lang w:eastAsia="zh-CN"/>
              </w:rPr>
              <w:t>。</w:t>
            </w:r>
          </w:p>
        </w:tc>
        <w:tc>
          <w:tcPr>
            <w:tcW w:w="2415" w:type="dxa"/>
          </w:tcPr>
          <w:p w14:paraId="1E86AF5C">
            <w:pPr>
              <w:shd w:val="clear"/>
              <w:spacing w:after="156"/>
              <w:jc w:val="left"/>
              <w:rPr>
                <w:rFonts w:ascii="Calibri" w:hAnsi="Calibri" w:eastAsia="宋体" w:cs="Times New Roman"/>
                <w:kern w:val="0"/>
                <w:sz w:val="18"/>
                <w:szCs w:val="18"/>
              </w:rPr>
            </w:pPr>
            <w:r>
              <w:rPr>
                <w:rFonts w:hint="eastAsia" w:ascii="Calibri" w:hAnsi="Calibri" w:eastAsia="宋体" w:cs="Times New Roman"/>
                <w:kern w:val="0"/>
                <w:sz w:val="18"/>
                <w:szCs w:val="18"/>
              </w:rPr>
              <w:t>会议桌椅、地面每天打扫抹尘，窗台、门楣、门套、墙面、墙角三日</w:t>
            </w:r>
            <w:r>
              <w:rPr>
                <w:rFonts w:ascii="Calibri" w:hAnsi="Calibri" w:eastAsia="宋体" w:cs="Times New Roman"/>
                <w:kern w:val="0"/>
                <w:sz w:val="18"/>
                <w:szCs w:val="18"/>
              </w:rPr>
              <w:t xml:space="preserve">1 </w:t>
            </w:r>
            <w:r>
              <w:rPr>
                <w:rFonts w:hint="eastAsia" w:ascii="Calibri" w:hAnsi="Calibri" w:eastAsia="宋体" w:cs="Times New Roman"/>
                <w:kern w:val="0"/>
                <w:sz w:val="18"/>
                <w:szCs w:val="18"/>
              </w:rPr>
              <w:t>次；会议结束当日清理；天棚、灯具、吊扇、设备每月</w:t>
            </w:r>
            <w:r>
              <w:rPr>
                <w:rFonts w:ascii="Calibri" w:hAnsi="Calibri" w:eastAsia="宋体" w:cs="Times New Roman"/>
                <w:kern w:val="0"/>
                <w:sz w:val="18"/>
                <w:szCs w:val="18"/>
              </w:rPr>
              <w:t xml:space="preserve"> 1 </w:t>
            </w:r>
            <w:r>
              <w:rPr>
                <w:rFonts w:hint="eastAsia" w:ascii="Calibri" w:hAnsi="Calibri" w:eastAsia="宋体" w:cs="Times New Roman"/>
                <w:kern w:val="0"/>
                <w:sz w:val="18"/>
                <w:szCs w:val="18"/>
              </w:rPr>
              <w:t>次；门窗玻璃每两月</w:t>
            </w:r>
            <w:r>
              <w:rPr>
                <w:rFonts w:ascii="Calibri" w:hAnsi="Calibri" w:eastAsia="宋体" w:cs="Times New Roman"/>
                <w:kern w:val="0"/>
                <w:sz w:val="18"/>
                <w:szCs w:val="18"/>
              </w:rPr>
              <w:t xml:space="preserve"> 1 </w:t>
            </w:r>
            <w:r>
              <w:rPr>
                <w:rFonts w:hint="eastAsia" w:ascii="Calibri" w:hAnsi="Calibri" w:eastAsia="宋体" w:cs="Times New Roman"/>
                <w:kern w:val="0"/>
                <w:sz w:val="18"/>
                <w:szCs w:val="18"/>
              </w:rPr>
              <w:t>次；茶具每次消毒。</w:t>
            </w:r>
          </w:p>
        </w:tc>
        <w:tc>
          <w:tcPr>
            <w:tcW w:w="2371" w:type="dxa"/>
          </w:tcPr>
          <w:p w14:paraId="2AA226C6">
            <w:pPr>
              <w:shd w:val="clear"/>
              <w:spacing w:after="156"/>
              <w:jc w:val="left"/>
              <w:rPr>
                <w:rFonts w:ascii="Calibri" w:hAnsi="Calibri" w:eastAsia="宋体" w:cs="Times New Roman"/>
                <w:kern w:val="0"/>
                <w:sz w:val="18"/>
                <w:szCs w:val="18"/>
              </w:rPr>
            </w:pPr>
            <w:r>
              <w:rPr>
                <w:rFonts w:hint="eastAsia" w:ascii="Calibri" w:hAnsi="Calibri" w:eastAsia="宋体" w:cs="Times New Roman"/>
                <w:kern w:val="0"/>
                <w:sz w:val="18"/>
                <w:szCs w:val="18"/>
              </w:rPr>
              <w:t>会议室椅、窗台、地面、门楣、门套、墙面、墙角无积尘，光亮；桌椅会议桌椅、窗台、地面、门楣、门套、墙面、墙角无积尘，光亮；窗帘挂放整齐；室内无异味；会议室茶具消毒达到卫生标准。</w:t>
            </w:r>
          </w:p>
        </w:tc>
      </w:tr>
      <w:tr w14:paraId="6327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14:paraId="19071EA2">
            <w:pPr>
              <w:shd w:val="clear"/>
              <w:spacing w:after="156"/>
              <w:jc w:val="center"/>
              <w:rPr>
                <w:rFonts w:ascii="Calibri" w:hAnsi="Calibri" w:eastAsia="宋体" w:cs="Times New Roman"/>
                <w:kern w:val="0"/>
                <w:sz w:val="18"/>
                <w:szCs w:val="18"/>
              </w:rPr>
            </w:pPr>
          </w:p>
          <w:p w14:paraId="33090C51">
            <w:pPr>
              <w:shd w:val="clear"/>
              <w:spacing w:after="156"/>
              <w:rPr>
                <w:rFonts w:ascii="Calibri" w:hAnsi="Calibri" w:eastAsia="宋体" w:cs="Times New Roman"/>
                <w:kern w:val="0"/>
                <w:sz w:val="18"/>
                <w:szCs w:val="18"/>
              </w:rPr>
            </w:pPr>
          </w:p>
          <w:p w14:paraId="51F19647">
            <w:pPr>
              <w:shd w:val="clear"/>
              <w:spacing w:after="156"/>
              <w:jc w:val="center"/>
              <w:rPr>
                <w:rFonts w:ascii="Calibri" w:hAnsi="Calibri" w:eastAsia="宋体" w:cs="Times New Roman"/>
                <w:kern w:val="0"/>
                <w:sz w:val="18"/>
                <w:szCs w:val="18"/>
              </w:rPr>
            </w:pPr>
          </w:p>
          <w:p w14:paraId="57509600">
            <w:pPr>
              <w:shd w:val="clear"/>
              <w:spacing w:after="156"/>
              <w:jc w:val="center"/>
              <w:rPr>
                <w:rFonts w:ascii="Calibri" w:hAnsi="Calibri" w:eastAsia="宋体" w:cs="Times New Roman"/>
                <w:kern w:val="0"/>
                <w:sz w:val="18"/>
                <w:szCs w:val="18"/>
              </w:rPr>
            </w:pPr>
            <w:r>
              <w:rPr>
                <w:rFonts w:hint="eastAsia" w:ascii="Calibri" w:hAnsi="Calibri" w:eastAsia="宋体" w:cs="Times New Roman"/>
                <w:kern w:val="0"/>
                <w:sz w:val="18"/>
                <w:szCs w:val="18"/>
              </w:rPr>
              <w:t>公共区域</w:t>
            </w:r>
          </w:p>
        </w:tc>
        <w:tc>
          <w:tcPr>
            <w:tcW w:w="2235" w:type="dxa"/>
          </w:tcPr>
          <w:p w14:paraId="0F86B001">
            <w:pPr>
              <w:shd w:val="clear"/>
              <w:spacing w:after="156"/>
              <w:jc w:val="left"/>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rPr>
              <w:t>楼道、公共区、连廊：地面、桌椅、楼地面、楼梯、扶手、墙面、垃圾桶等</w:t>
            </w:r>
            <w:r>
              <w:rPr>
                <w:rFonts w:hint="eastAsia" w:ascii="Calibri" w:hAnsi="Calibri" w:eastAsia="宋体" w:cs="Times New Roman"/>
                <w:kern w:val="0"/>
                <w:sz w:val="18"/>
                <w:szCs w:val="18"/>
                <w:lang w:eastAsia="zh-CN"/>
              </w:rPr>
              <w:t>。</w:t>
            </w:r>
          </w:p>
          <w:p w14:paraId="5338FB3C">
            <w:pPr>
              <w:shd w:val="clear"/>
              <w:spacing w:after="156"/>
              <w:jc w:val="left"/>
              <w:rPr>
                <w:rFonts w:ascii="Calibri" w:hAnsi="Calibri" w:eastAsia="宋体" w:cs="Times New Roman"/>
                <w:kern w:val="0"/>
                <w:sz w:val="18"/>
                <w:szCs w:val="18"/>
              </w:rPr>
            </w:pPr>
          </w:p>
        </w:tc>
        <w:tc>
          <w:tcPr>
            <w:tcW w:w="2415" w:type="dxa"/>
          </w:tcPr>
          <w:p w14:paraId="24648B66">
            <w:pPr>
              <w:shd w:val="clear"/>
              <w:spacing w:after="156"/>
              <w:jc w:val="left"/>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rPr>
              <w:t>地面、楼梯、扶手、墙面、垃圾桶等每天保洁</w:t>
            </w:r>
            <w:r>
              <w:rPr>
                <w:rFonts w:ascii="Calibri" w:hAnsi="Calibri" w:eastAsia="宋体" w:cs="Times New Roman"/>
                <w:kern w:val="0"/>
                <w:sz w:val="18"/>
                <w:szCs w:val="18"/>
              </w:rPr>
              <w:t xml:space="preserve">1 </w:t>
            </w:r>
            <w:r>
              <w:rPr>
                <w:rFonts w:hint="eastAsia" w:ascii="Calibri" w:hAnsi="Calibri" w:eastAsia="宋体" w:cs="Times New Roman"/>
                <w:kern w:val="0"/>
                <w:sz w:val="18"/>
                <w:szCs w:val="18"/>
              </w:rPr>
              <w:t>次且巡回保洁；窗台每天一次；门窗玻璃、踢脚线、配电箱、消防设备、楼道门、窗、灯具及开关每二周保洁</w:t>
            </w:r>
            <w:r>
              <w:rPr>
                <w:rFonts w:ascii="Calibri" w:hAnsi="Calibri" w:eastAsia="宋体" w:cs="Times New Roman"/>
                <w:kern w:val="0"/>
                <w:sz w:val="18"/>
                <w:szCs w:val="18"/>
              </w:rPr>
              <w:t xml:space="preserve"> 1 </w:t>
            </w:r>
            <w:r>
              <w:rPr>
                <w:rFonts w:hint="eastAsia" w:ascii="Calibri" w:hAnsi="Calibri" w:eastAsia="宋体" w:cs="Times New Roman"/>
                <w:kern w:val="0"/>
                <w:sz w:val="18"/>
                <w:szCs w:val="18"/>
              </w:rPr>
              <w:t>次；大理石（花岗岩）每</w:t>
            </w:r>
            <w:r>
              <w:rPr>
                <w:rFonts w:ascii="Calibri" w:hAnsi="Calibri" w:eastAsia="宋体" w:cs="Times New Roman"/>
                <w:kern w:val="0"/>
                <w:sz w:val="18"/>
                <w:szCs w:val="18"/>
              </w:rPr>
              <w:t xml:space="preserve"> 2</w:t>
            </w:r>
            <w:r>
              <w:rPr>
                <w:rFonts w:hint="eastAsia" w:ascii="Calibri" w:hAnsi="Calibri" w:eastAsia="宋体" w:cs="Times New Roman"/>
                <w:kern w:val="0"/>
                <w:sz w:val="18"/>
                <w:szCs w:val="18"/>
              </w:rPr>
              <w:t>个月抛光镜面</w:t>
            </w:r>
            <w:r>
              <w:rPr>
                <w:rFonts w:ascii="Calibri" w:hAnsi="Calibri" w:eastAsia="宋体" w:cs="Times New Roman"/>
                <w:kern w:val="0"/>
                <w:sz w:val="18"/>
                <w:szCs w:val="18"/>
              </w:rPr>
              <w:t xml:space="preserve"> 1 </w:t>
            </w:r>
            <w:r>
              <w:rPr>
                <w:rFonts w:hint="eastAsia" w:ascii="Calibri" w:hAnsi="Calibri" w:eastAsia="宋体" w:cs="Times New Roman"/>
                <w:kern w:val="0"/>
                <w:sz w:val="18"/>
                <w:szCs w:val="18"/>
              </w:rPr>
              <w:t>次；地砖或固化地坪地面每</w:t>
            </w:r>
            <w:r>
              <w:rPr>
                <w:rFonts w:ascii="Calibri" w:hAnsi="Calibri" w:eastAsia="宋体" w:cs="Times New Roman"/>
                <w:kern w:val="0"/>
                <w:sz w:val="18"/>
                <w:szCs w:val="18"/>
              </w:rPr>
              <w:t xml:space="preserve">2 </w:t>
            </w:r>
            <w:r>
              <w:rPr>
                <w:rFonts w:hint="eastAsia" w:ascii="Calibri" w:hAnsi="Calibri" w:eastAsia="宋体" w:cs="Times New Roman"/>
                <w:kern w:val="0"/>
                <w:sz w:val="18"/>
                <w:szCs w:val="18"/>
              </w:rPr>
              <w:t>月彻底刷洗</w:t>
            </w:r>
            <w:r>
              <w:rPr>
                <w:rFonts w:ascii="Calibri" w:hAnsi="Calibri" w:eastAsia="宋体" w:cs="Times New Roman"/>
                <w:kern w:val="0"/>
                <w:sz w:val="18"/>
                <w:szCs w:val="18"/>
              </w:rPr>
              <w:t xml:space="preserve"> 1 </w:t>
            </w:r>
            <w:r>
              <w:rPr>
                <w:rFonts w:hint="eastAsia" w:ascii="Calibri" w:hAnsi="Calibri" w:eastAsia="宋体" w:cs="Times New Roman"/>
                <w:kern w:val="0"/>
                <w:sz w:val="18"/>
                <w:szCs w:val="18"/>
              </w:rPr>
              <w:t>次</w:t>
            </w:r>
            <w:r>
              <w:rPr>
                <w:rFonts w:hint="eastAsia" w:ascii="Calibri" w:hAnsi="Calibri" w:eastAsia="宋体" w:cs="Times New Roman"/>
                <w:kern w:val="0"/>
                <w:sz w:val="18"/>
                <w:szCs w:val="18"/>
                <w:lang w:eastAsia="zh-CN"/>
              </w:rPr>
              <w:t>。</w:t>
            </w:r>
          </w:p>
        </w:tc>
        <w:tc>
          <w:tcPr>
            <w:tcW w:w="2371" w:type="dxa"/>
          </w:tcPr>
          <w:p w14:paraId="33274886">
            <w:pPr>
              <w:shd w:val="clear"/>
              <w:spacing w:after="156"/>
              <w:jc w:val="left"/>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rPr>
              <w:t>地面无水渍、无污渍，无垃圾，无积尘，光亮；墙面灰尘、无污渍，光亮，墙角无蜘蛛网；公共设施表面无积尘、无污渍、光亮；不锈钢表面无手印，无积尘，无污渍、光亮；玻璃上无手印，无积尘，无污渍、明亮；窗台无积尘</w:t>
            </w:r>
            <w:r>
              <w:rPr>
                <w:rFonts w:hint="eastAsia" w:ascii="Calibri" w:hAnsi="Calibri" w:eastAsia="宋体" w:cs="Times New Roman"/>
                <w:kern w:val="0"/>
                <w:sz w:val="18"/>
                <w:szCs w:val="18"/>
                <w:lang w:eastAsia="zh-CN"/>
              </w:rPr>
              <w:t>。</w:t>
            </w:r>
          </w:p>
        </w:tc>
      </w:tr>
      <w:tr w14:paraId="6F12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14:paraId="08321781">
            <w:pPr>
              <w:shd w:val="clear"/>
              <w:spacing w:after="156"/>
              <w:jc w:val="center"/>
              <w:rPr>
                <w:rFonts w:ascii="Calibri" w:hAnsi="Calibri" w:eastAsia="宋体" w:cs="Times New Roman"/>
                <w:kern w:val="0"/>
                <w:sz w:val="18"/>
                <w:szCs w:val="18"/>
              </w:rPr>
            </w:pPr>
          </w:p>
          <w:p w14:paraId="1CDB1D10">
            <w:pPr>
              <w:shd w:val="clear"/>
              <w:spacing w:after="156"/>
              <w:jc w:val="center"/>
              <w:rPr>
                <w:rFonts w:ascii="Calibri" w:hAnsi="Calibri" w:eastAsia="宋体" w:cs="Times New Roman"/>
                <w:kern w:val="0"/>
                <w:sz w:val="18"/>
                <w:szCs w:val="18"/>
              </w:rPr>
            </w:pPr>
          </w:p>
          <w:p w14:paraId="7DC6492C">
            <w:pPr>
              <w:shd w:val="clear"/>
              <w:spacing w:after="156"/>
              <w:jc w:val="center"/>
              <w:rPr>
                <w:rFonts w:ascii="Calibri" w:hAnsi="Calibri" w:eastAsia="宋体" w:cs="Times New Roman"/>
                <w:kern w:val="0"/>
                <w:sz w:val="18"/>
                <w:szCs w:val="18"/>
              </w:rPr>
            </w:pPr>
          </w:p>
          <w:p w14:paraId="39EE5F53">
            <w:pPr>
              <w:shd w:val="clear"/>
              <w:spacing w:after="156"/>
              <w:ind w:firstLine="180" w:firstLineChars="100"/>
              <w:rPr>
                <w:rFonts w:ascii="Calibri" w:hAnsi="Calibri" w:eastAsia="宋体" w:cs="Times New Roman"/>
                <w:kern w:val="0"/>
                <w:sz w:val="18"/>
                <w:szCs w:val="18"/>
              </w:rPr>
            </w:pPr>
            <w:r>
              <w:rPr>
                <w:rFonts w:hint="eastAsia" w:ascii="Calibri" w:hAnsi="Calibri" w:eastAsia="宋体" w:cs="Times New Roman"/>
                <w:kern w:val="0"/>
                <w:sz w:val="18"/>
                <w:szCs w:val="18"/>
              </w:rPr>
              <w:t>公共卫生间</w:t>
            </w:r>
          </w:p>
        </w:tc>
        <w:tc>
          <w:tcPr>
            <w:tcW w:w="2235" w:type="dxa"/>
          </w:tcPr>
          <w:p w14:paraId="7902D348">
            <w:pPr>
              <w:shd w:val="clear"/>
              <w:spacing w:after="156"/>
              <w:jc w:val="left"/>
              <w:rPr>
                <w:rFonts w:ascii="Calibri" w:hAnsi="Calibri" w:eastAsia="宋体" w:cs="Times New Roman"/>
                <w:kern w:val="0"/>
                <w:sz w:val="18"/>
                <w:szCs w:val="18"/>
              </w:rPr>
            </w:pPr>
            <w:r>
              <w:rPr>
                <w:rFonts w:hint="eastAsia" w:ascii="Calibri" w:hAnsi="Calibri" w:eastAsia="宋体" w:cs="Times New Roman"/>
                <w:kern w:val="0"/>
                <w:sz w:val="18"/>
                <w:szCs w:val="18"/>
              </w:rPr>
              <w:t>地面、墙面、天棚、踢脚线、大小便器、垃圾篓、洗手盆、台面、镜子、门窗玻璃、窗台、标牌、灯具、排气扇、上下水管道、水龙头、直饮水机等。</w:t>
            </w:r>
          </w:p>
        </w:tc>
        <w:tc>
          <w:tcPr>
            <w:tcW w:w="2415" w:type="dxa"/>
          </w:tcPr>
          <w:p w14:paraId="0587D0EF">
            <w:pPr>
              <w:shd w:val="clear"/>
              <w:spacing w:after="156"/>
              <w:jc w:val="left"/>
              <w:rPr>
                <w:rFonts w:ascii="Calibri" w:hAnsi="Calibri" w:eastAsia="宋体" w:cs="Times New Roman"/>
                <w:kern w:val="0"/>
                <w:sz w:val="18"/>
                <w:szCs w:val="18"/>
              </w:rPr>
            </w:pPr>
            <w:r>
              <w:rPr>
                <w:rFonts w:hint="eastAsia" w:ascii="Calibri" w:hAnsi="Calibri" w:eastAsia="宋体" w:cs="Times New Roman"/>
                <w:kern w:val="0"/>
                <w:sz w:val="18"/>
                <w:szCs w:val="18"/>
              </w:rPr>
              <w:t>每天</w:t>
            </w:r>
            <w:r>
              <w:rPr>
                <w:rFonts w:ascii="Calibri" w:hAnsi="Calibri" w:eastAsia="宋体" w:cs="Times New Roman"/>
                <w:kern w:val="0"/>
                <w:sz w:val="18"/>
                <w:szCs w:val="18"/>
              </w:rPr>
              <w:t xml:space="preserve"> 4 </w:t>
            </w:r>
            <w:r>
              <w:rPr>
                <w:rFonts w:hint="eastAsia" w:ascii="Calibri" w:hAnsi="Calibri" w:eastAsia="宋体" w:cs="Times New Roman"/>
                <w:kern w:val="0"/>
                <w:sz w:val="18"/>
                <w:szCs w:val="18"/>
              </w:rPr>
              <w:t>次对卫生间全面保洁，且每</w:t>
            </w:r>
            <w:r>
              <w:rPr>
                <w:rFonts w:ascii="Calibri" w:hAnsi="Calibri" w:eastAsia="宋体" w:cs="Times New Roman"/>
                <w:kern w:val="0"/>
                <w:sz w:val="18"/>
                <w:szCs w:val="18"/>
              </w:rPr>
              <w:t xml:space="preserve"> 2 </w:t>
            </w:r>
            <w:r>
              <w:rPr>
                <w:rFonts w:hint="eastAsia" w:ascii="Calibri" w:hAnsi="Calibri" w:eastAsia="宋体" w:cs="Times New Roman"/>
                <w:kern w:val="0"/>
                <w:sz w:val="18"/>
                <w:szCs w:val="18"/>
              </w:rPr>
              <w:t>小时巡回保洁；天棚、灯具、窗玻璃排气扇每月保洁</w:t>
            </w:r>
            <w:r>
              <w:rPr>
                <w:rFonts w:ascii="Calibri" w:hAnsi="Calibri" w:eastAsia="宋体" w:cs="Times New Roman"/>
                <w:kern w:val="0"/>
                <w:sz w:val="18"/>
                <w:szCs w:val="18"/>
              </w:rPr>
              <w:t xml:space="preserve"> 1</w:t>
            </w:r>
            <w:r>
              <w:rPr>
                <w:rFonts w:hint="eastAsia" w:ascii="Calibri" w:hAnsi="Calibri" w:eastAsia="宋体" w:cs="Times New Roman"/>
                <w:kern w:val="0"/>
                <w:sz w:val="18"/>
                <w:szCs w:val="18"/>
              </w:rPr>
              <w:t>次；门窗玻璃每二周保洁</w:t>
            </w:r>
            <w:r>
              <w:rPr>
                <w:rFonts w:ascii="Calibri" w:hAnsi="Calibri" w:eastAsia="宋体" w:cs="Times New Roman"/>
                <w:kern w:val="0"/>
                <w:sz w:val="18"/>
                <w:szCs w:val="18"/>
              </w:rPr>
              <w:t xml:space="preserve"> 1</w:t>
            </w:r>
            <w:r>
              <w:rPr>
                <w:rFonts w:hint="eastAsia" w:ascii="Calibri" w:hAnsi="Calibri" w:eastAsia="宋体" w:cs="Times New Roman"/>
                <w:kern w:val="0"/>
                <w:sz w:val="18"/>
                <w:szCs w:val="18"/>
              </w:rPr>
              <w:t>次；窗台每天一次。</w:t>
            </w:r>
          </w:p>
        </w:tc>
        <w:tc>
          <w:tcPr>
            <w:tcW w:w="2371" w:type="dxa"/>
          </w:tcPr>
          <w:p w14:paraId="416B5088">
            <w:pPr>
              <w:shd w:val="clear"/>
              <w:spacing w:after="156"/>
              <w:jc w:val="left"/>
              <w:rPr>
                <w:rFonts w:ascii="Calibri" w:hAnsi="Calibri" w:eastAsia="宋体" w:cs="Times New Roman"/>
                <w:kern w:val="0"/>
                <w:sz w:val="18"/>
                <w:szCs w:val="18"/>
              </w:rPr>
            </w:pPr>
            <w:r>
              <w:rPr>
                <w:rFonts w:hint="eastAsia" w:ascii="Calibri" w:hAnsi="Calibri" w:eastAsia="宋体" w:cs="Times New Roman"/>
                <w:kern w:val="0"/>
                <w:sz w:val="18"/>
                <w:szCs w:val="18"/>
              </w:rPr>
              <w:t>卫生间无异味、厕坑便具洁净无黄渍、镜面、水盆、台面无污点，光亮；纸篓随时清理；墙面、天棚、墙角、灯具无积尘、蜘蛛网，光亮；地面无水渍、无污渍，无垃圾；直饮水机周边达到卫生标准、安全可靠；保洁工具与保洁用品要统一放在指定地点。</w:t>
            </w:r>
          </w:p>
        </w:tc>
      </w:tr>
      <w:tr w14:paraId="170C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14:paraId="637B6479">
            <w:pPr>
              <w:shd w:val="clear"/>
              <w:spacing w:after="156"/>
              <w:jc w:val="center"/>
              <w:rPr>
                <w:rFonts w:ascii="Calibri" w:hAnsi="Calibri" w:eastAsia="宋体" w:cs="Times New Roman"/>
                <w:kern w:val="0"/>
                <w:sz w:val="18"/>
                <w:szCs w:val="18"/>
              </w:rPr>
            </w:pPr>
          </w:p>
          <w:p w14:paraId="04A03B3B">
            <w:pPr>
              <w:shd w:val="clear"/>
              <w:spacing w:after="156"/>
              <w:rPr>
                <w:rFonts w:ascii="Calibri" w:hAnsi="Calibri" w:eastAsia="宋体" w:cs="Times New Roman"/>
                <w:kern w:val="0"/>
                <w:sz w:val="18"/>
                <w:szCs w:val="18"/>
              </w:rPr>
            </w:pPr>
          </w:p>
          <w:p w14:paraId="5E8D04A9">
            <w:pPr>
              <w:shd w:val="clear"/>
              <w:spacing w:after="156"/>
              <w:rPr>
                <w:rFonts w:ascii="Calibri" w:hAnsi="Calibri" w:eastAsia="宋体" w:cs="Times New Roman"/>
                <w:kern w:val="0"/>
                <w:sz w:val="18"/>
                <w:szCs w:val="18"/>
              </w:rPr>
            </w:pPr>
          </w:p>
          <w:p w14:paraId="66759D4D">
            <w:pPr>
              <w:shd w:val="clear"/>
              <w:spacing w:after="156"/>
              <w:jc w:val="center"/>
              <w:rPr>
                <w:rFonts w:ascii="Calibri" w:hAnsi="Calibri" w:eastAsia="宋体" w:cs="Times New Roman"/>
                <w:kern w:val="0"/>
                <w:sz w:val="18"/>
                <w:szCs w:val="18"/>
              </w:rPr>
            </w:pPr>
            <w:r>
              <w:rPr>
                <w:rFonts w:hint="eastAsia" w:ascii="Calibri" w:hAnsi="Calibri" w:eastAsia="宋体" w:cs="Times New Roman"/>
                <w:kern w:val="0"/>
                <w:sz w:val="18"/>
                <w:szCs w:val="18"/>
              </w:rPr>
              <w:t>地下车库</w:t>
            </w:r>
          </w:p>
        </w:tc>
        <w:tc>
          <w:tcPr>
            <w:tcW w:w="2235" w:type="dxa"/>
          </w:tcPr>
          <w:p w14:paraId="1E359288">
            <w:pPr>
              <w:shd w:val="clear"/>
              <w:spacing w:after="156"/>
              <w:jc w:val="left"/>
              <w:rPr>
                <w:rFonts w:ascii="Calibri" w:hAnsi="Calibri" w:eastAsia="宋体" w:cs="Times New Roman"/>
                <w:kern w:val="0"/>
                <w:sz w:val="18"/>
                <w:szCs w:val="18"/>
              </w:rPr>
            </w:pPr>
            <w:r>
              <w:rPr>
                <w:rFonts w:hint="eastAsia" w:ascii="Calibri" w:hAnsi="Calibri" w:eastAsia="宋体" w:cs="Times New Roman"/>
                <w:kern w:val="0"/>
                <w:sz w:val="18"/>
                <w:szCs w:val="18"/>
              </w:rPr>
              <w:t>行车步道、车位、楼梯间、电梯间、设备用房等。</w:t>
            </w:r>
          </w:p>
        </w:tc>
        <w:tc>
          <w:tcPr>
            <w:tcW w:w="2415" w:type="dxa"/>
          </w:tcPr>
          <w:p w14:paraId="151B87C4">
            <w:pPr>
              <w:shd w:val="clear"/>
              <w:spacing w:after="156"/>
              <w:jc w:val="left"/>
              <w:rPr>
                <w:rFonts w:ascii="Calibri" w:hAnsi="Calibri" w:eastAsia="宋体" w:cs="Times New Roman"/>
                <w:kern w:val="0"/>
                <w:sz w:val="18"/>
                <w:szCs w:val="18"/>
              </w:rPr>
            </w:pPr>
            <w:r>
              <w:rPr>
                <w:rFonts w:hint="eastAsia" w:ascii="Calibri" w:hAnsi="Calibri" w:eastAsia="宋体" w:cs="Times New Roman"/>
                <w:kern w:val="0"/>
                <w:sz w:val="18"/>
                <w:szCs w:val="18"/>
              </w:rPr>
              <w:t>每日清洁：清扫地面及行车道路尘土、捡拾垃圾；清倒垃圾桶；清抹各指示牌、广角镜；清洁手可触及部位；维修事务跟进；每月清洁：用洗地机清洗地面油渍、污渍；地面清洁、拖净；消防栓、灭火器、手动报警器擦拭。</w:t>
            </w:r>
          </w:p>
        </w:tc>
        <w:tc>
          <w:tcPr>
            <w:tcW w:w="2371" w:type="dxa"/>
          </w:tcPr>
          <w:p w14:paraId="52D2A94C">
            <w:pPr>
              <w:shd w:val="clear"/>
              <w:spacing w:after="156"/>
              <w:jc w:val="left"/>
              <w:rPr>
                <w:rFonts w:ascii="Calibri" w:hAnsi="Calibri" w:eastAsia="宋体" w:cs="Times New Roman"/>
                <w:kern w:val="0"/>
                <w:sz w:val="18"/>
                <w:szCs w:val="18"/>
              </w:rPr>
            </w:pPr>
            <w:r>
              <w:rPr>
                <w:rFonts w:hint="eastAsia" w:ascii="Calibri" w:hAnsi="Calibri" w:eastAsia="宋体" w:cs="Times New Roman"/>
                <w:kern w:val="0"/>
                <w:sz w:val="18"/>
                <w:szCs w:val="18"/>
              </w:rPr>
              <w:t>周边环境清洁，无垃圾堆放；地面洁净、无水渍、无污渍、无油渍；停车场设施设备干净、无明显污渍。</w:t>
            </w:r>
          </w:p>
        </w:tc>
      </w:tr>
      <w:tr w14:paraId="339F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14:paraId="3D94266E">
            <w:pPr>
              <w:shd w:val="clear"/>
              <w:spacing w:after="156"/>
              <w:rPr>
                <w:rFonts w:ascii="Calibri" w:hAnsi="Calibri" w:eastAsia="宋体" w:cs="Times New Roman"/>
                <w:kern w:val="0"/>
                <w:sz w:val="18"/>
                <w:szCs w:val="18"/>
              </w:rPr>
            </w:pPr>
          </w:p>
          <w:p w14:paraId="4822BA34">
            <w:pPr>
              <w:shd w:val="clear"/>
              <w:spacing w:after="156"/>
              <w:jc w:val="center"/>
              <w:rPr>
                <w:rFonts w:ascii="Calibri" w:hAnsi="Calibri" w:eastAsia="宋体" w:cs="Times New Roman"/>
                <w:kern w:val="0"/>
                <w:sz w:val="18"/>
                <w:szCs w:val="18"/>
              </w:rPr>
            </w:pPr>
            <w:r>
              <w:rPr>
                <w:rFonts w:hint="eastAsia" w:ascii="Calibri" w:hAnsi="Calibri" w:eastAsia="宋体" w:cs="Times New Roman"/>
                <w:kern w:val="0"/>
                <w:sz w:val="18"/>
                <w:szCs w:val="18"/>
              </w:rPr>
              <w:t>电梯轿厢</w:t>
            </w:r>
          </w:p>
        </w:tc>
        <w:tc>
          <w:tcPr>
            <w:tcW w:w="2235" w:type="dxa"/>
          </w:tcPr>
          <w:p w14:paraId="65E27D21">
            <w:pPr>
              <w:shd w:val="clear"/>
              <w:spacing w:after="156"/>
              <w:jc w:val="left"/>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rPr>
              <w:t>电梯门、内壁、地面、按钮、显示屏</w:t>
            </w:r>
            <w:r>
              <w:rPr>
                <w:rFonts w:hint="eastAsia" w:ascii="Calibri" w:hAnsi="Calibri" w:eastAsia="宋体" w:cs="Times New Roman"/>
                <w:kern w:val="0"/>
                <w:sz w:val="18"/>
                <w:szCs w:val="18"/>
                <w:lang w:eastAsia="zh-CN"/>
              </w:rPr>
              <w:t>。</w:t>
            </w:r>
          </w:p>
        </w:tc>
        <w:tc>
          <w:tcPr>
            <w:tcW w:w="2415" w:type="dxa"/>
          </w:tcPr>
          <w:p w14:paraId="45BA803F">
            <w:pPr>
              <w:shd w:val="clear"/>
              <w:spacing w:after="156"/>
              <w:jc w:val="left"/>
              <w:rPr>
                <w:rFonts w:ascii="Calibri" w:hAnsi="Calibri" w:eastAsia="宋体" w:cs="Times New Roman"/>
                <w:kern w:val="0"/>
                <w:sz w:val="18"/>
                <w:szCs w:val="18"/>
              </w:rPr>
            </w:pPr>
            <w:r>
              <w:rPr>
                <w:rFonts w:hint="eastAsia" w:ascii="Calibri" w:hAnsi="Calibri" w:eastAsia="宋体" w:cs="Times New Roman"/>
                <w:kern w:val="0"/>
                <w:sz w:val="18"/>
                <w:szCs w:val="18"/>
              </w:rPr>
              <w:t>每天保洁</w:t>
            </w:r>
            <w:r>
              <w:rPr>
                <w:rFonts w:ascii="Calibri" w:hAnsi="Calibri" w:eastAsia="宋体" w:cs="Times New Roman"/>
                <w:kern w:val="0"/>
                <w:sz w:val="18"/>
                <w:szCs w:val="18"/>
              </w:rPr>
              <w:t xml:space="preserve">1 </w:t>
            </w:r>
            <w:r>
              <w:rPr>
                <w:rFonts w:hint="eastAsia" w:ascii="Calibri" w:hAnsi="Calibri" w:eastAsia="宋体" w:cs="Times New Roman"/>
                <w:kern w:val="0"/>
                <w:sz w:val="18"/>
                <w:szCs w:val="18"/>
              </w:rPr>
              <w:t>次且巡回保洁。</w:t>
            </w:r>
          </w:p>
        </w:tc>
        <w:tc>
          <w:tcPr>
            <w:tcW w:w="2371" w:type="dxa"/>
          </w:tcPr>
          <w:p w14:paraId="13B6455A">
            <w:pPr>
              <w:shd w:val="clear"/>
              <w:spacing w:after="156"/>
              <w:jc w:val="left"/>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rPr>
              <w:t>金属面洁净光亮、无尘土、无污渍、无手印、无擦痕；地面无废物、无尘土、无异味；按钮无污渍；显示屏面板清晰无污渍</w:t>
            </w:r>
            <w:r>
              <w:rPr>
                <w:rFonts w:hint="eastAsia" w:ascii="Calibri" w:hAnsi="Calibri" w:eastAsia="宋体" w:cs="Times New Roman"/>
                <w:kern w:val="0"/>
                <w:sz w:val="18"/>
                <w:szCs w:val="18"/>
                <w:lang w:eastAsia="zh-CN"/>
              </w:rPr>
              <w:t>。</w:t>
            </w:r>
          </w:p>
        </w:tc>
      </w:tr>
      <w:tr w14:paraId="146F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14:paraId="52025FAF">
            <w:pPr>
              <w:shd w:val="clear"/>
              <w:spacing w:after="156"/>
              <w:ind w:firstLine="360"/>
              <w:rPr>
                <w:rFonts w:ascii="Calibri" w:hAnsi="Calibri" w:eastAsia="宋体" w:cs="Times New Roman"/>
                <w:kern w:val="0"/>
                <w:sz w:val="18"/>
                <w:szCs w:val="18"/>
              </w:rPr>
            </w:pPr>
          </w:p>
          <w:p w14:paraId="18FA452D">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楼顶等开放区域</w:t>
            </w:r>
          </w:p>
        </w:tc>
        <w:tc>
          <w:tcPr>
            <w:tcW w:w="2235" w:type="dxa"/>
          </w:tcPr>
          <w:p w14:paraId="13271D39">
            <w:pPr>
              <w:shd w:val="clear"/>
              <w:spacing w:after="156"/>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rPr>
              <w:t>楼顶地面、排水口、连廊、平台护栏等</w:t>
            </w:r>
            <w:r>
              <w:rPr>
                <w:rFonts w:hint="eastAsia" w:ascii="Calibri" w:hAnsi="Calibri" w:eastAsia="宋体" w:cs="Times New Roman"/>
                <w:kern w:val="0"/>
                <w:sz w:val="18"/>
                <w:szCs w:val="18"/>
                <w:lang w:eastAsia="zh-CN"/>
              </w:rPr>
              <w:t>。</w:t>
            </w:r>
          </w:p>
        </w:tc>
        <w:tc>
          <w:tcPr>
            <w:tcW w:w="2415" w:type="dxa"/>
          </w:tcPr>
          <w:p w14:paraId="789F10BE">
            <w:pPr>
              <w:shd w:val="clear"/>
              <w:spacing w:after="156"/>
              <w:rPr>
                <w:rFonts w:ascii="Calibri" w:hAnsi="Calibri" w:eastAsia="宋体" w:cs="Times New Roman"/>
                <w:kern w:val="0"/>
                <w:sz w:val="18"/>
                <w:szCs w:val="18"/>
              </w:rPr>
            </w:pPr>
            <w:r>
              <w:rPr>
                <w:rFonts w:ascii="Calibri" w:hAnsi="Calibri" w:eastAsia="宋体" w:cs="Times New Roman"/>
                <w:kern w:val="0"/>
                <w:sz w:val="18"/>
                <w:szCs w:val="18"/>
              </w:rPr>
              <w:t>15</w:t>
            </w:r>
            <w:r>
              <w:rPr>
                <w:rFonts w:hint="eastAsia" w:ascii="Calibri" w:hAnsi="Calibri" w:eastAsia="宋体" w:cs="Times New Roman"/>
                <w:kern w:val="0"/>
                <w:sz w:val="18"/>
                <w:szCs w:val="18"/>
              </w:rPr>
              <w:t>天至少进行一次全面保洁清理，日常开展巡查保洁。</w:t>
            </w:r>
          </w:p>
        </w:tc>
        <w:tc>
          <w:tcPr>
            <w:tcW w:w="2371" w:type="dxa"/>
          </w:tcPr>
          <w:p w14:paraId="706CC84C">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地面无水渍、无污渍，无垃圾，无积尘，排水口周围保持通畅。</w:t>
            </w:r>
          </w:p>
        </w:tc>
      </w:tr>
    </w:tbl>
    <w:p w14:paraId="4D5586F0">
      <w:pPr>
        <w:shd w:val="clear"/>
        <w:rPr>
          <w:rFonts w:ascii="Calibri" w:hAnsi="Calibri" w:eastAsia="宋体" w:cs="Times New Roman"/>
        </w:rPr>
      </w:pPr>
    </w:p>
    <w:p w14:paraId="3E7B8637">
      <w:pPr>
        <w:shd w:val="clear"/>
        <w:ind w:firstLine="482"/>
        <w:rPr>
          <w:rFonts w:ascii="Calibri" w:hAnsi="等线" w:eastAsia="宋体" w:cs="Times New Roman"/>
          <w:b/>
        </w:rPr>
      </w:pPr>
      <w:r>
        <w:rPr>
          <w:rFonts w:ascii="Calibri" w:hAnsi="Calibri" w:eastAsia="宋体" w:cs="Times New Roman"/>
          <w:b/>
        </w:rPr>
        <w:t>1.2.</w:t>
      </w:r>
      <w:r>
        <w:rPr>
          <w:rFonts w:hint="eastAsia" w:ascii="Calibri" w:hAnsi="Calibri" w:eastAsia="宋体" w:cs="Times New Roman"/>
          <w:b/>
        </w:rPr>
        <w:t>2</w:t>
      </w:r>
      <w:r>
        <w:rPr>
          <w:rFonts w:hint="eastAsia" w:ascii="Calibri" w:hAnsi="等线" w:eastAsia="宋体" w:cs="Times New Roman"/>
          <w:b/>
        </w:rPr>
        <w:t>公寓</w:t>
      </w:r>
      <w:r>
        <w:rPr>
          <w:rFonts w:hint="eastAsia" w:ascii="Calibri" w:hAnsi="Calibri" w:eastAsia="宋体" w:cs="Times New Roman"/>
          <w:b/>
        </w:rPr>
        <w:t>楼的保洁范围和要求</w:t>
      </w:r>
    </w:p>
    <w:p w14:paraId="34FC9743">
      <w:pPr>
        <w:shd w:val="clear"/>
        <w:ind w:firstLine="480"/>
        <w:rPr>
          <w:rFonts w:hint="eastAsia" w:ascii="Calibri" w:hAnsi="Calibri" w:eastAsia="宋体" w:cs="Times New Roman"/>
          <w:lang w:val="en-US" w:eastAsia="zh-CN"/>
        </w:rPr>
      </w:pPr>
      <w:r>
        <w:rPr>
          <w:rFonts w:hint="eastAsia" w:ascii="Calibri" w:hAnsi="Calibri" w:eastAsia="宋体" w:cs="Times New Roman"/>
        </w:rPr>
        <w:t>保洁范围：所有公寓楼内公共区域及附属设施的卫生保洁</w:t>
      </w:r>
      <w:r>
        <w:rPr>
          <w:rFonts w:hint="eastAsia" w:ascii="Calibri" w:hAnsi="Calibri" w:eastAsia="宋体" w:cs="Times New Roman"/>
          <w:lang w:eastAsia="zh-CN"/>
        </w:rPr>
        <w:t>。</w:t>
      </w:r>
    </w:p>
    <w:p w14:paraId="6B59F9E9">
      <w:pPr>
        <w:shd w:val="clear"/>
        <w:ind w:firstLine="480"/>
        <w:rPr>
          <w:rFonts w:ascii="Calibri" w:hAnsi="Calibri" w:eastAsia="宋体" w:cs="Times New Roman"/>
        </w:rPr>
      </w:pPr>
      <w:r>
        <w:rPr>
          <w:rFonts w:hint="eastAsia" w:ascii="Calibri" w:hAnsi="Calibri" w:eastAsia="宋体" w:cs="Times New Roman"/>
        </w:rPr>
        <w:t>保洁要求</w:t>
      </w:r>
      <w:r>
        <w:rPr>
          <w:rFonts w:hint="eastAsia" w:ascii="Calibri" w:hAnsi="等线" w:eastAsia="宋体" w:cs="Times New Roman"/>
        </w:rPr>
        <w:t>：</w:t>
      </w:r>
    </w:p>
    <w:p w14:paraId="113A7817">
      <w:pPr>
        <w:shd w:val="clear"/>
        <w:ind w:firstLine="480"/>
        <w:rPr>
          <w:rFonts w:hint="eastAsia" w:ascii="Calibri" w:hAnsi="Calibri" w:eastAsia="宋体" w:cs="Times New Roman"/>
          <w:lang w:eastAsia="zh-CN"/>
        </w:rPr>
      </w:pPr>
      <w:r>
        <w:rPr>
          <w:rFonts w:hint="eastAsia" w:ascii="Calibri" w:hAnsi="Calibri" w:eastAsia="宋体" w:cs="Times New Roman"/>
        </w:rPr>
        <w:t>（</w:t>
      </w:r>
      <w:r>
        <w:rPr>
          <w:rFonts w:ascii="Calibri" w:hAnsi="Calibri" w:eastAsia="宋体" w:cs="Times New Roman"/>
        </w:rPr>
        <w:t>1</w:t>
      </w:r>
      <w:r>
        <w:rPr>
          <w:rFonts w:hint="eastAsia" w:ascii="Calibri" w:hAnsi="Calibri" w:eastAsia="宋体" w:cs="Times New Roman"/>
        </w:rPr>
        <w:t>）</w:t>
      </w:r>
      <w:r>
        <w:rPr>
          <w:rFonts w:hint="eastAsia" w:ascii="Calibri" w:hAnsi="等线" w:eastAsia="宋体" w:cs="Times New Roman"/>
        </w:rPr>
        <w:t>每日开展公寓楼内所有公共区域及设施的保洁服务，留学生公寓公共厨房保洁服务（厨余垃圾每日至少清理</w:t>
      </w:r>
      <w:r>
        <w:rPr>
          <w:rFonts w:ascii="Calibri" w:hAnsi="等线" w:eastAsia="宋体" w:cs="Times New Roman"/>
        </w:rPr>
        <w:t>2</w:t>
      </w:r>
      <w:r>
        <w:rPr>
          <w:rFonts w:hint="eastAsia" w:ascii="Calibri" w:hAnsi="等线" w:eastAsia="宋体" w:cs="Times New Roman"/>
        </w:rPr>
        <w:t>次）</w:t>
      </w:r>
      <w:bookmarkStart w:id="39" w:name="_Toc53496860"/>
      <w:r>
        <w:rPr>
          <w:rFonts w:hint="eastAsia" w:ascii="Calibri" w:hAnsi="等线" w:eastAsia="宋体" w:cs="Times New Roman"/>
          <w:lang w:eastAsia="zh-CN"/>
        </w:rPr>
        <w:t>。</w:t>
      </w:r>
    </w:p>
    <w:p w14:paraId="643BEC04">
      <w:pPr>
        <w:shd w:val="clear"/>
        <w:ind w:firstLine="480"/>
        <w:rPr>
          <w:rFonts w:hint="eastAsia" w:ascii="Calibri" w:hAnsi="Calibri" w:eastAsia="宋体" w:cs="Times New Roman"/>
          <w:lang w:eastAsia="zh-CN"/>
        </w:rPr>
      </w:pPr>
      <w:r>
        <w:rPr>
          <w:rFonts w:hint="eastAsia" w:ascii="Calibri" w:hAnsi="Calibri" w:eastAsia="宋体" w:cs="Times New Roman"/>
        </w:rPr>
        <w:t>（</w:t>
      </w:r>
      <w:r>
        <w:rPr>
          <w:rFonts w:ascii="Calibri" w:hAnsi="Calibri" w:eastAsia="宋体" w:cs="Times New Roman"/>
        </w:rPr>
        <w:t>3</w:t>
      </w:r>
      <w:r>
        <w:rPr>
          <w:rFonts w:hint="eastAsia" w:ascii="Calibri" w:hAnsi="Calibri" w:eastAsia="宋体" w:cs="Times New Roman"/>
        </w:rPr>
        <w:t>）</w:t>
      </w:r>
      <w:r>
        <w:rPr>
          <w:rFonts w:hint="eastAsia" w:ascii="Calibri" w:hAnsi="等线" w:eastAsia="宋体" w:cs="Times New Roman"/>
        </w:rPr>
        <w:t>配合开展楼内巡查，设施报修等工作</w:t>
      </w:r>
      <w:r>
        <w:rPr>
          <w:rFonts w:hint="eastAsia" w:ascii="Calibri" w:hAnsi="等线" w:eastAsia="宋体" w:cs="Times New Roman"/>
          <w:lang w:eastAsia="zh-CN"/>
        </w:rPr>
        <w:t>。</w:t>
      </w:r>
    </w:p>
    <w:p w14:paraId="6418E3D7">
      <w:pPr>
        <w:shd w:val="clear"/>
        <w:ind w:firstLine="480"/>
        <w:rPr>
          <w:rFonts w:hint="eastAsia" w:ascii="Calibri" w:hAnsi="Calibri" w:eastAsia="宋体" w:cs="Times New Roman"/>
          <w:lang w:eastAsia="zh-CN"/>
        </w:rPr>
      </w:pPr>
      <w:r>
        <w:rPr>
          <w:rFonts w:hint="eastAsia" w:ascii="Calibri" w:hAnsi="Calibri" w:eastAsia="宋体" w:cs="Times New Roman"/>
        </w:rPr>
        <w:t>（</w:t>
      </w:r>
      <w:r>
        <w:rPr>
          <w:rFonts w:ascii="Calibri" w:hAnsi="Calibri" w:eastAsia="宋体" w:cs="Times New Roman"/>
        </w:rPr>
        <w:t>4</w:t>
      </w:r>
      <w:r>
        <w:rPr>
          <w:rFonts w:hint="eastAsia" w:ascii="Calibri" w:hAnsi="Calibri" w:eastAsia="宋体" w:cs="Times New Roman"/>
        </w:rPr>
        <w:t>）</w:t>
      </w:r>
      <w:r>
        <w:rPr>
          <w:rFonts w:hint="eastAsia" w:ascii="Calibri" w:hAnsi="等线" w:eastAsia="宋体" w:cs="Times New Roman"/>
        </w:rPr>
        <w:t>每月开展</w:t>
      </w:r>
      <w:r>
        <w:rPr>
          <w:rFonts w:ascii="Calibri" w:hAnsi="等线" w:eastAsia="宋体" w:cs="Times New Roman"/>
        </w:rPr>
        <w:t>2</w:t>
      </w:r>
      <w:r>
        <w:rPr>
          <w:rFonts w:hint="eastAsia" w:ascii="Calibri" w:hAnsi="等线" w:eastAsia="宋体" w:cs="Times New Roman"/>
        </w:rPr>
        <w:t>次公寓楼平台、连廊、顶楼等开放区域的清理</w:t>
      </w:r>
      <w:r>
        <w:rPr>
          <w:rFonts w:hint="eastAsia" w:ascii="Calibri" w:hAnsi="等线" w:eastAsia="宋体" w:cs="Times New Roman"/>
          <w:lang w:eastAsia="zh-CN"/>
        </w:rPr>
        <w:t>。</w:t>
      </w:r>
    </w:p>
    <w:p w14:paraId="712437A8">
      <w:pPr>
        <w:shd w:val="clear"/>
        <w:ind w:firstLine="480"/>
        <w:rPr>
          <w:rFonts w:hint="eastAsia" w:ascii="Calibri" w:hAnsi="等线" w:eastAsia="宋体" w:cs="Times New Roman"/>
          <w:lang w:eastAsia="zh-CN"/>
        </w:rPr>
      </w:pPr>
      <w:r>
        <w:rPr>
          <w:rFonts w:hint="eastAsia" w:ascii="Calibri" w:hAnsi="Calibri" w:eastAsia="宋体" w:cs="Times New Roman"/>
        </w:rPr>
        <w:t>（</w:t>
      </w:r>
      <w:r>
        <w:rPr>
          <w:rFonts w:ascii="Calibri" w:hAnsi="Calibri" w:eastAsia="宋体" w:cs="Times New Roman"/>
        </w:rPr>
        <w:t>5</w:t>
      </w:r>
      <w:r>
        <w:rPr>
          <w:rFonts w:hint="eastAsia" w:ascii="Calibri" w:hAnsi="Calibri" w:eastAsia="宋体" w:cs="Times New Roman"/>
        </w:rPr>
        <w:t>）</w:t>
      </w:r>
      <w:r>
        <w:rPr>
          <w:rFonts w:hint="eastAsia" w:ascii="Calibri" w:hAnsi="等线" w:eastAsia="宋体" w:cs="Times New Roman"/>
        </w:rPr>
        <w:t>负责架空层日常清洁工作；负责公用卫生间日常清洁工作</w:t>
      </w:r>
      <w:r>
        <w:rPr>
          <w:rFonts w:hint="eastAsia" w:ascii="Calibri" w:hAnsi="等线" w:eastAsia="宋体" w:cs="Times New Roman"/>
          <w:lang w:eastAsia="zh-CN"/>
        </w:rPr>
        <w:t>。</w:t>
      </w:r>
    </w:p>
    <w:p w14:paraId="668BD982">
      <w:pPr>
        <w:shd w:val="clear"/>
        <w:ind w:firstLine="480"/>
        <w:rPr>
          <w:rFonts w:hint="eastAsia" w:ascii="Calibri" w:hAnsi="等线" w:eastAsia="宋体" w:cs="Times New Roman"/>
          <w:lang w:eastAsia="zh-CN"/>
        </w:rPr>
      </w:pPr>
      <w:r>
        <w:rPr>
          <w:rFonts w:hint="eastAsia" w:ascii="Calibri" w:hAnsi="等线" w:eastAsia="宋体" w:cs="Times New Roman"/>
        </w:rPr>
        <w:t>（</w:t>
      </w:r>
      <w:r>
        <w:rPr>
          <w:rFonts w:ascii="Calibri" w:hAnsi="Calibri" w:eastAsia="宋体" w:cs="Times New Roman"/>
        </w:rPr>
        <w:t>6</w:t>
      </w:r>
      <w:r>
        <w:rPr>
          <w:rFonts w:hint="eastAsia" w:ascii="Calibri" w:hAnsi="等线" w:eastAsia="宋体" w:cs="Times New Roman"/>
        </w:rPr>
        <w:t>）</w:t>
      </w:r>
      <w:bookmarkEnd w:id="39"/>
      <w:bookmarkStart w:id="40" w:name="_Toc53496861"/>
      <w:r>
        <w:rPr>
          <w:rFonts w:hint="eastAsia" w:ascii="Calibri" w:hAnsi="等线" w:eastAsia="宋体" w:cs="Times New Roman"/>
        </w:rPr>
        <w:t>完成学校重大活动、迎新、毕业离校等保洁保障服务，如毕业生房间清理工作、隔离用房保洁服务、军训用房保洁服务等</w:t>
      </w:r>
      <w:r>
        <w:rPr>
          <w:rFonts w:hint="eastAsia" w:ascii="Calibri" w:hAnsi="Calibri" w:eastAsia="宋体" w:cs="Times New Roman"/>
          <w:lang w:eastAsia="zh-CN"/>
        </w:rPr>
        <w:t>。</w:t>
      </w:r>
    </w:p>
    <w:p w14:paraId="06500A81">
      <w:pPr>
        <w:shd w:val="clear"/>
        <w:ind w:firstLine="480"/>
        <w:rPr>
          <w:rFonts w:hint="eastAsia" w:ascii="Calibri" w:hAnsi="等线" w:eastAsia="宋体" w:cs="Times New Roman"/>
          <w:lang w:eastAsia="zh-CN"/>
        </w:rPr>
      </w:pPr>
      <w:r>
        <w:rPr>
          <w:rFonts w:hint="eastAsia" w:ascii="Calibri" w:hAnsi="等线" w:eastAsia="宋体" w:cs="Times New Roman"/>
        </w:rPr>
        <w:t>（</w:t>
      </w:r>
      <w:r>
        <w:rPr>
          <w:rFonts w:ascii="Calibri" w:hAnsi="Calibri" w:eastAsia="宋体" w:cs="Times New Roman"/>
        </w:rPr>
        <w:t>7</w:t>
      </w:r>
      <w:r>
        <w:rPr>
          <w:rFonts w:hint="eastAsia" w:ascii="Calibri" w:hAnsi="等线" w:eastAsia="宋体" w:cs="Times New Roman"/>
        </w:rPr>
        <w:t>）其他保洁服务保障工作，包括但不限于值班室保洁服务：含床单被褥清洗更换，沐浴乳、洗发液、洗手液、餐巾纸、卫生纸等配置；临时用房服务：含床单被褥清洗更换、卫生纸等配置；辅导员、特护房等用房入住前的保洁服务</w:t>
      </w:r>
      <w:r>
        <w:rPr>
          <w:rFonts w:hint="eastAsia" w:ascii="Calibri" w:hAnsi="等线" w:eastAsia="宋体" w:cs="Times New Roman"/>
          <w:lang w:eastAsia="zh-CN"/>
        </w:rPr>
        <w:t>。</w:t>
      </w:r>
    </w:p>
    <w:p w14:paraId="1F8E7B64">
      <w:pPr>
        <w:shd w:val="clear"/>
        <w:ind w:firstLine="420" w:firstLineChars="200"/>
        <w:rPr>
          <w:rFonts w:ascii="Calibri" w:hAnsi="等线" w:eastAsia="宋体" w:cs="Times New Roman"/>
        </w:rPr>
      </w:pPr>
      <w:r>
        <w:rPr>
          <w:rFonts w:hint="eastAsia" w:ascii="Calibri" w:hAnsi="等线" w:eastAsia="宋体" w:cs="Times New Roman"/>
        </w:rPr>
        <w:t>（</w:t>
      </w:r>
      <w:r>
        <w:rPr>
          <w:rFonts w:ascii="Calibri" w:hAnsi="等线" w:eastAsia="宋体" w:cs="Times New Roman"/>
        </w:rPr>
        <w:t>8</w:t>
      </w:r>
      <w:r>
        <w:rPr>
          <w:rFonts w:hint="eastAsia" w:ascii="Calibri" w:hAnsi="等线" w:eastAsia="宋体" w:cs="Times New Roman"/>
        </w:rPr>
        <w:t>）配合开展</w:t>
      </w:r>
      <w:r>
        <w:rPr>
          <w:rFonts w:ascii="Calibri" w:hAnsi="等线" w:eastAsia="宋体" w:cs="Times New Roman"/>
        </w:rPr>
        <w:t>“四害”</w:t>
      </w:r>
      <w:r>
        <w:rPr>
          <w:rFonts w:hint="eastAsia" w:ascii="Calibri" w:hAnsi="等线" w:eastAsia="宋体" w:cs="Times New Roman"/>
        </w:rPr>
        <w:t>预防工作，开展灾害天气的防护工作。</w:t>
      </w:r>
      <w:bookmarkEnd w:id="40"/>
    </w:p>
    <w:p w14:paraId="3F63EBB6">
      <w:pPr>
        <w:shd w:val="clear"/>
        <w:ind w:firstLine="482"/>
        <w:jc w:val="center"/>
        <w:rPr>
          <w:rFonts w:ascii="宋体" w:hAnsi="宋体" w:eastAsia="宋体" w:cs="Times New Roman"/>
          <w:b/>
          <w:bCs/>
          <w:szCs w:val="24"/>
        </w:rPr>
      </w:pPr>
      <w:r>
        <w:rPr>
          <w:rFonts w:hint="eastAsia" w:ascii="宋体" w:hAnsi="宋体" w:eastAsia="宋体" w:cs="Times New Roman"/>
          <w:b/>
          <w:bCs/>
          <w:szCs w:val="24"/>
        </w:rPr>
        <w:t>表2公寓保洁详细服务标准</w:t>
      </w:r>
    </w:p>
    <w:tbl>
      <w:tblPr>
        <w:tblStyle w:val="60"/>
        <w:tblW w:w="8156"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2430"/>
        <w:gridCol w:w="2235"/>
        <w:gridCol w:w="2461"/>
      </w:tblGrid>
      <w:tr w14:paraId="15C2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30" w:type="dxa"/>
          </w:tcPr>
          <w:p w14:paraId="70F612E7">
            <w:pPr>
              <w:shd w:val="clear"/>
              <w:spacing w:after="156"/>
              <w:jc w:val="center"/>
              <w:rPr>
                <w:rFonts w:ascii="Calibri" w:hAnsi="Calibri" w:eastAsia="宋体" w:cs="Times New Roman"/>
                <w:kern w:val="0"/>
                <w:sz w:val="18"/>
                <w:szCs w:val="18"/>
              </w:rPr>
            </w:pPr>
            <w:r>
              <w:rPr>
                <w:rFonts w:hint="eastAsia" w:ascii="Calibri" w:hAnsi="Calibri" w:eastAsia="宋体" w:cs="Times New Roman"/>
                <w:kern w:val="0"/>
                <w:sz w:val="18"/>
                <w:szCs w:val="18"/>
              </w:rPr>
              <w:t>项目</w:t>
            </w:r>
          </w:p>
        </w:tc>
        <w:tc>
          <w:tcPr>
            <w:tcW w:w="2430" w:type="dxa"/>
          </w:tcPr>
          <w:p w14:paraId="0EFF0118">
            <w:pPr>
              <w:shd w:val="clear"/>
              <w:spacing w:after="156"/>
              <w:jc w:val="center"/>
              <w:rPr>
                <w:rFonts w:ascii="Calibri" w:hAnsi="Calibri" w:eastAsia="宋体" w:cs="Times New Roman"/>
                <w:kern w:val="0"/>
                <w:sz w:val="18"/>
                <w:szCs w:val="18"/>
              </w:rPr>
            </w:pPr>
            <w:r>
              <w:rPr>
                <w:rFonts w:hint="eastAsia" w:ascii="Calibri" w:hAnsi="Calibri" w:eastAsia="宋体" w:cs="Times New Roman"/>
                <w:kern w:val="0"/>
                <w:sz w:val="18"/>
                <w:szCs w:val="18"/>
              </w:rPr>
              <w:t>保洁范围</w:t>
            </w:r>
          </w:p>
        </w:tc>
        <w:tc>
          <w:tcPr>
            <w:tcW w:w="2235" w:type="dxa"/>
          </w:tcPr>
          <w:p w14:paraId="2523C729">
            <w:pPr>
              <w:shd w:val="clear"/>
              <w:spacing w:after="156"/>
              <w:jc w:val="center"/>
              <w:rPr>
                <w:rFonts w:ascii="Calibri" w:hAnsi="Calibri" w:eastAsia="宋体" w:cs="Times New Roman"/>
                <w:kern w:val="0"/>
                <w:sz w:val="18"/>
                <w:szCs w:val="18"/>
              </w:rPr>
            </w:pPr>
            <w:r>
              <w:rPr>
                <w:rFonts w:hint="eastAsia" w:ascii="Calibri" w:hAnsi="Calibri" w:eastAsia="宋体" w:cs="Times New Roman"/>
                <w:kern w:val="0"/>
                <w:sz w:val="18"/>
                <w:szCs w:val="18"/>
              </w:rPr>
              <w:t>作业要求</w:t>
            </w:r>
          </w:p>
        </w:tc>
        <w:tc>
          <w:tcPr>
            <w:tcW w:w="2461" w:type="dxa"/>
          </w:tcPr>
          <w:p w14:paraId="502CE9B2">
            <w:pPr>
              <w:shd w:val="clear"/>
              <w:spacing w:after="156"/>
              <w:jc w:val="center"/>
              <w:rPr>
                <w:rFonts w:ascii="Calibri" w:hAnsi="Calibri" w:eastAsia="宋体" w:cs="Times New Roman"/>
                <w:kern w:val="0"/>
                <w:sz w:val="18"/>
                <w:szCs w:val="18"/>
              </w:rPr>
            </w:pPr>
            <w:r>
              <w:rPr>
                <w:rFonts w:hint="eastAsia" w:ascii="Calibri" w:hAnsi="Calibri" w:eastAsia="宋体" w:cs="Times New Roman"/>
                <w:kern w:val="0"/>
                <w:sz w:val="18"/>
                <w:szCs w:val="18"/>
              </w:rPr>
              <w:t>质量标准</w:t>
            </w:r>
          </w:p>
        </w:tc>
      </w:tr>
      <w:tr w14:paraId="13A3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17ED4C93">
            <w:pPr>
              <w:shd w:val="clear"/>
              <w:spacing w:after="156"/>
              <w:ind w:firstLine="360"/>
              <w:rPr>
                <w:rFonts w:ascii="Calibri" w:hAnsi="Calibri" w:eastAsia="宋体" w:cs="Times New Roman"/>
                <w:kern w:val="0"/>
                <w:sz w:val="18"/>
                <w:szCs w:val="18"/>
              </w:rPr>
            </w:pPr>
          </w:p>
          <w:p w14:paraId="64558A1A">
            <w:pPr>
              <w:shd w:val="clear"/>
              <w:spacing w:after="156"/>
              <w:ind w:firstLine="360"/>
              <w:rPr>
                <w:rFonts w:ascii="Calibri" w:hAnsi="Calibri" w:eastAsia="宋体" w:cs="Times New Roman"/>
                <w:kern w:val="0"/>
                <w:sz w:val="18"/>
                <w:szCs w:val="18"/>
              </w:rPr>
            </w:pPr>
          </w:p>
          <w:p w14:paraId="78E9E3B8">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公寓楼大厅</w:t>
            </w:r>
          </w:p>
        </w:tc>
        <w:tc>
          <w:tcPr>
            <w:tcW w:w="2430" w:type="dxa"/>
          </w:tcPr>
          <w:p w14:paraId="05612DA5">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地面、墙面、踢脚线、台阶、天棚、门及门套、门窗玻璃、窗台、宣传窗、垃圾桶、消防设施、开水器灯具、柱子、植物花盆等。</w:t>
            </w:r>
          </w:p>
        </w:tc>
        <w:tc>
          <w:tcPr>
            <w:tcW w:w="2235" w:type="dxa"/>
          </w:tcPr>
          <w:p w14:paraId="0D16E42C">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每日清洁并巡回保洁：地面、墙面、台阶；每三日清洁</w:t>
            </w:r>
            <w:r>
              <w:rPr>
                <w:rFonts w:ascii="Calibri" w:hAnsi="Calibri" w:eastAsia="宋体" w:cs="Times New Roman"/>
                <w:kern w:val="0"/>
                <w:sz w:val="18"/>
                <w:szCs w:val="18"/>
              </w:rPr>
              <w:t>1</w:t>
            </w:r>
            <w:r>
              <w:rPr>
                <w:rFonts w:hint="eastAsia" w:ascii="Calibri" w:hAnsi="Calibri" w:eastAsia="宋体" w:cs="Times New Roman"/>
                <w:kern w:val="0"/>
                <w:sz w:val="18"/>
                <w:szCs w:val="18"/>
              </w:rPr>
              <w:t>次：踢脚线、开水器、阳台、门窗玻璃、窗台、宣传窗、消防设施、柱子、植物花盆等。</w:t>
            </w:r>
          </w:p>
          <w:p w14:paraId="3E367E9D">
            <w:pPr>
              <w:shd w:val="clear"/>
              <w:spacing w:after="156"/>
              <w:rPr>
                <w:rFonts w:ascii="Calibri" w:hAnsi="Calibri" w:eastAsia="宋体" w:cs="Times New Roman"/>
                <w:kern w:val="0"/>
                <w:sz w:val="18"/>
                <w:szCs w:val="18"/>
              </w:rPr>
            </w:pPr>
          </w:p>
          <w:p w14:paraId="6D69E609">
            <w:pPr>
              <w:shd w:val="clear"/>
              <w:spacing w:after="156"/>
              <w:rPr>
                <w:rFonts w:ascii="Calibri" w:hAnsi="Calibri" w:eastAsia="宋体" w:cs="Times New Roman"/>
                <w:kern w:val="0"/>
                <w:sz w:val="18"/>
                <w:szCs w:val="18"/>
              </w:rPr>
            </w:pPr>
          </w:p>
        </w:tc>
        <w:tc>
          <w:tcPr>
            <w:tcW w:w="2461" w:type="dxa"/>
          </w:tcPr>
          <w:p w14:paraId="5C8CA14F">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地面无水渍、无污渍，无垃圾，无积尘，光亮；墙面无灰尘、墙角无蜘蛛网；公共设施表面无积尘、无污渍、光亮；不锈钢表面无手印，无积尘，无污渍、光亮；玻璃上无手印，无积尘，无污渍、花盆无积尘，无污渍。</w:t>
            </w:r>
          </w:p>
        </w:tc>
      </w:tr>
      <w:tr w14:paraId="5F35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4518DD9F">
            <w:pPr>
              <w:shd w:val="clear"/>
              <w:spacing w:after="156"/>
              <w:ind w:firstLine="540" w:firstLineChars="300"/>
              <w:rPr>
                <w:rFonts w:ascii="Calibri" w:hAnsi="Calibri" w:eastAsia="宋体" w:cs="Times New Roman"/>
                <w:kern w:val="0"/>
                <w:sz w:val="18"/>
                <w:szCs w:val="18"/>
              </w:rPr>
            </w:pPr>
          </w:p>
          <w:p w14:paraId="152E84E4">
            <w:pPr>
              <w:shd w:val="clear"/>
              <w:spacing w:after="156"/>
              <w:rPr>
                <w:rFonts w:ascii="Calibri" w:hAnsi="Calibri" w:eastAsia="宋体" w:cs="Times New Roman"/>
                <w:kern w:val="0"/>
                <w:sz w:val="18"/>
                <w:szCs w:val="18"/>
              </w:rPr>
            </w:pPr>
          </w:p>
          <w:p w14:paraId="1E84E6B7">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公共厨房</w:t>
            </w:r>
          </w:p>
        </w:tc>
        <w:tc>
          <w:tcPr>
            <w:tcW w:w="2430" w:type="dxa"/>
          </w:tcPr>
          <w:p w14:paraId="61AB6A73">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地面、墙面、门及门套、门窗玻璃、窗台、油烟机、电磁炉等厨房设备、橱柜、餐桌、餐椅、消防设施、灯具、其他配套设施。</w:t>
            </w:r>
          </w:p>
        </w:tc>
        <w:tc>
          <w:tcPr>
            <w:tcW w:w="2235" w:type="dxa"/>
          </w:tcPr>
          <w:p w14:paraId="3ECF7DCF">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公用厨房每天清洁</w:t>
            </w:r>
            <w:r>
              <w:rPr>
                <w:rFonts w:ascii="Calibri" w:hAnsi="Calibri" w:eastAsia="宋体" w:cs="Times New Roman"/>
                <w:kern w:val="0"/>
                <w:sz w:val="18"/>
                <w:szCs w:val="18"/>
              </w:rPr>
              <w:t>2</w:t>
            </w:r>
            <w:r>
              <w:rPr>
                <w:rFonts w:hint="eastAsia" w:ascii="Calibri" w:hAnsi="Calibri" w:eastAsia="宋体" w:cs="Times New Roman"/>
                <w:kern w:val="0"/>
                <w:sz w:val="18"/>
                <w:szCs w:val="18"/>
              </w:rPr>
              <w:t>次且巡回保洁；垃圾桶</w:t>
            </w:r>
            <w:r>
              <w:rPr>
                <w:rFonts w:ascii="Calibri" w:hAnsi="Calibri" w:eastAsia="宋体" w:cs="Times New Roman"/>
                <w:kern w:val="0"/>
                <w:sz w:val="18"/>
                <w:szCs w:val="18"/>
              </w:rPr>
              <w:t>1</w:t>
            </w:r>
            <w:r>
              <w:rPr>
                <w:rFonts w:hint="eastAsia" w:ascii="Calibri" w:hAnsi="Calibri" w:eastAsia="宋体" w:cs="Times New Roman"/>
                <w:kern w:val="0"/>
                <w:sz w:val="18"/>
                <w:szCs w:val="18"/>
              </w:rPr>
              <w:t>天</w:t>
            </w:r>
            <w:r>
              <w:rPr>
                <w:rFonts w:ascii="Calibri" w:hAnsi="Calibri" w:eastAsia="宋体" w:cs="Times New Roman"/>
                <w:kern w:val="0"/>
                <w:sz w:val="18"/>
                <w:szCs w:val="18"/>
              </w:rPr>
              <w:t>2</w:t>
            </w:r>
            <w:r>
              <w:rPr>
                <w:rFonts w:hint="eastAsia" w:ascii="Calibri" w:hAnsi="Calibri" w:eastAsia="宋体" w:cs="Times New Roman"/>
                <w:kern w:val="0"/>
                <w:sz w:val="18"/>
                <w:szCs w:val="18"/>
              </w:rPr>
              <w:t>次清理，更换垃圾袋。</w:t>
            </w:r>
          </w:p>
        </w:tc>
        <w:tc>
          <w:tcPr>
            <w:tcW w:w="2461" w:type="dxa"/>
          </w:tcPr>
          <w:p w14:paraId="31306ABB">
            <w:pPr>
              <w:shd w:val="clear"/>
              <w:spacing w:after="156"/>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rPr>
              <w:t>厨房地面、桌面无水渍、无污渍，无垃圾，无积尘，光亮；电磁炉、油烟机无油污、光亮</w:t>
            </w:r>
            <w:r>
              <w:rPr>
                <w:rFonts w:hint="eastAsia" w:ascii="Calibri" w:hAnsi="Calibri" w:eastAsia="宋体" w:cs="Times New Roman"/>
                <w:kern w:val="0"/>
                <w:sz w:val="18"/>
                <w:szCs w:val="18"/>
                <w:lang w:eastAsia="zh-CN"/>
              </w:rPr>
              <w:t>。</w:t>
            </w:r>
          </w:p>
        </w:tc>
      </w:tr>
      <w:tr w14:paraId="497E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1DEA4C51">
            <w:pPr>
              <w:shd w:val="clear"/>
              <w:spacing w:after="156"/>
              <w:rPr>
                <w:rFonts w:ascii="Calibri" w:hAnsi="Calibri" w:eastAsia="宋体" w:cs="Times New Roman"/>
                <w:kern w:val="0"/>
                <w:sz w:val="18"/>
                <w:szCs w:val="18"/>
              </w:rPr>
            </w:pPr>
          </w:p>
          <w:p w14:paraId="1404F3A1">
            <w:pPr>
              <w:shd w:val="clear"/>
              <w:spacing w:after="156"/>
              <w:rPr>
                <w:rFonts w:ascii="Calibri" w:hAnsi="Calibri" w:eastAsia="宋体" w:cs="Times New Roman"/>
                <w:kern w:val="0"/>
                <w:sz w:val="18"/>
                <w:szCs w:val="18"/>
              </w:rPr>
            </w:pPr>
          </w:p>
          <w:p w14:paraId="25CCD6A5">
            <w:pPr>
              <w:shd w:val="clear"/>
              <w:spacing w:after="156"/>
              <w:ind w:firstLine="180" w:firstLineChars="100"/>
              <w:rPr>
                <w:rFonts w:ascii="Calibri" w:hAnsi="Calibri" w:eastAsia="宋体" w:cs="Times New Roman"/>
                <w:kern w:val="0"/>
                <w:sz w:val="18"/>
                <w:szCs w:val="18"/>
              </w:rPr>
            </w:pPr>
            <w:r>
              <w:rPr>
                <w:rFonts w:hint="eastAsia" w:ascii="Calibri" w:hAnsi="Calibri" w:eastAsia="宋体" w:cs="Times New Roman"/>
                <w:kern w:val="0"/>
                <w:sz w:val="18"/>
                <w:szCs w:val="18"/>
              </w:rPr>
              <w:t>宿舍</w:t>
            </w:r>
          </w:p>
        </w:tc>
        <w:tc>
          <w:tcPr>
            <w:tcW w:w="2430" w:type="dxa"/>
          </w:tcPr>
          <w:p w14:paraId="47D1C5DC">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宿舍内所有设施设备：如地面、墙面、阳台、护栏、台盆、便池、家具、窗户、开关、空气源设备、窗帘、</w:t>
            </w:r>
            <w:r>
              <w:rPr>
                <w:rFonts w:hint="eastAsia" w:ascii="Calibri" w:hAnsi="宋体" w:eastAsia="宋体" w:cs="Times New Roman"/>
                <w:sz w:val="18"/>
                <w:szCs w:val="18"/>
              </w:rPr>
              <w:t>灯罩、吸顶扇清洗</w:t>
            </w:r>
            <w:r>
              <w:rPr>
                <w:rFonts w:hint="eastAsia" w:ascii="Calibri" w:hAnsi="Calibri" w:eastAsia="宋体" w:cs="Times New Roman"/>
                <w:kern w:val="0"/>
                <w:sz w:val="18"/>
                <w:szCs w:val="18"/>
              </w:rPr>
              <w:t>等。</w:t>
            </w:r>
          </w:p>
        </w:tc>
        <w:tc>
          <w:tcPr>
            <w:tcW w:w="2235" w:type="dxa"/>
          </w:tcPr>
          <w:p w14:paraId="3ACF5DDC">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根据使用需求提前完成保洁服务。毕业生宿舍窗帘、</w:t>
            </w:r>
            <w:r>
              <w:rPr>
                <w:rFonts w:hint="eastAsia" w:ascii="Calibri" w:hAnsi="宋体" w:eastAsia="宋体" w:cs="Times New Roman"/>
                <w:sz w:val="18"/>
                <w:szCs w:val="18"/>
              </w:rPr>
              <w:t>灯罩、吸顶扇清洗</w:t>
            </w:r>
            <w:r>
              <w:rPr>
                <w:rFonts w:hint="eastAsia" w:ascii="Calibri" w:hAnsi="Calibri" w:eastAsia="宋体" w:cs="Times New Roman"/>
                <w:kern w:val="0"/>
                <w:sz w:val="18"/>
                <w:szCs w:val="18"/>
              </w:rPr>
              <w:t>每年1次。</w:t>
            </w:r>
          </w:p>
        </w:tc>
        <w:tc>
          <w:tcPr>
            <w:tcW w:w="2461" w:type="dxa"/>
          </w:tcPr>
          <w:p w14:paraId="52A81AA9">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地面无水渍、无污渍，无垃圾，无积尘，光亮；墙面无灰尘、墙角无蜘蛛网；设施表面无积尘、无污渍、光亮；不锈钢表面无手印，无积尘，无污渍、光亮玻璃上无手印，无积尘，无污渍。</w:t>
            </w:r>
          </w:p>
        </w:tc>
      </w:tr>
      <w:tr w14:paraId="358A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2B922A9D">
            <w:pPr>
              <w:shd w:val="clear"/>
              <w:spacing w:after="156"/>
              <w:rPr>
                <w:rFonts w:ascii="Calibri" w:hAnsi="Calibri" w:eastAsia="宋体" w:cs="Times New Roman"/>
                <w:kern w:val="0"/>
                <w:sz w:val="18"/>
                <w:szCs w:val="18"/>
              </w:rPr>
            </w:pPr>
          </w:p>
          <w:p w14:paraId="2EF6BFA7">
            <w:pPr>
              <w:shd w:val="clear"/>
              <w:spacing w:after="156"/>
              <w:ind w:firstLine="540" w:firstLineChars="300"/>
              <w:rPr>
                <w:rFonts w:ascii="Calibri" w:hAnsi="Calibri" w:eastAsia="宋体" w:cs="Times New Roman"/>
                <w:kern w:val="0"/>
                <w:sz w:val="18"/>
                <w:szCs w:val="18"/>
              </w:rPr>
            </w:pPr>
          </w:p>
          <w:p w14:paraId="2B900B13">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公共区域</w:t>
            </w:r>
          </w:p>
        </w:tc>
        <w:tc>
          <w:tcPr>
            <w:tcW w:w="2430" w:type="dxa"/>
          </w:tcPr>
          <w:p w14:paraId="420FF2AF">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楼梯、通道、地面、墙面、扶手、踢脚线、台阶、消防门、门窗、灯具、开关、消防设施等。</w:t>
            </w:r>
          </w:p>
        </w:tc>
        <w:tc>
          <w:tcPr>
            <w:tcW w:w="2235" w:type="dxa"/>
          </w:tcPr>
          <w:p w14:paraId="5DAE9F30">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每日清洁并巡回保洁：地面、通道、楼梯、扶手；每三日清洁</w:t>
            </w:r>
            <w:r>
              <w:rPr>
                <w:rFonts w:ascii="Calibri" w:hAnsi="Calibri" w:eastAsia="宋体" w:cs="Times New Roman"/>
                <w:kern w:val="0"/>
                <w:sz w:val="18"/>
                <w:szCs w:val="18"/>
              </w:rPr>
              <w:t>1</w:t>
            </w:r>
            <w:r>
              <w:rPr>
                <w:rFonts w:hint="eastAsia" w:ascii="Calibri" w:hAnsi="Calibri" w:eastAsia="宋体" w:cs="Times New Roman"/>
                <w:kern w:val="0"/>
                <w:sz w:val="18"/>
                <w:szCs w:val="18"/>
              </w:rPr>
              <w:t>次：踢脚线、台阶、消防门、门窗、灯具、开关、消防设施等。</w:t>
            </w:r>
          </w:p>
          <w:p w14:paraId="6AAC8451">
            <w:pPr>
              <w:shd w:val="clear"/>
              <w:spacing w:after="156"/>
              <w:rPr>
                <w:rFonts w:ascii="Calibri" w:hAnsi="Calibri" w:eastAsia="宋体" w:cs="Times New Roman"/>
                <w:kern w:val="0"/>
                <w:sz w:val="18"/>
                <w:szCs w:val="18"/>
              </w:rPr>
            </w:pPr>
          </w:p>
        </w:tc>
        <w:tc>
          <w:tcPr>
            <w:tcW w:w="2461" w:type="dxa"/>
          </w:tcPr>
          <w:p w14:paraId="77E66CF7">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地面无水渍、无污渍，无垃圾，无积尘，光亮；墙面无灰尘、墙角无蜘蛛网；设施表面无积尘、无污渍、光亮；不锈钢表面无手印，无积尘，无污渍、光亮；玻璃上无手印，无积尘，无污渍。</w:t>
            </w:r>
          </w:p>
        </w:tc>
      </w:tr>
      <w:tr w14:paraId="4B0D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11BE1B9B">
            <w:pPr>
              <w:shd w:val="clear"/>
              <w:spacing w:after="156"/>
              <w:rPr>
                <w:rFonts w:ascii="Calibri" w:hAnsi="Calibri" w:eastAsia="宋体" w:cs="Times New Roman"/>
                <w:kern w:val="0"/>
                <w:sz w:val="18"/>
                <w:szCs w:val="18"/>
              </w:rPr>
            </w:pPr>
          </w:p>
          <w:p w14:paraId="1B1BB31D">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架空层</w:t>
            </w:r>
          </w:p>
        </w:tc>
        <w:tc>
          <w:tcPr>
            <w:tcW w:w="2430" w:type="dxa"/>
          </w:tcPr>
          <w:p w14:paraId="04B193C1">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地面、墙面、柱子、门窗、消防设施、开关、灯具等。</w:t>
            </w:r>
          </w:p>
        </w:tc>
        <w:tc>
          <w:tcPr>
            <w:tcW w:w="2235" w:type="dxa"/>
          </w:tcPr>
          <w:p w14:paraId="728C5AF0">
            <w:pPr>
              <w:shd w:val="clear"/>
              <w:spacing w:after="156"/>
              <w:rPr>
                <w:rFonts w:ascii="Calibri" w:hAnsi="Calibri" w:eastAsia="宋体" w:cs="Times New Roman"/>
                <w:kern w:val="0"/>
                <w:sz w:val="18"/>
                <w:szCs w:val="18"/>
              </w:rPr>
            </w:pPr>
            <w:r>
              <w:rPr>
                <w:rFonts w:ascii="Calibri" w:hAnsi="Calibri" w:eastAsia="宋体" w:cs="Times New Roman"/>
                <w:kern w:val="0"/>
                <w:sz w:val="18"/>
                <w:szCs w:val="18"/>
              </w:rPr>
              <w:t>7</w:t>
            </w:r>
            <w:r>
              <w:rPr>
                <w:rFonts w:hint="eastAsia" w:ascii="Calibri" w:hAnsi="Calibri" w:eastAsia="宋体" w:cs="Times New Roman"/>
                <w:kern w:val="0"/>
                <w:sz w:val="18"/>
                <w:szCs w:val="18"/>
              </w:rPr>
              <w:t>天至少进行一次全面保洁清理，日常开展巡查保洁。</w:t>
            </w:r>
          </w:p>
        </w:tc>
        <w:tc>
          <w:tcPr>
            <w:tcW w:w="2461" w:type="dxa"/>
          </w:tcPr>
          <w:p w14:paraId="7DC07FF7">
            <w:pPr>
              <w:shd w:val="clear"/>
              <w:spacing w:after="156"/>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rPr>
              <w:t>地面无水渍、无污渍，无垃圾，无积尘，光亮；墙面无灰尘、墙角无蜘蛛网；设施表面无积尘、无污渍、光亮无积尘，无污渍、光亮</w:t>
            </w:r>
            <w:r>
              <w:rPr>
                <w:rFonts w:hint="eastAsia" w:ascii="Calibri" w:hAnsi="Calibri" w:eastAsia="宋体" w:cs="Times New Roman"/>
                <w:kern w:val="0"/>
                <w:sz w:val="18"/>
                <w:szCs w:val="18"/>
                <w:lang w:eastAsia="zh-CN"/>
              </w:rPr>
              <w:t>。</w:t>
            </w:r>
          </w:p>
        </w:tc>
      </w:tr>
      <w:tr w14:paraId="4DCE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4A52C1D9">
            <w:pPr>
              <w:shd w:val="clear"/>
              <w:spacing w:after="156"/>
              <w:rPr>
                <w:rFonts w:ascii="Calibri" w:hAnsi="Calibri" w:eastAsia="宋体" w:cs="Times New Roman"/>
                <w:kern w:val="0"/>
                <w:sz w:val="18"/>
                <w:szCs w:val="18"/>
              </w:rPr>
            </w:pPr>
          </w:p>
          <w:p w14:paraId="1BE7CEC1">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公共卫生间</w:t>
            </w:r>
          </w:p>
        </w:tc>
        <w:tc>
          <w:tcPr>
            <w:tcW w:w="2430" w:type="dxa"/>
          </w:tcPr>
          <w:p w14:paraId="6CC6A2ED">
            <w:pPr>
              <w:shd w:val="clear"/>
              <w:spacing w:after="156"/>
              <w:jc w:val="left"/>
              <w:rPr>
                <w:rFonts w:ascii="Calibri" w:hAnsi="Calibri" w:eastAsia="宋体" w:cs="Times New Roman"/>
                <w:kern w:val="0"/>
                <w:sz w:val="18"/>
                <w:szCs w:val="18"/>
              </w:rPr>
            </w:pPr>
            <w:r>
              <w:rPr>
                <w:rFonts w:hint="eastAsia" w:ascii="Calibri" w:hAnsi="Calibri" w:eastAsia="宋体" w:cs="Times New Roman"/>
                <w:kern w:val="0"/>
                <w:sz w:val="18"/>
                <w:szCs w:val="18"/>
              </w:rPr>
              <w:t>地面、墙面、踢脚线、大小便器、垃圾篓、洗手盆、台面、镜子、门窗玻璃、窗台等。</w:t>
            </w:r>
          </w:p>
        </w:tc>
        <w:tc>
          <w:tcPr>
            <w:tcW w:w="2235" w:type="dxa"/>
          </w:tcPr>
          <w:p w14:paraId="48EF27FC">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每天</w:t>
            </w:r>
            <w:r>
              <w:rPr>
                <w:rFonts w:ascii="Calibri" w:hAnsi="Calibri" w:eastAsia="宋体" w:cs="Times New Roman"/>
                <w:kern w:val="0"/>
                <w:sz w:val="18"/>
                <w:szCs w:val="18"/>
              </w:rPr>
              <w:t xml:space="preserve"> 2</w:t>
            </w:r>
            <w:r>
              <w:rPr>
                <w:rFonts w:hint="eastAsia" w:ascii="Calibri" w:hAnsi="Calibri" w:eastAsia="宋体" w:cs="Times New Roman"/>
                <w:kern w:val="0"/>
                <w:sz w:val="18"/>
                <w:szCs w:val="18"/>
              </w:rPr>
              <w:t>次对卫生间全面保洁，且每日巡回保洁；窗玻璃门窗玻璃每周保洁</w:t>
            </w:r>
            <w:r>
              <w:rPr>
                <w:rFonts w:ascii="Calibri" w:hAnsi="Calibri" w:eastAsia="宋体" w:cs="Times New Roman"/>
                <w:kern w:val="0"/>
                <w:sz w:val="18"/>
                <w:szCs w:val="18"/>
              </w:rPr>
              <w:t xml:space="preserve"> 1</w:t>
            </w:r>
            <w:r>
              <w:rPr>
                <w:rFonts w:hint="eastAsia" w:ascii="Calibri" w:hAnsi="Calibri" w:eastAsia="宋体" w:cs="Times New Roman"/>
                <w:kern w:val="0"/>
                <w:sz w:val="18"/>
                <w:szCs w:val="18"/>
              </w:rPr>
              <w:t>次；窗台每天一次。每周对便池深度清理一次。</w:t>
            </w:r>
          </w:p>
        </w:tc>
        <w:tc>
          <w:tcPr>
            <w:tcW w:w="2461" w:type="dxa"/>
          </w:tcPr>
          <w:p w14:paraId="0C52DB1F">
            <w:pPr>
              <w:shd w:val="clear"/>
              <w:spacing w:after="156"/>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rPr>
              <w:t>卫生间无异味、厕坑便具洁净无黄渍、镜面、水盆、台面无污点，光亮；纸篓随时清理；墙面无积尘、蜘蛛网，光亮；地面无水渍、无垃圾</w:t>
            </w:r>
            <w:r>
              <w:rPr>
                <w:rFonts w:hint="eastAsia" w:ascii="Calibri" w:hAnsi="Calibri" w:eastAsia="宋体" w:cs="Times New Roman"/>
                <w:kern w:val="0"/>
                <w:sz w:val="18"/>
                <w:szCs w:val="18"/>
                <w:lang w:eastAsia="zh-CN"/>
              </w:rPr>
              <w:t>。</w:t>
            </w:r>
          </w:p>
        </w:tc>
      </w:tr>
      <w:tr w14:paraId="5F03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536DF2C4">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楼顶等开放区域</w:t>
            </w:r>
          </w:p>
        </w:tc>
        <w:tc>
          <w:tcPr>
            <w:tcW w:w="2430" w:type="dxa"/>
          </w:tcPr>
          <w:p w14:paraId="2F10D278">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楼顶地面、排水口、连廊、平台护栏等</w:t>
            </w:r>
          </w:p>
        </w:tc>
        <w:tc>
          <w:tcPr>
            <w:tcW w:w="2235" w:type="dxa"/>
          </w:tcPr>
          <w:p w14:paraId="79BB23E7">
            <w:pPr>
              <w:shd w:val="clear"/>
              <w:spacing w:after="156"/>
              <w:rPr>
                <w:rFonts w:ascii="Calibri" w:hAnsi="Calibri" w:eastAsia="宋体" w:cs="Times New Roman"/>
                <w:kern w:val="0"/>
                <w:sz w:val="18"/>
                <w:szCs w:val="18"/>
              </w:rPr>
            </w:pPr>
            <w:r>
              <w:rPr>
                <w:rFonts w:ascii="Calibri" w:hAnsi="Calibri" w:eastAsia="宋体" w:cs="Times New Roman"/>
                <w:kern w:val="0"/>
                <w:sz w:val="18"/>
                <w:szCs w:val="18"/>
              </w:rPr>
              <w:t>15</w:t>
            </w:r>
            <w:r>
              <w:rPr>
                <w:rFonts w:hint="eastAsia" w:ascii="Calibri" w:hAnsi="Calibri" w:eastAsia="宋体" w:cs="Times New Roman"/>
                <w:kern w:val="0"/>
                <w:sz w:val="18"/>
                <w:szCs w:val="18"/>
              </w:rPr>
              <w:t>天至少进行一次全面保洁清理，日常开展巡查保洁。</w:t>
            </w:r>
          </w:p>
        </w:tc>
        <w:tc>
          <w:tcPr>
            <w:tcW w:w="2461" w:type="dxa"/>
          </w:tcPr>
          <w:p w14:paraId="45294416">
            <w:pPr>
              <w:shd w:val="clear"/>
              <w:spacing w:after="156"/>
              <w:rPr>
                <w:rFonts w:ascii="Calibri" w:hAnsi="Calibri" w:eastAsia="宋体" w:cs="Times New Roman"/>
                <w:kern w:val="0"/>
                <w:sz w:val="18"/>
                <w:szCs w:val="18"/>
              </w:rPr>
            </w:pPr>
            <w:r>
              <w:rPr>
                <w:rFonts w:hint="eastAsia" w:ascii="Calibri" w:hAnsi="Calibri" w:eastAsia="宋体" w:cs="Times New Roman"/>
                <w:kern w:val="0"/>
                <w:sz w:val="18"/>
                <w:szCs w:val="18"/>
              </w:rPr>
              <w:t>地面无水渍、无污渍，无垃圾，无积尘，排水口周围保持通畅。</w:t>
            </w:r>
          </w:p>
        </w:tc>
      </w:tr>
    </w:tbl>
    <w:p w14:paraId="5C2C0782">
      <w:pPr>
        <w:shd w:val="clear"/>
        <w:rPr>
          <w:rFonts w:ascii="Calibri" w:hAnsi="Calibri" w:eastAsia="宋体" w:cs="Times New Roman"/>
          <w:color w:val="FF0000"/>
        </w:rPr>
      </w:pPr>
    </w:p>
    <w:p w14:paraId="12F0EEEE">
      <w:pPr>
        <w:shd w:val="clear"/>
        <w:rPr>
          <w:rFonts w:ascii="Calibri" w:hAnsi="Calibri" w:eastAsia="宋体" w:cs="Times New Roman"/>
          <w:color w:val="FF0000"/>
        </w:rPr>
      </w:pPr>
    </w:p>
    <w:p w14:paraId="6736E059">
      <w:pPr>
        <w:shd w:val="clear"/>
        <w:ind w:firstLine="482"/>
        <w:rPr>
          <w:rFonts w:ascii="Calibri" w:hAnsi="Calibri" w:eastAsia="宋体" w:cs="Times New Roman"/>
          <w:b/>
        </w:rPr>
      </w:pPr>
      <w:bookmarkStart w:id="41" w:name="_Toc90475280"/>
      <w:r>
        <w:rPr>
          <w:rFonts w:hint="eastAsia" w:ascii="Calibri" w:hAnsi="Calibri" w:eastAsia="宋体" w:cs="Times New Roman"/>
          <w:b/>
        </w:rPr>
        <w:t>1.2.3外围（公共建筑场所外）等保洁要求</w:t>
      </w:r>
      <w:bookmarkEnd w:id="41"/>
    </w:p>
    <w:p w14:paraId="46DA0D30">
      <w:pPr>
        <w:shd w:val="clear"/>
        <w:ind w:firstLine="480"/>
        <w:rPr>
          <w:rFonts w:hint="eastAsia" w:ascii="Calibri" w:hAnsi="Calibri" w:eastAsia="宋体" w:cs="Times New Roman"/>
          <w:lang w:eastAsia="zh-CN"/>
        </w:rPr>
      </w:pPr>
      <w:r>
        <w:rPr>
          <w:rFonts w:hint="eastAsia" w:ascii="Calibri" w:hAnsi="Calibri" w:eastAsia="宋体" w:cs="Times New Roman"/>
        </w:rPr>
        <w:t>保洁范围：公共建筑场所外（道路、绿化带、果壳箱、各类宣传栏橱窗及指示牌、路灯柱、景观椅、排球场、篮球场、足球场、网球场、晾晒区、地下车库出入口的石材墙面及不锈钢栏杆、校区内雕塑像等）、各学院门头专项清洁</w:t>
      </w:r>
      <w:r>
        <w:rPr>
          <w:rFonts w:hint="eastAsia" w:ascii="Calibri" w:hAnsi="Calibri" w:eastAsia="宋体" w:cs="Times New Roman"/>
          <w:lang w:eastAsia="zh-CN"/>
        </w:rPr>
        <w:t>。</w:t>
      </w:r>
      <w:r>
        <w:rPr>
          <w:rFonts w:hint="eastAsia" w:ascii="Calibri" w:hAnsi="Calibri" w:eastAsia="宋体" w:cs="Times New Roman"/>
        </w:rPr>
        <w:t>在合同期内提供一次外墙清洗服务（除8、9号楼外所有楼宇、玻璃雨棚以及门头，不含真石漆墙面）</w:t>
      </w:r>
      <w:r>
        <w:rPr>
          <w:rFonts w:hint="eastAsia" w:ascii="Calibri" w:hAnsi="Calibri" w:eastAsia="宋体" w:cs="Times New Roman"/>
          <w:lang w:eastAsia="zh-CN"/>
        </w:rPr>
        <w:t>。</w:t>
      </w:r>
    </w:p>
    <w:p w14:paraId="180F9D2A">
      <w:pPr>
        <w:shd w:val="clear"/>
        <w:ind w:firstLine="480"/>
        <w:rPr>
          <w:rFonts w:ascii="Calibri" w:hAnsi="Calibri" w:eastAsia="宋体" w:cs="Times New Roman"/>
        </w:rPr>
      </w:pPr>
      <w:r>
        <w:rPr>
          <w:rFonts w:hint="eastAsia" w:ascii="Calibri" w:hAnsi="Calibri" w:eastAsia="宋体" w:cs="Times New Roman"/>
        </w:rPr>
        <w:t>保洁要求：</w:t>
      </w:r>
    </w:p>
    <w:p w14:paraId="32E29792">
      <w:pPr>
        <w:shd w:val="clear"/>
        <w:ind w:firstLine="480"/>
        <w:rPr>
          <w:rFonts w:ascii="Calibri" w:hAnsi="Calibri" w:eastAsia="宋体" w:cs="Times New Roman"/>
        </w:rPr>
      </w:pPr>
      <w:r>
        <w:rPr>
          <w:rFonts w:hint="eastAsia" w:ascii="Calibri" w:hAnsi="Calibri" w:eastAsia="宋体" w:cs="Times New Roman"/>
        </w:rPr>
        <w:t>（1）上午08：00之前主要道路保洁清扫完毕，其他道路保证每天清洁一次，所有道路全天巡回保洁至16：30。</w:t>
      </w:r>
    </w:p>
    <w:p w14:paraId="228196E1">
      <w:pPr>
        <w:shd w:val="clear"/>
        <w:ind w:firstLine="480"/>
        <w:rPr>
          <w:rFonts w:ascii="Calibri" w:hAnsi="Calibri" w:eastAsia="宋体" w:cs="Times New Roman"/>
        </w:rPr>
      </w:pPr>
      <w:r>
        <w:rPr>
          <w:rFonts w:hint="eastAsia" w:ascii="Calibri" w:hAnsi="Calibri" w:eastAsia="宋体" w:cs="Times New Roman"/>
        </w:rPr>
        <w:t>（2）生活垃圾必须放入指定垃圾房内，枯枝落叶等植物垃圾倒入指定堆放区。做好垃圾房及周边的卫生保洁，不允许有零散垃圾散落在垃圾房及周边范围，每天垃圾清运车清运垃圾完成后及时做好垃圾桶的归位及周边清扫工作。</w:t>
      </w:r>
    </w:p>
    <w:p w14:paraId="2F0F4CF1">
      <w:pPr>
        <w:shd w:val="clear"/>
        <w:ind w:firstLine="480"/>
        <w:rPr>
          <w:rFonts w:ascii="Calibri" w:hAnsi="Calibri" w:eastAsia="宋体" w:cs="Times New Roman"/>
        </w:rPr>
      </w:pPr>
      <w:r>
        <w:rPr>
          <w:rFonts w:hint="eastAsia" w:ascii="Calibri" w:hAnsi="Calibri" w:eastAsia="宋体" w:cs="Times New Roman"/>
        </w:rPr>
        <w:t>（3）发现保洁范围内的公共设施有损坏的（如石材、草坪灯、卫生间门窗、自来水阀、各类宣传栏橱窗及指示牌等）应及时报修。</w:t>
      </w:r>
    </w:p>
    <w:p w14:paraId="5F4483CD">
      <w:pPr>
        <w:shd w:val="clear"/>
        <w:ind w:firstLine="480"/>
        <w:rPr>
          <w:rFonts w:ascii="Calibri" w:hAnsi="Calibri" w:eastAsia="宋体" w:cs="Times New Roman"/>
        </w:rPr>
      </w:pPr>
      <w:r>
        <w:rPr>
          <w:rFonts w:hint="eastAsia" w:ascii="Calibri" w:hAnsi="Calibri" w:eastAsia="宋体" w:cs="Times New Roman"/>
        </w:rPr>
        <w:t>（4）做好校园内无主物品的清理，及时清运到各区指定位置。</w:t>
      </w:r>
    </w:p>
    <w:p w14:paraId="01020D3E">
      <w:pPr>
        <w:shd w:val="clear"/>
        <w:ind w:firstLine="480"/>
        <w:rPr>
          <w:rFonts w:hint="eastAsia" w:ascii="Calibri" w:hAnsi="Calibri" w:eastAsia="宋体" w:cs="Times New Roman"/>
        </w:rPr>
      </w:pPr>
      <w:r>
        <w:rPr>
          <w:rFonts w:hint="eastAsia" w:ascii="Calibri" w:hAnsi="Calibri" w:eastAsia="宋体" w:cs="Times New Roman"/>
        </w:rPr>
        <w:t>（5）做好保洁员垃圾分类知识培训，并引导学生做好垃圾分类工作。</w:t>
      </w:r>
    </w:p>
    <w:p w14:paraId="2BA6809E">
      <w:pPr>
        <w:shd w:val="clear"/>
        <w:ind w:firstLine="482"/>
        <w:jc w:val="center"/>
        <w:rPr>
          <w:rFonts w:hint="eastAsia" w:ascii="宋体" w:hAnsi="宋体" w:eastAsia="宋体" w:cs="Times New Roman"/>
          <w:b/>
          <w:bCs/>
          <w:szCs w:val="24"/>
        </w:rPr>
      </w:pPr>
      <w:r>
        <w:rPr>
          <w:rFonts w:hint="eastAsia" w:ascii="宋体" w:hAnsi="宋体" w:eastAsia="宋体" w:cs="Times New Roman"/>
          <w:b/>
          <w:bCs/>
          <w:szCs w:val="24"/>
        </w:rPr>
        <w:t>表3外围保洁详细服务标准</w:t>
      </w:r>
    </w:p>
    <w:tbl>
      <w:tblPr>
        <w:tblStyle w:val="6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2EC1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5EE911D">
            <w:pPr>
              <w:shd w:val="clear"/>
              <w:jc w:val="center"/>
              <w:rPr>
                <w:rFonts w:ascii="宋体" w:hAnsi="宋体" w:eastAsia="宋体" w:cs="宋体"/>
                <w:sz w:val="18"/>
                <w:szCs w:val="18"/>
              </w:rPr>
            </w:pPr>
            <w:r>
              <w:rPr>
                <w:rFonts w:hint="eastAsia" w:ascii="宋体" w:hAnsi="宋体" w:eastAsia="宋体" w:cs="宋体"/>
                <w:sz w:val="18"/>
                <w:szCs w:val="18"/>
              </w:rPr>
              <w:t>项目</w:t>
            </w:r>
          </w:p>
        </w:tc>
        <w:tc>
          <w:tcPr>
            <w:tcW w:w="2130" w:type="dxa"/>
          </w:tcPr>
          <w:p w14:paraId="7A7B02A2">
            <w:pPr>
              <w:shd w:val="clear"/>
              <w:jc w:val="center"/>
              <w:rPr>
                <w:rFonts w:ascii="宋体" w:hAnsi="宋体" w:eastAsia="宋体" w:cs="宋体"/>
                <w:sz w:val="18"/>
                <w:szCs w:val="18"/>
              </w:rPr>
            </w:pPr>
            <w:r>
              <w:rPr>
                <w:rFonts w:hint="eastAsia" w:ascii="宋体" w:hAnsi="宋体" w:eastAsia="宋体" w:cs="宋体"/>
                <w:sz w:val="18"/>
                <w:szCs w:val="18"/>
              </w:rPr>
              <w:t>保洁范围</w:t>
            </w:r>
          </w:p>
        </w:tc>
        <w:tc>
          <w:tcPr>
            <w:tcW w:w="2131" w:type="dxa"/>
          </w:tcPr>
          <w:p w14:paraId="65F9B7E8">
            <w:pPr>
              <w:shd w:val="clear"/>
              <w:jc w:val="center"/>
              <w:rPr>
                <w:rFonts w:ascii="宋体" w:hAnsi="宋体" w:eastAsia="宋体" w:cs="宋体"/>
                <w:sz w:val="18"/>
                <w:szCs w:val="18"/>
              </w:rPr>
            </w:pPr>
            <w:r>
              <w:rPr>
                <w:rFonts w:hint="eastAsia" w:ascii="宋体" w:hAnsi="宋体" w:eastAsia="宋体" w:cs="宋体"/>
                <w:sz w:val="18"/>
                <w:szCs w:val="18"/>
              </w:rPr>
              <w:t>作业要求</w:t>
            </w:r>
          </w:p>
        </w:tc>
        <w:tc>
          <w:tcPr>
            <w:tcW w:w="2131" w:type="dxa"/>
          </w:tcPr>
          <w:p w14:paraId="650E67E2">
            <w:pPr>
              <w:shd w:val="clear"/>
              <w:jc w:val="center"/>
              <w:rPr>
                <w:rFonts w:ascii="宋体" w:hAnsi="宋体" w:eastAsia="宋体" w:cs="宋体"/>
                <w:sz w:val="18"/>
                <w:szCs w:val="18"/>
              </w:rPr>
            </w:pPr>
            <w:r>
              <w:rPr>
                <w:rFonts w:hint="eastAsia" w:ascii="宋体" w:hAnsi="宋体" w:eastAsia="宋体" w:cs="宋体"/>
                <w:sz w:val="18"/>
                <w:szCs w:val="18"/>
              </w:rPr>
              <w:t>质量标准</w:t>
            </w:r>
          </w:p>
        </w:tc>
      </w:tr>
      <w:tr w14:paraId="07F0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3402548">
            <w:pPr>
              <w:shd w:val="clear"/>
              <w:rPr>
                <w:rFonts w:ascii="宋体" w:hAnsi="宋体" w:eastAsia="宋体" w:cs="宋体"/>
                <w:sz w:val="18"/>
                <w:szCs w:val="18"/>
              </w:rPr>
            </w:pPr>
            <w:r>
              <w:rPr>
                <w:rFonts w:hint="eastAsia" w:ascii="宋体" w:hAnsi="宋体" w:eastAsia="宋体" w:cs="宋体"/>
                <w:sz w:val="18"/>
                <w:szCs w:val="18"/>
              </w:rPr>
              <w:t>园区道路</w:t>
            </w:r>
          </w:p>
        </w:tc>
        <w:tc>
          <w:tcPr>
            <w:tcW w:w="2130" w:type="dxa"/>
          </w:tcPr>
          <w:p w14:paraId="4A9E9819">
            <w:pPr>
              <w:shd w:val="clear"/>
              <w:rPr>
                <w:rFonts w:ascii="宋体" w:hAnsi="宋体" w:eastAsia="宋体" w:cs="宋体"/>
                <w:sz w:val="18"/>
                <w:szCs w:val="18"/>
              </w:rPr>
            </w:pPr>
            <w:r>
              <w:rPr>
                <w:rFonts w:hint="eastAsia" w:ascii="宋体" w:hAnsi="宋体" w:eastAsia="宋体" w:cs="宋体"/>
                <w:sz w:val="18"/>
                <w:szCs w:val="18"/>
              </w:rPr>
              <w:t>地面、路牙、非机动车车棚地面、充电桩设备表面、地射灯、灯柱、交通设施（园区铁马、石球、反光镜等）、标识牌、高杆灯</w:t>
            </w:r>
          </w:p>
        </w:tc>
        <w:tc>
          <w:tcPr>
            <w:tcW w:w="2131" w:type="dxa"/>
          </w:tcPr>
          <w:p w14:paraId="4D4C54EF">
            <w:pPr>
              <w:shd w:val="clear"/>
              <w:rPr>
                <w:rFonts w:ascii="宋体" w:hAnsi="宋体" w:eastAsia="宋体" w:cs="宋体"/>
                <w:sz w:val="18"/>
                <w:szCs w:val="18"/>
              </w:rPr>
            </w:pPr>
            <w:r>
              <w:rPr>
                <w:rFonts w:hint="eastAsia" w:ascii="宋体" w:hAnsi="宋体" w:eastAsia="宋体" w:cs="宋体"/>
                <w:sz w:val="18"/>
                <w:szCs w:val="18"/>
              </w:rPr>
              <w:t>地面、路牙、非机动车车棚地面、每天清洁1次；充电桩设备表面、地射灯、灯柱、交通设施（园区铁马、石球、反光镜等）、标识牌每周1次；主干道路面每月冲洗1次；高杆灯每月除尘1次；其他道路地面每季度冲洗1次</w:t>
            </w:r>
          </w:p>
        </w:tc>
        <w:tc>
          <w:tcPr>
            <w:tcW w:w="2131" w:type="dxa"/>
          </w:tcPr>
          <w:p w14:paraId="11EF665D">
            <w:pPr>
              <w:shd w:val="clear"/>
              <w:rPr>
                <w:rFonts w:ascii="宋体" w:hAnsi="宋体" w:eastAsia="宋体" w:cs="宋体"/>
                <w:sz w:val="18"/>
                <w:szCs w:val="18"/>
              </w:rPr>
            </w:pPr>
            <w:r>
              <w:rPr>
                <w:rFonts w:hint="eastAsia" w:ascii="宋体" w:hAnsi="宋体" w:eastAsia="宋体" w:cs="宋体"/>
                <w:sz w:val="18"/>
                <w:szCs w:val="18"/>
              </w:rPr>
              <w:t>路面整齐、干净、无垃圾、无沙土、无纸屑、无积水、无青苔</w:t>
            </w:r>
          </w:p>
        </w:tc>
      </w:tr>
      <w:tr w14:paraId="7D5A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15C51CE">
            <w:pPr>
              <w:shd w:val="clear"/>
              <w:rPr>
                <w:rFonts w:ascii="宋体" w:hAnsi="宋体" w:eastAsia="宋体" w:cs="宋体"/>
                <w:sz w:val="18"/>
                <w:szCs w:val="18"/>
              </w:rPr>
            </w:pPr>
            <w:r>
              <w:rPr>
                <w:rFonts w:hint="eastAsia" w:ascii="宋体" w:hAnsi="宋体" w:eastAsia="宋体" w:cs="宋体"/>
                <w:sz w:val="18"/>
                <w:szCs w:val="18"/>
              </w:rPr>
              <w:t>绿化带</w:t>
            </w:r>
          </w:p>
        </w:tc>
        <w:tc>
          <w:tcPr>
            <w:tcW w:w="2130" w:type="dxa"/>
          </w:tcPr>
          <w:p w14:paraId="2BBDAA71">
            <w:pPr>
              <w:shd w:val="clear"/>
              <w:rPr>
                <w:rFonts w:ascii="宋体" w:hAnsi="宋体" w:eastAsia="宋体" w:cs="宋体"/>
                <w:sz w:val="18"/>
                <w:szCs w:val="18"/>
              </w:rPr>
            </w:pPr>
            <w:r>
              <w:rPr>
                <w:rFonts w:hint="eastAsia" w:ascii="宋体" w:hAnsi="宋体" w:eastAsia="宋体" w:cs="宋体"/>
                <w:sz w:val="18"/>
                <w:szCs w:val="18"/>
              </w:rPr>
              <w:t>绿化带</w:t>
            </w:r>
          </w:p>
        </w:tc>
        <w:tc>
          <w:tcPr>
            <w:tcW w:w="2131" w:type="dxa"/>
          </w:tcPr>
          <w:p w14:paraId="1C83F51A">
            <w:pPr>
              <w:shd w:val="clear"/>
              <w:rPr>
                <w:rFonts w:ascii="宋体" w:hAnsi="宋体" w:eastAsia="宋体" w:cs="宋体"/>
                <w:sz w:val="18"/>
                <w:szCs w:val="18"/>
              </w:rPr>
            </w:pPr>
            <w:r>
              <w:rPr>
                <w:rFonts w:hint="eastAsia" w:ascii="宋体" w:hAnsi="宋体" w:eastAsia="宋体" w:cs="宋体"/>
                <w:sz w:val="18"/>
                <w:szCs w:val="18"/>
              </w:rPr>
              <w:t>捡拾清理垃圾每日循环</w:t>
            </w:r>
          </w:p>
        </w:tc>
        <w:tc>
          <w:tcPr>
            <w:tcW w:w="2131" w:type="dxa"/>
          </w:tcPr>
          <w:p w14:paraId="2F84F7DE">
            <w:pPr>
              <w:shd w:val="clear"/>
              <w:rPr>
                <w:rFonts w:ascii="宋体" w:hAnsi="宋体" w:eastAsia="宋体" w:cs="宋体"/>
                <w:sz w:val="18"/>
                <w:szCs w:val="18"/>
              </w:rPr>
            </w:pPr>
            <w:r>
              <w:rPr>
                <w:rFonts w:hint="eastAsia" w:ascii="宋体" w:hAnsi="宋体" w:eastAsia="宋体" w:cs="宋体"/>
                <w:sz w:val="18"/>
                <w:szCs w:val="18"/>
              </w:rPr>
              <w:t>无垃圾、无杂物、无积尘、无积水、无异味</w:t>
            </w:r>
          </w:p>
        </w:tc>
      </w:tr>
      <w:tr w14:paraId="1ABA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BF66857">
            <w:pPr>
              <w:shd w:val="clear"/>
              <w:rPr>
                <w:rFonts w:ascii="宋体" w:hAnsi="宋体" w:eastAsia="宋体" w:cs="宋体"/>
                <w:sz w:val="18"/>
                <w:szCs w:val="18"/>
              </w:rPr>
            </w:pPr>
            <w:r>
              <w:rPr>
                <w:rFonts w:hint="eastAsia" w:ascii="宋体" w:hAnsi="宋体" w:eastAsia="宋体" w:cs="宋体"/>
                <w:sz w:val="18"/>
                <w:szCs w:val="18"/>
              </w:rPr>
              <w:t>景观水系</w:t>
            </w:r>
          </w:p>
        </w:tc>
        <w:tc>
          <w:tcPr>
            <w:tcW w:w="2130" w:type="dxa"/>
          </w:tcPr>
          <w:p w14:paraId="549243E9">
            <w:pPr>
              <w:shd w:val="clear"/>
              <w:rPr>
                <w:rFonts w:ascii="宋体" w:hAnsi="宋体" w:eastAsia="宋体" w:cs="宋体"/>
                <w:sz w:val="18"/>
                <w:szCs w:val="18"/>
              </w:rPr>
            </w:pPr>
            <w:r>
              <w:rPr>
                <w:rFonts w:hint="eastAsia" w:ascii="宋体" w:hAnsi="宋体" w:eastAsia="宋体" w:cs="宋体"/>
                <w:sz w:val="18"/>
                <w:szCs w:val="18"/>
              </w:rPr>
              <w:t>湖面、池面、周边照明设施、隔离设施及警示标示等</w:t>
            </w:r>
          </w:p>
        </w:tc>
        <w:tc>
          <w:tcPr>
            <w:tcW w:w="2131" w:type="dxa"/>
          </w:tcPr>
          <w:p w14:paraId="3F0D108D">
            <w:pPr>
              <w:shd w:val="clear"/>
              <w:rPr>
                <w:rFonts w:ascii="宋体" w:hAnsi="宋体" w:eastAsia="宋体" w:cs="宋体"/>
                <w:sz w:val="18"/>
                <w:szCs w:val="18"/>
              </w:rPr>
            </w:pPr>
            <w:r>
              <w:rPr>
                <w:rFonts w:hint="eastAsia" w:ascii="宋体" w:hAnsi="宋体" w:eastAsia="宋体" w:cs="宋体"/>
                <w:sz w:val="18"/>
                <w:szCs w:val="18"/>
              </w:rPr>
              <w:t>打捞湖面、水池漂浮物每日1次；清理明显垃圾、杂物每日循环；周边照明设施、隔离设施及警示标示等每周擦拭1次；景观水池每月清洗1次</w:t>
            </w:r>
          </w:p>
        </w:tc>
        <w:tc>
          <w:tcPr>
            <w:tcW w:w="2131" w:type="dxa"/>
          </w:tcPr>
          <w:p w14:paraId="3B0C9AA0">
            <w:pPr>
              <w:shd w:val="clear"/>
              <w:rPr>
                <w:rFonts w:ascii="宋体" w:hAnsi="宋体" w:eastAsia="宋体" w:cs="宋体"/>
                <w:sz w:val="18"/>
                <w:szCs w:val="18"/>
              </w:rPr>
            </w:pPr>
            <w:r>
              <w:rPr>
                <w:rFonts w:hint="eastAsia" w:ascii="宋体" w:hAnsi="宋体" w:eastAsia="宋体" w:cs="宋体"/>
                <w:sz w:val="18"/>
                <w:szCs w:val="18"/>
              </w:rPr>
              <w:t>景观水系（水池）保持蓄水、水质清澈无杂物，水面无有色漂浮物、无异味、无青苔</w:t>
            </w:r>
          </w:p>
        </w:tc>
      </w:tr>
      <w:tr w14:paraId="2FDE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844EC5F">
            <w:pPr>
              <w:shd w:val="clear"/>
              <w:rPr>
                <w:rFonts w:ascii="宋体" w:hAnsi="宋体" w:eastAsia="宋体" w:cs="宋体"/>
                <w:sz w:val="18"/>
                <w:szCs w:val="18"/>
              </w:rPr>
            </w:pPr>
            <w:r>
              <w:rPr>
                <w:rFonts w:hint="eastAsia" w:ascii="宋体" w:hAnsi="宋体" w:eastAsia="宋体" w:cs="宋体"/>
                <w:sz w:val="18"/>
                <w:szCs w:val="18"/>
              </w:rPr>
              <w:t>休闲设施</w:t>
            </w:r>
          </w:p>
        </w:tc>
        <w:tc>
          <w:tcPr>
            <w:tcW w:w="2130" w:type="dxa"/>
          </w:tcPr>
          <w:p w14:paraId="61B93FD0">
            <w:pPr>
              <w:shd w:val="clear"/>
              <w:rPr>
                <w:rFonts w:ascii="宋体" w:hAnsi="宋体" w:eastAsia="宋体" w:cs="宋体"/>
                <w:sz w:val="18"/>
                <w:szCs w:val="18"/>
              </w:rPr>
            </w:pPr>
            <w:r>
              <w:rPr>
                <w:rFonts w:hint="eastAsia" w:ascii="宋体" w:hAnsi="宋体" w:eastAsia="宋体" w:cs="宋体"/>
                <w:sz w:val="18"/>
                <w:szCs w:val="18"/>
              </w:rPr>
              <w:t>设施、座椅、凉亭、地面</w:t>
            </w:r>
          </w:p>
        </w:tc>
        <w:tc>
          <w:tcPr>
            <w:tcW w:w="2131" w:type="dxa"/>
          </w:tcPr>
          <w:p w14:paraId="512A4B57">
            <w:pPr>
              <w:shd w:val="clear"/>
              <w:rPr>
                <w:rFonts w:ascii="宋体" w:hAnsi="宋体" w:eastAsia="宋体" w:cs="宋体"/>
                <w:sz w:val="18"/>
                <w:szCs w:val="18"/>
              </w:rPr>
            </w:pPr>
            <w:r>
              <w:rPr>
                <w:rFonts w:hint="eastAsia" w:ascii="宋体" w:hAnsi="宋体" w:eastAsia="宋体" w:cs="宋体"/>
                <w:sz w:val="18"/>
                <w:szCs w:val="18"/>
              </w:rPr>
              <w:t>凉亭地面每日清洁1次；休闲设施、座椅每周清洁1次；地面冲洗每月1次；凉亭顶部清理每季度1次</w:t>
            </w:r>
          </w:p>
        </w:tc>
        <w:tc>
          <w:tcPr>
            <w:tcW w:w="2131" w:type="dxa"/>
          </w:tcPr>
          <w:p w14:paraId="448D9C91">
            <w:pPr>
              <w:shd w:val="clear"/>
              <w:rPr>
                <w:rFonts w:ascii="宋体" w:hAnsi="宋体" w:eastAsia="宋体" w:cs="宋体"/>
                <w:sz w:val="18"/>
                <w:szCs w:val="18"/>
              </w:rPr>
            </w:pPr>
            <w:r>
              <w:rPr>
                <w:rFonts w:hint="eastAsia" w:ascii="宋体" w:hAnsi="宋体" w:eastAsia="宋体" w:cs="宋体"/>
                <w:sz w:val="18"/>
                <w:szCs w:val="18"/>
              </w:rPr>
              <w:t>表面无积尘、无蛛网、无污渍、无乱贴乱画等现象</w:t>
            </w:r>
          </w:p>
        </w:tc>
      </w:tr>
      <w:tr w14:paraId="1823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14:paraId="03D25B80">
            <w:pPr>
              <w:shd w:val="clear"/>
              <w:rPr>
                <w:rFonts w:ascii="宋体" w:hAnsi="宋体" w:eastAsia="宋体" w:cs="宋体"/>
                <w:sz w:val="18"/>
                <w:szCs w:val="18"/>
              </w:rPr>
            </w:pPr>
            <w:r>
              <w:rPr>
                <w:rFonts w:hint="eastAsia" w:ascii="宋体" w:hAnsi="宋体" w:eastAsia="宋体" w:cs="宋体"/>
                <w:sz w:val="18"/>
                <w:szCs w:val="18"/>
              </w:rPr>
              <w:t>果壳箱</w:t>
            </w:r>
          </w:p>
        </w:tc>
        <w:tc>
          <w:tcPr>
            <w:tcW w:w="2130" w:type="dxa"/>
            <w:shd w:val="clear" w:color="auto" w:fill="auto"/>
          </w:tcPr>
          <w:p w14:paraId="416A65C2">
            <w:pPr>
              <w:shd w:val="clear"/>
              <w:rPr>
                <w:rFonts w:ascii="宋体" w:hAnsi="宋体" w:eastAsia="宋体" w:cs="宋体"/>
                <w:sz w:val="18"/>
                <w:szCs w:val="18"/>
              </w:rPr>
            </w:pPr>
            <w:r>
              <w:rPr>
                <w:rFonts w:hint="eastAsia" w:ascii="宋体" w:hAnsi="宋体" w:eastAsia="宋体" w:cs="宋体"/>
                <w:sz w:val="18"/>
                <w:szCs w:val="18"/>
              </w:rPr>
              <w:t>果壳箱</w:t>
            </w:r>
          </w:p>
        </w:tc>
        <w:tc>
          <w:tcPr>
            <w:tcW w:w="2131" w:type="dxa"/>
            <w:shd w:val="clear" w:color="auto" w:fill="auto"/>
          </w:tcPr>
          <w:p w14:paraId="4B4D3AC6">
            <w:pPr>
              <w:shd w:val="clear"/>
              <w:rPr>
                <w:rFonts w:ascii="宋体" w:hAnsi="宋体" w:eastAsia="宋体" w:cs="宋体"/>
                <w:sz w:val="18"/>
                <w:szCs w:val="18"/>
              </w:rPr>
            </w:pPr>
            <w:r>
              <w:rPr>
                <w:rFonts w:hint="eastAsia" w:ascii="宋体" w:hAnsi="宋体" w:eastAsia="宋体" w:cs="宋体"/>
                <w:sz w:val="18"/>
                <w:szCs w:val="18"/>
              </w:rPr>
              <w:t>室外垃圾桶擦拭、清洁每日1次，垃圾收集每日循环；消毒、冲洗每周1次</w:t>
            </w:r>
          </w:p>
        </w:tc>
        <w:tc>
          <w:tcPr>
            <w:tcW w:w="2131" w:type="dxa"/>
            <w:shd w:val="clear" w:color="auto" w:fill="auto"/>
          </w:tcPr>
          <w:p w14:paraId="38CCB014">
            <w:pPr>
              <w:shd w:val="clear"/>
              <w:rPr>
                <w:rFonts w:ascii="宋体" w:hAnsi="宋体" w:eastAsia="宋体" w:cs="宋体"/>
                <w:sz w:val="18"/>
                <w:szCs w:val="18"/>
              </w:rPr>
            </w:pPr>
            <w:r>
              <w:rPr>
                <w:rFonts w:hint="eastAsia" w:ascii="宋体" w:hAnsi="宋体" w:eastAsia="宋体" w:cs="宋体"/>
                <w:sz w:val="18"/>
                <w:szCs w:val="18"/>
              </w:rPr>
              <w:t>果壳箱外无散落溢出垃圾、无异味、无蚊虫</w:t>
            </w:r>
          </w:p>
        </w:tc>
      </w:tr>
      <w:tr w14:paraId="3B5B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2AEFD35">
            <w:pPr>
              <w:shd w:val="clear"/>
              <w:rPr>
                <w:rFonts w:ascii="宋体" w:hAnsi="宋体" w:eastAsia="宋体" w:cs="宋体"/>
                <w:sz w:val="18"/>
                <w:szCs w:val="18"/>
              </w:rPr>
            </w:pPr>
            <w:r>
              <w:rPr>
                <w:rFonts w:hint="eastAsia" w:ascii="宋体" w:hAnsi="宋体" w:eastAsia="宋体" w:cs="宋体"/>
                <w:sz w:val="18"/>
                <w:szCs w:val="18"/>
              </w:rPr>
              <w:t>垃圾房及收集站</w:t>
            </w:r>
          </w:p>
        </w:tc>
        <w:tc>
          <w:tcPr>
            <w:tcW w:w="2130" w:type="dxa"/>
          </w:tcPr>
          <w:p w14:paraId="2EE26E08">
            <w:pPr>
              <w:shd w:val="clear"/>
              <w:rPr>
                <w:rFonts w:ascii="宋体" w:hAnsi="宋体" w:eastAsia="宋体" w:cs="宋体"/>
                <w:sz w:val="18"/>
                <w:szCs w:val="18"/>
              </w:rPr>
            </w:pPr>
            <w:r>
              <w:rPr>
                <w:rFonts w:hint="eastAsia" w:ascii="宋体" w:hAnsi="宋体" w:eastAsia="宋体" w:cs="宋体"/>
                <w:sz w:val="18"/>
                <w:szCs w:val="18"/>
              </w:rPr>
              <w:t>垃圾房及收集站</w:t>
            </w:r>
          </w:p>
        </w:tc>
        <w:tc>
          <w:tcPr>
            <w:tcW w:w="2131" w:type="dxa"/>
          </w:tcPr>
          <w:p w14:paraId="3AEC7036">
            <w:pPr>
              <w:shd w:val="clear"/>
              <w:rPr>
                <w:rFonts w:ascii="宋体" w:hAnsi="宋体" w:eastAsia="宋体" w:cs="宋体"/>
                <w:sz w:val="18"/>
                <w:szCs w:val="18"/>
              </w:rPr>
            </w:pPr>
            <w:r>
              <w:rPr>
                <w:rFonts w:hint="eastAsia" w:ascii="宋体" w:hAnsi="宋体" w:eastAsia="宋体" w:cs="宋体"/>
                <w:sz w:val="18"/>
                <w:szCs w:val="18"/>
              </w:rPr>
              <w:t>消毒、冲洗每周1次</w:t>
            </w:r>
          </w:p>
        </w:tc>
        <w:tc>
          <w:tcPr>
            <w:tcW w:w="2131" w:type="dxa"/>
          </w:tcPr>
          <w:p w14:paraId="522021C2">
            <w:pPr>
              <w:shd w:val="clear"/>
              <w:rPr>
                <w:rFonts w:ascii="宋体" w:hAnsi="宋体" w:eastAsia="宋体" w:cs="宋体"/>
                <w:sz w:val="18"/>
                <w:szCs w:val="18"/>
              </w:rPr>
            </w:pPr>
            <w:r>
              <w:rPr>
                <w:rFonts w:hint="eastAsia" w:ascii="宋体" w:hAnsi="宋体" w:eastAsia="宋体" w:cs="宋体"/>
                <w:sz w:val="18"/>
                <w:szCs w:val="18"/>
              </w:rPr>
              <w:t>无遗撒、无异味、无蚊蝇、无污渍、分类摆放整齐</w:t>
            </w:r>
          </w:p>
        </w:tc>
      </w:tr>
      <w:tr w14:paraId="7772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7EBE19C">
            <w:pPr>
              <w:shd w:val="clear"/>
              <w:rPr>
                <w:rFonts w:ascii="宋体" w:hAnsi="宋体" w:eastAsia="宋体" w:cs="宋体"/>
                <w:sz w:val="18"/>
                <w:szCs w:val="18"/>
              </w:rPr>
            </w:pPr>
            <w:r>
              <w:rPr>
                <w:rFonts w:hint="eastAsia" w:ascii="宋体" w:hAnsi="宋体" w:eastAsia="宋体" w:cs="宋体"/>
                <w:sz w:val="18"/>
                <w:szCs w:val="18"/>
              </w:rPr>
              <w:t>其他公共设施</w:t>
            </w:r>
          </w:p>
        </w:tc>
        <w:tc>
          <w:tcPr>
            <w:tcW w:w="2130" w:type="dxa"/>
          </w:tcPr>
          <w:p w14:paraId="503AE4FC">
            <w:pPr>
              <w:shd w:val="clear"/>
              <w:rPr>
                <w:rFonts w:ascii="宋体" w:hAnsi="宋体" w:eastAsia="宋体" w:cs="宋体"/>
                <w:sz w:val="18"/>
                <w:szCs w:val="18"/>
              </w:rPr>
            </w:pPr>
            <w:r>
              <w:rPr>
                <w:rFonts w:hint="eastAsia" w:ascii="宋体" w:hAnsi="宋体" w:eastAsia="宋体" w:cs="宋体"/>
                <w:sz w:val="18"/>
                <w:szCs w:val="18"/>
              </w:rPr>
              <w:t>公告栏、广告牌、标识牌、室外消火栓、木栈道、围栏、排水沟渠、沙井、雨棚</w:t>
            </w:r>
          </w:p>
        </w:tc>
        <w:tc>
          <w:tcPr>
            <w:tcW w:w="2131" w:type="dxa"/>
          </w:tcPr>
          <w:p w14:paraId="5741BDC1">
            <w:pPr>
              <w:shd w:val="clear"/>
              <w:rPr>
                <w:rFonts w:ascii="宋体" w:hAnsi="宋体" w:eastAsia="宋体" w:cs="宋体"/>
                <w:sz w:val="18"/>
                <w:szCs w:val="18"/>
              </w:rPr>
            </w:pPr>
            <w:r>
              <w:rPr>
                <w:rFonts w:hint="eastAsia" w:ascii="宋体" w:hAnsi="宋体" w:eastAsia="宋体" w:cs="宋体"/>
                <w:sz w:val="18"/>
                <w:szCs w:val="18"/>
              </w:rPr>
              <w:t>公告栏、广告牌、标识牌、室外消火栓、木栈道、围栏等公共设施设备每周1次；清理排水沟渠、沙井每月1次；雨棚每季度清洗1次</w:t>
            </w:r>
          </w:p>
        </w:tc>
        <w:tc>
          <w:tcPr>
            <w:tcW w:w="2131" w:type="dxa"/>
          </w:tcPr>
          <w:p w14:paraId="55B28BAB">
            <w:pPr>
              <w:shd w:val="clear"/>
              <w:rPr>
                <w:rFonts w:ascii="宋体" w:hAnsi="宋体" w:eastAsia="宋体" w:cs="宋体"/>
                <w:sz w:val="18"/>
                <w:szCs w:val="18"/>
              </w:rPr>
            </w:pPr>
            <w:r>
              <w:rPr>
                <w:rFonts w:hint="eastAsia" w:ascii="宋体" w:hAnsi="宋体" w:eastAsia="宋体" w:cs="宋体"/>
                <w:sz w:val="18"/>
                <w:szCs w:val="18"/>
              </w:rPr>
              <w:t>表面无积尘、无蛛网、无污渍、无乱贴乱画等现象</w:t>
            </w:r>
          </w:p>
        </w:tc>
      </w:tr>
    </w:tbl>
    <w:p w14:paraId="028AB4E5">
      <w:pPr>
        <w:pStyle w:val="3"/>
      </w:pPr>
    </w:p>
    <w:p w14:paraId="4F55CF00">
      <w:pPr>
        <w:shd w:val="clear"/>
        <w:ind w:firstLine="482"/>
        <w:jc w:val="center"/>
        <w:rPr>
          <w:rFonts w:ascii="宋体" w:hAnsi="宋体" w:eastAsia="宋体" w:cs="Times New Roman"/>
          <w:b/>
          <w:bCs/>
          <w:szCs w:val="24"/>
          <w:highlight w:val="cyan"/>
        </w:rPr>
      </w:pPr>
    </w:p>
    <w:p w14:paraId="6BFF7838">
      <w:pPr>
        <w:shd w:val="clear"/>
        <w:ind w:firstLine="480"/>
        <w:rPr>
          <w:rFonts w:ascii="Calibri" w:hAnsi="Calibri" w:eastAsia="宋体" w:cs="Times New Roman"/>
        </w:rPr>
      </w:pPr>
    </w:p>
    <w:p w14:paraId="1EC5A636">
      <w:pPr>
        <w:shd w:val="clear"/>
        <w:ind w:firstLine="482"/>
        <w:rPr>
          <w:rFonts w:hint="eastAsia" w:ascii="Calibri" w:hAnsi="Calibri" w:eastAsia="宋体" w:cs="Times New Roman"/>
          <w:b/>
        </w:rPr>
      </w:pPr>
    </w:p>
    <w:p w14:paraId="72A2B782">
      <w:pPr>
        <w:shd w:val="clear"/>
        <w:ind w:firstLine="482"/>
        <w:rPr>
          <w:rFonts w:hint="eastAsia" w:ascii="Calibri" w:hAnsi="Calibri" w:eastAsia="宋体" w:cs="Times New Roman"/>
          <w:b/>
        </w:rPr>
      </w:pPr>
    </w:p>
    <w:p w14:paraId="6D3300FA">
      <w:pPr>
        <w:shd w:val="clear"/>
        <w:ind w:firstLine="482"/>
        <w:rPr>
          <w:rFonts w:hint="eastAsia" w:ascii="Calibri" w:hAnsi="Calibri" w:eastAsia="宋体" w:cs="Times New Roman"/>
          <w:b/>
        </w:rPr>
      </w:pPr>
    </w:p>
    <w:p w14:paraId="4FB90251">
      <w:pPr>
        <w:shd w:val="clear"/>
        <w:ind w:firstLine="482"/>
        <w:rPr>
          <w:rFonts w:ascii="Calibri" w:hAnsi="Calibri" w:eastAsia="宋体" w:cs="Times New Roman"/>
          <w:b/>
        </w:rPr>
      </w:pPr>
      <w:r>
        <w:rPr>
          <w:rFonts w:hint="eastAsia" w:ascii="Calibri" w:hAnsi="Calibri" w:eastAsia="宋体" w:cs="Times New Roman"/>
          <w:b/>
        </w:rPr>
        <w:t>1.2.4</w:t>
      </w:r>
      <w:r>
        <w:rPr>
          <w:rFonts w:ascii="Calibri" w:hAnsi="Calibri" w:eastAsia="宋体" w:cs="Times New Roman"/>
          <w:b/>
        </w:rPr>
        <w:t>除“四害”消杀</w:t>
      </w:r>
      <w:r>
        <w:rPr>
          <w:rFonts w:hint="eastAsia" w:ascii="Calibri" w:hAnsi="Calibri" w:eastAsia="宋体" w:cs="Times New Roman"/>
          <w:b/>
        </w:rPr>
        <w:t>要求</w:t>
      </w:r>
    </w:p>
    <w:p w14:paraId="5830B51B">
      <w:pPr>
        <w:shd w:val="clear"/>
        <w:ind w:firstLine="480"/>
        <w:rPr>
          <w:rFonts w:hint="eastAsia" w:ascii="Calibri" w:hAnsi="Calibri" w:eastAsia="宋体" w:cs="Times New Roman"/>
          <w:lang w:eastAsia="zh-CN"/>
        </w:rPr>
      </w:pPr>
      <w:r>
        <w:rPr>
          <w:rFonts w:hint="eastAsia" w:cs="Times New Roman"/>
          <w:kern w:val="2"/>
          <w:sz w:val="21"/>
          <w:szCs w:val="22"/>
          <w:lang w:val="en-US" w:eastAsia="zh-CN"/>
        </w:rPr>
        <w:t>由</w:t>
      </w:r>
      <w:r>
        <w:rPr>
          <w:rFonts w:hint="eastAsia" w:ascii="Calibri" w:hAnsi="Calibri" w:eastAsia="宋体"/>
          <w:color w:val="auto"/>
          <w:kern w:val="2"/>
          <w:sz w:val="21"/>
          <w:szCs w:val="22"/>
        </w:rPr>
        <w:t>中标</w:t>
      </w:r>
      <w:r>
        <w:rPr>
          <w:rFonts w:hint="eastAsia" w:cs="Times New Roman"/>
          <w:kern w:val="2"/>
          <w:sz w:val="21"/>
          <w:szCs w:val="22"/>
          <w:lang w:val="en-US" w:eastAsia="zh-CN"/>
        </w:rPr>
        <w:t>单位委托具有相应资质的消杀单位做</w:t>
      </w:r>
      <w:r>
        <w:rPr>
          <w:rFonts w:hint="eastAsia" w:ascii="Calibri" w:hAnsi="Calibri" w:eastAsia="宋体"/>
          <w:color w:val="auto"/>
          <w:kern w:val="2"/>
          <w:sz w:val="21"/>
          <w:szCs w:val="22"/>
        </w:rPr>
        <w:t>好四害消杀工作</w:t>
      </w:r>
      <w:r>
        <w:rPr>
          <w:rFonts w:hint="eastAsia" w:cs="Times New Roman"/>
          <w:kern w:val="2"/>
          <w:sz w:val="21"/>
          <w:szCs w:val="22"/>
          <w:lang w:eastAsia="zh-CN"/>
        </w:rPr>
        <w:t>，</w:t>
      </w:r>
      <w:r>
        <w:rPr>
          <w:rFonts w:hint="eastAsia" w:ascii="Calibri" w:hAnsi="Calibri" w:eastAsia="宋体"/>
          <w:color w:val="auto"/>
          <w:kern w:val="2"/>
          <w:sz w:val="21"/>
          <w:szCs w:val="22"/>
        </w:rPr>
        <w:t>符合爱国卫生除四害标准</w:t>
      </w:r>
      <w:r>
        <w:rPr>
          <w:rFonts w:hint="eastAsia" w:cs="Times New Roman"/>
          <w:kern w:val="2"/>
          <w:sz w:val="21"/>
          <w:szCs w:val="22"/>
          <w:lang w:eastAsia="zh-CN"/>
        </w:rPr>
        <w:t>。</w:t>
      </w:r>
      <w:r>
        <w:rPr>
          <w:rFonts w:hint="eastAsia" w:cs="Times New Roman"/>
          <w:kern w:val="2"/>
          <w:sz w:val="21"/>
          <w:szCs w:val="22"/>
          <w:lang w:val="en-US" w:eastAsia="zh-CN"/>
        </w:rPr>
        <w:t>具体要求为：</w:t>
      </w:r>
      <w:r>
        <w:rPr>
          <w:rFonts w:hint="eastAsia" w:ascii="Calibri" w:hAnsi="Calibri" w:eastAsia="宋体" w:cs="Times New Roman"/>
        </w:rPr>
        <w:t>四月中下旬至十一月上旬，每日一次灭蚊蝇工作，每周清理灭蚊蝇装置</w:t>
      </w:r>
      <w:r>
        <w:rPr>
          <w:rFonts w:ascii="Calibri" w:hAnsi="Calibri" w:eastAsia="宋体" w:cs="Times New Roman"/>
        </w:rPr>
        <w:t>1</w:t>
      </w:r>
      <w:r>
        <w:rPr>
          <w:rFonts w:hint="eastAsia" w:ascii="Calibri" w:hAnsi="Calibri" w:eastAsia="宋体" w:cs="Times New Roman"/>
        </w:rPr>
        <w:t>次；每季度投放灭蟑、灭鼠、灭虫害药物至少</w:t>
      </w:r>
      <w:r>
        <w:rPr>
          <w:rFonts w:ascii="Calibri" w:hAnsi="Calibri" w:eastAsia="宋体" w:cs="Times New Roman"/>
        </w:rPr>
        <w:t>3</w:t>
      </w:r>
      <w:r>
        <w:rPr>
          <w:rFonts w:hint="eastAsia" w:ascii="Calibri" w:hAnsi="Calibri" w:eastAsia="宋体" w:cs="Times New Roman"/>
        </w:rPr>
        <w:t>次；每两天对垃圾房及周边消毒</w:t>
      </w:r>
      <w:r>
        <w:rPr>
          <w:rFonts w:ascii="Calibri" w:hAnsi="Calibri" w:eastAsia="宋体" w:cs="Times New Roman"/>
        </w:rPr>
        <w:t>1</w:t>
      </w:r>
      <w:r>
        <w:rPr>
          <w:rFonts w:hint="eastAsia" w:ascii="Calibri" w:hAnsi="Calibri" w:eastAsia="宋体" w:cs="Times New Roman"/>
        </w:rPr>
        <w:t>次、喷洒防臭剂</w:t>
      </w:r>
      <w:r>
        <w:rPr>
          <w:rFonts w:ascii="Calibri" w:hAnsi="Calibri" w:eastAsia="宋体" w:cs="Times New Roman"/>
        </w:rPr>
        <w:t>4</w:t>
      </w:r>
      <w:r>
        <w:rPr>
          <w:rFonts w:hint="eastAsia" w:ascii="Calibri" w:hAnsi="Calibri" w:eastAsia="宋体" w:cs="Times New Roman"/>
        </w:rPr>
        <w:t>次。消杀药品及设备由中标单位提供。食堂消杀：11月份至次年4月份按照每周一次，</w:t>
      </w:r>
      <w:r>
        <w:rPr>
          <w:rFonts w:ascii="Calibri" w:hAnsi="Calibri" w:eastAsia="宋体" w:cs="Times New Roman"/>
        </w:rPr>
        <w:t>5</w:t>
      </w:r>
      <w:r>
        <w:rPr>
          <w:rFonts w:hint="eastAsia" w:ascii="Calibri" w:hAnsi="Calibri" w:eastAsia="宋体" w:cs="Times New Roman"/>
        </w:rPr>
        <w:t>月份至</w:t>
      </w:r>
      <w:r>
        <w:rPr>
          <w:rFonts w:ascii="Calibri" w:hAnsi="Calibri" w:eastAsia="宋体" w:cs="Times New Roman"/>
        </w:rPr>
        <w:t>10</w:t>
      </w:r>
      <w:r>
        <w:rPr>
          <w:rFonts w:hint="eastAsia" w:ascii="Calibri" w:hAnsi="Calibri" w:eastAsia="宋体" w:cs="Times New Roman"/>
        </w:rPr>
        <w:t>月份按照每周两次</w:t>
      </w:r>
      <w:r>
        <w:rPr>
          <w:rFonts w:hint="eastAsia" w:ascii="Calibri" w:hAnsi="Calibri" w:eastAsia="宋体" w:cs="Times New Roman"/>
          <w:lang w:eastAsia="zh-CN"/>
        </w:rPr>
        <w:t>。</w:t>
      </w:r>
    </w:p>
    <w:p w14:paraId="6DAC614C">
      <w:pPr>
        <w:keepNext/>
        <w:shd w:val="clear"/>
        <w:spacing w:before="152" w:after="160"/>
        <w:jc w:val="center"/>
      </w:pPr>
      <w:r>
        <w:rPr>
          <w:rFonts w:hint="eastAsia" w:ascii="宋体" w:hAnsi="宋体" w:eastAsia="宋体" w:cs="Times New Roman"/>
          <w:b/>
          <w:bCs/>
          <w:sz w:val="24"/>
          <w:szCs w:val="24"/>
        </w:rPr>
        <w:t>表4“除四害”消杀要求</w:t>
      </w:r>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35"/>
      </w:tblGrid>
      <w:tr w14:paraId="6BB8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vAlign w:val="top"/>
          </w:tcPr>
          <w:p w14:paraId="76BAED46">
            <w:pPr>
              <w:shd w:val="clear"/>
              <w:spacing w:after="156"/>
              <w:rPr>
                <w:rFonts w:ascii="宋体" w:hAnsi="宋体" w:eastAsia="宋体" w:cs="Times New Roman"/>
                <w:b/>
                <w:bCs/>
                <w:kern w:val="0"/>
                <w:sz w:val="18"/>
                <w:szCs w:val="18"/>
              </w:rPr>
            </w:pPr>
          </w:p>
          <w:p w14:paraId="63CA7EB7">
            <w:pPr>
              <w:shd w:val="clear"/>
              <w:spacing w:after="156"/>
              <w:ind w:firstLine="542" w:firstLineChars="300"/>
              <w:rPr>
                <w:rFonts w:ascii="Calibri" w:hAnsi="Calibri" w:eastAsia="宋体" w:cs="Times New Roman"/>
                <w:kern w:val="0"/>
                <w:sz w:val="18"/>
                <w:szCs w:val="18"/>
              </w:rPr>
            </w:pPr>
            <w:r>
              <w:rPr>
                <w:rFonts w:ascii="宋体" w:hAnsi="宋体" w:eastAsia="宋体" w:cs="Times New Roman"/>
                <w:b/>
                <w:bCs/>
                <w:kern w:val="0"/>
                <w:sz w:val="18"/>
                <w:szCs w:val="18"/>
              </w:rPr>
              <w:t>灭鼠标准</w:t>
            </w:r>
          </w:p>
        </w:tc>
        <w:tc>
          <w:tcPr>
            <w:tcW w:w="6435" w:type="dxa"/>
            <w:vAlign w:val="top"/>
          </w:tcPr>
          <w:p w14:paraId="0DECCA37">
            <w:pPr>
              <w:shd w:val="clear"/>
              <w:spacing w:after="156"/>
              <w:rPr>
                <w:rFonts w:ascii="宋体" w:hAnsi="宋体" w:eastAsia="宋体" w:cs="Times New Roman"/>
                <w:kern w:val="0"/>
                <w:sz w:val="18"/>
                <w:szCs w:val="18"/>
              </w:rPr>
            </w:pPr>
            <w:r>
              <w:rPr>
                <w:rFonts w:hint="eastAsia" w:ascii="宋体" w:hAnsi="宋体" w:eastAsia="宋体" w:cs="Times New Roman"/>
                <w:kern w:val="0"/>
                <w:sz w:val="18"/>
                <w:szCs w:val="18"/>
              </w:rPr>
              <w:t>室内每</w:t>
            </w:r>
            <w:r>
              <w:rPr>
                <w:rFonts w:ascii="宋体" w:hAnsi="宋体" w:eastAsia="宋体" w:cs="Times New Roman"/>
                <w:kern w:val="0"/>
                <w:sz w:val="18"/>
                <w:szCs w:val="18"/>
              </w:rPr>
              <w:t>15㎡</w:t>
            </w:r>
            <w:r>
              <w:rPr>
                <w:rFonts w:hint="eastAsia" w:ascii="宋体" w:hAnsi="宋体" w:eastAsia="宋体" w:cs="Times New Roman"/>
                <w:kern w:val="0"/>
                <w:sz w:val="18"/>
                <w:szCs w:val="18"/>
              </w:rPr>
              <w:t>计为一个房间，</w:t>
            </w:r>
            <w:r>
              <w:rPr>
                <w:rFonts w:ascii="宋体" w:hAnsi="宋体" w:eastAsia="宋体" w:cs="Times New Roman"/>
                <w:kern w:val="0"/>
                <w:sz w:val="18"/>
                <w:szCs w:val="18"/>
              </w:rPr>
              <w:t>有鼠洞、鼠粪、鼠咬等痕迹的房间不超过2％</w:t>
            </w:r>
            <w:r>
              <w:rPr>
                <w:rFonts w:hint="eastAsia" w:ascii="宋体" w:hAnsi="宋体" w:eastAsia="宋体" w:cs="Times New Roman"/>
                <w:kern w:val="0"/>
                <w:sz w:val="18"/>
                <w:szCs w:val="18"/>
              </w:rPr>
              <w:t>。</w:t>
            </w:r>
          </w:p>
        </w:tc>
      </w:tr>
      <w:tr w14:paraId="592A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top"/>
          </w:tcPr>
          <w:p w14:paraId="23B3768B">
            <w:pPr>
              <w:shd w:val="clear"/>
              <w:spacing w:after="156"/>
              <w:rPr>
                <w:rFonts w:ascii="Calibri" w:hAnsi="Calibri" w:eastAsia="宋体" w:cs="Times New Roman"/>
                <w:kern w:val="0"/>
                <w:sz w:val="18"/>
                <w:szCs w:val="18"/>
              </w:rPr>
            </w:pPr>
          </w:p>
        </w:tc>
        <w:tc>
          <w:tcPr>
            <w:tcW w:w="6435" w:type="dxa"/>
            <w:vAlign w:val="top"/>
          </w:tcPr>
          <w:p w14:paraId="04F2E882">
            <w:pPr>
              <w:shd w:val="clear"/>
              <w:spacing w:after="156"/>
              <w:rPr>
                <w:rFonts w:ascii="宋体" w:hAnsi="宋体" w:eastAsia="宋体" w:cs="Times New Roman"/>
                <w:kern w:val="0"/>
                <w:sz w:val="18"/>
                <w:szCs w:val="18"/>
              </w:rPr>
            </w:pPr>
            <w:r>
              <w:rPr>
                <w:rFonts w:hint="eastAsia" w:ascii="宋体" w:hAnsi="宋体" w:eastAsia="宋体" w:cs="Times New Roman"/>
                <w:kern w:val="0"/>
                <w:sz w:val="18"/>
                <w:szCs w:val="18"/>
              </w:rPr>
              <w:t>室外检查不同类型的外环境</w:t>
            </w:r>
            <w:r>
              <w:rPr>
                <w:rFonts w:ascii="宋体" w:hAnsi="宋体" w:eastAsia="宋体" w:cs="Times New Roman"/>
                <w:kern w:val="0"/>
                <w:sz w:val="18"/>
                <w:szCs w:val="18"/>
              </w:rPr>
              <w:t>2000</w:t>
            </w:r>
            <w:r>
              <w:rPr>
                <w:rFonts w:hint="eastAsia" w:ascii="宋体" w:hAnsi="宋体" w:eastAsia="宋体" w:cs="Times New Roman"/>
                <w:kern w:val="0"/>
                <w:sz w:val="18"/>
                <w:szCs w:val="18"/>
              </w:rPr>
              <w:t>平方</w:t>
            </w:r>
            <w:r>
              <w:rPr>
                <w:rFonts w:ascii="宋体" w:hAnsi="宋体" w:eastAsia="宋体" w:cs="Times New Roman"/>
                <w:kern w:val="0"/>
                <w:sz w:val="18"/>
                <w:szCs w:val="18"/>
              </w:rPr>
              <w:t>米，鼠迹不超过</w:t>
            </w:r>
            <w:r>
              <w:rPr>
                <w:rFonts w:hint="eastAsia" w:ascii="宋体" w:hAnsi="宋体" w:eastAsia="宋体" w:cs="Times New Roman"/>
                <w:kern w:val="0"/>
                <w:sz w:val="18"/>
                <w:szCs w:val="18"/>
              </w:rPr>
              <w:t>2</w:t>
            </w:r>
            <w:r>
              <w:rPr>
                <w:rFonts w:ascii="宋体" w:hAnsi="宋体" w:eastAsia="宋体" w:cs="Times New Roman"/>
                <w:kern w:val="0"/>
                <w:sz w:val="18"/>
                <w:szCs w:val="18"/>
              </w:rPr>
              <w:t>处。</w:t>
            </w:r>
          </w:p>
        </w:tc>
      </w:tr>
      <w:tr w14:paraId="0A0C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093" w:type="dxa"/>
            <w:vAlign w:val="top"/>
          </w:tcPr>
          <w:p w14:paraId="2E42F3AD">
            <w:pPr>
              <w:shd w:val="clear"/>
              <w:spacing w:after="156"/>
              <w:ind w:firstLine="542" w:firstLineChars="300"/>
              <w:rPr>
                <w:rFonts w:ascii="Calibri" w:hAnsi="Calibri" w:eastAsia="宋体" w:cs="Times New Roman"/>
                <w:kern w:val="0"/>
                <w:sz w:val="18"/>
                <w:szCs w:val="18"/>
              </w:rPr>
            </w:pPr>
            <w:r>
              <w:rPr>
                <w:rFonts w:ascii="宋体" w:hAnsi="宋体" w:eastAsia="宋体" w:cs="Times New Roman"/>
                <w:b/>
                <w:bCs/>
                <w:kern w:val="0"/>
                <w:sz w:val="18"/>
                <w:szCs w:val="18"/>
              </w:rPr>
              <w:t>灭蚊标准</w:t>
            </w:r>
          </w:p>
        </w:tc>
        <w:tc>
          <w:tcPr>
            <w:tcW w:w="6435" w:type="dxa"/>
            <w:vAlign w:val="top"/>
          </w:tcPr>
          <w:p w14:paraId="629E3A48">
            <w:pPr>
              <w:shd w:val="clear"/>
              <w:spacing w:after="156"/>
              <w:rPr>
                <w:rFonts w:ascii="Calibri" w:hAnsi="Calibri" w:eastAsia="宋体" w:cs="Times New Roman"/>
                <w:kern w:val="0"/>
                <w:sz w:val="18"/>
                <w:szCs w:val="18"/>
              </w:rPr>
            </w:pPr>
            <w:r>
              <w:rPr>
                <w:rFonts w:ascii="宋体" w:hAnsi="宋体" w:eastAsia="宋体" w:cs="Times New Roman"/>
                <w:kern w:val="0"/>
                <w:sz w:val="18"/>
                <w:szCs w:val="18"/>
              </w:rPr>
              <w:t>内外环境积水中，蚊幼虫及蛹的阳性率不超过3％。</w:t>
            </w:r>
          </w:p>
        </w:tc>
      </w:tr>
      <w:tr w14:paraId="68F1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top"/>
          </w:tcPr>
          <w:p w14:paraId="5784B0C5">
            <w:pPr>
              <w:shd w:val="clear"/>
              <w:spacing w:after="156"/>
              <w:ind w:firstLine="542" w:firstLineChars="300"/>
              <w:rPr>
                <w:rFonts w:ascii="Calibri" w:hAnsi="Calibri" w:eastAsia="宋体" w:cs="Times New Roman"/>
                <w:kern w:val="0"/>
                <w:sz w:val="18"/>
                <w:szCs w:val="18"/>
              </w:rPr>
            </w:pPr>
            <w:r>
              <w:rPr>
                <w:rFonts w:ascii="宋体" w:hAnsi="宋体" w:eastAsia="宋体" w:cs="Times New Roman"/>
                <w:b/>
                <w:bCs/>
                <w:kern w:val="0"/>
                <w:sz w:val="18"/>
                <w:szCs w:val="18"/>
              </w:rPr>
              <w:t>灭</w:t>
            </w:r>
            <w:r>
              <w:rPr>
                <w:rFonts w:hint="eastAsia" w:ascii="宋体" w:hAnsi="宋体" w:eastAsia="宋体" w:cs="Times New Roman"/>
                <w:b/>
                <w:bCs/>
                <w:kern w:val="0"/>
                <w:sz w:val="18"/>
                <w:szCs w:val="18"/>
              </w:rPr>
              <w:t>蝇</w:t>
            </w:r>
            <w:r>
              <w:rPr>
                <w:rFonts w:ascii="宋体" w:hAnsi="宋体" w:eastAsia="宋体" w:cs="Times New Roman"/>
                <w:b/>
                <w:bCs/>
                <w:kern w:val="0"/>
                <w:sz w:val="18"/>
                <w:szCs w:val="18"/>
              </w:rPr>
              <w:t>标准</w:t>
            </w:r>
          </w:p>
        </w:tc>
        <w:tc>
          <w:tcPr>
            <w:tcW w:w="6435" w:type="dxa"/>
            <w:vAlign w:val="top"/>
          </w:tcPr>
          <w:p w14:paraId="75320E7C">
            <w:pPr>
              <w:shd w:val="clear"/>
              <w:spacing w:after="156"/>
              <w:rPr>
                <w:rFonts w:ascii="Calibri" w:hAnsi="Calibri" w:eastAsia="宋体" w:cs="Times New Roman"/>
                <w:kern w:val="0"/>
                <w:sz w:val="18"/>
                <w:szCs w:val="18"/>
              </w:rPr>
            </w:pPr>
            <w:r>
              <w:rPr>
                <w:rFonts w:ascii="宋体" w:hAnsi="宋体" w:eastAsia="宋体" w:cs="Times New Roman"/>
                <w:kern w:val="0"/>
                <w:sz w:val="18"/>
                <w:szCs w:val="18"/>
              </w:rPr>
              <w:t>蝇类孳生地得到有效治理，幼虫和蛹的检出率不超过3％。</w:t>
            </w:r>
          </w:p>
        </w:tc>
      </w:tr>
      <w:tr w14:paraId="77CF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vAlign w:val="top"/>
          </w:tcPr>
          <w:p w14:paraId="485DB73F">
            <w:pPr>
              <w:shd w:val="clear"/>
              <w:spacing w:after="156"/>
              <w:rPr>
                <w:rFonts w:ascii="宋体" w:hAnsi="宋体" w:eastAsia="宋体" w:cs="Times New Roman"/>
                <w:b/>
                <w:bCs/>
                <w:kern w:val="0"/>
                <w:sz w:val="18"/>
                <w:szCs w:val="18"/>
              </w:rPr>
            </w:pPr>
          </w:p>
          <w:p w14:paraId="7FAFAF7E">
            <w:pPr>
              <w:shd w:val="clear"/>
              <w:spacing w:after="156"/>
              <w:jc w:val="center"/>
              <w:rPr>
                <w:rFonts w:ascii="Calibri" w:hAnsi="Calibri" w:eastAsia="宋体" w:cs="Times New Roman"/>
                <w:kern w:val="0"/>
                <w:sz w:val="18"/>
                <w:szCs w:val="18"/>
              </w:rPr>
            </w:pPr>
            <w:r>
              <w:rPr>
                <w:rFonts w:ascii="宋体" w:hAnsi="宋体" w:eastAsia="宋体" w:cs="Times New Roman"/>
                <w:b/>
                <w:bCs/>
                <w:kern w:val="0"/>
                <w:sz w:val="18"/>
                <w:szCs w:val="18"/>
              </w:rPr>
              <w:t>灭蟑螂标准</w:t>
            </w:r>
          </w:p>
        </w:tc>
        <w:tc>
          <w:tcPr>
            <w:tcW w:w="6435" w:type="dxa"/>
            <w:vAlign w:val="top"/>
          </w:tcPr>
          <w:p w14:paraId="5811DF8B">
            <w:pPr>
              <w:shd w:val="clear"/>
              <w:tabs>
                <w:tab w:val="left" w:pos="1200"/>
              </w:tabs>
              <w:spacing w:after="156"/>
              <w:rPr>
                <w:rFonts w:ascii="Calibri" w:hAnsi="Calibri" w:eastAsia="宋体" w:cs="Times New Roman"/>
                <w:kern w:val="0"/>
                <w:sz w:val="18"/>
                <w:szCs w:val="18"/>
              </w:rPr>
            </w:pPr>
            <w:r>
              <w:rPr>
                <w:rFonts w:ascii="宋体" w:hAnsi="宋体" w:eastAsia="宋体" w:cs="Times New Roman"/>
                <w:kern w:val="0"/>
                <w:sz w:val="18"/>
                <w:szCs w:val="18"/>
              </w:rPr>
              <w:t>室内有蟑螂成虫或若虫阳性房间不超过3％，平均每间房大蠊不超过5只，小蠊不超过10只。</w:t>
            </w:r>
          </w:p>
        </w:tc>
      </w:tr>
      <w:tr w14:paraId="0AD5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top"/>
          </w:tcPr>
          <w:p w14:paraId="6471DA0F">
            <w:pPr>
              <w:shd w:val="clear"/>
              <w:spacing w:after="156"/>
              <w:rPr>
                <w:rFonts w:ascii="Calibri" w:hAnsi="Calibri" w:eastAsia="宋体" w:cs="Times New Roman"/>
                <w:kern w:val="0"/>
                <w:sz w:val="18"/>
                <w:szCs w:val="18"/>
              </w:rPr>
            </w:pPr>
          </w:p>
        </w:tc>
        <w:tc>
          <w:tcPr>
            <w:tcW w:w="6435" w:type="dxa"/>
            <w:vAlign w:val="top"/>
          </w:tcPr>
          <w:p w14:paraId="45633FDB">
            <w:pPr>
              <w:shd w:val="clear"/>
              <w:spacing w:after="156"/>
              <w:rPr>
                <w:rFonts w:ascii="Calibri" w:hAnsi="Calibri" w:eastAsia="宋体" w:cs="Times New Roman"/>
                <w:kern w:val="0"/>
                <w:sz w:val="18"/>
                <w:szCs w:val="18"/>
              </w:rPr>
            </w:pPr>
            <w:r>
              <w:rPr>
                <w:rFonts w:ascii="宋体" w:hAnsi="宋体" w:eastAsia="宋体" w:cs="Times New Roman"/>
                <w:kern w:val="0"/>
                <w:sz w:val="18"/>
                <w:szCs w:val="18"/>
              </w:rPr>
              <w:t>有蟑螂卵鞘房不超过2％，平均每间房不超过4只。</w:t>
            </w:r>
          </w:p>
        </w:tc>
      </w:tr>
      <w:tr w14:paraId="0EEB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top"/>
          </w:tcPr>
          <w:p w14:paraId="6C77B0D9">
            <w:pPr>
              <w:shd w:val="clear"/>
              <w:spacing w:after="156"/>
              <w:rPr>
                <w:rFonts w:ascii="Calibri" w:hAnsi="Calibri" w:eastAsia="宋体" w:cs="Times New Roman"/>
                <w:kern w:val="0"/>
                <w:sz w:val="18"/>
                <w:szCs w:val="18"/>
              </w:rPr>
            </w:pPr>
          </w:p>
        </w:tc>
        <w:tc>
          <w:tcPr>
            <w:tcW w:w="6435" w:type="dxa"/>
            <w:vAlign w:val="top"/>
          </w:tcPr>
          <w:p w14:paraId="7D4F2550">
            <w:pPr>
              <w:shd w:val="clear"/>
              <w:spacing w:after="156"/>
              <w:rPr>
                <w:rFonts w:ascii="宋体" w:hAnsi="宋体" w:eastAsia="宋体" w:cs="Times New Roman"/>
                <w:kern w:val="0"/>
                <w:sz w:val="18"/>
                <w:szCs w:val="18"/>
              </w:rPr>
            </w:pPr>
            <w:r>
              <w:rPr>
                <w:rFonts w:ascii="宋体" w:hAnsi="宋体" w:eastAsia="宋体" w:cs="Times New Roman"/>
                <w:kern w:val="0"/>
                <w:sz w:val="18"/>
                <w:szCs w:val="18"/>
              </w:rPr>
              <w:t>有蟑螂粪便蜕皮等蟑迹的房间不超过5％。</w:t>
            </w:r>
          </w:p>
        </w:tc>
      </w:tr>
    </w:tbl>
    <w:p w14:paraId="5DC92770">
      <w:pPr>
        <w:shd w:val="clear"/>
        <w:rPr>
          <w:rFonts w:ascii="Calibri" w:hAnsi="Calibri" w:eastAsia="宋体" w:cs="Times New Roman"/>
          <w:b/>
        </w:rPr>
      </w:pPr>
    </w:p>
    <w:p w14:paraId="083197F5">
      <w:pPr>
        <w:shd w:val="clear"/>
        <w:ind w:firstLine="482"/>
        <w:rPr>
          <w:rFonts w:ascii="Calibri" w:hAnsi="Calibri" w:eastAsia="宋体" w:cs="Times New Roman"/>
          <w:b/>
        </w:rPr>
      </w:pPr>
      <w:r>
        <w:rPr>
          <w:rFonts w:hint="eastAsia" w:ascii="Calibri" w:hAnsi="Calibri" w:eastAsia="宋体" w:cs="Times New Roman"/>
          <w:b/>
        </w:rPr>
        <w:t>1.2.5垃圾分类</w:t>
      </w:r>
    </w:p>
    <w:p w14:paraId="6DDB5740">
      <w:pPr>
        <w:shd w:val="clear"/>
        <w:ind w:firstLine="594" w:firstLineChars="283"/>
        <w:rPr>
          <w:rFonts w:ascii="Calibri" w:hAnsi="Calibri" w:eastAsia="宋体" w:cs="Times New Roman"/>
        </w:rPr>
      </w:pPr>
      <w:r>
        <w:rPr>
          <w:rFonts w:hint="eastAsia" w:ascii="Calibri" w:hAnsi="Calibri" w:eastAsia="宋体" w:cs="Times New Roman"/>
          <w:lang w:eastAsia="zh-CN"/>
        </w:rPr>
        <w:t>中标单位</w:t>
      </w:r>
      <w:r>
        <w:rPr>
          <w:rFonts w:hint="eastAsia" w:ascii="Calibri" w:hAnsi="Calibri" w:eastAsia="宋体" w:cs="Times New Roman"/>
        </w:rPr>
        <w:t>须参考《固体废物污染环境防治法》、《循环经济促进法》、《浙江省生活垃圾管理条例》、《杭州市生活垃圾管理条例》、《杭州市城镇生活垃圾分类管理规范》等相关文件，根据</w:t>
      </w:r>
      <w:r>
        <w:rPr>
          <w:rFonts w:hint="eastAsia" w:ascii="Calibri" w:hAnsi="Calibri" w:eastAsia="宋体" w:cs="Times New Roman"/>
          <w:lang w:eastAsia="zh-CN"/>
        </w:rPr>
        <w:t>学校</w:t>
      </w:r>
      <w:r>
        <w:rPr>
          <w:rFonts w:hint="eastAsia" w:ascii="Calibri" w:hAnsi="Calibri" w:eastAsia="宋体" w:cs="Times New Roman"/>
        </w:rPr>
        <w:t>实际情况，以高效、环保的方法进对生活垃圾、固体垃圾、绿化垃圾按要求及时清运，垃圾桶完好干净整洁，随时迎接政府各职能部门的检查工作，检查结果达到良好或以上水平。</w:t>
      </w:r>
    </w:p>
    <w:p w14:paraId="60A64CB1">
      <w:pPr>
        <w:shd w:val="clear"/>
        <w:ind w:firstLine="480"/>
        <w:rPr>
          <w:rFonts w:ascii="Calibri" w:hAnsi="Calibri" w:eastAsia="宋体" w:cs="Times New Roman"/>
        </w:rPr>
      </w:pPr>
      <w:r>
        <w:rPr>
          <w:rFonts w:hint="eastAsia" w:ascii="Calibri" w:hAnsi="Calibri" w:eastAsia="宋体" w:cs="Times New Roman"/>
        </w:rPr>
        <w:t>（1）</w:t>
      </w:r>
      <w:r>
        <w:rPr>
          <w:rFonts w:hint="eastAsia" w:ascii="Calibri" w:hAnsi="Calibri" w:eastAsia="宋体" w:cs="Times New Roman"/>
          <w:lang w:eastAsia="zh-CN"/>
        </w:rPr>
        <w:t>中标单位</w:t>
      </w:r>
      <w:r>
        <w:rPr>
          <w:rFonts w:hint="eastAsia" w:ascii="Calibri" w:hAnsi="Calibri" w:eastAsia="宋体" w:cs="Times New Roman"/>
        </w:rPr>
        <w:t>执行垃圾分类管理制度时需实行管理责任人制度。垃圾分类管理责任人（垃圾分类员）按照《浙江省生活垃圾管理条例》的相关规定确定。</w:t>
      </w:r>
    </w:p>
    <w:p w14:paraId="535645E9">
      <w:pPr>
        <w:shd w:val="clear"/>
        <w:ind w:firstLine="480"/>
        <w:rPr>
          <w:rFonts w:ascii="Calibri" w:hAnsi="Calibri" w:eastAsia="宋体" w:cs="Times New Roman"/>
        </w:rPr>
      </w:pPr>
      <w:r>
        <w:rPr>
          <w:rFonts w:hint="eastAsia" w:ascii="Calibri" w:hAnsi="Calibri" w:eastAsia="宋体" w:cs="Times New Roman"/>
        </w:rPr>
        <w:t>（2）建立责任区垃圾分类投放日常管理制度，并公告不同类别的生活垃圾的投放时间、地点、方式等。</w:t>
      </w:r>
    </w:p>
    <w:p w14:paraId="6556B853">
      <w:pPr>
        <w:shd w:val="clear"/>
        <w:ind w:firstLine="480"/>
        <w:rPr>
          <w:rFonts w:ascii="Calibri" w:hAnsi="Calibri" w:eastAsia="宋体" w:cs="Times New Roman"/>
        </w:rPr>
      </w:pPr>
      <w:r>
        <w:rPr>
          <w:rFonts w:hint="eastAsia" w:ascii="Calibri" w:hAnsi="Calibri" w:eastAsia="宋体" w:cs="Times New Roman"/>
        </w:rPr>
        <w:t>（3）开展垃圾分类知识宣传，指导生活垃圾投放人分类投放，并向生活垃圾投放人派发或者在生活垃圾投放点的显著位置张贴宣传垃圾分类标准、指南、方法的图文资料。</w:t>
      </w:r>
    </w:p>
    <w:p w14:paraId="6915C258">
      <w:pPr>
        <w:shd w:val="clear"/>
        <w:ind w:firstLine="480"/>
        <w:rPr>
          <w:rFonts w:ascii="Calibri" w:hAnsi="Calibri" w:eastAsia="宋体" w:cs="Times New Roman"/>
        </w:rPr>
      </w:pPr>
      <w:r>
        <w:rPr>
          <w:rFonts w:hint="eastAsia" w:ascii="Calibri" w:hAnsi="Calibri" w:eastAsia="宋体" w:cs="Times New Roman"/>
        </w:rPr>
        <w:t>（4）监督责任区垃圾分类投放，对单位或者个人不符合垃圾分类投放要求的行为，要求其改正</w:t>
      </w:r>
      <w:r>
        <w:rPr>
          <w:rFonts w:ascii="Calibri" w:hAnsi="Calibri" w:eastAsia="宋体" w:cs="Times New Roman"/>
        </w:rPr>
        <w:t>;</w:t>
      </w:r>
      <w:r>
        <w:rPr>
          <w:rFonts w:hint="eastAsia" w:ascii="Calibri" w:hAnsi="Calibri" w:eastAsia="宋体" w:cs="Times New Roman"/>
        </w:rPr>
        <w:t>不改正的，应当报告</w:t>
      </w:r>
      <w:r>
        <w:rPr>
          <w:rFonts w:hint="eastAsia" w:ascii="Calibri" w:hAnsi="Calibri" w:eastAsia="宋体" w:cs="Times New Roman"/>
          <w:lang w:eastAsia="zh-CN"/>
        </w:rPr>
        <w:t>学校</w:t>
      </w:r>
      <w:r>
        <w:rPr>
          <w:rFonts w:hint="eastAsia" w:ascii="Calibri" w:hAnsi="Calibri" w:eastAsia="宋体" w:cs="Times New Roman"/>
        </w:rPr>
        <w:t>职能部门处理。</w:t>
      </w:r>
    </w:p>
    <w:p w14:paraId="0A3DEE6F">
      <w:pPr>
        <w:shd w:val="clear"/>
        <w:ind w:firstLine="480"/>
        <w:rPr>
          <w:rFonts w:ascii="Calibri" w:hAnsi="Calibri" w:eastAsia="宋体" w:cs="Times New Roman"/>
        </w:rPr>
      </w:pPr>
      <w:r>
        <w:rPr>
          <w:rFonts w:hint="eastAsia" w:ascii="Calibri" w:hAnsi="Calibri" w:eastAsia="宋体" w:cs="Times New Roman"/>
        </w:rPr>
        <w:t>（5）制止混合已分类投放的生活垃圾的行为。</w:t>
      </w:r>
    </w:p>
    <w:p w14:paraId="54B09137">
      <w:pPr>
        <w:shd w:val="clear"/>
        <w:ind w:firstLine="480"/>
        <w:rPr>
          <w:rFonts w:ascii="Calibri" w:hAnsi="Calibri" w:eastAsia="宋体" w:cs="Times New Roman"/>
        </w:rPr>
      </w:pPr>
      <w:r>
        <w:rPr>
          <w:rFonts w:hint="eastAsia" w:ascii="Calibri" w:hAnsi="Calibri" w:eastAsia="宋体" w:cs="Times New Roman"/>
        </w:rPr>
        <w:t>（6）除可回收物可以直接交售外，有害垃圾、餐厨垃圾和其他垃圾应当移交给有经营权的垃圾分类收集单位。</w:t>
      </w:r>
    </w:p>
    <w:p w14:paraId="2F7BC981">
      <w:pPr>
        <w:shd w:val="clear"/>
        <w:ind w:firstLine="480"/>
        <w:rPr>
          <w:rFonts w:ascii="Calibri" w:hAnsi="Calibri" w:eastAsia="宋体" w:cs="Times New Roman"/>
        </w:rPr>
      </w:pPr>
      <w:r>
        <w:rPr>
          <w:rFonts w:hint="eastAsia" w:ascii="Calibri" w:hAnsi="Calibri" w:eastAsia="宋体" w:cs="Times New Roman"/>
        </w:rPr>
        <w:t>（7）建立垃圾分类投放管理台账，记录责任区内产生的生活垃圾类别、数量、去向等情况，并于每月向主管部门报送上月的台账。</w:t>
      </w:r>
    </w:p>
    <w:p w14:paraId="3C57E097">
      <w:pPr>
        <w:shd w:val="clear"/>
        <w:ind w:firstLine="480"/>
        <w:rPr>
          <w:rFonts w:hint="eastAsia" w:ascii="Calibri" w:hAnsi="Calibri" w:eastAsia="宋体" w:cs="Times New Roman"/>
          <w:lang w:eastAsia="zh-CN"/>
        </w:rPr>
      </w:pPr>
      <w:r>
        <w:rPr>
          <w:rFonts w:hint="eastAsia" w:ascii="Calibri" w:hAnsi="Calibri" w:eastAsia="宋体" w:cs="Times New Roman"/>
        </w:rPr>
        <w:t>（8）</w:t>
      </w:r>
      <w:r>
        <w:rPr>
          <w:rFonts w:hint="eastAsia" w:ascii="Calibri" w:hAnsi="Calibri" w:eastAsia="宋体" w:cs="Times New Roman"/>
          <w:lang w:eastAsia="zh-CN"/>
        </w:rPr>
        <w:t>中标单位</w:t>
      </w:r>
      <w:r>
        <w:rPr>
          <w:rFonts w:hint="eastAsia" w:ascii="Calibri" w:hAnsi="Calibri" w:eastAsia="宋体" w:cs="Times New Roman"/>
        </w:rPr>
        <w:t>需要对生活垃圾进行分类投放、分类收集、分类运输、分类处置</w:t>
      </w:r>
      <w:r>
        <w:rPr>
          <w:rFonts w:hint="eastAsia" w:ascii="Calibri" w:hAnsi="Calibri" w:eastAsia="宋体" w:cs="Times New Roman"/>
          <w:lang w:eastAsia="zh-CN"/>
        </w:rPr>
        <w:t>。</w:t>
      </w:r>
    </w:p>
    <w:p w14:paraId="71150E51">
      <w:pPr>
        <w:shd w:val="clear"/>
        <w:ind w:firstLine="480"/>
        <w:rPr>
          <w:rFonts w:ascii="Calibri" w:hAnsi="Calibri" w:eastAsia="宋体" w:cs="Times New Roman"/>
        </w:rPr>
      </w:pPr>
      <w:r>
        <w:rPr>
          <w:rFonts w:hint="eastAsia" w:ascii="Calibri" w:hAnsi="Calibri" w:eastAsia="宋体" w:cs="Times New Roman"/>
        </w:rPr>
        <w:t>（9）</w:t>
      </w:r>
      <w:r>
        <w:rPr>
          <w:rFonts w:hint="eastAsia" w:ascii="Calibri" w:hAnsi="Calibri" w:eastAsia="宋体" w:cs="Times New Roman"/>
          <w:lang w:eastAsia="zh-CN"/>
        </w:rPr>
        <w:t>中标单位</w:t>
      </w:r>
      <w:r>
        <w:rPr>
          <w:rFonts w:hint="eastAsia" w:ascii="Calibri" w:hAnsi="Calibri" w:eastAsia="宋体" w:cs="Times New Roman"/>
        </w:rPr>
        <w:t>应当建设有害垃圾集中点临时存放有害垃圾。有害垃圾集中点应当符合危险废物贮存污染控制要求。</w:t>
      </w:r>
    </w:p>
    <w:p w14:paraId="5CC9D531">
      <w:pPr>
        <w:shd w:val="clear"/>
        <w:ind w:firstLine="480"/>
        <w:rPr>
          <w:rFonts w:ascii="Calibri" w:hAnsi="Calibri" w:eastAsia="宋体" w:cs="Times New Roman"/>
        </w:rPr>
      </w:pPr>
      <w:r>
        <w:rPr>
          <w:rFonts w:hint="eastAsia" w:ascii="Calibri" w:hAnsi="Calibri" w:eastAsia="宋体" w:cs="Times New Roman"/>
        </w:rPr>
        <w:t>（10）</w:t>
      </w:r>
      <w:r>
        <w:rPr>
          <w:rFonts w:hint="eastAsia" w:ascii="Calibri" w:hAnsi="Calibri" w:eastAsia="宋体" w:cs="Times New Roman"/>
          <w:lang w:eastAsia="zh-CN"/>
        </w:rPr>
        <w:t>中标单位</w:t>
      </w:r>
      <w:r>
        <w:rPr>
          <w:rFonts w:hint="eastAsia" w:ascii="Calibri" w:hAnsi="Calibri" w:eastAsia="宋体" w:cs="Times New Roman"/>
        </w:rPr>
        <w:t>应对根据服务区域内各责任区投放生活垃圾的类别、数量、作业时间等要求，配备相应的收集、运输设备和作业人员，把生活垃圾收集点的垃圾收集、运输至符合规定的生活垃圾转运站、贮存点或者处置场所。</w:t>
      </w:r>
    </w:p>
    <w:p w14:paraId="3F1750ED">
      <w:pPr>
        <w:shd w:val="clear"/>
        <w:ind w:firstLine="480"/>
        <w:rPr>
          <w:rFonts w:ascii="Calibri" w:hAnsi="Calibri" w:eastAsia="宋体" w:cs="Times New Roman"/>
        </w:rPr>
      </w:pPr>
      <w:r>
        <w:rPr>
          <w:rFonts w:hint="eastAsia" w:ascii="Calibri" w:hAnsi="Calibri" w:eastAsia="宋体" w:cs="Times New Roman"/>
        </w:rPr>
        <w:t>（</w:t>
      </w:r>
      <w:r>
        <w:rPr>
          <w:rFonts w:ascii="Calibri" w:hAnsi="Calibri" w:eastAsia="宋体" w:cs="Times New Roman"/>
        </w:rPr>
        <w:t>11</w:t>
      </w:r>
      <w:r>
        <w:rPr>
          <w:rFonts w:hint="eastAsia" w:ascii="Calibri" w:hAnsi="Calibri" w:eastAsia="宋体" w:cs="Times New Roman"/>
        </w:rPr>
        <w:t>）</w:t>
      </w:r>
      <w:r>
        <w:rPr>
          <w:rFonts w:hint="eastAsia" w:ascii="Calibri" w:hAnsi="Calibri" w:eastAsia="宋体" w:cs="Times New Roman"/>
          <w:lang w:eastAsia="zh-CN"/>
        </w:rPr>
        <w:t>中标单位</w:t>
      </w:r>
      <w:r>
        <w:rPr>
          <w:rFonts w:hint="eastAsia" w:ascii="Calibri" w:hAnsi="Calibri" w:eastAsia="宋体" w:cs="Times New Roman"/>
        </w:rPr>
        <w:t>应监督垃圾运输车辆实行密闭化运输，并在车身清晰地标示所运输生活垃圾的类别标识。</w:t>
      </w:r>
    </w:p>
    <w:p w14:paraId="656BA9DF">
      <w:pPr>
        <w:shd w:val="clear"/>
        <w:ind w:firstLine="480"/>
        <w:rPr>
          <w:rFonts w:ascii="Calibri" w:hAnsi="Calibri" w:eastAsia="宋体" w:cs="Times New Roman"/>
        </w:rPr>
      </w:pPr>
      <w:r>
        <w:rPr>
          <w:rFonts w:hint="eastAsia" w:ascii="Calibri" w:hAnsi="Calibri" w:eastAsia="宋体" w:cs="Times New Roman"/>
        </w:rPr>
        <w:t>（</w:t>
      </w:r>
      <w:r>
        <w:rPr>
          <w:rFonts w:ascii="Calibri" w:hAnsi="Calibri" w:eastAsia="宋体" w:cs="Times New Roman"/>
        </w:rPr>
        <w:t>12</w:t>
      </w:r>
      <w:r>
        <w:rPr>
          <w:rFonts w:hint="eastAsia" w:ascii="Calibri" w:hAnsi="Calibri" w:eastAsia="宋体" w:cs="Times New Roman"/>
        </w:rPr>
        <w:t>）垃圾分类、垃圾收集与垃圾清运严格按照规定的时间、频次、路线和要求分类收集、运输生活垃圾，不得沿途丢弃、遗撒生活垃圾或者滴漏污水。</w:t>
      </w:r>
    </w:p>
    <w:p w14:paraId="0A073502">
      <w:pPr>
        <w:shd w:val="clear"/>
        <w:ind w:firstLine="480"/>
        <w:rPr>
          <w:rFonts w:ascii="Calibri" w:hAnsi="Calibri" w:eastAsia="宋体" w:cs="Times New Roman"/>
        </w:rPr>
      </w:pPr>
      <w:r>
        <w:rPr>
          <w:rFonts w:hint="eastAsia" w:ascii="Calibri" w:hAnsi="Calibri" w:eastAsia="宋体" w:cs="Times New Roman"/>
        </w:rPr>
        <w:t>（</w:t>
      </w:r>
      <w:r>
        <w:rPr>
          <w:rFonts w:ascii="Calibri" w:hAnsi="Calibri" w:eastAsia="宋体" w:cs="Times New Roman"/>
        </w:rPr>
        <w:t>13</w:t>
      </w:r>
      <w:r>
        <w:rPr>
          <w:rFonts w:hint="eastAsia" w:ascii="Calibri" w:hAnsi="Calibri" w:eastAsia="宋体" w:cs="Times New Roman"/>
        </w:rPr>
        <w:t>）建立污染物排放监测制度和措施，按照工程技术规范、操作规程处理废水、废气、废渣、噪声等，保持收集、运输设施和周边环境整洁。</w:t>
      </w:r>
    </w:p>
    <w:p w14:paraId="0D1312CE">
      <w:pPr>
        <w:shd w:val="clear"/>
        <w:ind w:firstLine="480"/>
        <w:rPr>
          <w:rFonts w:ascii="Calibri" w:hAnsi="Calibri" w:eastAsia="宋体" w:cs="Times New Roman"/>
        </w:rPr>
      </w:pPr>
    </w:p>
    <w:p w14:paraId="26341C9C">
      <w:pPr>
        <w:shd w:val="clear"/>
        <w:ind w:firstLine="480"/>
        <w:rPr>
          <w:rFonts w:ascii="Calibri" w:hAnsi="Calibri" w:eastAsia="宋体" w:cs="Times New Roman"/>
          <w:b/>
        </w:rPr>
      </w:pPr>
      <w:r>
        <w:rPr>
          <w:rFonts w:hint="eastAsia" w:ascii="Calibri" w:hAnsi="Calibri" w:eastAsia="宋体" w:cs="Times New Roman"/>
          <w:b/>
        </w:rPr>
        <w:t>1.2.6垃圾外运</w:t>
      </w:r>
    </w:p>
    <w:p w14:paraId="40ECF41C">
      <w:pPr>
        <w:shd w:val="clear"/>
        <w:ind w:firstLine="420" w:firstLineChars="200"/>
        <w:rPr>
          <w:rFonts w:hint="eastAsia" w:ascii="Calibri" w:hAnsi="Calibri" w:eastAsia="宋体" w:cs="Times New Roman"/>
        </w:rPr>
      </w:pPr>
      <w:r>
        <w:rPr>
          <w:rFonts w:hint="eastAsia" w:ascii="Calibri" w:hAnsi="Calibri" w:eastAsia="宋体" w:cs="Times New Roman"/>
        </w:rPr>
        <w:t>负责校区内所有生活垃圾、绿化维护垃圾、秋冬季节产生的枯枝落叶垃圾、少量建筑垃圾、装潢垃圾、设施设备安装产生的垃圾等的外运配合工作。将垃圾及时转运至校内指定垃圾中转站（</w:t>
      </w:r>
      <w:r>
        <w:rPr>
          <w:rFonts w:ascii="宋体" w:hAnsi="宋体" w:eastAsia="宋体" w:cs="Times New Roman"/>
        </w:rPr>
        <w:t>日清运率达到100%；覆盖蓬布，密闭化运输，减少道路污染；车容车貌保持整洁，设备完好；清理完垃圾及时关好桶盖</w:t>
      </w:r>
      <w:r>
        <w:rPr>
          <w:rFonts w:hint="eastAsia" w:ascii="Calibri" w:hAnsi="Calibri" w:eastAsia="宋体" w:cs="Times New Roman"/>
        </w:rPr>
        <w:t>），对垃圾进行装车及路面清理。</w:t>
      </w:r>
      <w:r>
        <w:rPr>
          <w:rFonts w:hint="eastAsia" w:ascii="Calibri" w:hAnsi="Calibri" w:eastAsia="宋体" w:cs="Times New Roman"/>
          <w:highlight w:val="yellow"/>
        </w:rPr>
        <w:t>垃圾清运公司按照属地管理要求，由</w:t>
      </w:r>
      <w:r>
        <w:rPr>
          <w:rFonts w:hint="eastAsia" w:ascii="Calibri" w:hAnsi="Calibri" w:eastAsia="宋体" w:cs="Times New Roman"/>
          <w:highlight w:val="yellow"/>
          <w:lang w:eastAsia="zh-CN"/>
        </w:rPr>
        <w:t>中标单位</w:t>
      </w:r>
      <w:r>
        <w:rPr>
          <w:rFonts w:hint="eastAsia" w:cs="Times New Roman"/>
          <w:highlight w:val="yellow"/>
          <w:lang w:val="en-US" w:eastAsia="zh-CN"/>
        </w:rPr>
        <w:t>委托具有相应资质的单位进行服务</w:t>
      </w:r>
      <w:r>
        <w:rPr>
          <w:rFonts w:hint="eastAsia" w:ascii="Calibri" w:hAnsi="Calibri" w:eastAsia="宋体" w:cs="Times New Roman"/>
          <w:highlight w:val="yellow"/>
        </w:rPr>
        <w:t>，费用由</w:t>
      </w:r>
      <w:r>
        <w:rPr>
          <w:rFonts w:hint="eastAsia" w:ascii="Calibri" w:hAnsi="Calibri" w:eastAsia="宋体" w:cs="Times New Roman"/>
          <w:highlight w:val="yellow"/>
          <w:lang w:eastAsia="zh-CN"/>
        </w:rPr>
        <w:t>中标单位</w:t>
      </w:r>
      <w:r>
        <w:rPr>
          <w:rFonts w:hint="eastAsia" w:ascii="Calibri" w:hAnsi="Calibri" w:eastAsia="宋体" w:cs="Times New Roman"/>
          <w:highlight w:val="yellow"/>
        </w:rPr>
        <w:t>负责。</w:t>
      </w:r>
      <w:r>
        <w:rPr>
          <w:rFonts w:hint="eastAsia" w:ascii="Calibri" w:hAnsi="Calibri" w:eastAsia="宋体" w:cs="Times New Roman"/>
        </w:rPr>
        <w:t>负责学校因科研、教学、布展等活动产生的展板、毕设作品等特殊材料组成的大件垃圾清运工作。负责校区所有易腐垃圾清运工作：主要包括学生公寓宿舍内（含留学生厨房）产生的各类易腐垃圾、经营性商铺产生的水果、餐厨等各类易腐垃圾、食堂内产生的剩菜剩饭、蔬菜瓜果等厨余易腐垃圾。</w:t>
      </w:r>
    </w:p>
    <w:p w14:paraId="7676B47B">
      <w:pPr>
        <w:shd w:val="clear"/>
        <w:ind w:firstLine="480"/>
        <w:rPr>
          <w:rFonts w:ascii="Calibri" w:hAnsi="Calibri" w:eastAsia="宋体" w:cs="Times New Roman"/>
        </w:rPr>
      </w:pPr>
    </w:p>
    <w:p w14:paraId="4455FB85">
      <w:pPr>
        <w:shd w:val="clear"/>
        <w:ind w:firstLine="480"/>
        <w:rPr>
          <w:rFonts w:ascii="Calibri" w:hAnsi="Calibri" w:eastAsia="宋体" w:cs="Times New Roman"/>
          <w:b/>
        </w:rPr>
      </w:pPr>
      <w:r>
        <w:rPr>
          <w:rFonts w:hint="eastAsia" w:ascii="Calibri" w:hAnsi="Calibri" w:eastAsia="宋体" w:cs="Times New Roman"/>
          <w:b/>
        </w:rPr>
        <w:t>1.2.7湖池等水体</w:t>
      </w:r>
    </w:p>
    <w:p w14:paraId="25163594">
      <w:pPr>
        <w:shd w:val="clear"/>
        <w:ind w:firstLine="420" w:firstLineChars="200"/>
        <w:rPr>
          <w:rFonts w:ascii="Calibri" w:hAnsi="Calibri" w:eastAsia="宋体" w:cs="Times New Roman"/>
        </w:rPr>
      </w:pPr>
      <w:r>
        <w:rPr>
          <w:rFonts w:hint="eastAsia" w:ascii="Calibri" w:hAnsi="Calibri" w:eastAsia="宋体" w:cs="Times New Roman"/>
        </w:rPr>
        <w:t>（1）检查湖池等各类水体水质情况，定期打捞飘浮物，及时清理水体及岸边杂草，合理控制水生植物的生长，保证水质达标，保证目视湖池水清澈，水面无杂物，池边无污迹。</w:t>
      </w:r>
    </w:p>
    <w:p w14:paraId="1E0A26D7">
      <w:pPr>
        <w:shd w:val="clear"/>
        <w:ind w:firstLine="420" w:firstLineChars="200"/>
        <w:rPr>
          <w:rFonts w:hint="eastAsia" w:ascii="Calibri" w:hAnsi="Calibri" w:eastAsia="宋体" w:cs="Times New Roman"/>
        </w:rPr>
      </w:pPr>
      <w:r>
        <w:rPr>
          <w:rFonts w:hint="eastAsia" w:ascii="Calibri" w:hAnsi="Calibri" w:eastAsia="宋体" w:cs="Times New Roman"/>
        </w:rPr>
        <w:t>（2）合理设置安全温馨提示，标识明显，并安放救生圈。</w:t>
      </w:r>
    </w:p>
    <w:p w14:paraId="5DB7637F">
      <w:pPr>
        <w:shd w:val="clear"/>
        <w:ind w:firstLine="420" w:firstLineChars="200"/>
        <w:rPr>
          <w:rFonts w:ascii="Calibri" w:hAnsi="Calibri" w:eastAsia="宋体" w:cs="Times New Roman"/>
        </w:rPr>
      </w:pPr>
      <w:r>
        <w:rPr>
          <w:rFonts w:hint="eastAsia" w:ascii="Calibri" w:hAnsi="Calibri" w:eastAsia="宋体" w:cs="Times New Roman"/>
        </w:rPr>
        <w:t>（3）景观池塘鱼类、天鹅的饲养等（含饲料）以及疾病防治。</w:t>
      </w:r>
    </w:p>
    <w:p w14:paraId="5B8B3C5F">
      <w:pPr>
        <w:shd w:val="clear"/>
        <w:ind w:firstLine="420" w:firstLineChars="200"/>
        <w:rPr>
          <w:rFonts w:ascii="Calibri" w:hAnsi="Calibri" w:eastAsia="宋体" w:cs="Times New Roman"/>
        </w:rPr>
      </w:pPr>
      <w:r>
        <w:rPr>
          <w:rFonts w:hint="eastAsia" w:ascii="Calibri" w:hAnsi="Calibri" w:eastAsia="宋体" w:cs="Times New Roman"/>
        </w:rPr>
        <w:t>（4）水体岸堤、休闲小道卫生保洁。</w:t>
      </w:r>
    </w:p>
    <w:p w14:paraId="7CF05759">
      <w:pPr>
        <w:shd w:val="clear"/>
        <w:ind w:firstLine="482"/>
        <w:rPr>
          <w:rFonts w:ascii="Calibri" w:hAnsi="Calibri" w:eastAsia="宋体" w:cs="Times New Roman"/>
          <w:b/>
        </w:rPr>
      </w:pPr>
      <w:r>
        <w:rPr>
          <w:rFonts w:hint="eastAsia" w:ascii="Calibri" w:hAnsi="Calibri" w:eastAsia="宋体" w:cs="Times New Roman"/>
          <w:b/>
        </w:rPr>
        <w:t>1.2.8其他</w:t>
      </w:r>
    </w:p>
    <w:p w14:paraId="63F443CF">
      <w:pPr>
        <w:shd w:val="clear"/>
        <w:ind w:firstLine="420" w:firstLineChars="200"/>
        <w:rPr>
          <w:rFonts w:hint="eastAsia" w:ascii="Calibri" w:hAnsi="Calibri" w:eastAsia="宋体" w:cs="Times New Roman"/>
          <w:lang w:eastAsia="zh-CN"/>
        </w:rPr>
      </w:pPr>
      <w:r>
        <w:rPr>
          <w:rFonts w:hint="eastAsia" w:ascii="Calibri" w:hAnsi="Calibri" w:eastAsia="宋体" w:cs="Times New Roman"/>
        </w:rPr>
        <w:t>根据</w:t>
      </w:r>
      <w:r>
        <w:rPr>
          <w:rFonts w:hint="eastAsia" w:ascii="Calibri" w:hAnsi="Calibri" w:eastAsia="宋体" w:cs="Times New Roman"/>
          <w:lang w:eastAsia="zh-CN"/>
        </w:rPr>
        <w:t>学校</w:t>
      </w:r>
      <w:r>
        <w:rPr>
          <w:rFonts w:hint="eastAsia" w:ascii="Calibri" w:hAnsi="Calibri" w:eastAsia="宋体" w:cs="Times New Roman"/>
        </w:rPr>
        <w:t>要求，完成与环境保洁相关的其它服务内容</w:t>
      </w:r>
      <w:r>
        <w:rPr>
          <w:rFonts w:hint="eastAsia" w:ascii="Calibri" w:hAnsi="Calibri" w:eastAsia="宋体" w:cs="Times New Roman"/>
          <w:lang w:eastAsia="zh-CN"/>
        </w:rPr>
        <w:t>。</w:t>
      </w:r>
    </w:p>
    <w:p w14:paraId="4C6CC0FA">
      <w:pPr>
        <w:shd w:val="clear"/>
        <w:ind w:firstLine="480"/>
        <w:rPr>
          <w:rFonts w:ascii="Calibri" w:hAnsi="Calibri" w:eastAsia="宋体" w:cs="Times New Roman"/>
        </w:rPr>
      </w:pPr>
    </w:p>
    <w:p w14:paraId="1B426883">
      <w:pPr>
        <w:shd w:val="clear"/>
        <w:autoSpaceDE w:val="0"/>
        <w:autoSpaceDN w:val="0"/>
        <w:adjustRightInd w:val="0"/>
        <w:spacing w:line="360" w:lineRule="auto"/>
        <w:jc w:val="center"/>
        <w:outlineLvl w:val="0"/>
        <w:rPr>
          <w:rFonts w:ascii="Calibri" w:hAnsi="Calibri" w:eastAsia="隶书" w:cs="Times New Roman"/>
          <w:b/>
          <w:bCs/>
          <w:kern w:val="0"/>
          <w:sz w:val="36"/>
          <w:szCs w:val="36"/>
        </w:rPr>
      </w:pPr>
      <w:bookmarkStart w:id="42" w:name="_Toc90475281"/>
      <w:bookmarkStart w:id="43" w:name="_Toc97303136"/>
      <w:r>
        <w:rPr>
          <w:rFonts w:ascii="Calibri" w:hAnsi="Calibri" w:eastAsia="隶书" w:cs="Times New Roman"/>
          <w:b/>
          <w:bCs/>
          <w:kern w:val="0"/>
          <w:sz w:val="36"/>
          <w:szCs w:val="36"/>
        </w:rPr>
        <w:t>二、绿化管理</w:t>
      </w:r>
      <w:bookmarkEnd w:id="42"/>
      <w:bookmarkEnd w:id="43"/>
    </w:p>
    <w:p w14:paraId="23B0A075">
      <w:pPr>
        <w:keepNext/>
        <w:keepLines/>
        <w:shd w:val="clear"/>
        <w:spacing w:before="260" w:after="260" w:line="416" w:lineRule="auto"/>
        <w:outlineLvl w:val="1"/>
        <w:rPr>
          <w:rFonts w:ascii="Arial" w:hAnsi="Arial" w:eastAsia="黑体" w:cs="Times New Roman"/>
          <w:b/>
          <w:bCs/>
          <w:sz w:val="32"/>
          <w:szCs w:val="32"/>
        </w:rPr>
      </w:pPr>
      <w:bookmarkStart w:id="44" w:name="_Toc90475282"/>
      <w:bookmarkStart w:id="45" w:name="_Toc97303137"/>
      <w:r>
        <w:rPr>
          <w:rFonts w:hint="eastAsia" w:ascii="Arial" w:hAnsi="Arial" w:eastAsia="黑体" w:cs="Times New Roman"/>
          <w:b/>
          <w:bCs/>
          <w:sz w:val="32"/>
          <w:szCs w:val="32"/>
        </w:rPr>
        <w:t>2.1 总体要求</w:t>
      </w:r>
      <w:bookmarkEnd w:id="44"/>
      <w:bookmarkEnd w:id="45"/>
    </w:p>
    <w:p w14:paraId="56ED3FBE">
      <w:pPr>
        <w:shd w:val="clear"/>
        <w:ind w:firstLine="480"/>
        <w:rPr>
          <w:rFonts w:hint="eastAsia" w:ascii="Calibri" w:hAnsi="Calibri" w:eastAsia="宋体" w:cs="Times New Roman"/>
          <w:lang w:eastAsia="zh-CN"/>
        </w:rPr>
      </w:pPr>
      <w:r>
        <w:rPr>
          <w:rFonts w:ascii="Calibri" w:hAnsi="Calibri" w:eastAsia="宋体" w:cs="Times New Roman"/>
        </w:rPr>
        <w:t>2.</w:t>
      </w:r>
      <w:r>
        <w:rPr>
          <w:rFonts w:hint="eastAsia" w:ascii="Calibri" w:hAnsi="Calibri" w:eastAsia="宋体" w:cs="Times New Roman"/>
        </w:rPr>
        <w:t>1.1 临平校区绿化养护，面积约</w:t>
      </w:r>
      <w:r>
        <w:rPr>
          <w:rFonts w:ascii="Calibri" w:hAnsi="Calibri" w:eastAsia="宋体" w:cs="Times New Roman"/>
        </w:rPr>
        <w:t>110037</w:t>
      </w:r>
      <w:r>
        <w:rPr>
          <w:rFonts w:hint="eastAsia" w:ascii="Calibri" w:hAnsi="Calibri" w:eastAsia="宋体" w:cs="Times New Roman"/>
        </w:rPr>
        <w:t>㎡</w:t>
      </w:r>
      <w:r>
        <w:rPr>
          <w:rFonts w:hint="eastAsia" w:ascii="Calibri" w:hAnsi="Calibri" w:eastAsia="宋体" w:cs="Times New Roman"/>
          <w:lang w:eastAsia="zh-CN"/>
        </w:rPr>
        <w:t>。</w:t>
      </w:r>
    </w:p>
    <w:p w14:paraId="2EDBBC95">
      <w:pPr>
        <w:shd w:val="clear"/>
        <w:ind w:firstLine="480"/>
        <w:rPr>
          <w:rFonts w:hint="eastAsia" w:ascii="Calibri" w:hAnsi="Calibri" w:eastAsia="宋体" w:cs="Times New Roman"/>
        </w:rPr>
      </w:pPr>
      <w:r>
        <w:rPr>
          <w:rFonts w:ascii="Calibri" w:hAnsi="Calibri" w:eastAsia="宋体" w:cs="Times New Roman"/>
        </w:rPr>
        <w:t>2.</w:t>
      </w:r>
      <w:r>
        <w:rPr>
          <w:rFonts w:hint="eastAsia" w:ascii="Calibri" w:hAnsi="Calibri" w:eastAsia="宋体" w:cs="Times New Roman"/>
        </w:rPr>
        <w:t>1.2 临平校区图书馆、学生公寓及教学楼宇一楼大厅、食堂大厅（含包厢）、蚕学馆、报告厅、接待室、值班室等公共区域绿色植物摆放，具体数量最终以现场校方需求为准，费用由</w:t>
      </w:r>
      <w:r>
        <w:rPr>
          <w:rFonts w:hint="eastAsia" w:ascii="Calibri" w:hAnsi="Calibri" w:eastAsia="宋体" w:cs="Times New Roman"/>
          <w:lang w:eastAsia="zh-CN"/>
        </w:rPr>
        <w:t>中标单位</w:t>
      </w:r>
      <w:r>
        <w:rPr>
          <w:rFonts w:hint="eastAsia" w:ascii="Calibri" w:hAnsi="Calibri" w:eastAsia="宋体" w:cs="Times New Roman"/>
        </w:rPr>
        <w:t>负责。</w:t>
      </w:r>
    </w:p>
    <w:p w14:paraId="3C908588">
      <w:pPr>
        <w:shd w:val="clear"/>
        <w:ind w:firstLine="480"/>
        <w:rPr>
          <w:rFonts w:ascii="Calibri" w:hAnsi="Calibri" w:eastAsia="宋体" w:cs="Times New Roman"/>
        </w:rPr>
      </w:pPr>
      <w:r>
        <w:rPr>
          <w:rFonts w:ascii="Calibri" w:hAnsi="Calibri" w:eastAsia="宋体" w:cs="Times New Roman"/>
        </w:rPr>
        <w:t>2.1.</w:t>
      </w:r>
      <w:r>
        <w:rPr>
          <w:rFonts w:hint="eastAsia" w:ascii="Calibri" w:hAnsi="Calibri" w:eastAsia="宋体" w:cs="Times New Roman"/>
        </w:rPr>
        <w:t>3临平校区人员设置：为确保绿化养护质量，要求绿化养护专职人员不少于8人的标准设置服务岗位，负责养护工作。</w:t>
      </w:r>
    </w:p>
    <w:p w14:paraId="4FC06339">
      <w:pPr>
        <w:shd w:val="clear"/>
        <w:ind w:firstLine="480"/>
        <w:rPr>
          <w:rFonts w:ascii="Calibri" w:hAnsi="Calibri" w:eastAsia="宋体" w:cs="Times New Roman"/>
        </w:rPr>
      </w:pPr>
      <w:r>
        <w:rPr>
          <w:rFonts w:ascii="Calibri" w:hAnsi="Calibri" w:eastAsia="宋体" w:cs="Times New Roman"/>
        </w:rPr>
        <w:t>2.1.</w:t>
      </w:r>
      <w:r>
        <w:rPr>
          <w:rFonts w:hint="eastAsia" w:ascii="Calibri" w:hAnsi="Calibri" w:eastAsia="宋体" w:cs="Times New Roman"/>
        </w:rPr>
        <w:t>4严格遵守学校校园管理的相关规定。</w:t>
      </w:r>
    </w:p>
    <w:p w14:paraId="34E3EB08">
      <w:pPr>
        <w:keepNext/>
        <w:keepLines/>
        <w:shd w:val="clear"/>
        <w:spacing w:before="260" w:after="260" w:line="416" w:lineRule="auto"/>
        <w:outlineLvl w:val="1"/>
        <w:rPr>
          <w:rFonts w:ascii="Arial" w:hAnsi="Arial" w:eastAsia="黑体" w:cs="Times New Roman"/>
          <w:b/>
          <w:bCs/>
          <w:sz w:val="32"/>
          <w:szCs w:val="32"/>
        </w:rPr>
      </w:pPr>
      <w:bookmarkStart w:id="46" w:name="_Toc90475283"/>
      <w:bookmarkStart w:id="47" w:name="_Toc97303138"/>
      <w:r>
        <w:rPr>
          <w:rFonts w:hint="eastAsia" w:ascii="Arial" w:hAnsi="Arial" w:eastAsia="黑体" w:cs="Times New Roman"/>
          <w:b/>
          <w:bCs/>
          <w:sz w:val="32"/>
          <w:szCs w:val="32"/>
        </w:rPr>
        <w:t>2.2 绿化养护内容要求</w:t>
      </w:r>
      <w:bookmarkEnd w:id="46"/>
      <w:bookmarkEnd w:id="47"/>
    </w:p>
    <w:p w14:paraId="760E01FB">
      <w:pPr>
        <w:widowControl/>
        <w:shd w:val="clear"/>
        <w:spacing w:line="288" w:lineRule="auto"/>
        <w:ind w:firstLine="480"/>
        <w:rPr>
          <w:rFonts w:ascii="Calibri" w:hAnsi="Calibri" w:eastAsia="宋体" w:cs="Times New Roman"/>
        </w:rPr>
      </w:pPr>
      <w:r>
        <w:rPr>
          <w:rFonts w:hint="eastAsia" w:ascii="Calibri" w:hAnsi="Calibri" w:eastAsia="宋体" w:cs="Times New Roman"/>
        </w:rPr>
        <w:t>2.</w:t>
      </w:r>
      <w:r>
        <w:rPr>
          <w:rFonts w:ascii="Calibri" w:hAnsi="Calibri" w:eastAsia="宋体" w:cs="Times New Roman"/>
        </w:rPr>
        <w:t>2.</w:t>
      </w:r>
      <w:r>
        <w:rPr>
          <w:rFonts w:hint="eastAsia" w:ascii="Calibri" w:hAnsi="Calibri" w:eastAsia="宋体" w:cs="Times New Roman"/>
        </w:rPr>
        <w:t>1 负责树木、灌木、草坪的整形、剪枝、修平。树木修剪每年不少于一次，灌木、草坪视季节经常修剪保持平整。</w:t>
      </w:r>
    </w:p>
    <w:p w14:paraId="0C0EA072">
      <w:pPr>
        <w:widowControl/>
        <w:shd w:val="clear"/>
        <w:spacing w:line="288" w:lineRule="auto"/>
        <w:ind w:firstLine="480"/>
        <w:rPr>
          <w:rFonts w:ascii="Calibri" w:hAnsi="Calibri" w:eastAsia="宋体" w:cs="Times New Roman"/>
        </w:rPr>
      </w:pPr>
      <w:r>
        <w:rPr>
          <w:rFonts w:ascii="Calibri" w:hAnsi="Calibri" w:eastAsia="宋体" w:cs="Times New Roman"/>
        </w:rPr>
        <w:t>2.</w:t>
      </w:r>
      <w:r>
        <w:rPr>
          <w:rFonts w:hint="eastAsia" w:ascii="Calibri" w:hAnsi="Calibri" w:eastAsia="宋体" w:cs="Times New Roman"/>
        </w:rPr>
        <w:t>2.2 根据季节及气候的不同，负责对树木、灌木、草坪进行经常性的浇水（严禁使用自来水），做到树茂、草青。根据树木生长特点，必须在适合的季节将部分植物进行适当地移植或根据校方要求移栽植物（需动用大型机械吊移的，费用另算），并确保成活。</w:t>
      </w:r>
    </w:p>
    <w:p w14:paraId="0DFC1C56">
      <w:pPr>
        <w:widowControl/>
        <w:shd w:val="clear"/>
        <w:spacing w:line="288" w:lineRule="auto"/>
        <w:ind w:firstLine="480"/>
        <w:rPr>
          <w:rFonts w:ascii="Calibri" w:hAnsi="Calibri" w:eastAsia="宋体" w:cs="Times New Roman"/>
        </w:rPr>
      </w:pPr>
      <w:r>
        <w:rPr>
          <w:rFonts w:ascii="Calibri" w:hAnsi="Calibri" w:eastAsia="宋体" w:cs="Times New Roman"/>
        </w:rPr>
        <w:t>2.</w:t>
      </w:r>
      <w:r>
        <w:rPr>
          <w:rFonts w:hint="eastAsia" w:ascii="Calibri" w:hAnsi="Calibri" w:eastAsia="宋体" w:cs="Times New Roman"/>
        </w:rPr>
        <w:t xml:space="preserve">2.3 </w:t>
      </w:r>
      <w:r>
        <w:rPr>
          <w:rFonts w:ascii="Calibri" w:hAnsi="Calibri" w:eastAsia="宋体" w:cs="Times New Roman"/>
        </w:rPr>
        <w:t>土壤疏松，无积水，根据植物生长特性及时施肥，</w:t>
      </w:r>
      <w:r>
        <w:rPr>
          <w:rFonts w:hint="eastAsia" w:ascii="Calibri" w:hAnsi="Calibri" w:eastAsia="宋体" w:cs="Times New Roman"/>
        </w:rPr>
        <w:t>春、夏</w:t>
      </w:r>
      <w:r>
        <w:rPr>
          <w:rFonts w:ascii="Calibri" w:hAnsi="Calibri" w:eastAsia="宋体" w:cs="Times New Roman"/>
        </w:rPr>
        <w:t>充分利用有机肥（要求一年施肥二次，每次用腐熟豆饼</w:t>
      </w:r>
      <w:r>
        <w:rPr>
          <w:rFonts w:hint="eastAsia" w:ascii="Calibri" w:hAnsi="Calibri" w:eastAsia="宋体" w:cs="Times New Roman"/>
        </w:rPr>
        <w:t>等</w:t>
      </w:r>
      <w:r>
        <w:rPr>
          <w:rFonts w:ascii="Calibri" w:hAnsi="Calibri" w:eastAsia="宋体" w:cs="Times New Roman"/>
        </w:rPr>
        <w:t>）</w:t>
      </w:r>
      <w:r>
        <w:rPr>
          <w:rFonts w:hint="eastAsia" w:ascii="Calibri" w:hAnsi="Calibri" w:eastAsia="宋体" w:cs="Times New Roman"/>
        </w:rPr>
        <w:t>；也可选用农用化肥（复合肥）普遍施肥二次（肥料由</w:t>
      </w:r>
      <w:r>
        <w:rPr>
          <w:rFonts w:hint="eastAsia" w:ascii="Calibri" w:hAnsi="Calibri" w:eastAsia="宋体" w:cs="Times New Roman"/>
          <w:lang w:eastAsia="zh-CN"/>
        </w:rPr>
        <w:t>中标单位</w:t>
      </w:r>
      <w:r>
        <w:rPr>
          <w:rFonts w:hint="eastAsia" w:ascii="Calibri" w:hAnsi="Calibri" w:eastAsia="宋体" w:cs="Times New Roman"/>
        </w:rPr>
        <w:t>提供）</w:t>
      </w:r>
      <w:r>
        <w:rPr>
          <w:rFonts w:ascii="Calibri" w:hAnsi="Calibri" w:eastAsia="宋体" w:cs="Times New Roman"/>
        </w:rPr>
        <w:t>，增强土壤肥力，改善土壤理化性状。</w:t>
      </w:r>
    </w:p>
    <w:p w14:paraId="5B406488">
      <w:pPr>
        <w:widowControl/>
        <w:shd w:val="clear"/>
        <w:spacing w:line="288" w:lineRule="auto"/>
        <w:ind w:firstLine="480"/>
        <w:rPr>
          <w:rFonts w:ascii="Calibri" w:hAnsi="Calibri" w:eastAsia="宋体" w:cs="Times New Roman"/>
        </w:rPr>
      </w:pPr>
      <w:r>
        <w:rPr>
          <w:rFonts w:ascii="Calibri" w:hAnsi="Calibri" w:eastAsia="宋体" w:cs="Times New Roman"/>
        </w:rPr>
        <w:t>2.</w:t>
      </w:r>
      <w:r>
        <w:rPr>
          <w:rFonts w:hint="eastAsia" w:ascii="Calibri" w:hAnsi="Calibri" w:eastAsia="宋体" w:cs="Times New Roman"/>
        </w:rPr>
        <w:t>2.4 负责巡查发现虫害并及时防治。</w:t>
      </w:r>
      <w:r>
        <w:rPr>
          <w:rFonts w:ascii="Calibri" w:hAnsi="Calibri" w:eastAsia="宋体" w:cs="Times New Roman"/>
        </w:rPr>
        <w:t> 提倡综合防治，以防为主。病虫害危害应控制在以不影响观赏效果的范围之内。其中食叶性害虫危害的叶片，每株不超过5%；刺吸性害虫危害的叶片，每株不超过10%；无蛀干性害虫的活虫、活卵。</w:t>
      </w:r>
      <w:r>
        <w:rPr>
          <w:rFonts w:hint="eastAsia" w:ascii="Calibri" w:hAnsi="Calibri" w:eastAsia="宋体" w:cs="Times New Roman"/>
        </w:rPr>
        <w:t>杜绝校内的树木、灌木、草坪有大面积虫害现象的发生。</w:t>
      </w:r>
    </w:p>
    <w:p w14:paraId="7ADB0DD0">
      <w:pPr>
        <w:widowControl/>
        <w:shd w:val="clear"/>
        <w:spacing w:line="288" w:lineRule="auto"/>
        <w:ind w:firstLine="480"/>
        <w:rPr>
          <w:rFonts w:ascii="Calibri" w:hAnsi="Calibri" w:eastAsia="宋体" w:cs="Times New Roman"/>
        </w:rPr>
      </w:pPr>
      <w:r>
        <w:rPr>
          <w:rFonts w:ascii="Calibri" w:hAnsi="Calibri" w:eastAsia="宋体" w:cs="Times New Roman"/>
        </w:rPr>
        <w:t>2.</w:t>
      </w:r>
      <w:r>
        <w:rPr>
          <w:rFonts w:hint="eastAsia" w:ascii="Calibri" w:hAnsi="Calibri" w:eastAsia="宋体" w:cs="Times New Roman"/>
        </w:rPr>
        <w:t>2.5 负责及时清理绿地内杂物、枯枝、垃圾、杂草等，确保绿化范围内整洁、美观，做好防台风加固。</w:t>
      </w:r>
    </w:p>
    <w:p w14:paraId="21A1BE74">
      <w:pPr>
        <w:widowControl/>
        <w:shd w:val="clear"/>
        <w:spacing w:line="288" w:lineRule="auto"/>
        <w:ind w:firstLine="480"/>
        <w:rPr>
          <w:rFonts w:ascii="Calibri" w:hAnsi="Calibri" w:eastAsia="宋体" w:cs="Times New Roman"/>
        </w:rPr>
      </w:pPr>
      <w:r>
        <w:rPr>
          <w:rFonts w:ascii="Calibri" w:hAnsi="Calibri" w:eastAsia="宋体" w:cs="Times New Roman"/>
        </w:rPr>
        <w:t>2.</w:t>
      </w:r>
      <w:r>
        <w:rPr>
          <w:rFonts w:hint="eastAsia" w:ascii="Calibri" w:hAnsi="Calibri" w:eastAsia="宋体" w:cs="Times New Roman"/>
        </w:rPr>
        <w:t>2.6 负责做好冬季名贵树木及一般树木的保暖与防虫措施。一般树木的树干要涂刷白石灰，高度不低于1.2米用以防虫。</w:t>
      </w:r>
    </w:p>
    <w:p w14:paraId="54168500">
      <w:pPr>
        <w:widowControl/>
        <w:shd w:val="clear"/>
        <w:spacing w:line="288" w:lineRule="auto"/>
        <w:ind w:firstLine="480"/>
        <w:rPr>
          <w:rFonts w:ascii="Calibri" w:hAnsi="Calibri" w:eastAsia="宋体" w:cs="Times New Roman"/>
        </w:rPr>
      </w:pPr>
      <w:r>
        <w:rPr>
          <w:rFonts w:ascii="Calibri" w:hAnsi="Calibri" w:eastAsia="宋体" w:cs="Times New Roman"/>
        </w:rPr>
        <w:t>2.</w:t>
      </w:r>
      <w:r>
        <w:rPr>
          <w:rFonts w:hint="eastAsia" w:ascii="Calibri" w:hAnsi="Calibri" w:eastAsia="宋体" w:cs="Times New Roman"/>
        </w:rPr>
        <w:t>2.7 负责校园内盆栽养护。</w:t>
      </w:r>
    </w:p>
    <w:p w14:paraId="229110B9">
      <w:pPr>
        <w:shd w:val="clear"/>
        <w:ind w:firstLine="480"/>
        <w:rPr>
          <w:rFonts w:ascii="Calibri" w:hAnsi="Calibri" w:eastAsia="宋体" w:cs="Times New Roman"/>
        </w:rPr>
      </w:pPr>
      <w:r>
        <w:rPr>
          <w:rFonts w:ascii="Calibri" w:hAnsi="Calibri" w:eastAsia="宋体" w:cs="Times New Roman"/>
        </w:rPr>
        <w:t>2.</w:t>
      </w:r>
      <w:r>
        <w:rPr>
          <w:rFonts w:hint="eastAsia" w:ascii="Calibri" w:hAnsi="Calibri" w:eastAsia="宋体" w:cs="Times New Roman"/>
        </w:rPr>
        <w:t>2.8 负责校园内绿地养护，</w:t>
      </w:r>
      <w:r>
        <w:rPr>
          <w:rFonts w:ascii="Calibri" w:hAnsi="Calibri" w:eastAsia="宋体" w:cs="Times New Roman"/>
        </w:rPr>
        <w:t>草坪覆盖率达到9</w:t>
      </w:r>
      <w:r>
        <w:rPr>
          <w:rFonts w:hint="eastAsia" w:ascii="Calibri" w:hAnsi="Calibri" w:eastAsia="宋体" w:cs="Times New Roman"/>
        </w:rPr>
        <w:t>5</w:t>
      </w:r>
      <w:r>
        <w:rPr>
          <w:rFonts w:ascii="Calibri" w:hAnsi="Calibri" w:eastAsia="宋体" w:cs="Times New Roman"/>
        </w:rPr>
        <w:t>%以上，生长旺盛，草根基本不裸露；叶色正常，生长季节基本无枯黄；及时对绿地整治修剪，高度控制在10cm以下；及时除掉杂草，年除杂草七遍以上，杂草率10%以下；干旱、高温季节基本保持有效供水，有低洼及时平整，基本无积水；按生长情况，适时适量施有机肥二遍；及时做好病虫害防治理。</w:t>
      </w:r>
    </w:p>
    <w:p w14:paraId="45B3DE38">
      <w:pPr>
        <w:widowControl/>
        <w:shd w:val="clear"/>
        <w:spacing w:line="288" w:lineRule="auto"/>
        <w:ind w:firstLine="480"/>
        <w:rPr>
          <w:rFonts w:ascii="Calibri" w:hAnsi="Calibri" w:eastAsia="宋体" w:cs="Times New Roman"/>
        </w:rPr>
      </w:pPr>
      <w:r>
        <w:rPr>
          <w:rFonts w:ascii="Calibri" w:hAnsi="Calibri" w:eastAsia="宋体" w:cs="Times New Roman"/>
        </w:rPr>
        <w:t>2.</w:t>
      </w:r>
      <w:r>
        <w:rPr>
          <w:rFonts w:hint="eastAsia" w:ascii="Calibri" w:hAnsi="Calibri" w:eastAsia="宋体" w:cs="Times New Roman"/>
        </w:rPr>
        <w:t>2.9 负责日常常规范围下所需要的会议、活动等绿植摆放，校方提供需求。</w:t>
      </w:r>
    </w:p>
    <w:p w14:paraId="37C0F401">
      <w:pPr>
        <w:widowControl/>
        <w:shd w:val="clear"/>
        <w:spacing w:line="288" w:lineRule="auto"/>
        <w:ind w:firstLine="480"/>
        <w:rPr>
          <w:rFonts w:ascii="Calibri" w:hAnsi="Calibri" w:eastAsia="宋体" w:cs="Times New Roman"/>
        </w:rPr>
      </w:pPr>
      <w:r>
        <w:rPr>
          <w:rFonts w:ascii="Calibri" w:hAnsi="Calibri" w:eastAsia="宋体" w:cs="Times New Roman"/>
        </w:rPr>
        <w:t>2.</w:t>
      </w:r>
      <w:r>
        <w:rPr>
          <w:rFonts w:hint="eastAsia" w:ascii="Calibri" w:hAnsi="Calibri" w:eastAsia="宋体" w:cs="Times New Roman"/>
        </w:rPr>
        <w:t>2.10 接受校方因工作需要指定的其它绿化养护工作，如冬季播种草籽等。</w:t>
      </w:r>
    </w:p>
    <w:p w14:paraId="3139C595">
      <w:pPr>
        <w:widowControl/>
        <w:shd w:val="clear"/>
        <w:spacing w:line="288" w:lineRule="auto"/>
        <w:ind w:firstLine="480"/>
        <w:rPr>
          <w:rFonts w:hint="eastAsia" w:ascii="Calibri" w:hAnsi="Calibri" w:eastAsia="宋体" w:cs="Times New Roman"/>
        </w:rPr>
      </w:pPr>
      <w:r>
        <w:rPr>
          <w:rFonts w:hint="eastAsia" w:ascii="Calibri" w:hAnsi="Calibri" w:eastAsia="宋体" w:cs="Times New Roman"/>
        </w:rPr>
        <w:t>2.2.11 负责学校绿化改造后的各类绿植养护工作。</w:t>
      </w:r>
    </w:p>
    <w:p w14:paraId="3A9F9DE0">
      <w:pPr>
        <w:widowControl/>
        <w:shd w:val="clear"/>
        <w:spacing w:line="288" w:lineRule="auto"/>
        <w:ind w:firstLine="480"/>
        <w:rPr>
          <w:rFonts w:hint="eastAsia" w:ascii="Calibri" w:hAnsi="Calibri" w:eastAsia="宋体" w:cs="Times New Roman"/>
        </w:rPr>
      </w:pPr>
      <w:r>
        <w:rPr>
          <w:rFonts w:hint="eastAsia" w:ascii="Calibri" w:hAnsi="Calibri" w:eastAsia="宋体" w:cs="Times New Roman"/>
        </w:rPr>
        <w:t>2.2.12 合同期内负责校区裸土或稀疏绿地补种一次，面积约4000平方米，灌木、草皮及其他绿植改造提升。</w:t>
      </w:r>
    </w:p>
    <w:p w14:paraId="5D990133">
      <w:pPr>
        <w:widowControl/>
        <w:shd w:val="clear"/>
        <w:spacing w:line="288" w:lineRule="auto"/>
        <w:ind w:firstLine="480"/>
        <w:rPr>
          <w:rFonts w:hint="eastAsia" w:ascii="Calibri" w:hAnsi="Calibri" w:eastAsia="宋体" w:cs="Times New Roman"/>
        </w:rPr>
      </w:pPr>
    </w:p>
    <w:p w14:paraId="06475E6B">
      <w:pPr>
        <w:keepNext/>
        <w:keepLines/>
        <w:shd w:val="clear"/>
        <w:spacing w:before="260" w:after="260" w:line="416" w:lineRule="auto"/>
        <w:outlineLvl w:val="1"/>
        <w:rPr>
          <w:rFonts w:ascii="Arial" w:hAnsi="Arial" w:eastAsia="黑体" w:cs="Times New Roman"/>
          <w:b/>
          <w:bCs/>
          <w:sz w:val="32"/>
          <w:szCs w:val="32"/>
        </w:rPr>
      </w:pPr>
      <w:bookmarkStart w:id="48" w:name="_Toc90475285"/>
      <w:bookmarkStart w:id="49" w:name="_Toc97303140"/>
      <w:r>
        <w:rPr>
          <w:rFonts w:hint="eastAsia" w:ascii="Arial" w:hAnsi="Arial" w:eastAsia="黑体" w:cs="Times New Roman"/>
          <w:b/>
          <w:bCs/>
          <w:sz w:val="32"/>
          <w:szCs w:val="32"/>
        </w:rPr>
        <w:t>2.3 摆放养护内容要求</w:t>
      </w:r>
      <w:bookmarkEnd w:id="48"/>
      <w:bookmarkEnd w:id="49"/>
    </w:p>
    <w:p w14:paraId="3D03ED2D">
      <w:pPr>
        <w:shd w:val="clear"/>
        <w:ind w:firstLine="482"/>
        <w:rPr>
          <w:rFonts w:ascii="Calibri" w:hAnsi="Calibri" w:eastAsia="宋体" w:cs="Times New Roman"/>
          <w:b/>
        </w:rPr>
      </w:pPr>
      <w:bookmarkStart w:id="50" w:name="_Toc90475286"/>
      <w:r>
        <w:rPr>
          <w:rFonts w:hint="eastAsia" w:ascii="Calibri" w:hAnsi="Calibri" w:eastAsia="宋体" w:cs="Times New Roman"/>
          <w:b/>
          <w:lang w:val="en-US" w:eastAsia="zh-CN"/>
        </w:rPr>
        <w:t>2.3.</w:t>
      </w:r>
      <w:r>
        <w:rPr>
          <w:rFonts w:hint="eastAsia" w:ascii="Calibri" w:hAnsi="Calibri" w:eastAsia="宋体" w:cs="Times New Roman"/>
          <w:b/>
        </w:rPr>
        <w:t>1 绿色植物摆放地点</w:t>
      </w:r>
      <w:bookmarkEnd w:id="50"/>
    </w:p>
    <w:p w14:paraId="5C13E771">
      <w:pPr>
        <w:widowControl/>
        <w:shd w:val="clear"/>
        <w:spacing w:line="288" w:lineRule="auto"/>
        <w:ind w:firstLine="480"/>
        <w:rPr>
          <w:rFonts w:ascii="Calibri" w:hAnsi="等线" w:eastAsia="宋体" w:cs="Times New Roman"/>
        </w:rPr>
      </w:pPr>
      <w:r>
        <w:rPr>
          <w:rFonts w:hint="eastAsia" w:ascii="Calibri" w:hAnsi="Calibri" w:eastAsia="宋体" w:cs="Times New Roman"/>
        </w:rPr>
        <w:t>临平校区图书馆、各学院楼大厅、学生公寓及教学楼宇一楼大厅、食堂大厅（含包厢）、蚕学馆、报告厅、校级会议室、接待室、值班室等公共区域绿色植物摆放，临平校区开学迎新、校庆等大型校级活动期间的草花摆放、氛围布置。具体具体数量最终以现场校方需求为准，费用由</w:t>
      </w:r>
      <w:r>
        <w:rPr>
          <w:rFonts w:hint="eastAsia" w:ascii="Calibri" w:hAnsi="Calibri" w:eastAsia="宋体" w:cs="Times New Roman"/>
          <w:lang w:eastAsia="zh-CN"/>
        </w:rPr>
        <w:t>中标单位</w:t>
      </w:r>
      <w:r>
        <w:rPr>
          <w:rFonts w:hint="eastAsia" w:ascii="Calibri" w:hAnsi="Calibri" w:eastAsia="宋体" w:cs="Times New Roman"/>
        </w:rPr>
        <w:t>负责。</w:t>
      </w:r>
    </w:p>
    <w:p w14:paraId="37814E8A">
      <w:pPr>
        <w:shd w:val="clear"/>
        <w:ind w:firstLine="482"/>
        <w:rPr>
          <w:rFonts w:ascii="Calibri" w:hAnsi="Calibri" w:eastAsia="宋体" w:cs="Times New Roman"/>
          <w:b/>
        </w:rPr>
      </w:pPr>
      <w:bookmarkStart w:id="51" w:name="_Toc90475287"/>
      <w:r>
        <w:rPr>
          <w:rFonts w:hint="eastAsia" w:ascii="Calibri" w:hAnsi="Calibri" w:eastAsia="宋体" w:cs="Times New Roman"/>
          <w:b/>
          <w:lang w:val="en-US" w:eastAsia="zh-CN"/>
        </w:rPr>
        <w:t>2.3.</w:t>
      </w:r>
      <w:r>
        <w:rPr>
          <w:rFonts w:hint="eastAsia" w:ascii="Calibri" w:hAnsi="Calibri" w:eastAsia="宋体" w:cs="Times New Roman"/>
          <w:b/>
        </w:rPr>
        <w:t>2 绿色植物摆放要求</w:t>
      </w:r>
      <w:bookmarkEnd w:id="51"/>
    </w:p>
    <w:p w14:paraId="21E1A846">
      <w:pPr>
        <w:widowControl/>
        <w:shd w:val="clear"/>
        <w:spacing w:line="288" w:lineRule="auto"/>
        <w:ind w:firstLine="420" w:firstLineChars="200"/>
        <w:rPr>
          <w:rFonts w:hint="eastAsia" w:ascii="Calibri" w:hAnsi="等线" w:eastAsia="宋体" w:cs="Times New Roman"/>
          <w:lang w:eastAsia="zh-CN"/>
        </w:rPr>
      </w:pPr>
      <w:r>
        <w:rPr>
          <w:rFonts w:hint="eastAsia" w:ascii="Calibri" w:hAnsi="等线" w:eastAsia="宋体" w:cs="Times New Roman"/>
        </w:rPr>
        <w:t>（1）搭配合理，美观大方，及时更换（含养护）</w:t>
      </w:r>
      <w:r>
        <w:rPr>
          <w:rFonts w:hint="eastAsia" w:ascii="Calibri" w:hAnsi="等线" w:eastAsia="宋体" w:cs="Times New Roman"/>
          <w:lang w:eastAsia="zh-CN"/>
        </w:rPr>
        <w:t>。</w:t>
      </w:r>
    </w:p>
    <w:p w14:paraId="0B4D7757">
      <w:pPr>
        <w:widowControl/>
        <w:shd w:val="clear"/>
        <w:spacing w:line="288" w:lineRule="auto"/>
        <w:ind w:firstLine="420" w:firstLineChars="200"/>
        <w:rPr>
          <w:rFonts w:ascii="Calibri" w:hAnsi="等线" w:eastAsia="宋体" w:cs="Times New Roman"/>
        </w:rPr>
      </w:pPr>
      <w:r>
        <w:rPr>
          <w:rFonts w:hint="eastAsia" w:ascii="Calibri" w:hAnsi="等线" w:eastAsia="宋体" w:cs="Times New Roman"/>
        </w:rPr>
        <w:t>（2）摆放植物需得到校方认可，绿色植物摆放含盆景、高档时花。</w:t>
      </w:r>
    </w:p>
    <w:p w14:paraId="75D5C44C">
      <w:pPr>
        <w:widowControl/>
        <w:shd w:val="clear"/>
        <w:spacing w:line="288" w:lineRule="auto"/>
        <w:rPr>
          <w:rFonts w:ascii="Calibri" w:hAnsi="等线" w:eastAsia="宋体" w:cs="Times New Roman"/>
        </w:rPr>
      </w:pPr>
    </w:p>
    <w:p w14:paraId="4839A3DE">
      <w:pPr>
        <w:shd w:val="clear"/>
        <w:autoSpaceDE w:val="0"/>
        <w:autoSpaceDN w:val="0"/>
        <w:adjustRightInd w:val="0"/>
        <w:spacing w:line="360" w:lineRule="auto"/>
        <w:jc w:val="center"/>
        <w:outlineLvl w:val="0"/>
        <w:rPr>
          <w:rFonts w:ascii="Calibri" w:hAnsi="Calibri" w:eastAsia="隶书" w:cs="Times New Roman"/>
          <w:b/>
          <w:bCs/>
          <w:kern w:val="0"/>
          <w:sz w:val="36"/>
          <w:szCs w:val="36"/>
        </w:rPr>
      </w:pPr>
      <w:bookmarkStart w:id="52" w:name="_Toc97303141"/>
      <w:bookmarkStart w:id="53" w:name="_Toc90475289"/>
      <w:r>
        <w:rPr>
          <w:rFonts w:ascii="Calibri" w:hAnsi="Calibri" w:eastAsia="隶书" w:cs="Times New Roman"/>
          <w:b/>
          <w:bCs/>
          <w:kern w:val="0"/>
          <w:sz w:val="36"/>
          <w:szCs w:val="36"/>
        </w:rPr>
        <w:t>三、设施设备运行维护与零星维修</w:t>
      </w:r>
      <w:bookmarkEnd w:id="52"/>
      <w:bookmarkEnd w:id="53"/>
    </w:p>
    <w:p w14:paraId="01AE5E77">
      <w:pPr>
        <w:keepNext/>
        <w:keepLines/>
        <w:shd w:val="clear"/>
        <w:spacing w:before="260" w:after="260" w:line="416" w:lineRule="auto"/>
        <w:outlineLvl w:val="1"/>
        <w:rPr>
          <w:rFonts w:ascii="Arial" w:hAnsi="Arial" w:eastAsia="黑体" w:cs="Times New Roman"/>
          <w:b/>
          <w:bCs/>
          <w:sz w:val="32"/>
          <w:szCs w:val="32"/>
        </w:rPr>
      </w:pPr>
      <w:bookmarkStart w:id="54" w:name="_Toc97303142"/>
      <w:bookmarkStart w:id="55" w:name="_Toc90475290"/>
      <w:r>
        <w:rPr>
          <w:rFonts w:hint="eastAsia" w:ascii="Arial" w:hAnsi="Arial" w:eastAsia="黑体" w:cs="Times New Roman"/>
          <w:b/>
          <w:bCs/>
          <w:sz w:val="32"/>
          <w:szCs w:val="32"/>
        </w:rPr>
        <w:t>3.1 移交查验管理</w:t>
      </w:r>
      <w:bookmarkEnd w:id="54"/>
      <w:bookmarkEnd w:id="55"/>
    </w:p>
    <w:p w14:paraId="07EEC162">
      <w:pPr>
        <w:shd w:val="clear"/>
        <w:ind w:firstLine="420" w:firstLineChars="200"/>
        <w:rPr>
          <w:rFonts w:ascii="Calibri" w:hAnsi="Calibri" w:eastAsia="宋体" w:cs="Times New Roman"/>
        </w:rPr>
      </w:pPr>
      <w:r>
        <w:rPr>
          <w:rFonts w:hint="eastAsia" w:ascii="Calibri" w:hAnsi="Calibri" w:eastAsia="宋体" w:cs="Times New Roman"/>
        </w:rPr>
        <w:t>根据实际需要，按照国务院发布的《物业管理条例》相关规定，完成学校的验收移交工作，包括现场移交和资料移交，不限于：区域内各类设施设备数量及现状；各类图纸和档案资料（包括文档和电子档）；各类房屋、设备设施、水电管网等的技术档案。培训各类设备设施的运行管理人员，提出合理建议，保障校园设施设备运行管理。</w:t>
      </w:r>
    </w:p>
    <w:p w14:paraId="3FB0C3E7">
      <w:pPr>
        <w:keepNext/>
        <w:keepLines/>
        <w:shd w:val="clear"/>
        <w:spacing w:before="260" w:after="260" w:line="416" w:lineRule="auto"/>
        <w:outlineLvl w:val="1"/>
        <w:rPr>
          <w:rFonts w:ascii="Arial" w:hAnsi="Arial" w:eastAsia="黑体" w:cs="Times New Roman"/>
          <w:b/>
          <w:bCs/>
          <w:sz w:val="32"/>
          <w:szCs w:val="32"/>
        </w:rPr>
      </w:pPr>
      <w:bookmarkStart w:id="56" w:name="_Toc97303143"/>
      <w:bookmarkStart w:id="57" w:name="_Toc90475291"/>
      <w:bookmarkStart w:id="58" w:name="_Toc89023951"/>
      <w:r>
        <w:rPr>
          <w:rFonts w:hint="eastAsia" w:ascii="Arial" w:hAnsi="Arial" w:eastAsia="黑体" w:cs="Times New Roman"/>
          <w:b/>
          <w:bCs/>
          <w:sz w:val="32"/>
          <w:szCs w:val="32"/>
        </w:rPr>
        <w:t>3.2 生活水泵房管理</w:t>
      </w:r>
      <w:bookmarkEnd w:id="56"/>
      <w:bookmarkEnd w:id="57"/>
    </w:p>
    <w:p w14:paraId="6C4BA71C">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2.1 每四小时对水泵房巡查一次，管线及地下室集水井排水设备每天巡查一次。</w:t>
      </w:r>
    </w:p>
    <w:p w14:paraId="587EF8F7">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2.2配合高压水泵等设备每月保养检修1次。</w:t>
      </w:r>
    </w:p>
    <w:p w14:paraId="5488E80B">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 xml:space="preserve">2.3 </w:t>
      </w:r>
      <w:r>
        <w:rPr>
          <w:rFonts w:hint="eastAsia" w:cs="Times New Roman"/>
          <w:kern w:val="2"/>
          <w:sz w:val="21"/>
          <w:szCs w:val="22"/>
          <w:lang w:val="en-US" w:eastAsia="zh-CN"/>
        </w:rPr>
        <w:t>由</w:t>
      </w:r>
      <w:r>
        <w:rPr>
          <w:rFonts w:hint="eastAsia" w:ascii="Calibri" w:hAnsi="Calibri" w:eastAsia="宋体" w:cs="Times New Roman"/>
          <w:kern w:val="2"/>
          <w:sz w:val="21"/>
          <w:szCs w:val="22"/>
        </w:rPr>
        <w:t>中标</w:t>
      </w:r>
      <w:r>
        <w:rPr>
          <w:rFonts w:hint="eastAsia" w:cs="Times New Roman"/>
          <w:kern w:val="2"/>
          <w:sz w:val="21"/>
          <w:szCs w:val="22"/>
          <w:lang w:val="en-US" w:eastAsia="zh-CN"/>
        </w:rPr>
        <w:t>单位委托具有相应资质的单位做</w:t>
      </w:r>
      <w:r>
        <w:rPr>
          <w:rFonts w:hint="eastAsia" w:ascii="Calibri" w:hAnsi="Calibri" w:eastAsia="宋体" w:cs="Times New Roman"/>
          <w:kern w:val="2"/>
          <w:sz w:val="21"/>
          <w:szCs w:val="22"/>
        </w:rPr>
        <w:t>好</w:t>
      </w:r>
      <w:r>
        <w:rPr>
          <w:rFonts w:hint="eastAsia" w:cs="Times New Roman"/>
          <w:kern w:val="2"/>
          <w:sz w:val="21"/>
          <w:szCs w:val="22"/>
          <w:lang w:val="en-US" w:eastAsia="zh-CN"/>
        </w:rPr>
        <w:t>水箱清洗及水质检测工作。</w:t>
      </w:r>
      <w:r>
        <w:rPr>
          <w:rFonts w:hint="eastAsia" w:ascii="Calibri" w:hAnsi="Calibri" w:eastAsia="宋体" w:cs="Times New Roman"/>
        </w:rPr>
        <w:t>水箱每半年清洗消毒1次，化验水质1次，并通过相关部门水质检测；确保水质符合饮用水标准。</w:t>
      </w:r>
    </w:p>
    <w:p w14:paraId="10A8B8CB">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2.4每周进行一次水泵房、排水设施、集水井环境卫生保洁。</w:t>
      </w:r>
    </w:p>
    <w:p w14:paraId="5314EF7E">
      <w:pPr>
        <w:shd w:val="clear"/>
        <w:ind w:firstLine="480"/>
        <w:rPr>
          <w:rFonts w:ascii="Calibri" w:hAnsi="Calibri" w:eastAsia="宋体" w:cs="Times New Roman"/>
        </w:rPr>
      </w:pPr>
      <w:r>
        <w:rPr>
          <w:rFonts w:ascii="Calibri" w:hAnsi="Calibri" w:eastAsia="宋体" w:cs="Times New Roman"/>
        </w:rPr>
        <w:t>3.2.5 承诺</w:t>
      </w:r>
      <w:r>
        <w:rPr>
          <w:rFonts w:hint="eastAsia" w:ascii="Calibri" w:hAnsi="Calibri" w:eastAsia="宋体" w:cs="Times New Roman"/>
        </w:rPr>
        <w:t>工作人员持有效健康证上岗。</w:t>
      </w:r>
    </w:p>
    <w:p w14:paraId="4BB39A67">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2.6 保证正常生活饮用水，有停水或水污染事件发生时，有应急预案并能及时启动。</w:t>
      </w:r>
    </w:p>
    <w:p w14:paraId="7CDE93E8">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2.7 由专人对水箱、水泵进行封闭式管理，有严格的管理制度并上墙。</w:t>
      </w:r>
    </w:p>
    <w:p w14:paraId="3A369CAB">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2.8 每次水泵或管道或水箱内维修后，进行及时清洗，同时进行水质化验并出化验报告单，确保水质符合饮用水标准。</w:t>
      </w:r>
    </w:p>
    <w:p w14:paraId="280C35E3">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2.9设备及环境卫生清洁，符合饮用水卫生标准。</w:t>
      </w:r>
    </w:p>
    <w:p w14:paraId="3A08EF48">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2.10保证雨季或暴雨天气地下室集水井排水设备的正常运行。</w:t>
      </w:r>
    </w:p>
    <w:p w14:paraId="6BF295E5">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2.11水泵出现故障后，维修人员在15分钟内到达现场维修，小修及时处理，中修、大修由投标人自行寻找具有相应资质的单位进行维修，维修费用由校方承担，维修单位必须经由校方认可，维修及时率100%，提供故障应急处理方案。</w:t>
      </w:r>
    </w:p>
    <w:p w14:paraId="65B2DCB4">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2.12水质检测费用包含在此次报价中。</w:t>
      </w:r>
    </w:p>
    <w:p w14:paraId="7D618E8D">
      <w:pPr>
        <w:shd w:val="clear"/>
        <w:ind w:firstLine="480"/>
        <w:rPr>
          <w:rFonts w:ascii="宋体" w:hAnsi="宋体" w:eastAsia="宋体" w:cs="Times New Roman"/>
        </w:rPr>
      </w:pPr>
      <w:r>
        <w:rPr>
          <w:rFonts w:hint="eastAsia" w:ascii="Calibri" w:hAnsi="Calibri" w:eastAsia="宋体" w:cs="Times New Roman"/>
        </w:rPr>
        <w:t>3.2.13</w:t>
      </w:r>
      <w:r>
        <w:rPr>
          <w:rFonts w:hint="eastAsia" w:ascii="宋体" w:hAnsi="宋体" w:eastAsia="宋体" w:cs="Times New Roman"/>
        </w:rPr>
        <w:t>按时做好水表抄录及收支统计工作，清晰准确的填写水表单。</w:t>
      </w:r>
    </w:p>
    <w:p w14:paraId="46EEA6B3">
      <w:pPr>
        <w:shd w:val="clear"/>
        <w:ind w:firstLine="480"/>
        <w:rPr>
          <w:rFonts w:ascii="宋体" w:hAnsi="宋体" w:eastAsia="宋体" w:cs="Times New Roman"/>
        </w:rPr>
      </w:pPr>
      <w:r>
        <w:rPr>
          <w:rFonts w:hint="eastAsia" w:ascii="Calibri" w:hAnsi="Calibri" w:eastAsia="宋体" w:cs="Times New Roman"/>
        </w:rPr>
        <w:t>3.2.14</w:t>
      </w:r>
      <w:r>
        <w:rPr>
          <w:rFonts w:hint="eastAsia" w:ascii="宋体" w:hAnsi="宋体" w:eastAsia="宋体" w:cs="Times New Roman"/>
        </w:rPr>
        <w:t>按照学校要求建立设备维修台账。</w:t>
      </w:r>
    </w:p>
    <w:p w14:paraId="5A18DAAC">
      <w:pPr>
        <w:shd w:val="clear"/>
        <w:ind w:firstLine="480"/>
        <w:rPr>
          <w:rFonts w:ascii="宋体" w:hAnsi="宋体" w:eastAsia="宋体" w:cs="Times New Roman"/>
        </w:rPr>
      </w:pPr>
      <w:r>
        <w:rPr>
          <w:rFonts w:hint="eastAsia" w:ascii="Calibri" w:hAnsi="Calibri" w:eastAsia="宋体" w:cs="Times New Roman"/>
        </w:rPr>
        <w:t>3.2.1</w:t>
      </w:r>
      <w:r>
        <w:rPr>
          <w:rFonts w:hint="eastAsia" w:ascii="Calibri" w:hAnsi="Calibri" w:eastAsia="宋体" w:cs="Times New Roman"/>
          <w:lang w:val="en-US" w:eastAsia="zh-CN"/>
        </w:rPr>
        <w:t>5</w:t>
      </w:r>
      <w:r>
        <w:rPr>
          <w:rFonts w:hint="eastAsia" w:ascii="宋体" w:hAnsi="宋体" w:eastAsia="宋体" w:cs="Times New Roman"/>
        </w:rPr>
        <w:t>定期进行供水管道、阀门巡查，对给水管网图进行修改完善。</w:t>
      </w:r>
    </w:p>
    <w:p w14:paraId="02754855">
      <w:pPr>
        <w:shd w:val="clear"/>
        <w:ind w:firstLine="480"/>
        <w:rPr>
          <w:rFonts w:ascii="宋体" w:hAnsi="宋体" w:eastAsia="宋体" w:cs="Times New Roman"/>
        </w:rPr>
      </w:pPr>
      <w:r>
        <w:rPr>
          <w:rFonts w:hint="eastAsia" w:ascii="Calibri" w:hAnsi="Calibri" w:eastAsia="宋体" w:cs="Times New Roman"/>
        </w:rPr>
        <w:t>3.2.1</w:t>
      </w:r>
      <w:r>
        <w:rPr>
          <w:rFonts w:hint="eastAsia" w:ascii="Calibri" w:hAnsi="Calibri" w:eastAsia="宋体" w:cs="Times New Roman"/>
          <w:lang w:val="en-US" w:eastAsia="zh-CN"/>
        </w:rPr>
        <w:t>6</w:t>
      </w:r>
      <w:r>
        <w:rPr>
          <w:rFonts w:hint="eastAsia" w:ascii="宋体" w:hAnsi="宋体" w:eastAsia="宋体" w:cs="Times New Roman"/>
        </w:rPr>
        <w:t>建立供水设备、阀门、水表台账。</w:t>
      </w:r>
    </w:p>
    <w:p w14:paraId="715395CF">
      <w:pPr>
        <w:shd w:val="clear"/>
        <w:ind w:firstLine="480"/>
        <w:rPr>
          <w:rFonts w:ascii="Calibri" w:hAnsi="Calibri" w:eastAsia="宋体" w:cs="Times New Roman"/>
        </w:rPr>
      </w:pPr>
    </w:p>
    <w:p w14:paraId="32A09366">
      <w:pPr>
        <w:keepNext/>
        <w:keepLines/>
        <w:shd w:val="clear"/>
        <w:spacing w:before="260" w:after="260" w:line="416" w:lineRule="auto"/>
        <w:outlineLvl w:val="1"/>
        <w:rPr>
          <w:rFonts w:ascii="Arial" w:hAnsi="Arial" w:eastAsia="黑体" w:cs="Times New Roman"/>
          <w:b/>
          <w:bCs/>
          <w:sz w:val="32"/>
          <w:szCs w:val="32"/>
        </w:rPr>
      </w:pPr>
      <w:bookmarkStart w:id="59" w:name="_Toc97303144"/>
      <w:bookmarkStart w:id="60" w:name="_Toc90475292"/>
      <w:r>
        <w:rPr>
          <w:rFonts w:hint="eastAsia" w:ascii="Arial" w:hAnsi="Arial" w:eastAsia="黑体" w:cs="Times New Roman"/>
          <w:b/>
          <w:bCs/>
          <w:sz w:val="32"/>
          <w:szCs w:val="32"/>
        </w:rPr>
        <w:t>3.3配电房管理</w:t>
      </w:r>
      <w:bookmarkEnd w:id="59"/>
      <w:bookmarkEnd w:id="60"/>
    </w:p>
    <w:p w14:paraId="343D5916">
      <w:pPr>
        <w:shd w:val="clear"/>
        <w:ind w:firstLine="482"/>
        <w:rPr>
          <w:rFonts w:ascii="Calibri" w:hAnsi="Calibri" w:eastAsia="宋体" w:cs="Times New Roman"/>
          <w:b/>
        </w:rPr>
      </w:pPr>
      <w:bookmarkStart w:id="61" w:name="_Toc90475293"/>
      <w:r>
        <w:rPr>
          <w:rFonts w:hint="eastAsia" w:ascii="Calibri" w:hAnsi="Calibri" w:eastAsia="宋体" w:cs="Times New Roman"/>
          <w:b/>
        </w:rPr>
        <w:t>3.3.1 配电房管理、值班及巡检方案要求</w:t>
      </w:r>
      <w:bookmarkEnd w:id="61"/>
    </w:p>
    <w:p w14:paraId="514CFCAC">
      <w:pPr>
        <w:shd w:val="clear"/>
        <w:ind w:firstLine="480"/>
        <w:rPr>
          <w:rFonts w:hint="eastAsia" w:ascii="Calibri" w:hAnsi="Calibri" w:eastAsia="宋体" w:cs="Times New Roman"/>
          <w:lang w:eastAsia="zh-CN"/>
        </w:rPr>
      </w:pPr>
      <w:r>
        <w:rPr>
          <w:rFonts w:hint="eastAsia" w:ascii="Calibri" w:hAnsi="Calibri" w:eastAsia="宋体" w:cs="Times New Roman"/>
        </w:rPr>
        <w:t>（1）承诺拟派配电房管理人员具有电工进网作业许可证（高压电工作业证）</w:t>
      </w:r>
      <w:r>
        <w:rPr>
          <w:rFonts w:hint="eastAsia" w:ascii="Calibri" w:hAnsi="Calibri" w:eastAsia="宋体" w:cs="Times New Roman"/>
          <w:lang w:eastAsia="zh-CN"/>
        </w:rPr>
        <w:t>。</w:t>
      </w:r>
    </w:p>
    <w:p w14:paraId="58DB8E1C">
      <w:pPr>
        <w:shd w:val="clear"/>
        <w:ind w:firstLine="480"/>
        <w:rPr>
          <w:rFonts w:ascii="Calibri" w:hAnsi="Calibri" w:eastAsia="宋体" w:cs="Times New Roman"/>
        </w:rPr>
      </w:pPr>
      <w:r>
        <w:rPr>
          <w:rFonts w:hint="eastAsia" w:ascii="Calibri" w:hAnsi="Calibri" w:eastAsia="宋体" w:cs="Times New Roman"/>
        </w:rPr>
        <w:t>（</w:t>
      </w:r>
      <w:r>
        <w:rPr>
          <w:rFonts w:ascii="Calibri" w:hAnsi="Calibri" w:eastAsia="宋体" w:cs="Times New Roman"/>
        </w:rPr>
        <w:t>2</w:t>
      </w:r>
      <w:r>
        <w:rPr>
          <w:rFonts w:hint="eastAsia" w:ascii="Calibri" w:hAnsi="Calibri" w:eastAsia="宋体" w:cs="Times New Roman"/>
        </w:rPr>
        <w:t>）对变配电间内各项安全运行制定安全规章制度并严格执行安全规章制度的操作。</w:t>
      </w:r>
    </w:p>
    <w:p w14:paraId="2F32A844">
      <w:pPr>
        <w:shd w:val="clear"/>
        <w:ind w:firstLine="480"/>
        <w:rPr>
          <w:rFonts w:ascii="Calibri" w:hAnsi="Calibri" w:eastAsia="宋体" w:cs="Times New Roman"/>
        </w:rPr>
      </w:pPr>
      <w:r>
        <w:rPr>
          <w:rFonts w:hint="eastAsia" w:ascii="Calibri" w:hAnsi="Calibri" w:eastAsia="宋体" w:cs="Times New Roman"/>
        </w:rPr>
        <w:t>（</w:t>
      </w:r>
      <w:r>
        <w:rPr>
          <w:rFonts w:ascii="Calibri" w:hAnsi="Calibri" w:eastAsia="宋体" w:cs="Times New Roman"/>
        </w:rPr>
        <w:t>3</w:t>
      </w:r>
      <w:r>
        <w:rPr>
          <w:rFonts w:hint="eastAsia" w:ascii="Calibri" w:hAnsi="Calibri" w:eastAsia="宋体" w:cs="Times New Roman"/>
        </w:rPr>
        <w:t>）对变配电间内作24小时值班服务和设备的定期巡视（每天早、中、晚三次），做好巡视记录，及时做好设备故障的应急处理工作，并做好事故、故障的现场记录。</w:t>
      </w:r>
    </w:p>
    <w:p w14:paraId="1B6E6449">
      <w:pPr>
        <w:shd w:val="clear"/>
        <w:ind w:firstLine="480"/>
        <w:rPr>
          <w:rFonts w:ascii="Calibri" w:hAnsi="Calibri" w:eastAsia="宋体" w:cs="Times New Roman"/>
        </w:rPr>
      </w:pPr>
      <w:r>
        <w:rPr>
          <w:rFonts w:hint="eastAsia" w:ascii="Calibri" w:hAnsi="Calibri" w:eastAsia="宋体" w:cs="Times New Roman"/>
        </w:rPr>
        <w:t>（4）熟悉变配电间内各线路走向和各设备设施（含高低压电力监控系统）。</w:t>
      </w:r>
    </w:p>
    <w:p w14:paraId="6725D269">
      <w:pPr>
        <w:shd w:val="clear"/>
        <w:ind w:firstLine="480"/>
        <w:rPr>
          <w:rFonts w:ascii="Calibri" w:hAnsi="Calibri" w:eastAsia="宋体" w:cs="Times New Roman"/>
        </w:rPr>
      </w:pPr>
      <w:r>
        <w:rPr>
          <w:rFonts w:hint="eastAsia" w:ascii="Calibri" w:hAnsi="Calibri" w:eastAsia="宋体" w:cs="Times New Roman"/>
        </w:rPr>
        <w:t>（6）每月向招标人呈交设备运行状况统计报告。</w:t>
      </w:r>
    </w:p>
    <w:p w14:paraId="6D1021E2">
      <w:pPr>
        <w:shd w:val="clear"/>
        <w:ind w:firstLine="480"/>
        <w:rPr>
          <w:rFonts w:ascii="Calibri" w:hAnsi="Calibri" w:eastAsia="宋体" w:cs="Times New Roman"/>
        </w:rPr>
      </w:pPr>
      <w:r>
        <w:rPr>
          <w:rFonts w:hint="eastAsia" w:ascii="Calibri" w:hAnsi="Calibri" w:eastAsia="宋体" w:cs="Times New Roman"/>
        </w:rPr>
        <w:t>（7）负责拟定站内安全规章制度并严格执行检查变配电间内有无安全隐患，做到及时发现及时应急处理，并向招标人报告，做好记录。</w:t>
      </w:r>
    </w:p>
    <w:p w14:paraId="61E553E0">
      <w:pPr>
        <w:shd w:val="clear"/>
        <w:ind w:firstLine="480"/>
        <w:rPr>
          <w:rFonts w:ascii="Calibri" w:hAnsi="Calibri" w:eastAsia="宋体" w:cs="Times New Roman"/>
        </w:rPr>
      </w:pPr>
      <w:r>
        <w:rPr>
          <w:rFonts w:hint="eastAsia" w:ascii="Calibri" w:hAnsi="Calibri" w:eastAsia="宋体" w:cs="Times New Roman"/>
        </w:rPr>
        <w:t>（8）负责熟练掌握变配电系统接线情况，安全及时地完成各种运行方式下的电源联络切换操作；按照相关规范安全及时地操作好开关设备停送电工作和安全措施。</w:t>
      </w:r>
    </w:p>
    <w:p w14:paraId="15530F9E">
      <w:pPr>
        <w:shd w:val="clear"/>
        <w:ind w:firstLine="480"/>
        <w:rPr>
          <w:rFonts w:ascii="Calibri" w:hAnsi="Calibri" w:eastAsia="宋体" w:cs="Times New Roman"/>
        </w:rPr>
      </w:pPr>
      <w:r>
        <w:rPr>
          <w:rFonts w:hint="eastAsia" w:ascii="Calibri" w:hAnsi="Calibri" w:eastAsia="宋体" w:cs="Times New Roman"/>
        </w:rPr>
        <w:t>（9）负责编制高低压设备，变压器的定期维护保养计划，提前两个月向招标人报告。</w:t>
      </w:r>
    </w:p>
    <w:p w14:paraId="414CE4D3">
      <w:pPr>
        <w:shd w:val="clear"/>
        <w:ind w:firstLine="480"/>
        <w:rPr>
          <w:rFonts w:ascii="Calibri" w:hAnsi="Calibri" w:eastAsia="宋体" w:cs="Times New Roman"/>
        </w:rPr>
      </w:pPr>
      <w:r>
        <w:rPr>
          <w:rFonts w:ascii="宋体" w:hAnsi="宋体" w:eastAsia="宋体" w:cs="Times New Roman"/>
        </w:rPr>
        <w:t>（</w:t>
      </w:r>
      <w:r>
        <w:rPr>
          <w:rFonts w:hint="eastAsia" w:ascii="宋体" w:hAnsi="宋体" w:eastAsia="宋体" w:cs="Times New Roman"/>
        </w:rPr>
        <w:t>10</w:t>
      </w:r>
      <w:r>
        <w:rPr>
          <w:rFonts w:ascii="宋体" w:hAnsi="宋体" w:eastAsia="宋体" w:cs="Times New Roman"/>
        </w:rPr>
        <w:t>）保证设备干净整洁，绝缘良好，接触可靠。设备时刻处于完好状态，保障安全供电；按规定进行试验并出试验报告单。</w:t>
      </w:r>
    </w:p>
    <w:p w14:paraId="441F236E">
      <w:pPr>
        <w:shd w:val="clear"/>
        <w:ind w:firstLine="480"/>
        <w:rPr>
          <w:rFonts w:ascii="宋体" w:hAnsi="宋体" w:eastAsia="宋体" w:cs="Times New Roman"/>
        </w:rPr>
      </w:pPr>
      <w:r>
        <w:rPr>
          <w:rFonts w:hint="eastAsia" w:ascii="Calibri" w:hAnsi="Calibri" w:eastAsia="宋体" w:cs="Times New Roman"/>
        </w:rPr>
        <w:t>（11）</w:t>
      </w:r>
      <w:r>
        <w:rPr>
          <w:rFonts w:hint="eastAsia" w:ascii="宋体" w:hAnsi="宋体" w:eastAsia="宋体" w:cs="Times New Roman"/>
        </w:rPr>
        <w:t>按时做好电表抄录及收支统计工作，清晰准确的填写电表单。</w:t>
      </w:r>
    </w:p>
    <w:p w14:paraId="15FA2B09">
      <w:pPr>
        <w:shd w:val="clear"/>
        <w:ind w:firstLine="480"/>
        <w:rPr>
          <w:rFonts w:ascii="Calibri" w:hAnsi="Calibri" w:eastAsia="宋体" w:cs="Times New Roman"/>
        </w:rPr>
      </w:pPr>
      <w:r>
        <w:rPr>
          <w:rFonts w:hint="eastAsia" w:ascii="宋体" w:hAnsi="宋体" w:eastAsia="宋体" w:cs="Times New Roman"/>
        </w:rPr>
        <w:t>（12）</w:t>
      </w:r>
      <w:r>
        <w:rPr>
          <w:rFonts w:ascii="宋体" w:hAnsi="宋体" w:eastAsia="宋体" w:cs="Times New Roman"/>
        </w:rPr>
        <w:t>每周进行一次设备表面及环境卫生保洁。</w:t>
      </w:r>
    </w:p>
    <w:p w14:paraId="390B4913">
      <w:pPr>
        <w:shd w:val="clear"/>
        <w:ind w:firstLine="480"/>
        <w:rPr>
          <w:rFonts w:hint="eastAsia" w:ascii="Calibri" w:hAnsi="Calibri" w:eastAsia="宋体" w:cs="Times New Roman"/>
          <w:lang w:eastAsia="zh-CN"/>
        </w:rPr>
      </w:pPr>
      <w:r>
        <w:rPr>
          <w:rFonts w:hint="eastAsia" w:ascii="Calibri" w:hAnsi="Calibri" w:eastAsia="宋体" w:cs="Times New Roman"/>
        </w:rPr>
        <w:t>（13）投标人的值班及操作人员将符合以下的要求</w:t>
      </w:r>
      <w:r>
        <w:rPr>
          <w:rFonts w:hint="eastAsia" w:ascii="Calibri" w:hAnsi="Calibri" w:eastAsia="宋体" w:cs="Times New Roman"/>
          <w:lang w:eastAsia="zh-CN"/>
        </w:rPr>
        <w:t>：</w:t>
      </w:r>
    </w:p>
    <w:p w14:paraId="174A6D6B">
      <w:pPr>
        <w:shd w:val="clear"/>
        <w:ind w:firstLine="480"/>
        <w:rPr>
          <w:rFonts w:ascii="Calibri" w:hAnsi="Calibri" w:eastAsia="宋体" w:cs="Times New Roman"/>
        </w:rPr>
      </w:pPr>
      <w:r>
        <w:rPr>
          <w:rFonts w:hint="eastAsia" w:ascii="Calibri" w:hAnsi="Calibri" w:eastAsia="宋体" w:cs="Times New Roman"/>
        </w:rPr>
        <w:t>a：承诺具有高压电工进网作业许可证，符合电业运行管理的资质。</w:t>
      </w:r>
    </w:p>
    <w:p w14:paraId="1D828276">
      <w:pPr>
        <w:shd w:val="clear"/>
        <w:ind w:firstLine="480"/>
        <w:rPr>
          <w:rFonts w:ascii="Calibri" w:hAnsi="Calibri" w:eastAsia="宋体" w:cs="Times New Roman"/>
        </w:rPr>
      </w:pPr>
      <w:r>
        <w:rPr>
          <w:rFonts w:hint="eastAsia" w:ascii="Calibri" w:hAnsi="Calibri" w:eastAsia="宋体" w:cs="Times New Roman"/>
        </w:rPr>
        <w:t>b：操作人员具有变配电运行操作经验。</w:t>
      </w:r>
    </w:p>
    <w:p w14:paraId="3C779664">
      <w:pPr>
        <w:shd w:val="clear"/>
        <w:ind w:firstLine="480"/>
        <w:rPr>
          <w:rFonts w:ascii="Calibri" w:hAnsi="Calibri" w:eastAsia="宋体" w:cs="Times New Roman"/>
        </w:rPr>
      </w:pPr>
      <w:r>
        <w:rPr>
          <w:rFonts w:ascii="Calibri" w:hAnsi="Calibri" w:eastAsia="宋体" w:cs="Times New Roman"/>
        </w:rPr>
        <w:t xml:space="preserve">c: </w:t>
      </w:r>
      <w:r>
        <w:rPr>
          <w:rFonts w:hint="eastAsia" w:ascii="Calibri" w:hAnsi="Calibri" w:eastAsia="宋体" w:cs="Times New Roman"/>
        </w:rPr>
        <w:t>投标人负责在配电室建立</w:t>
      </w:r>
      <w:r>
        <w:rPr>
          <w:rFonts w:ascii="Calibri" w:hAnsi="Calibri" w:eastAsia="宋体" w:cs="Times New Roman"/>
        </w:rPr>
        <w:t>24</w:t>
      </w:r>
      <w:r>
        <w:rPr>
          <w:rFonts w:hint="eastAsia" w:ascii="Calibri" w:hAnsi="Calibri" w:eastAsia="宋体" w:cs="Times New Roman"/>
        </w:rPr>
        <w:t>小时值班制度，每班至少</w:t>
      </w:r>
      <w:r>
        <w:rPr>
          <w:rFonts w:ascii="Calibri" w:hAnsi="Calibri" w:eastAsia="宋体" w:cs="Times New Roman"/>
        </w:rPr>
        <w:t>2</w:t>
      </w:r>
      <w:r>
        <w:rPr>
          <w:rFonts w:hint="eastAsia" w:ascii="Calibri" w:hAnsi="Calibri" w:eastAsia="宋体" w:cs="Times New Roman"/>
        </w:rPr>
        <w:t>人，并配有专门维修电话。</w:t>
      </w:r>
    </w:p>
    <w:p w14:paraId="3DBC2055">
      <w:pPr>
        <w:shd w:val="clear"/>
        <w:ind w:firstLine="480"/>
        <w:rPr>
          <w:rFonts w:ascii="Calibri" w:hAnsi="Calibri" w:eastAsia="宋体" w:cs="Times New Roman"/>
        </w:rPr>
      </w:pPr>
      <w:r>
        <w:rPr>
          <w:rFonts w:hint="eastAsia" w:ascii="Calibri" w:hAnsi="Calibri" w:eastAsia="宋体" w:cs="Times New Roman"/>
        </w:rPr>
        <w:t>（14）投标人需制定完善高低压配电间突发紧急状况应急预案，全面负责各配电间的全部电力设备设施的维护服务。</w:t>
      </w:r>
    </w:p>
    <w:p w14:paraId="789600C7">
      <w:pPr>
        <w:shd w:val="clear"/>
        <w:ind w:firstLine="480"/>
        <w:rPr>
          <w:rFonts w:ascii="Calibri" w:hAnsi="Calibri" w:eastAsia="宋体" w:cs="Times New Roman"/>
        </w:rPr>
      </w:pPr>
      <w:r>
        <w:rPr>
          <w:rFonts w:hint="eastAsia" w:ascii="Calibri" w:hAnsi="Calibri" w:eastAsia="宋体" w:cs="Times New Roman"/>
        </w:rPr>
        <w:t>（15）安全工器具检测：配备绝缘手套、绝缘靴、接地线、验电笔若干等安全工器具，按要求定期检测，并出具资质认定部门认可的检测报告。</w:t>
      </w:r>
    </w:p>
    <w:p w14:paraId="203A7C74">
      <w:pPr>
        <w:shd w:val="clear"/>
        <w:ind w:firstLine="480"/>
        <w:rPr>
          <w:rFonts w:ascii="Calibri" w:hAnsi="Calibri" w:eastAsia="宋体" w:cs="Times New Roman"/>
        </w:rPr>
      </w:pPr>
      <w:r>
        <w:rPr>
          <w:rFonts w:hint="eastAsia" w:ascii="Calibri" w:hAnsi="Calibri" w:eastAsia="宋体" w:cs="Times New Roman"/>
        </w:rPr>
        <w:t>（1</w:t>
      </w:r>
      <w:r>
        <w:rPr>
          <w:rFonts w:ascii="Calibri" w:hAnsi="Calibri" w:eastAsia="宋体" w:cs="Times New Roman"/>
        </w:rPr>
        <w:t>6</w:t>
      </w:r>
      <w:r>
        <w:rPr>
          <w:rFonts w:hint="eastAsia" w:ascii="Calibri" w:hAnsi="Calibri" w:eastAsia="宋体" w:cs="Times New Roman"/>
        </w:rPr>
        <w:t>）若设备出现故障，由投标人自行寻找具有相应资质的单位进行维修，维修费用由校方承担，维修单位必须经由校方认可。</w:t>
      </w:r>
    </w:p>
    <w:p w14:paraId="7D0706E7">
      <w:pPr>
        <w:shd w:val="clear"/>
        <w:ind w:firstLine="480"/>
        <w:rPr>
          <w:rFonts w:ascii="Calibri" w:hAnsi="Calibri" w:eastAsia="宋体" w:cs="Times New Roman"/>
        </w:rPr>
      </w:pPr>
      <w:r>
        <w:rPr>
          <w:rFonts w:hint="eastAsia" w:ascii="Calibri" w:hAnsi="Calibri" w:eastAsia="宋体" w:cs="Times New Roman"/>
        </w:rPr>
        <w:t>（17）做好配电房回路的标识工作。</w:t>
      </w:r>
    </w:p>
    <w:p w14:paraId="2B1CB46B">
      <w:pPr>
        <w:shd w:val="clear"/>
        <w:ind w:firstLine="480"/>
        <w:rPr>
          <w:rFonts w:ascii="Calibri" w:hAnsi="Calibri" w:eastAsia="宋体" w:cs="Times New Roman"/>
        </w:rPr>
      </w:pPr>
      <w:r>
        <w:rPr>
          <w:rFonts w:hint="eastAsia" w:ascii="Calibri" w:hAnsi="Calibri" w:eastAsia="宋体" w:cs="Times New Roman"/>
        </w:rPr>
        <w:t>（18）每年至少四次用电高峰期对配电房设备进行红外成像巡查。</w:t>
      </w:r>
    </w:p>
    <w:p w14:paraId="4A84214C">
      <w:pPr>
        <w:ind w:firstLine="480"/>
      </w:pPr>
      <w:r>
        <w:rPr>
          <w:rFonts w:hint="eastAsia" w:ascii="Calibri" w:hAnsi="Calibri" w:eastAsia="宋体" w:cs="Times New Roman"/>
        </w:rPr>
        <w:t>（19）根据学校安排，委托具有电力承装、承修（试）五级或以上资质的单位按照《电力设备高低压预防性试验规程》（DL/T 596-1996）和《电气装置安装工程电气设备交接试验标准》（GB50150-2006）规定进行高低压设备预防性试验并出具试验报告。</w:t>
      </w:r>
    </w:p>
    <w:p w14:paraId="48F0609B">
      <w:pPr>
        <w:shd w:val="clear"/>
        <w:ind w:firstLine="480"/>
        <w:rPr>
          <w:rFonts w:ascii="Calibri" w:hAnsi="Calibri" w:eastAsia="宋体" w:cs="Times New Roman"/>
        </w:rPr>
      </w:pPr>
      <w:r>
        <w:rPr>
          <w:rFonts w:hint="eastAsia" w:ascii="Calibri" w:hAnsi="Calibri" w:eastAsia="宋体" w:cs="Times New Roman"/>
        </w:rPr>
        <w:t>（20）按照学校要求建立设施设备维修台账。</w:t>
      </w:r>
    </w:p>
    <w:p w14:paraId="2E1963FD">
      <w:pPr>
        <w:keepNext/>
        <w:keepLines/>
        <w:shd w:val="clear"/>
        <w:spacing w:before="260" w:after="260" w:line="416" w:lineRule="auto"/>
        <w:outlineLvl w:val="1"/>
        <w:rPr>
          <w:rFonts w:hint="eastAsia" w:ascii="Arial" w:hAnsi="Arial" w:eastAsia="黑体" w:cs="Times New Roman"/>
          <w:b/>
          <w:bCs/>
          <w:sz w:val="32"/>
          <w:szCs w:val="32"/>
        </w:rPr>
      </w:pPr>
      <w:bookmarkStart w:id="62" w:name="_Toc97303145"/>
      <w:bookmarkStart w:id="63" w:name="_Toc90475299"/>
      <w:r>
        <w:rPr>
          <w:rFonts w:hint="eastAsia" w:ascii="Arial" w:hAnsi="Arial" w:eastAsia="黑体" w:cs="Times New Roman"/>
          <w:b/>
          <w:bCs/>
          <w:sz w:val="32"/>
          <w:szCs w:val="32"/>
        </w:rPr>
        <w:t>3.4 中央空调系统管理</w:t>
      </w:r>
      <w:bookmarkEnd w:id="62"/>
      <w:bookmarkEnd w:id="63"/>
    </w:p>
    <w:p w14:paraId="72C4D79C">
      <w:pPr>
        <w:ind w:firstLine="480"/>
        <w:rPr>
          <w:rFonts w:hint="eastAsia" w:ascii="Calibri" w:hAnsi="Calibri" w:eastAsia="宋体" w:cs="Times New Roman"/>
        </w:rPr>
      </w:pPr>
      <w:r>
        <w:rPr>
          <w:rFonts w:hint="eastAsia" w:ascii="Calibri" w:hAnsi="Calibri" w:eastAsia="宋体" w:cs="Times New Roman"/>
        </w:rPr>
        <w:t>3.4.1</w:t>
      </w:r>
      <w:r>
        <w:rPr>
          <w:rFonts w:hint="eastAsia" w:cs="Times New Roman"/>
          <w:kern w:val="2"/>
          <w:sz w:val="21"/>
          <w:szCs w:val="22"/>
          <w:lang w:val="en-US" w:eastAsia="zh-CN"/>
        </w:rPr>
        <w:t>由</w:t>
      </w:r>
      <w:r>
        <w:rPr>
          <w:rFonts w:hint="eastAsia" w:ascii="Calibri" w:hAnsi="Calibri" w:eastAsia="宋体" w:cs="Times New Roman"/>
          <w:kern w:val="2"/>
          <w:sz w:val="21"/>
          <w:szCs w:val="22"/>
        </w:rPr>
        <w:t>中标</w:t>
      </w:r>
      <w:r>
        <w:rPr>
          <w:rFonts w:hint="eastAsia" w:cs="Times New Roman"/>
          <w:kern w:val="2"/>
          <w:sz w:val="21"/>
          <w:szCs w:val="22"/>
          <w:lang w:val="en-US" w:eastAsia="zh-CN"/>
        </w:rPr>
        <w:t>单位委托具有相应资质的单位做</w:t>
      </w:r>
      <w:r>
        <w:rPr>
          <w:rFonts w:hint="eastAsia" w:ascii="Calibri" w:hAnsi="Calibri" w:eastAsia="宋体" w:cs="Times New Roman"/>
          <w:kern w:val="2"/>
          <w:sz w:val="21"/>
          <w:szCs w:val="22"/>
        </w:rPr>
        <w:t>好</w:t>
      </w:r>
      <w:r>
        <w:rPr>
          <w:rFonts w:hint="eastAsia" w:cs="Times New Roman"/>
          <w:kern w:val="2"/>
          <w:sz w:val="21"/>
          <w:szCs w:val="22"/>
          <w:lang w:val="en-US" w:eastAsia="zh-CN"/>
        </w:rPr>
        <w:t>中央空调维护工作，</w:t>
      </w:r>
      <w:r>
        <w:rPr>
          <w:rFonts w:hint="eastAsia" w:ascii="Calibri" w:hAnsi="Calibri" w:eastAsia="宋体" w:cs="Times New Roman"/>
        </w:rPr>
        <w:t>包含临平校区所有中央空调、新风系统、空调集控系统、2号楼和10号楼空气源热泵机组等设施设备（含软件系统）维保期结束后的日常操作管理、维修保养（维修保养材料费和人工费用均由</w:t>
      </w:r>
      <w:r>
        <w:rPr>
          <w:rFonts w:hint="eastAsia" w:ascii="Calibri" w:hAnsi="Calibri" w:eastAsia="宋体" w:cs="Times New Roman"/>
          <w:lang w:eastAsia="zh-CN"/>
        </w:rPr>
        <w:t>中标单位</w:t>
      </w:r>
      <w:r>
        <w:rPr>
          <w:rFonts w:hint="eastAsia" w:ascii="Calibri" w:hAnsi="Calibri" w:eastAsia="宋体" w:cs="Times New Roman"/>
        </w:rPr>
        <w:t>承担）。</w:t>
      </w:r>
    </w:p>
    <w:p w14:paraId="03F87F01">
      <w:pPr>
        <w:shd w:val="clear"/>
        <w:ind w:firstLine="480"/>
        <w:rPr>
          <w:rFonts w:hint="eastAsia" w:ascii="Calibri" w:hAnsi="Calibri" w:eastAsia="宋体" w:cs="Times New Roman"/>
          <w:lang w:eastAsia="zh-CN"/>
        </w:rPr>
      </w:pPr>
      <w:r>
        <w:rPr>
          <w:rFonts w:hint="eastAsia" w:ascii="Calibri" w:hAnsi="Calibri" w:eastAsia="宋体" w:cs="Times New Roman"/>
        </w:rPr>
        <w:t>（1）季节性转换使用前的全面清洗维保、特种设备（仅指中央空调设备）的年检等服务</w:t>
      </w:r>
      <w:r>
        <w:rPr>
          <w:rFonts w:hint="eastAsia" w:ascii="Calibri" w:hAnsi="Calibri" w:eastAsia="宋体" w:cs="Times New Roman"/>
          <w:lang w:eastAsia="zh-CN"/>
        </w:rPr>
        <w:t>。</w:t>
      </w:r>
    </w:p>
    <w:p w14:paraId="52B57448">
      <w:pPr>
        <w:shd w:val="clear"/>
        <w:ind w:firstLine="480"/>
        <w:rPr>
          <w:rFonts w:hint="eastAsia" w:ascii="Calibri" w:hAnsi="Calibri" w:eastAsia="宋体" w:cs="Times New Roman"/>
          <w:lang w:eastAsia="zh-CN"/>
        </w:rPr>
      </w:pPr>
      <w:r>
        <w:rPr>
          <w:rFonts w:hint="eastAsia" w:ascii="Calibri" w:hAnsi="Calibri" w:eastAsia="宋体" w:cs="Times New Roman"/>
        </w:rPr>
        <w:t>（2）清洗水冷、风冷机组和热泵机组的冷凝器和蒸发器（一年洗两次），清洗空气源热泵水箱、管道进项（一年洗一次），多联机外机的冷凝器清洗（一年洗两次），季节性转换使用前所有设备的全面清洗维保服务（一年两次）</w:t>
      </w:r>
      <w:r>
        <w:rPr>
          <w:rFonts w:hint="eastAsia" w:ascii="Calibri" w:hAnsi="Calibri" w:eastAsia="宋体" w:cs="Times New Roman"/>
          <w:lang w:eastAsia="zh-CN"/>
        </w:rPr>
        <w:t>。</w:t>
      </w:r>
    </w:p>
    <w:p w14:paraId="3612E3FE">
      <w:pPr>
        <w:shd w:val="clear"/>
        <w:ind w:firstLine="480"/>
        <w:rPr>
          <w:rFonts w:hint="eastAsia" w:ascii="Calibri" w:hAnsi="Calibri" w:eastAsia="宋体" w:cs="Times New Roman"/>
          <w:lang w:eastAsia="zh-CN"/>
        </w:rPr>
      </w:pPr>
      <w:r>
        <w:rPr>
          <w:rFonts w:hint="eastAsia" w:ascii="Calibri" w:hAnsi="Calibri" w:eastAsia="宋体" w:cs="Times New Roman"/>
        </w:rPr>
        <w:t>（3）中央空调范围内所有的水泵维修、更换（包括冷却塔的电机），中央空调末端的电机维修、维保以及风机盘管的接水盘的更换维修，组合式中央空调风柜维护及维修等工作</w:t>
      </w:r>
      <w:r>
        <w:rPr>
          <w:rFonts w:hint="eastAsia" w:ascii="Calibri" w:hAnsi="Calibri" w:eastAsia="宋体" w:cs="Times New Roman"/>
          <w:lang w:eastAsia="zh-CN"/>
        </w:rPr>
        <w:t>。</w:t>
      </w:r>
    </w:p>
    <w:p w14:paraId="19142B53">
      <w:pPr>
        <w:shd w:val="clear"/>
        <w:ind w:firstLine="480"/>
        <w:rPr>
          <w:rFonts w:hint="eastAsia" w:ascii="Calibri" w:hAnsi="Calibri" w:eastAsia="宋体" w:cs="Times New Roman"/>
          <w:lang w:eastAsia="zh-CN"/>
        </w:rPr>
      </w:pPr>
      <w:r>
        <w:rPr>
          <w:rFonts w:hint="eastAsia" w:ascii="Calibri" w:hAnsi="Calibri" w:eastAsia="宋体" w:cs="Times New Roman"/>
        </w:rPr>
        <w:t>（4）所有机组设备的内置和外置滤网的更换和更新等工作</w:t>
      </w:r>
      <w:r>
        <w:rPr>
          <w:rFonts w:hint="eastAsia" w:ascii="Calibri" w:hAnsi="Calibri" w:eastAsia="宋体" w:cs="Times New Roman"/>
          <w:lang w:eastAsia="zh-CN"/>
        </w:rPr>
        <w:t>。</w:t>
      </w:r>
    </w:p>
    <w:p w14:paraId="525CEB7A">
      <w:pPr>
        <w:shd w:val="clear"/>
        <w:ind w:firstLine="480"/>
        <w:rPr>
          <w:rFonts w:hint="eastAsia" w:ascii="Calibri" w:hAnsi="Calibri" w:eastAsia="宋体" w:cs="Times New Roman"/>
          <w:lang w:eastAsia="zh-CN"/>
        </w:rPr>
      </w:pPr>
      <w:r>
        <w:rPr>
          <w:rFonts w:hint="eastAsia" w:ascii="Calibri" w:hAnsi="Calibri" w:eastAsia="宋体" w:cs="Times New Roman"/>
        </w:rPr>
        <w:t>（5）对风冷热泵空调机组进行冷冻油（包含冷冻油的费用）的更换</w:t>
      </w:r>
      <w:r>
        <w:rPr>
          <w:rFonts w:hint="eastAsia" w:ascii="Calibri" w:hAnsi="Calibri" w:eastAsia="宋体" w:cs="Times New Roman"/>
          <w:lang w:eastAsia="zh-CN"/>
        </w:rPr>
        <w:t>。</w:t>
      </w:r>
    </w:p>
    <w:p w14:paraId="0076EBC6">
      <w:pPr>
        <w:shd w:val="clear"/>
        <w:ind w:firstLine="480"/>
        <w:rPr>
          <w:rFonts w:ascii="Calibri" w:hAnsi="Calibri" w:eastAsia="宋体" w:cs="Times New Roman"/>
        </w:rPr>
      </w:pPr>
      <w:r>
        <w:rPr>
          <w:rFonts w:hint="eastAsia" w:ascii="Calibri" w:hAnsi="Calibri" w:eastAsia="宋体" w:cs="Times New Roman"/>
        </w:rPr>
        <w:t xml:space="preserve">（6）含所有机组设备涉及的压缩机、电气开关（空开、继电器等）的维修及更换工作。  </w:t>
      </w:r>
    </w:p>
    <w:p w14:paraId="2EECE19F">
      <w:pPr>
        <w:shd w:val="clear"/>
        <w:ind w:firstLine="480"/>
        <w:rPr>
          <w:rFonts w:ascii="Calibri" w:hAnsi="Calibri" w:eastAsia="宋体" w:cs="Times New Roman"/>
        </w:rPr>
      </w:pPr>
      <w:r>
        <w:rPr>
          <w:rFonts w:hint="eastAsia" w:ascii="Calibri" w:hAnsi="Calibri" w:eastAsia="宋体" w:cs="Times New Roman"/>
        </w:rPr>
        <w:t>（7）要求提供驻点服务，</w:t>
      </w:r>
      <w:r>
        <w:rPr>
          <w:rFonts w:hint="eastAsia" w:ascii="Calibri" w:hAnsi="Calibri" w:eastAsia="宋体" w:cs="Times New Roman"/>
          <w:lang w:eastAsia="zh-CN"/>
        </w:rPr>
        <w:t>中标单位</w:t>
      </w:r>
      <w:r>
        <w:rPr>
          <w:rFonts w:hint="eastAsia" w:ascii="Calibri" w:hAnsi="Calibri" w:eastAsia="宋体" w:cs="Times New Roman"/>
        </w:rPr>
        <w:t>须派足够数量、满足要求的具有相关设备日常操作、维保经验的人员进行驻点服务，负责设备日常操作并及时联系处理设备运行过程中的突发情况，保持与校方的充分沟通。</w:t>
      </w:r>
    </w:p>
    <w:p w14:paraId="047B703E">
      <w:pPr>
        <w:shd w:val="clear"/>
        <w:ind w:firstLine="480"/>
        <w:rPr>
          <w:rFonts w:ascii="Calibri" w:hAnsi="Calibri" w:eastAsia="宋体" w:cs="Times New Roman"/>
        </w:rPr>
      </w:pPr>
      <w:r>
        <w:rPr>
          <w:rFonts w:hint="eastAsia" w:ascii="Calibri" w:hAnsi="Calibri" w:eastAsia="宋体" w:cs="Times New Roman"/>
        </w:rPr>
        <w:t>（8）驻点人员不得少于1人（保证每个日历天均提供工作人员维护管理），人员必须保持稳定，其中一人应具有该相关行业丰富的服务经验和相应的专业能力（附佐证材料如：暖通专业的毕业证等）。</w:t>
      </w:r>
      <w:r>
        <w:rPr>
          <w:rFonts w:hint="eastAsia" w:ascii="Calibri" w:hAnsi="Calibri" w:eastAsia="宋体" w:cs="Times New Roman"/>
          <w:lang w:eastAsia="zh-CN"/>
        </w:rPr>
        <w:t>学校</w:t>
      </w:r>
      <w:r>
        <w:rPr>
          <w:rFonts w:hint="eastAsia" w:ascii="Calibri" w:hAnsi="Calibri" w:eastAsia="宋体" w:cs="Times New Roman"/>
        </w:rPr>
        <w:t xml:space="preserve">有大型活动或开学季、毕业季时，按实际需要，投标人需无条件增加驻点人员数量，保障设备运行。   </w:t>
      </w:r>
    </w:p>
    <w:p w14:paraId="104AD63A">
      <w:pPr>
        <w:shd w:val="clear"/>
        <w:ind w:firstLine="420" w:firstLineChars="200"/>
        <w:rPr>
          <w:rFonts w:ascii="Calibri" w:hAnsi="Calibri" w:eastAsia="宋体" w:cs="Times New Roman"/>
        </w:rPr>
      </w:pPr>
      <w:r>
        <w:rPr>
          <w:rFonts w:hint="eastAsia" w:ascii="Calibri" w:hAnsi="Calibri" w:eastAsia="宋体" w:cs="Times New Roman"/>
        </w:rPr>
        <w:t>（9）投标方日常操作管理及维保服务时间为24小时。如有机组发生故障时，投标方需在发生故障后1小时内派维修小组到达</w:t>
      </w:r>
      <w:r>
        <w:rPr>
          <w:rFonts w:hint="eastAsia" w:ascii="Calibri" w:hAnsi="Calibri" w:eastAsia="宋体" w:cs="Times New Roman"/>
          <w:lang w:eastAsia="zh-CN"/>
        </w:rPr>
        <w:t>学校</w:t>
      </w:r>
      <w:r>
        <w:rPr>
          <w:rFonts w:hint="eastAsia" w:ascii="Calibri" w:hAnsi="Calibri" w:eastAsia="宋体" w:cs="Times New Roman"/>
        </w:rPr>
        <w:t xml:space="preserve">处提供服务，检查故障后1小时内提出修复方案并报校方同意，小故障在2小时内修复完毕。  </w:t>
      </w:r>
    </w:p>
    <w:p w14:paraId="42EA2E31">
      <w:pPr>
        <w:shd w:val="clear"/>
        <w:ind w:firstLine="480"/>
        <w:rPr>
          <w:rFonts w:ascii="Calibri" w:hAnsi="Calibri" w:eastAsia="宋体" w:cs="Times New Roman"/>
        </w:rPr>
      </w:pPr>
      <w:bookmarkStart w:id="64" w:name="_Toc85612577"/>
      <w:r>
        <w:rPr>
          <w:rFonts w:ascii="Calibri" w:hAnsi="Calibri" w:eastAsia="宋体" w:cs="Times New Roman"/>
        </w:rPr>
        <w:t>3.</w:t>
      </w:r>
      <w:r>
        <w:rPr>
          <w:rFonts w:hint="eastAsia" w:ascii="Calibri" w:hAnsi="Calibri" w:eastAsia="宋体" w:cs="Times New Roman"/>
        </w:rPr>
        <w:t>4</w:t>
      </w:r>
      <w:r>
        <w:rPr>
          <w:rFonts w:ascii="Calibri" w:hAnsi="Calibri" w:eastAsia="宋体" w:cs="Times New Roman"/>
        </w:rPr>
        <w:t>.</w:t>
      </w:r>
      <w:r>
        <w:rPr>
          <w:rFonts w:hint="eastAsia" w:ascii="Calibri" w:hAnsi="Calibri" w:eastAsia="宋体" w:cs="Times New Roman"/>
        </w:rPr>
        <w:t>2保证空调正常运行，并不定时的检查机组运行情况，做好检查记录。</w:t>
      </w:r>
      <w:bookmarkEnd w:id="64"/>
    </w:p>
    <w:p w14:paraId="3CF27B51">
      <w:pPr>
        <w:shd w:val="clear"/>
        <w:ind w:firstLine="480"/>
        <w:rPr>
          <w:rFonts w:ascii="Calibri" w:hAnsi="Calibri" w:eastAsia="宋体" w:cs="Times New Roman"/>
        </w:rPr>
      </w:pPr>
      <w:r>
        <w:rPr>
          <w:rFonts w:ascii="Calibri" w:hAnsi="Calibri" w:eastAsia="宋体" w:cs="Times New Roman"/>
        </w:rPr>
        <w:t>3.4.3</w:t>
      </w:r>
      <w:r>
        <w:rPr>
          <w:rFonts w:hint="eastAsia" w:ascii="Calibri" w:hAnsi="Calibri" w:eastAsia="宋体" w:cs="Times New Roman"/>
        </w:rPr>
        <w:t>建立中央空调的一机一档，维保维修记录，维修记录包含以下内容：故障情况、故障引起原因、部件损坏情况、部件来源情况、维修时间、维修人员名单、维修地点等。</w:t>
      </w:r>
    </w:p>
    <w:p w14:paraId="1CD40AF0">
      <w:pPr>
        <w:shd w:val="clear"/>
        <w:ind w:firstLine="480"/>
        <w:rPr>
          <w:rFonts w:hint="eastAsia" w:ascii="Calibri" w:hAnsi="Calibri" w:eastAsia="宋体" w:cs="Times New Roman"/>
          <w:lang w:eastAsia="zh-CN"/>
        </w:rPr>
      </w:pPr>
      <w:r>
        <w:rPr>
          <w:rFonts w:ascii="Calibri" w:hAnsi="Calibri" w:eastAsia="宋体" w:cs="Times New Roman"/>
        </w:rPr>
        <w:t>3.</w:t>
      </w:r>
      <w:r>
        <w:rPr>
          <w:rFonts w:hint="eastAsia" w:ascii="Calibri" w:hAnsi="Calibri" w:eastAsia="宋体" w:cs="Times New Roman"/>
        </w:rPr>
        <w:t>4.4空调集控：日常操作、软硬件的维修及维护，网关、控制线路、平台等的维修及维护</w:t>
      </w:r>
      <w:r>
        <w:rPr>
          <w:rFonts w:hint="eastAsia" w:ascii="Calibri" w:hAnsi="Calibri" w:eastAsia="宋体" w:cs="Times New Roman"/>
          <w:lang w:eastAsia="zh-CN"/>
        </w:rPr>
        <w:t>。</w:t>
      </w:r>
    </w:p>
    <w:p w14:paraId="0CFB2E49">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4.5根据校方对空调的使用要求，指定专人进行配合，保障所有空调制冷运行正常，空调设定温度需根据学校要求；保障空调供热运行正常，空调设定温度需根据学校要求。</w:t>
      </w:r>
    </w:p>
    <w:p w14:paraId="26FDAEED">
      <w:pPr>
        <w:shd w:val="clear"/>
        <w:ind w:firstLine="480"/>
        <w:rPr>
          <w:rFonts w:ascii="Calibri" w:hAnsi="Calibri" w:eastAsia="宋体" w:cs="Times New Roman"/>
        </w:rPr>
      </w:pPr>
    </w:p>
    <w:p w14:paraId="35A2F8FF">
      <w:pPr>
        <w:shd w:val="clear"/>
        <w:ind w:firstLine="480"/>
        <w:rPr>
          <w:rFonts w:ascii="Calibri" w:hAnsi="Calibri" w:eastAsia="宋体" w:cs="Times New Roman"/>
        </w:rPr>
      </w:pPr>
    </w:p>
    <w:p w14:paraId="73E5E9E1">
      <w:pPr>
        <w:keepNext/>
        <w:keepLines/>
        <w:shd w:val="clear"/>
        <w:spacing w:before="260" w:after="260" w:line="416" w:lineRule="auto"/>
        <w:outlineLvl w:val="1"/>
        <w:rPr>
          <w:rFonts w:ascii="Arial" w:hAnsi="Arial" w:eastAsia="黑体" w:cs="Times New Roman"/>
          <w:b/>
          <w:bCs/>
          <w:sz w:val="32"/>
          <w:szCs w:val="32"/>
        </w:rPr>
      </w:pPr>
      <w:bookmarkStart w:id="65" w:name="_Toc97303146"/>
      <w:bookmarkStart w:id="66" w:name="_Toc90475300"/>
      <w:r>
        <w:rPr>
          <w:rFonts w:hint="eastAsia" w:ascii="Arial" w:hAnsi="Arial" w:eastAsia="黑体" w:cs="Times New Roman"/>
          <w:b/>
          <w:bCs/>
          <w:sz w:val="32"/>
          <w:szCs w:val="32"/>
        </w:rPr>
        <w:t>3.5 电梯管理</w:t>
      </w:r>
    </w:p>
    <w:p w14:paraId="1AA0013B">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5.1 贯彻执行国家及省市有关电梯管理的法律法规，建立健全学校电梯安全管理制度。</w:t>
      </w:r>
    </w:p>
    <w:p w14:paraId="2278EED2">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5.2 负责组织学校范围内的电梯安全使用培训和宣传工作。</w:t>
      </w:r>
    </w:p>
    <w:p w14:paraId="3440117F">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5.3 负责制订学校电梯运行安全事故的应急预案，协调电梯运行事故的调查处理、统计和上报工作。</w:t>
      </w:r>
    </w:p>
    <w:p w14:paraId="25CDAFE3">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5.4 负责建立电梯安全技术档案，档案的保存期限不少于3年。</w:t>
      </w:r>
    </w:p>
    <w:p w14:paraId="61EAA0DF">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5.5 承诺配置电梯安全管理员2名，要求日常确保1名维保人员 24 小时驻场。按照国家有关规定取得相应从业资格证书，方可从事相关工作。应当严格执行安全技术规范和管理制度。</w:t>
      </w:r>
    </w:p>
    <w:p w14:paraId="36A23DAF">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5.6 做好电梯设备安全巡查工作，每天不少于一次，并记录电梯运行状况，具体工作要求：</w:t>
      </w:r>
    </w:p>
    <w:p w14:paraId="3E4DA8C9">
      <w:pPr>
        <w:shd w:val="clear"/>
        <w:ind w:firstLine="480"/>
        <w:rPr>
          <w:rFonts w:hint="eastAsia" w:ascii="Calibri" w:hAnsi="Calibri" w:eastAsia="宋体" w:cs="Times New Roman"/>
          <w:kern w:val="0"/>
          <w:lang w:eastAsia="zh-CN"/>
        </w:rPr>
      </w:pPr>
      <w:r>
        <w:rPr>
          <w:rFonts w:hint="eastAsia" w:ascii="Calibri" w:hAnsi="Calibri" w:eastAsia="宋体" w:cs="Times New Roman"/>
          <w:kern w:val="0"/>
          <w:lang w:eastAsia="zh-CN"/>
        </w:rPr>
        <w:t>（</w:t>
      </w:r>
      <w:r>
        <w:rPr>
          <w:rFonts w:hint="eastAsia" w:ascii="Calibri" w:hAnsi="Calibri" w:eastAsia="宋体" w:cs="Times New Roman"/>
          <w:kern w:val="0"/>
          <w:lang w:val="en-US" w:eastAsia="zh-CN"/>
        </w:rPr>
        <w:t>1）</w:t>
      </w:r>
      <w:r>
        <w:rPr>
          <w:rFonts w:hint="eastAsia" w:ascii="Calibri" w:hAnsi="Calibri" w:eastAsia="宋体" w:cs="Times New Roman"/>
          <w:kern w:val="0"/>
        </w:rPr>
        <w:t>巡查每台电梯的正常运行情况</w:t>
      </w:r>
      <w:r>
        <w:rPr>
          <w:rFonts w:hint="eastAsia" w:ascii="Calibri" w:hAnsi="Calibri" w:eastAsia="宋体" w:cs="Times New Roman"/>
          <w:kern w:val="0"/>
          <w:lang w:eastAsia="zh-CN"/>
        </w:rPr>
        <w:t>。</w:t>
      </w:r>
    </w:p>
    <w:p w14:paraId="6C265814">
      <w:pPr>
        <w:shd w:val="clear"/>
        <w:ind w:firstLine="480"/>
        <w:rPr>
          <w:rFonts w:hint="eastAsia" w:ascii="Calibri" w:hAnsi="Calibri" w:eastAsia="宋体" w:cs="Times New Roman"/>
          <w:kern w:val="0"/>
          <w:lang w:eastAsia="zh-CN"/>
        </w:rPr>
      </w:pPr>
      <w:r>
        <w:rPr>
          <w:rFonts w:hint="eastAsia" w:ascii="Calibri" w:hAnsi="Calibri" w:eastAsia="宋体" w:cs="Times New Roman"/>
          <w:kern w:val="0"/>
          <w:lang w:eastAsia="zh-CN"/>
        </w:rPr>
        <w:t>（</w:t>
      </w:r>
      <w:r>
        <w:rPr>
          <w:rFonts w:hint="eastAsia" w:ascii="Calibri" w:hAnsi="Calibri" w:eastAsia="宋体" w:cs="Times New Roman"/>
          <w:kern w:val="0"/>
          <w:lang w:val="en-US" w:eastAsia="zh-CN"/>
        </w:rPr>
        <w:t>2）</w:t>
      </w:r>
      <w:r>
        <w:rPr>
          <w:rFonts w:hint="eastAsia" w:ascii="Calibri" w:hAnsi="Calibri" w:eastAsia="宋体" w:cs="Times New Roman"/>
          <w:kern w:val="0"/>
        </w:rPr>
        <w:t>检查标识标牌是否损坏</w:t>
      </w:r>
      <w:r>
        <w:rPr>
          <w:rFonts w:hint="eastAsia" w:ascii="Calibri" w:hAnsi="Calibri" w:eastAsia="宋体" w:cs="Times New Roman"/>
          <w:kern w:val="0"/>
          <w:lang w:eastAsia="zh-CN"/>
        </w:rPr>
        <w:t>。</w:t>
      </w:r>
    </w:p>
    <w:p w14:paraId="3F3A1B1A">
      <w:pPr>
        <w:shd w:val="clear"/>
        <w:ind w:firstLine="480"/>
        <w:rPr>
          <w:rFonts w:hint="eastAsia" w:ascii="Calibri" w:hAnsi="Calibri" w:eastAsia="宋体" w:cs="Times New Roman"/>
          <w:kern w:val="0"/>
          <w:lang w:eastAsia="zh-CN"/>
        </w:rPr>
      </w:pPr>
      <w:r>
        <w:rPr>
          <w:rFonts w:hint="eastAsia" w:ascii="Calibri" w:hAnsi="Calibri" w:eastAsia="宋体" w:cs="Times New Roman"/>
          <w:kern w:val="0"/>
          <w:lang w:eastAsia="zh-CN"/>
        </w:rPr>
        <w:t>（</w:t>
      </w:r>
      <w:r>
        <w:rPr>
          <w:rFonts w:hint="eastAsia" w:ascii="Calibri" w:hAnsi="Calibri" w:eastAsia="宋体" w:cs="Times New Roman"/>
          <w:kern w:val="0"/>
          <w:lang w:val="en-US" w:eastAsia="zh-CN"/>
        </w:rPr>
        <w:t>3）</w:t>
      </w:r>
      <w:r>
        <w:rPr>
          <w:rFonts w:hint="eastAsia" w:ascii="Calibri" w:hAnsi="Calibri" w:eastAsia="宋体" w:cs="Times New Roman"/>
          <w:kern w:val="0"/>
        </w:rPr>
        <w:t>检查应急电话是否畅通</w:t>
      </w:r>
      <w:r>
        <w:rPr>
          <w:rFonts w:hint="eastAsia" w:ascii="Calibri" w:hAnsi="Calibri" w:eastAsia="宋体" w:cs="Times New Roman"/>
          <w:kern w:val="0"/>
          <w:lang w:eastAsia="zh-CN"/>
        </w:rPr>
        <w:t>。</w:t>
      </w:r>
    </w:p>
    <w:p w14:paraId="00B68DB3">
      <w:pPr>
        <w:shd w:val="clear"/>
        <w:ind w:firstLine="480"/>
        <w:rPr>
          <w:rFonts w:hint="eastAsia" w:ascii="Calibri" w:hAnsi="Calibri" w:eastAsia="宋体" w:cs="Times New Roman"/>
          <w:kern w:val="0"/>
          <w:lang w:eastAsia="zh-CN"/>
        </w:rPr>
      </w:pPr>
      <w:r>
        <w:rPr>
          <w:rFonts w:hint="eastAsia" w:ascii="Calibri" w:hAnsi="Calibri" w:eastAsia="宋体" w:cs="Times New Roman"/>
          <w:kern w:val="0"/>
          <w:lang w:eastAsia="zh-CN"/>
        </w:rPr>
        <w:t>（</w:t>
      </w:r>
      <w:r>
        <w:rPr>
          <w:rFonts w:hint="eastAsia" w:ascii="Calibri" w:hAnsi="Calibri" w:eastAsia="宋体" w:cs="Times New Roman"/>
          <w:kern w:val="0"/>
          <w:lang w:val="en-US" w:eastAsia="zh-CN"/>
        </w:rPr>
        <w:t>4）</w:t>
      </w:r>
      <w:r>
        <w:rPr>
          <w:rFonts w:hint="eastAsia" w:ascii="Calibri" w:hAnsi="Calibri" w:eastAsia="宋体" w:cs="Times New Roman"/>
          <w:kern w:val="0"/>
        </w:rPr>
        <w:t>电梯显示楼层是否正常</w:t>
      </w:r>
      <w:r>
        <w:rPr>
          <w:rFonts w:hint="eastAsia" w:ascii="Calibri" w:hAnsi="Calibri" w:eastAsia="宋体" w:cs="Times New Roman"/>
          <w:kern w:val="0"/>
          <w:lang w:eastAsia="zh-CN"/>
        </w:rPr>
        <w:t>。</w:t>
      </w:r>
    </w:p>
    <w:p w14:paraId="13C82C0B">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6.7 负责《电梯检验合格证》的取证与换证工作。</w:t>
      </w:r>
    </w:p>
    <w:p w14:paraId="3174D0BE">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6</w:t>
      </w:r>
      <w:r>
        <w:rPr>
          <w:rFonts w:ascii="Calibri" w:hAnsi="Calibri" w:eastAsia="宋体" w:cs="Times New Roman"/>
        </w:rPr>
        <w:t>.</w:t>
      </w:r>
      <w:r>
        <w:rPr>
          <w:rFonts w:hint="eastAsia" w:ascii="Calibri" w:hAnsi="Calibri" w:eastAsia="宋体" w:cs="Times New Roman"/>
        </w:rPr>
        <w:t>9在保证电梯安全运行的前提下降低电梯维护保养成本。</w:t>
      </w:r>
    </w:p>
    <w:p w14:paraId="2AC41BA9">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6</w:t>
      </w:r>
      <w:r>
        <w:rPr>
          <w:rFonts w:ascii="Calibri" w:hAnsi="Calibri" w:eastAsia="宋体" w:cs="Times New Roman"/>
        </w:rPr>
        <w:t>.1</w:t>
      </w:r>
      <w:r>
        <w:rPr>
          <w:rFonts w:hint="eastAsia" w:ascii="Calibri" w:hAnsi="Calibri" w:eastAsia="宋体" w:cs="Times New Roman"/>
        </w:rPr>
        <w:t>0配合电梯检验机构对所有日常维修保养的电梯进行定期检验并通过特种设备检测合格，费用由</w:t>
      </w:r>
      <w:r>
        <w:rPr>
          <w:rFonts w:hint="eastAsia" w:ascii="Calibri" w:hAnsi="Calibri" w:eastAsia="宋体" w:cs="Times New Roman"/>
          <w:lang w:eastAsia="zh-CN"/>
        </w:rPr>
        <w:t>中标单位</w:t>
      </w:r>
      <w:r>
        <w:rPr>
          <w:rFonts w:hint="eastAsia" w:ascii="Calibri" w:hAnsi="Calibri" w:eastAsia="宋体" w:cs="Times New Roman"/>
        </w:rPr>
        <w:t>承担。</w:t>
      </w:r>
    </w:p>
    <w:p w14:paraId="0C2F4A2B">
      <w:pPr>
        <w:shd w:val="clear"/>
        <w:ind w:firstLine="480"/>
        <w:rPr>
          <w:rFonts w:hint="eastAsia" w:ascii="Calibri" w:hAnsi="Calibri" w:eastAsia="宋体" w:cs="Times New Roman"/>
        </w:rPr>
      </w:pPr>
      <w:r>
        <w:rPr>
          <w:rFonts w:hint="eastAsia" w:ascii="Calibri" w:hAnsi="Calibri" w:eastAsia="宋体" w:cs="Times New Roman"/>
        </w:rPr>
        <w:t>3.</w:t>
      </w:r>
      <w:r>
        <w:rPr>
          <w:rFonts w:hint="eastAsia" w:ascii="Calibri" w:hAnsi="Calibri" w:eastAsia="宋体" w:cs="Times New Roman"/>
          <w:lang w:val="en-US" w:eastAsia="zh-CN"/>
        </w:rPr>
        <w:t>6</w:t>
      </w:r>
      <w:r>
        <w:rPr>
          <w:rFonts w:hint="eastAsia" w:ascii="Calibri" w:hAnsi="Calibri" w:eastAsia="宋体" w:cs="Times New Roman"/>
        </w:rPr>
        <w:t>.1</w:t>
      </w:r>
      <w:r>
        <w:rPr>
          <w:rFonts w:hint="eastAsia" w:ascii="Calibri" w:hAnsi="Calibri" w:eastAsia="宋体" w:cs="Times New Roman"/>
          <w:lang w:val="en-US" w:eastAsia="zh-CN"/>
        </w:rPr>
        <w:t>1</w:t>
      </w:r>
      <w:r>
        <w:rPr>
          <w:rFonts w:hint="eastAsia" w:ascii="Calibri" w:hAnsi="Calibri" w:eastAsia="宋体" w:cs="Times New Roman"/>
        </w:rPr>
        <w:t xml:space="preserve"> </w:t>
      </w:r>
      <w:r>
        <w:rPr>
          <w:rFonts w:hint="eastAsia" w:ascii="Calibri" w:hAnsi="Calibri" w:eastAsia="宋体" w:cs="Times New Roman"/>
          <w:lang w:eastAsia="zh-CN"/>
        </w:rPr>
        <w:t>中标单位</w:t>
      </w:r>
      <w:r>
        <w:rPr>
          <w:rFonts w:hint="eastAsia" w:ascii="Calibri" w:hAnsi="Calibri" w:eastAsia="宋体" w:cs="Times New Roman"/>
        </w:rPr>
        <w:t>为电梯使用单位（特检院备案），为电梯的正常使用及安全负责。</w:t>
      </w:r>
      <w:r>
        <w:rPr>
          <w:rFonts w:hint="eastAsia" w:cs="Times New Roman"/>
          <w:kern w:val="2"/>
          <w:sz w:val="21"/>
          <w:szCs w:val="22"/>
          <w:lang w:val="en-US" w:eastAsia="zh-CN"/>
        </w:rPr>
        <w:t>由</w:t>
      </w:r>
      <w:r>
        <w:rPr>
          <w:rFonts w:hint="eastAsia" w:ascii="Calibri" w:hAnsi="Calibri" w:eastAsia="宋体" w:cs="Times New Roman"/>
          <w:kern w:val="2"/>
          <w:sz w:val="21"/>
          <w:szCs w:val="22"/>
        </w:rPr>
        <w:t>中标</w:t>
      </w:r>
      <w:r>
        <w:rPr>
          <w:rFonts w:hint="eastAsia" w:cs="Times New Roman"/>
          <w:kern w:val="2"/>
          <w:sz w:val="21"/>
          <w:szCs w:val="22"/>
          <w:lang w:val="en-US" w:eastAsia="zh-CN"/>
        </w:rPr>
        <w:t>单位委托具有相应资质的电梯维保单位</w:t>
      </w:r>
      <w:r>
        <w:rPr>
          <w:rFonts w:hint="eastAsia" w:ascii="Calibri" w:hAnsi="Calibri" w:eastAsia="宋体" w:cs="Times New Roman"/>
        </w:rPr>
        <w:t xml:space="preserve">负责电梯的维修保养，每次维修需建档，详细记录以下内容：故障情况、故障引起原因、部件损坏情况、维修时间、维修人员名单、维修地点等。普通维修配件价格超过500元的，材料费由校方承担，不另行支付人工费用；大修维修费用按实际情况结算。服务范围：包含常规电梯维修及保养的所有人工服务费；裁剪、调整悬挂 钢丝绳、轿厢称重调整、梯控程序调整的人工费及机具使用费；轿厢内上油和专业清洁的材料及人工费；单价 500 元及以下的电梯配件材料费。    </w:t>
      </w:r>
    </w:p>
    <w:p w14:paraId="50462F5C">
      <w:pPr>
        <w:shd w:val="clear"/>
        <w:ind w:firstLine="480"/>
        <w:rPr>
          <w:rFonts w:hint="eastAsia" w:ascii="Calibri" w:hAnsi="Calibri" w:eastAsia="宋体" w:cs="Times New Roman"/>
        </w:rPr>
      </w:pPr>
      <w:r>
        <w:rPr>
          <w:rFonts w:hint="eastAsia" w:ascii="Calibri" w:hAnsi="Calibri" w:eastAsia="宋体" w:cs="Times New Roman"/>
        </w:rPr>
        <w:t>3.</w:t>
      </w:r>
      <w:r>
        <w:rPr>
          <w:rFonts w:hint="eastAsia" w:ascii="Calibri" w:hAnsi="Calibri" w:eastAsia="宋体" w:cs="Times New Roman"/>
          <w:lang w:val="en-US" w:eastAsia="zh-CN"/>
        </w:rPr>
        <w:t>6</w:t>
      </w:r>
      <w:r>
        <w:rPr>
          <w:rFonts w:hint="eastAsia" w:ascii="Calibri" w:hAnsi="Calibri" w:eastAsia="宋体" w:cs="Times New Roman"/>
        </w:rPr>
        <w:t>.1</w:t>
      </w:r>
      <w:r>
        <w:rPr>
          <w:rFonts w:hint="eastAsia" w:ascii="Calibri" w:hAnsi="Calibri" w:eastAsia="宋体" w:cs="Times New Roman"/>
          <w:lang w:val="en-US" w:eastAsia="zh-CN"/>
        </w:rPr>
        <w:t>2</w:t>
      </w:r>
      <w:r>
        <w:rPr>
          <w:rFonts w:hint="eastAsia" w:ascii="Calibri" w:hAnsi="Calibri" w:eastAsia="宋体" w:cs="Times New Roman"/>
        </w:rPr>
        <w:t>须提供24小时的应急响应服务，且能在接到故障或事故报警后30分钟内到达现场，对电梯困人事故要求在15分钟内到达现场及时解救乘客并做好安抚工作。</w:t>
      </w:r>
    </w:p>
    <w:p w14:paraId="67238884">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lang w:val="en-US" w:eastAsia="zh-CN"/>
        </w:rPr>
        <w:t>6</w:t>
      </w:r>
      <w:r>
        <w:rPr>
          <w:rFonts w:ascii="Calibri" w:hAnsi="Calibri" w:eastAsia="宋体" w:cs="Times New Roman"/>
        </w:rPr>
        <w:t>.1</w:t>
      </w:r>
      <w:r>
        <w:rPr>
          <w:rFonts w:hint="eastAsia" w:ascii="Calibri" w:hAnsi="Calibri" w:eastAsia="宋体" w:cs="Times New Roman"/>
          <w:lang w:val="en-US" w:eastAsia="zh-CN"/>
        </w:rPr>
        <w:t>3</w:t>
      </w:r>
      <w:r>
        <w:rPr>
          <w:rFonts w:hint="eastAsia" w:ascii="Calibri" w:hAnsi="Calibri" w:eastAsia="宋体" w:cs="Times New Roman"/>
        </w:rPr>
        <w:t>根据应急措施和救援预案，每年至少针对不同类别（类型）电梯进行一次应急演练。</w:t>
      </w:r>
    </w:p>
    <w:p w14:paraId="286D074F">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lang w:val="en-US" w:eastAsia="zh-CN"/>
        </w:rPr>
        <w:t>6</w:t>
      </w:r>
      <w:r>
        <w:rPr>
          <w:rFonts w:ascii="Calibri" w:hAnsi="Calibri" w:eastAsia="宋体" w:cs="Times New Roman"/>
        </w:rPr>
        <w:t>.1</w:t>
      </w:r>
      <w:r>
        <w:rPr>
          <w:rFonts w:hint="eastAsia" w:ascii="Calibri" w:hAnsi="Calibri" w:eastAsia="宋体" w:cs="Times New Roman"/>
          <w:lang w:val="en-US" w:eastAsia="zh-CN"/>
        </w:rPr>
        <w:t>4</w:t>
      </w:r>
      <w:r>
        <w:rPr>
          <w:rFonts w:hint="eastAsia" w:ascii="Calibri" w:hAnsi="Calibri" w:eastAsia="宋体" w:cs="Times New Roman"/>
        </w:rPr>
        <w:t>实现维保记录电子化，要求统一使用电梯维保信息化管理系统，如已经自建系统，须通过数据接口的形式和市质监局电梯维保信息化管理系统对接，实现维保信息公示。</w:t>
      </w:r>
    </w:p>
    <w:bookmarkEnd w:id="65"/>
    <w:bookmarkEnd w:id="66"/>
    <w:p w14:paraId="57B6E882">
      <w:pPr>
        <w:shd w:val="clear"/>
        <w:tabs>
          <w:tab w:val="left" w:pos="720"/>
        </w:tabs>
        <w:ind w:firstLine="480"/>
        <w:rPr>
          <w:rFonts w:ascii="Calibri" w:hAnsi="Calibri" w:eastAsia="宋体" w:cs="Times New Roman"/>
        </w:rPr>
      </w:pPr>
    </w:p>
    <w:p w14:paraId="45FC86AA">
      <w:pPr>
        <w:keepNext/>
        <w:keepLines/>
        <w:shd w:val="clear"/>
        <w:spacing w:before="260" w:after="260" w:line="416" w:lineRule="auto"/>
        <w:outlineLvl w:val="1"/>
        <w:rPr>
          <w:rFonts w:hint="eastAsia" w:ascii="Arial" w:hAnsi="Arial" w:eastAsia="黑体" w:cs="Times New Roman"/>
          <w:b/>
          <w:bCs/>
          <w:sz w:val="32"/>
          <w:szCs w:val="32"/>
        </w:rPr>
      </w:pPr>
      <w:r>
        <w:rPr>
          <w:rFonts w:hint="eastAsia" w:ascii="Arial" w:hAnsi="Arial" w:eastAsia="黑体" w:cs="Times New Roman"/>
          <w:b/>
          <w:bCs/>
          <w:sz w:val="32"/>
          <w:szCs w:val="32"/>
        </w:rPr>
        <w:t>3.6信息化系统维护（后勤服务类）</w:t>
      </w:r>
    </w:p>
    <w:p w14:paraId="27338C97">
      <w:pPr>
        <w:shd w:val="clear"/>
        <w:ind w:firstLine="420" w:firstLineChars="200"/>
        <w:rPr>
          <w:rFonts w:ascii="Calibri" w:hAnsi="Calibri" w:eastAsia="宋体" w:cs="Times New Roman"/>
        </w:rPr>
      </w:pPr>
      <w:r>
        <w:rPr>
          <w:rFonts w:hint="eastAsia" w:ascii="Calibri" w:hAnsi="Calibri" w:eastAsia="宋体" w:cs="Times New Roman"/>
        </w:rPr>
        <w:t>负责智能灯控系统、学生公寓智能电表管理平台、能耗平台电子门禁及公寓智能门锁系统的日常操作、软硬件的维修及维护（材料费和人工费用均由</w:t>
      </w:r>
      <w:r>
        <w:rPr>
          <w:rFonts w:hint="eastAsia" w:ascii="Calibri" w:hAnsi="Calibri" w:eastAsia="宋体" w:cs="Times New Roman"/>
          <w:lang w:eastAsia="zh-CN"/>
        </w:rPr>
        <w:t>中标单位</w:t>
      </w:r>
      <w:r>
        <w:rPr>
          <w:rFonts w:hint="eastAsia" w:ascii="Calibri" w:hAnsi="Calibri" w:eastAsia="宋体" w:cs="Times New Roman"/>
        </w:rPr>
        <w:t>承担）。</w:t>
      </w:r>
    </w:p>
    <w:p w14:paraId="0E4BD331">
      <w:pPr>
        <w:shd w:val="clear"/>
        <w:ind w:firstLine="420" w:firstLineChars="200"/>
        <w:rPr>
          <w:rFonts w:hint="eastAsia" w:ascii="Calibri" w:hAnsi="Calibri" w:eastAsia="宋体" w:cs="Times New Roman"/>
          <w:lang w:eastAsia="zh-CN"/>
        </w:rPr>
      </w:pPr>
      <w:r>
        <w:rPr>
          <w:rFonts w:hint="eastAsia" w:ascii="Calibri" w:hAnsi="Calibri" w:eastAsia="宋体" w:cs="Times New Roman"/>
        </w:rPr>
        <w:t>（1）智能灯控系统：软件平台的日常维护升级，灯控面板、控制回路等的维修及维护</w:t>
      </w:r>
      <w:r>
        <w:rPr>
          <w:rFonts w:hint="eastAsia" w:ascii="Calibri" w:hAnsi="Calibri" w:eastAsia="宋体" w:cs="Times New Roman"/>
          <w:lang w:eastAsia="zh-CN"/>
        </w:rPr>
        <w:t>。</w:t>
      </w:r>
    </w:p>
    <w:p w14:paraId="6C4B0A3A">
      <w:pPr>
        <w:pStyle w:val="183"/>
        <w:numPr>
          <w:ilvl w:val="0"/>
          <w:numId w:val="0"/>
        </w:numPr>
        <w:shd w:val="clear"/>
        <w:tabs>
          <w:tab w:val="left" w:pos="720"/>
        </w:tabs>
        <w:ind w:firstLine="420" w:firstLineChars="200"/>
        <w:rPr>
          <w:rFonts w:ascii="Calibri" w:hAnsi="Calibri" w:eastAsia="宋体" w:cs="Times New Roman"/>
        </w:rPr>
      </w:pPr>
      <w:r>
        <w:rPr>
          <w:rFonts w:hint="eastAsia" w:ascii="Calibri" w:hAnsi="Calibri" w:eastAsia="宋体" w:cs="Times New Roman"/>
          <w:lang w:eastAsia="zh-CN"/>
        </w:rPr>
        <w:t>（</w:t>
      </w:r>
      <w:r>
        <w:rPr>
          <w:rFonts w:hint="eastAsia" w:ascii="Calibri" w:hAnsi="Calibri" w:eastAsia="宋体" w:cs="Times New Roman"/>
          <w:lang w:val="en-US" w:eastAsia="zh-CN"/>
        </w:rPr>
        <w:t>2）</w:t>
      </w:r>
      <w:r>
        <w:rPr>
          <w:rFonts w:hint="eastAsia" w:ascii="Calibri" w:hAnsi="Calibri" w:eastAsia="宋体" w:cs="Times New Roman"/>
        </w:rPr>
        <w:t>学生公寓智能电表管理平台：软件平台的日常维护升级，</w:t>
      </w:r>
      <w:bookmarkStart w:id="67" w:name="_Hlk186459850"/>
      <w:r>
        <w:rPr>
          <w:rFonts w:hint="eastAsia" w:ascii="Calibri" w:hAnsi="Calibri" w:eastAsia="宋体" w:cs="Times New Roman"/>
        </w:rPr>
        <w:t>电表、集中器、抄送器、购电机弱电线路等的维修及维护</w:t>
      </w:r>
      <w:bookmarkEnd w:id="67"/>
      <w:r>
        <w:rPr>
          <w:rFonts w:hint="eastAsia" w:ascii="Calibri" w:hAnsi="Calibri" w:eastAsia="宋体" w:cs="Times New Roman"/>
          <w:lang w:eastAsia="zh-CN"/>
        </w:rPr>
        <w:t>。</w:t>
      </w:r>
    </w:p>
    <w:p w14:paraId="033F55CD">
      <w:pPr>
        <w:pStyle w:val="183"/>
        <w:numPr>
          <w:ilvl w:val="0"/>
          <w:numId w:val="0"/>
        </w:numPr>
        <w:shd w:val="clear"/>
        <w:tabs>
          <w:tab w:val="left" w:pos="720"/>
        </w:tabs>
        <w:ind w:firstLine="420" w:firstLineChars="200"/>
      </w:pPr>
      <w:r>
        <w:rPr>
          <w:rFonts w:hint="eastAsia" w:ascii="Calibri" w:hAnsi="Calibri" w:eastAsia="宋体" w:cs="Times New Roman"/>
          <w:lang w:eastAsia="zh-CN"/>
        </w:rPr>
        <w:t>（</w:t>
      </w:r>
      <w:r>
        <w:rPr>
          <w:rFonts w:hint="eastAsia" w:ascii="Calibri" w:hAnsi="Calibri" w:eastAsia="宋体" w:cs="Times New Roman"/>
          <w:lang w:val="en-US" w:eastAsia="zh-CN"/>
        </w:rPr>
        <w:t>3）</w:t>
      </w:r>
      <w:r>
        <w:rPr>
          <w:rFonts w:hint="eastAsia" w:ascii="Calibri" w:hAnsi="Calibri" w:eastAsia="宋体" w:cs="Times New Roman"/>
        </w:rPr>
        <w:t>能耗平台：软件平台的日常维护升级，通讯线、水电表、采集器、控制回路等的维修及维护。</w:t>
      </w:r>
    </w:p>
    <w:p w14:paraId="705E171F">
      <w:pPr>
        <w:shd w:val="clear"/>
        <w:ind w:firstLine="420" w:firstLineChars="200"/>
        <w:rPr>
          <w:rFonts w:ascii="Calibri" w:hAnsi="Calibri" w:eastAsia="宋体" w:cs="Times New Roman"/>
        </w:rPr>
      </w:pPr>
      <w:r>
        <w:rPr>
          <w:rFonts w:hint="eastAsia" w:ascii="Calibri" w:hAnsi="Calibri" w:eastAsia="宋体" w:cs="Times New Roman"/>
          <w:lang w:eastAsia="zh-CN"/>
        </w:rPr>
        <w:t>（</w:t>
      </w:r>
      <w:r>
        <w:rPr>
          <w:rFonts w:hint="eastAsia" w:ascii="Calibri" w:hAnsi="Calibri" w:eastAsia="宋体" w:cs="Times New Roman"/>
        </w:rPr>
        <w:t>4）电子门禁及公寓智能门锁系统：软件平台的日常维护升级，门禁控制器、芯片、网关、读卡器、电磁锁等的维修及维护，要求提供驻点服务。</w:t>
      </w:r>
    </w:p>
    <w:bookmarkEnd w:id="58"/>
    <w:p w14:paraId="38E0566F">
      <w:pPr>
        <w:keepNext/>
        <w:keepLines/>
        <w:shd w:val="clear"/>
        <w:spacing w:before="260" w:after="260" w:line="416" w:lineRule="auto"/>
        <w:outlineLvl w:val="1"/>
        <w:rPr>
          <w:rFonts w:ascii="Arial" w:hAnsi="Arial" w:eastAsia="黑体" w:cs="Times New Roman"/>
          <w:b/>
          <w:bCs/>
          <w:sz w:val="32"/>
          <w:szCs w:val="32"/>
        </w:rPr>
      </w:pPr>
      <w:bookmarkStart w:id="68" w:name="_Toc90475302"/>
      <w:bookmarkStart w:id="69" w:name="_Toc97303148"/>
      <w:bookmarkStart w:id="70" w:name="_Toc97303149"/>
      <w:r>
        <w:rPr>
          <w:rFonts w:hint="eastAsia" w:ascii="Arial" w:hAnsi="Arial" w:eastAsia="黑体" w:cs="Times New Roman"/>
          <w:b/>
          <w:bCs/>
          <w:sz w:val="32"/>
          <w:szCs w:val="32"/>
        </w:rPr>
        <w:t>3.7零星维修服务</w:t>
      </w:r>
      <w:bookmarkEnd w:id="68"/>
      <w:bookmarkEnd w:id="69"/>
    </w:p>
    <w:p w14:paraId="3C45A986">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7.1服务内容</w:t>
      </w:r>
    </w:p>
    <w:p w14:paraId="5F12BAD9">
      <w:pPr>
        <w:shd w:val="clear"/>
        <w:ind w:firstLine="480"/>
        <w:rPr>
          <w:rFonts w:ascii="Calibri" w:hAnsi="等线" w:eastAsia="宋体" w:cs="Times New Roman"/>
        </w:rPr>
      </w:pPr>
      <w:r>
        <w:rPr>
          <w:rFonts w:hint="eastAsia" w:ascii="Calibri" w:hAnsi="等线" w:eastAsia="宋体" w:cs="Times New Roman"/>
        </w:rPr>
        <w:t>已有建筑物基础设施、家具及用水、用电设施设备等的日常零星维修，原则上单项（件）材料费用500元(含)以下，由</w:t>
      </w:r>
      <w:r>
        <w:rPr>
          <w:rFonts w:hint="eastAsia" w:ascii="Calibri" w:hAnsi="等线" w:eastAsia="宋体" w:cs="Times New Roman"/>
          <w:lang w:eastAsia="zh-CN"/>
        </w:rPr>
        <w:t>中标单位</w:t>
      </w:r>
      <w:r>
        <w:rPr>
          <w:rFonts w:hint="eastAsia" w:ascii="Calibri" w:hAnsi="等线" w:eastAsia="宋体" w:cs="Times New Roman"/>
        </w:rPr>
        <w:t>负责，500元以上的由</w:t>
      </w:r>
      <w:r>
        <w:rPr>
          <w:rFonts w:hint="eastAsia" w:ascii="Calibri" w:hAnsi="等线" w:eastAsia="宋体" w:cs="Times New Roman"/>
          <w:lang w:eastAsia="zh-CN"/>
        </w:rPr>
        <w:t>学校</w:t>
      </w:r>
      <w:r>
        <w:rPr>
          <w:rFonts w:hint="eastAsia" w:ascii="Calibri" w:hAnsi="等线" w:eastAsia="宋体" w:cs="Times New Roman"/>
        </w:rPr>
        <w:t>负责。单次单项维修人工费（含机械费）在1000元及以下的由</w:t>
      </w:r>
      <w:r>
        <w:rPr>
          <w:rFonts w:hint="eastAsia" w:ascii="Calibri" w:hAnsi="等线" w:eastAsia="宋体" w:cs="Times New Roman"/>
          <w:lang w:eastAsia="zh-CN"/>
        </w:rPr>
        <w:t>中标单位</w:t>
      </w:r>
      <w:r>
        <w:rPr>
          <w:rFonts w:hint="eastAsia" w:ascii="Calibri" w:hAnsi="等线" w:eastAsia="宋体" w:cs="Times New Roman"/>
        </w:rPr>
        <w:t>负责，1000元以上的由</w:t>
      </w:r>
      <w:r>
        <w:rPr>
          <w:rFonts w:hint="eastAsia" w:ascii="Calibri" w:hAnsi="等线" w:eastAsia="宋体" w:cs="Times New Roman"/>
          <w:lang w:eastAsia="zh-CN"/>
        </w:rPr>
        <w:t>学校</w:t>
      </w:r>
      <w:r>
        <w:rPr>
          <w:rFonts w:hint="eastAsia" w:ascii="Calibri" w:hAnsi="等线" w:eastAsia="宋体" w:cs="Times New Roman"/>
        </w:rPr>
        <w:t>负责。</w:t>
      </w:r>
      <w:bookmarkStart w:id="71" w:name="OLE_LINK1"/>
      <w:r>
        <w:rPr>
          <w:rFonts w:hint="eastAsia" w:ascii="Calibri" w:hAnsi="等线" w:eastAsia="宋体" w:cs="Times New Roman"/>
        </w:rPr>
        <w:t>单次单项维修材料费用在500元上下、单次单项维修人工费（含机械费）在1000元上下的鉴定</w:t>
      </w:r>
      <w:bookmarkEnd w:id="71"/>
      <w:r>
        <w:rPr>
          <w:rFonts w:hint="eastAsia" w:ascii="Calibri" w:hAnsi="等线" w:eastAsia="宋体" w:cs="Times New Roman"/>
        </w:rPr>
        <w:t>由后勤服务中心工程管理相关人员根据现场情况核实，如</w:t>
      </w:r>
      <w:r>
        <w:rPr>
          <w:rFonts w:hint="eastAsia" w:ascii="Calibri" w:hAnsi="等线" w:eastAsia="宋体" w:cs="Times New Roman"/>
          <w:lang w:eastAsia="zh-CN"/>
        </w:rPr>
        <w:t>中标单位</w:t>
      </w:r>
      <w:r>
        <w:rPr>
          <w:rFonts w:hint="eastAsia" w:ascii="Calibri" w:hAnsi="等线" w:eastAsia="宋体" w:cs="Times New Roman"/>
        </w:rPr>
        <w:t>有异议，由后勤服务中心相关人员第三方询价、套定额核实。毕业生离校或大规模寝室搬迁后，负责宿舍内全面排查与整修，以及宿舍大修监管，协助市政管网排查、消防管网维修、应急抢修等。</w:t>
      </w:r>
    </w:p>
    <w:p w14:paraId="3FF81A58">
      <w:pPr>
        <w:keepNext/>
        <w:shd w:val="clear"/>
        <w:spacing w:before="152" w:after="160"/>
        <w:jc w:val="center"/>
        <w:rPr>
          <w:rFonts w:ascii="宋体" w:hAnsi="宋体" w:eastAsia="黑体" w:cs="Times New Roman"/>
          <w:b/>
          <w:bCs/>
          <w:sz w:val="20"/>
          <w:szCs w:val="24"/>
        </w:rPr>
      </w:pPr>
      <w:r>
        <w:rPr>
          <w:rFonts w:hint="eastAsia" w:ascii="宋体" w:hAnsi="宋体" w:eastAsia="宋体" w:cs="Times New Roman"/>
          <w:b/>
          <w:bCs/>
          <w:sz w:val="24"/>
          <w:szCs w:val="24"/>
        </w:rPr>
        <w:t>表</w:t>
      </w:r>
      <w:r>
        <w:rPr>
          <w:rFonts w:ascii="宋体" w:hAnsi="宋体" w:eastAsia="宋体" w:cs="Times New Roman"/>
          <w:b/>
          <w:bCs/>
          <w:sz w:val="24"/>
          <w:szCs w:val="24"/>
        </w:rPr>
        <w:fldChar w:fldCharType="begin"/>
      </w:r>
      <w:r>
        <w:rPr>
          <w:rFonts w:ascii="宋体" w:hAnsi="宋体" w:eastAsia="宋体" w:cs="Times New Roman"/>
          <w:b/>
          <w:bCs/>
          <w:sz w:val="24"/>
          <w:szCs w:val="24"/>
        </w:rPr>
        <w:instrText xml:space="preserve"> SEQ </w:instrText>
      </w:r>
      <w:r>
        <w:rPr>
          <w:rFonts w:hint="eastAsia" w:ascii="宋体" w:hAnsi="宋体" w:eastAsia="宋体" w:cs="Times New Roman"/>
          <w:b/>
          <w:bCs/>
          <w:sz w:val="24"/>
          <w:szCs w:val="24"/>
        </w:rPr>
        <w:instrText xml:space="preserve">表</w:instrText>
      </w:r>
      <w:r>
        <w:rPr>
          <w:rFonts w:ascii="宋体" w:hAnsi="宋体" w:eastAsia="宋体" w:cs="Times New Roman"/>
          <w:b/>
          <w:bCs/>
          <w:sz w:val="24"/>
          <w:szCs w:val="24"/>
        </w:rPr>
        <w:instrText xml:space="preserve"> \* ARABIC </w:instrText>
      </w:r>
      <w:r>
        <w:rPr>
          <w:rFonts w:ascii="宋体" w:hAnsi="宋体" w:eastAsia="宋体" w:cs="Times New Roman"/>
          <w:b/>
          <w:bCs/>
          <w:sz w:val="24"/>
          <w:szCs w:val="24"/>
        </w:rPr>
        <w:fldChar w:fldCharType="separate"/>
      </w:r>
      <w:r>
        <w:rPr>
          <w:rFonts w:ascii="宋体" w:hAnsi="宋体" w:eastAsia="宋体" w:cs="Times New Roman"/>
          <w:b/>
          <w:bCs/>
          <w:sz w:val="24"/>
          <w:szCs w:val="24"/>
        </w:rPr>
        <w:t>5</w:t>
      </w:r>
      <w:r>
        <w:rPr>
          <w:rFonts w:ascii="宋体" w:hAnsi="宋体" w:eastAsia="宋体" w:cs="Times New Roman"/>
          <w:b/>
          <w:bCs/>
          <w:sz w:val="24"/>
          <w:szCs w:val="24"/>
        </w:rPr>
        <w:fldChar w:fldCharType="end"/>
      </w:r>
      <w:r>
        <w:rPr>
          <w:rFonts w:hint="eastAsia" w:ascii="宋体" w:hAnsi="宋体" w:eastAsia="宋体" w:cs="Times New Roman"/>
          <w:b/>
          <w:bCs/>
          <w:sz w:val="24"/>
          <w:szCs w:val="24"/>
        </w:rPr>
        <w:t>零星服务内容</w:t>
      </w:r>
    </w:p>
    <w:tbl>
      <w:tblPr>
        <w:tblStyle w:val="5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6379"/>
      </w:tblGrid>
      <w:tr w14:paraId="0D71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80E081C">
            <w:pPr>
              <w:shd w:val="clear"/>
              <w:rPr>
                <w:rFonts w:ascii="Calibri" w:hAnsi="宋体" w:eastAsia="宋体" w:cs="宋体"/>
                <w:bCs/>
                <w:sz w:val="18"/>
                <w:szCs w:val="18"/>
              </w:rPr>
            </w:pPr>
            <w:r>
              <w:rPr>
                <w:rFonts w:hint="eastAsia" w:ascii="Calibri" w:hAnsi="宋体" w:eastAsia="宋体" w:cs="宋体"/>
                <w:bCs/>
                <w:sz w:val="18"/>
                <w:szCs w:val="18"/>
              </w:rPr>
              <w:t>序号</w:t>
            </w:r>
          </w:p>
        </w:tc>
        <w:tc>
          <w:tcPr>
            <w:tcW w:w="1843" w:type="dxa"/>
            <w:vAlign w:val="center"/>
          </w:tcPr>
          <w:p w14:paraId="4D7F7D18">
            <w:pPr>
              <w:shd w:val="clear"/>
              <w:jc w:val="center"/>
              <w:rPr>
                <w:rFonts w:ascii="Calibri" w:hAnsi="宋体" w:eastAsia="宋体" w:cs="Times New Roman"/>
                <w:sz w:val="18"/>
                <w:szCs w:val="18"/>
              </w:rPr>
            </w:pPr>
            <w:r>
              <w:rPr>
                <w:rFonts w:hint="eastAsia" w:ascii="Calibri" w:hAnsi="宋体" w:eastAsia="宋体" w:cs="Times New Roman"/>
                <w:sz w:val="18"/>
                <w:szCs w:val="18"/>
              </w:rPr>
              <w:t>内容</w:t>
            </w:r>
          </w:p>
        </w:tc>
        <w:tc>
          <w:tcPr>
            <w:tcW w:w="6379" w:type="dxa"/>
            <w:vAlign w:val="center"/>
          </w:tcPr>
          <w:p w14:paraId="2F904D98">
            <w:pPr>
              <w:shd w:val="clear"/>
              <w:jc w:val="center"/>
              <w:rPr>
                <w:rFonts w:ascii="Calibri" w:hAnsi="宋体" w:eastAsia="宋体" w:cs="宋体"/>
                <w:bCs/>
                <w:sz w:val="18"/>
                <w:szCs w:val="18"/>
              </w:rPr>
            </w:pPr>
            <w:r>
              <w:rPr>
                <w:rFonts w:hint="eastAsia" w:ascii="Calibri" w:hAnsi="宋体" w:eastAsia="宋体" w:cs="宋体"/>
                <w:bCs/>
                <w:sz w:val="18"/>
                <w:szCs w:val="18"/>
              </w:rPr>
              <w:t>备注</w:t>
            </w:r>
          </w:p>
        </w:tc>
      </w:tr>
      <w:tr w14:paraId="2E0A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1E4FC2A">
            <w:pPr>
              <w:shd w:val="clear"/>
              <w:jc w:val="center"/>
              <w:rPr>
                <w:rFonts w:ascii="Calibri" w:hAnsi="宋体" w:eastAsia="宋体" w:cs="宋体"/>
                <w:bCs/>
                <w:sz w:val="18"/>
                <w:szCs w:val="18"/>
              </w:rPr>
            </w:pPr>
            <w:r>
              <w:rPr>
                <w:rFonts w:ascii="Calibri" w:hAnsi="宋体" w:eastAsia="宋体" w:cs="宋体"/>
                <w:bCs/>
                <w:sz w:val="18"/>
                <w:szCs w:val="18"/>
              </w:rPr>
              <w:t>1</w:t>
            </w:r>
          </w:p>
        </w:tc>
        <w:tc>
          <w:tcPr>
            <w:tcW w:w="1843" w:type="dxa"/>
            <w:vAlign w:val="center"/>
          </w:tcPr>
          <w:p w14:paraId="7654F41B">
            <w:pPr>
              <w:shd w:val="clear"/>
              <w:jc w:val="center"/>
              <w:rPr>
                <w:rFonts w:hint="eastAsia" w:ascii="Calibri" w:hAnsi="宋体" w:eastAsia="宋体" w:cs="Times New Roman"/>
                <w:sz w:val="18"/>
                <w:szCs w:val="18"/>
              </w:rPr>
            </w:pPr>
            <w:r>
              <w:rPr>
                <w:rFonts w:hint="eastAsia" w:ascii="Calibri" w:hAnsi="宋体" w:eastAsia="宋体" w:cs="Times New Roman"/>
                <w:sz w:val="18"/>
                <w:szCs w:val="18"/>
              </w:rPr>
              <w:t>水</w:t>
            </w:r>
          </w:p>
        </w:tc>
        <w:tc>
          <w:tcPr>
            <w:tcW w:w="6379" w:type="dxa"/>
            <w:vAlign w:val="center"/>
          </w:tcPr>
          <w:p w14:paraId="27295C6E">
            <w:pPr>
              <w:shd w:val="clear"/>
              <w:jc w:val="left"/>
              <w:rPr>
                <w:rFonts w:hint="eastAsia" w:ascii="Calibri" w:hAnsi="宋体" w:eastAsia="宋体" w:cs="Times New Roman"/>
                <w:sz w:val="18"/>
                <w:szCs w:val="18"/>
              </w:rPr>
            </w:pPr>
            <w:r>
              <w:rPr>
                <w:rFonts w:hint="eastAsia" w:ascii="Calibri" w:hAnsi="宋体" w:eastAsia="宋体" w:cs="Times New Roman"/>
                <w:sz w:val="18"/>
                <w:szCs w:val="18"/>
              </w:rPr>
              <w:t>室内（含高层）及室外的地下水泵房和楼顶水箱、给水管网、管道附件（阀门）、检查井、阀门井及水表井跑、冒、滴、漏检查维护及小故障维修，发现漏点不在服务范围的报校方另行安排维修，室内及与室外相通的排水管网清通，给排水管道检查及维修，水表前滤网污物每学期定期组织不少于一次清理；水龙头维修和更换（含感应水龙头）、冷热水角阀；大小便器冲洗阀维修和更换、座便器水箱配件维修和更换、洗手盆、洗涤盆、水表及配件维修和更换，建筑物及其基础设施渗水维修、室内下水管道堵塞清掏、地下室潜水泵检修更换，楼板结构漏水局部注浆维修等。</w:t>
            </w:r>
          </w:p>
        </w:tc>
      </w:tr>
      <w:tr w14:paraId="41CF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6400BAC">
            <w:pPr>
              <w:shd w:val="clear"/>
              <w:jc w:val="center"/>
              <w:rPr>
                <w:rFonts w:ascii="Calibri" w:hAnsi="宋体" w:eastAsia="宋体" w:cs="宋体"/>
                <w:bCs/>
                <w:sz w:val="18"/>
                <w:szCs w:val="18"/>
              </w:rPr>
            </w:pPr>
            <w:r>
              <w:rPr>
                <w:rFonts w:ascii="Calibri" w:hAnsi="宋体" w:eastAsia="宋体" w:cs="宋体"/>
                <w:bCs/>
                <w:sz w:val="18"/>
                <w:szCs w:val="18"/>
              </w:rPr>
              <w:t>2</w:t>
            </w:r>
          </w:p>
        </w:tc>
        <w:tc>
          <w:tcPr>
            <w:tcW w:w="1843" w:type="dxa"/>
            <w:vAlign w:val="center"/>
          </w:tcPr>
          <w:p w14:paraId="5B43EB36">
            <w:pPr>
              <w:shd w:val="clear"/>
              <w:jc w:val="center"/>
              <w:rPr>
                <w:rFonts w:ascii="Calibri" w:hAnsi="宋体" w:eastAsia="宋体" w:cs="Times New Roman"/>
                <w:sz w:val="18"/>
                <w:szCs w:val="18"/>
              </w:rPr>
            </w:pPr>
            <w:r>
              <w:rPr>
                <w:rFonts w:hint="eastAsia" w:ascii="Calibri" w:hAnsi="宋体" w:eastAsia="宋体" w:cs="Times New Roman"/>
                <w:sz w:val="18"/>
                <w:szCs w:val="18"/>
              </w:rPr>
              <w:t>电</w:t>
            </w:r>
          </w:p>
        </w:tc>
        <w:tc>
          <w:tcPr>
            <w:tcW w:w="6379" w:type="dxa"/>
            <w:vAlign w:val="center"/>
          </w:tcPr>
          <w:p w14:paraId="7CC92562">
            <w:pPr>
              <w:shd w:val="clear"/>
              <w:jc w:val="left"/>
              <w:rPr>
                <w:rFonts w:ascii="Calibri" w:hAnsi="等线" w:eastAsia="宋体" w:cs="Times New Roman"/>
                <w:sz w:val="18"/>
                <w:szCs w:val="18"/>
              </w:rPr>
            </w:pPr>
            <w:r>
              <w:rPr>
                <w:rFonts w:hint="eastAsia" w:ascii="Calibri" w:hAnsi="宋体" w:eastAsia="宋体" w:cs="Times New Roman"/>
                <w:sz w:val="18"/>
                <w:szCs w:val="18"/>
              </w:rPr>
              <w:t>低压配电房、强电井设施检查维修，进行电器线路故障排查及小故障维修；校园内配电箱柜元器件维修更换、日光灯管、节能灯、</w:t>
            </w:r>
            <w:r>
              <w:rPr>
                <w:rFonts w:ascii="Calibri" w:hAnsi="宋体" w:eastAsia="宋体" w:cs="Times New Roman"/>
                <w:sz w:val="18"/>
                <w:szCs w:val="18"/>
              </w:rPr>
              <w:t>LED</w:t>
            </w:r>
            <w:r>
              <w:rPr>
                <w:rFonts w:hint="eastAsia" w:ascii="Calibri" w:hAnsi="宋体" w:eastAsia="宋体" w:cs="Times New Roman"/>
                <w:sz w:val="18"/>
                <w:szCs w:val="18"/>
              </w:rPr>
              <w:t>灯应急灯、安全出口指示灯、道路路灯及灯具等设施更换、原有插座面板维修和更换、原有灯具开关维修和更换、风扇及调速器、电表维修和更换、换气扇的维修和更换、潜水泵的维修、动力设备控制箱配件检修更换；毕业生楼暑假期间对电表、供电设施、电器线路全面排查整修。</w:t>
            </w:r>
          </w:p>
        </w:tc>
      </w:tr>
      <w:tr w14:paraId="398D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380BD0C">
            <w:pPr>
              <w:shd w:val="clear"/>
              <w:jc w:val="center"/>
              <w:rPr>
                <w:rFonts w:ascii="Calibri" w:hAnsi="宋体" w:eastAsia="宋体" w:cs="宋体"/>
                <w:bCs/>
                <w:sz w:val="18"/>
                <w:szCs w:val="18"/>
              </w:rPr>
            </w:pPr>
            <w:r>
              <w:rPr>
                <w:rFonts w:ascii="Calibri" w:hAnsi="宋体" w:eastAsia="宋体" w:cs="宋体"/>
                <w:bCs/>
                <w:sz w:val="18"/>
                <w:szCs w:val="18"/>
              </w:rPr>
              <w:t>3</w:t>
            </w:r>
          </w:p>
        </w:tc>
        <w:tc>
          <w:tcPr>
            <w:tcW w:w="1843" w:type="dxa"/>
            <w:vAlign w:val="center"/>
          </w:tcPr>
          <w:p w14:paraId="7138E736">
            <w:pPr>
              <w:shd w:val="clear"/>
              <w:jc w:val="center"/>
              <w:rPr>
                <w:rFonts w:ascii="Calibri" w:hAnsi="宋体" w:eastAsia="宋体" w:cs="Times New Roman"/>
                <w:sz w:val="18"/>
                <w:szCs w:val="18"/>
              </w:rPr>
            </w:pPr>
            <w:r>
              <w:rPr>
                <w:rFonts w:hint="eastAsia" w:ascii="Calibri" w:hAnsi="宋体" w:eastAsia="宋体" w:cs="Times New Roman"/>
                <w:sz w:val="18"/>
                <w:szCs w:val="18"/>
              </w:rPr>
              <w:t>特殊要求的水、电供应服务</w:t>
            </w:r>
          </w:p>
        </w:tc>
        <w:tc>
          <w:tcPr>
            <w:tcW w:w="6379" w:type="dxa"/>
            <w:vAlign w:val="center"/>
          </w:tcPr>
          <w:p w14:paraId="607692F6">
            <w:pPr>
              <w:shd w:val="clear"/>
              <w:jc w:val="left"/>
              <w:rPr>
                <w:rFonts w:ascii="Calibri" w:hAnsi="宋体" w:eastAsia="宋体" w:cs="Times New Roman"/>
                <w:sz w:val="18"/>
                <w:szCs w:val="18"/>
              </w:rPr>
            </w:pPr>
            <w:r>
              <w:rPr>
                <w:rFonts w:hint="eastAsia" w:ascii="Calibri" w:hAnsi="宋体" w:eastAsia="宋体" w:cs="Times New Roman"/>
                <w:sz w:val="18"/>
                <w:szCs w:val="18"/>
              </w:rPr>
              <w:t>如学校安排的短训班、寒暑假安排集中住宿学生的水、电供应；配合做好热水器移位、配合做好智能电表的更换。</w:t>
            </w:r>
          </w:p>
        </w:tc>
      </w:tr>
      <w:tr w14:paraId="1345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46B215A">
            <w:pPr>
              <w:shd w:val="clear"/>
              <w:jc w:val="center"/>
              <w:rPr>
                <w:rFonts w:ascii="Calibri" w:hAnsi="宋体" w:eastAsia="宋体" w:cs="宋体"/>
                <w:bCs/>
                <w:sz w:val="18"/>
                <w:szCs w:val="18"/>
              </w:rPr>
            </w:pPr>
            <w:r>
              <w:rPr>
                <w:rFonts w:ascii="Calibri" w:hAnsi="宋体" w:eastAsia="宋体" w:cs="宋体"/>
                <w:bCs/>
                <w:sz w:val="18"/>
                <w:szCs w:val="18"/>
              </w:rPr>
              <w:t>4</w:t>
            </w:r>
          </w:p>
        </w:tc>
        <w:tc>
          <w:tcPr>
            <w:tcW w:w="1843" w:type="dxa"/>
            <w:vAlign w:val="center"/>
          </w:tcPr>
          <w:p w14:paraId="4427F51A">
            <w:pPr>
              <w:shd w:val="clear"/>
              <w:jc w:val="center"/>
              <w:rPr>
                <w:rFonts w:ascii="Calibri" w:hAnsi="宋体" w:eastAsia="宋体" w:cs="Times New Roman"/>
                <w:sz w:val="18"/>
                <w:szCs w:val="18"/>
              </w:rPr>
            </w:pPr>
            <w:r>
              <w:rPr>
                <w:rFonts w:hint="eastAsia" w:ascii="Calibri" w:hAnsi="宋体" w:eastAsia="宋体" w:cs="Times New Roman"/>
                <w:sz w:val="18"/>
                <w:szCs w:val="18"/>
              </w:rPr>
              <w:t>门窗维修</w:t>
            </w:r>
          </w:p>
        </w:tc>
        <w:tc>
          <w:tcPr>
            <w:tcW w:w="6379" w:type="dxa"/>
            <w:vAlign w:val="center"/>
          </w:tcPr>
          <w:p w14:paraId="5C3EEEF2">
            <w:pPr>
              <w:shd w:val="clear"/>
              <w:jc w:val="left"/>
              <w:rPr>
                <w:rFonts w:ascii="Calibri" w:hAnsi="宋体" w:eastAsia="宋体" w:cs="Times New Roman"/>
                <w:sz w:val="18"/>
                <w:szCs w:val="18"/>
              </w:rPr>
            </w:pPr>
            <w:r>
              <w:rPr>
                <w:rFonts w:hint="eastAsia" w:ascii="Calibri" w:hAnsi="宋体" w:eastAsia="宋体" w:cs="Times New Roman"/>
                <w:sz w:val="18"/>
                <w:szCs w:val="18"/>
              </w:rPr>
              <w:t>门窗整修、门窗锁维修和更换、小五金（含门窗合页、窗扣、门吸、门把手、挂钩、门吸、闭门器等）维修和更换、普通玻璃破损更换（含消火栓玻璃）、地弹簧维修和更换等，卫生间门扇维修、楼层及楼顶防火门定期检查维修和维护。</w:t>
            </w:r>
          </w:p>
        </w:tc>
      </w:tr>
      <w:tr w14:paraId="6150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C1C7CF5">
            <w:pPr>
              <w:shd w:val="clear"/>
              <w:jc w:val="center"/>
              <w:rPr>
                <w:rFonts w:ascii="Calibri" w:hAnsi="宋体" w:eastAsia="宋体" w:cs="宋体"/>
                <w:bCs/>
                <w:sz w:val="18"/>
                <w:szCs w:val="18"/>
              </w:rPr>
            </w:pPr>
            <w:r>
              <w:rPr>
                <w:rFonts w:ascii="Calibri" w:hAnsi="宋体" w:eastAsia="宋体" w:cs="宋体"/>
                <w:bCs/>
                <w:sz w:val="18"/>
                <w:szCs w:val="18"/>
              </w:rPr>
              <w:t>5</w:t>
            </w:r>
          </w:p>
        </w:tc>
        <w:tc>
          <w:tcPr>
            <w:tcW w:w="1843" w:type="dxa"/>
            <w:vAlign w:val="center"/>
          </w:tcPr>
          <w:p w14:paraId="2B76E743">
            <w:pPr>
              <w:shd w:val="clear"/>
              <w:jc w:val="center"/>
              <w:rPr>
                <w:rFonts w:ascii="Calibri" w:hAnsi="宋体" w:eastAsia="宋体" w:cs="Times New Roman"/>
                <w:sz w:val="18"/>
                <w:szCs w:val="18"/>
              </w:rPr>
            </w:pPr>
            <w:r>
              <w:rPr>
                <w:rFonts w:hint="eastAsia" w:ascii="Calibri" w:hAnsi="宋体" w:eastAsia="宋体" w:cs="Times New Roman"/>
                <w:sz w:val="18"/>
                <w:szCs w:val="18"/>
              </w:rPr>
              <w:t>家具维修（含教学、办公、后勤、宿舍等所有家具）</w:t>
            </w:r>
          </w:p>
        </w:tc>
        <w:tc>
          <w:tcPr>
            <w:tcW w:w="6379" w:type="dxa"/>
            <w:vAlign w:val="center"/>
          </w:tcPr>
          <w:p w14:paraId="7D5BFE14">
            <w:pPr>
              <w:shd w:val="clear"/>
              <w:jc w:val="left"/>
              <w:rPr>
                <w:rFonts w:ascii="Calibri" w:hAnsi="宋体" w:eastAsia="宋体" w:cs="Times New Roman"/>
                <w:sz w:val="18"/>
                <w:szCs w:val="18"/>
              </w:rPr>
            </w:pPr>
            <w:r>
              <w:rPr>
                <w:rFonts w:hint="eastAsia" w:ascii="Calibri" w:hAnsi="宋体" w:eastAsia="宋体" w:cs="Times New Roman"/>
                <w:sz w:val="18"/>
                <w:szCs w:val="18"/>
              </w:rPr>
              <w:t>桌椅、衣柜、矮柜维修、窗帘吊钩及轨道维修和更换，电动</w:t>
            </w:r>
            <w:r>
              <w:rPr>
                <w:rFonts w:ascii="Calibri" w:hAnsi="宋体" w:eastAsia="宋体" w:cs="Times New Roman"/>
                <w:sz w:val="18"/>
                <w:szCs w:val="18"/>
              </w:rPr>
              <w:t>窗帘维修和更换，</w:t>
            </w:r>
            <w:r>
              <w:rPr>
                <w:rFonts w:hint="eastAsia" w:ascii="Calibri" w:hAnsi="宋体" w:eastAsia="宋体" w:cs="Times New Roman"/>
                <w:sz w:val="18"/>
                <w:szCs w:val="18"/>
              </w:rPr>
              <w:t>床铺及附件、脸盆架、行李架、桌椅破损维修或更换、贴面维修或更换、缺损螺栓螺帽安装等，包含毕业生离校后的寝室家具大修、门锁维修和锁芯钥匙更换。各类考试前统一安排考试</w:t>
            </w:r>
            <w:r>
              <w:rPr>
                <w:rFonts w:ascii="Calibri" w:hAnsi="宋体" w:eastAsia="宋体" w:cs="Times New Roman"/>
                <w:sz w:val="18"/>
                <w:szCs w:val="18"/>
              </w:rPr>
              <w:t>教室</w:t>
            </w:r>
            <w:r>
              <w:rPr>
                <w:rFonts w:hint="eastAsia" w:ascii="Calibri" w:hAnsi="宋体" w:eastAsia="宋体" w:cs="Times New Roman"/>
                <w:sz w:val="18"/>
                <w:szCs w:val="18"/>
              </w:rPr>
              <w:t>检修。</w:t>
            </w:r>
          </w:p>
        </w:tc>
      </w:tr>
      <w:tr w14:paraId="5134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628E079">
            <w:pPr>
              <w:shd w:val="clear"/>
              <w:jc w:val="center"/>
              <w:rPr>
                <w:rFonts w:ascii="Calibri" w:hAnsi="宋体" w:eastAsia="宋体" w:cs="宋体"/>
                <w:bCs/>
                <w:sz w:val="18"/>
                <w:szCs w:val="18"/>
              </w:rPr>
            </w:pPr>
            <w:r>
              <w:rPr>
                <w:rFonts w:ascii="Calibri" w:hAnsi="宋体" w:eastAsia="宋体" w:cs="宋体"/>
                <w:bCs/>
                <w:sz w:val="18"/>
                <w:szCs w:val="18"/>
              </w:rPr>
              <w:t>6</w:t>
            </w:r>
          </w:p>
        </w:tc>
        <w:tc>
          <w:tcPr>
            <w:tcW w:w="1843" w:type="dxa"/>
            <w:vAlign w:val="center"/>
          </w:tcPr>
          <w:p w14:paraId="170650CC">
            <w:pPr>
              <w:shd w:val="clear"/>
              <w:jc w:val="center"/>
              <w:rPr>
                <w:rFonts w:ascii="Calibri" w:hAnsi="宋体" w:eastAsia="宋体" w:cs="Times New Roman"/>
                <w:sz w:val="18"/>
                <w:szCs w:val="18"/>
              </w:rPr>
            </w:pPr>
            <w:r>
              <w:rPr>
                <w:rFonts w:hint="eastAsia" w:ascii="Calibri" w:hAnsi="宋体" w:eastAsia="宋体" w:cs="Times New Roman"/>
                <w:sz w:val="18"/>
                <w:szCs w:val="18"/>
              </w:rPr>
              <w:t>室内墙地面、天棚维修</w:t>
            </w:r>
          </w:p>
        </w:tc>
        <w:tc>
          <w:tcPr>
            <w:tcW w:w="6379" w:type="dxa"/>
            <w:vAlign w:val="center"/>
          </w:tcPr>
          <w:p w14:paraId="77FAA9EC">
            <w:pPr>
              <w:shd w:val="clear"/>
              <w:jc w:val="left"/>
              <w:rPr>
                <w:rFonts w:ascii="Calibri" w:hAnsi="宋体" w:eastAsia="宋体" w:cs="Times New Roman"/>
                <w:sz w:val="18"/>
                <w:szCs w:val="18"/>
              </w:rPr>
            </w:pPr>
            <w:r>
              <w:rPr>
                <w:rFonts w:hint="eastAsia" w:ascii="Calibri" w:hAnsi="宋体" w:eastAsia="宋体" w:cs="Times New Roman"/>
                <w:sz w:val="18"/>
                <w:szCs w:val="18"/>
              </w:rPr>
              <w:t>室内墙面、地砖（单项面积在</w:t>
            </w:r>
            <w:r>
              <w:rPr>
                <w:rFonts w:ascii="Calibri" w:hAnsi="宋体" w:eastAsia="宋体" w:cs="Times New Roman"/>
                <w:sz w:val="18"/>
                <w:szCs w:val="18"/>
              </w:rPr>
              <w:t>5m</w:t>
            </w:r>
            <w:r>
              <w:rPr>
                <w:rFonts w:ascii="Calibri" w:hAnsi="宋体" w:eastAsia="宋体" w:cs="Times New Roman"/>
                <w:sz w:val="18"/>
                <w:szCs w:val="18"/>
                <w:vertAlign w:val="superscript"/>
              </w:rPr>
              <w:t>2</w:t>
            </w:r>
            <w:r>
              <w:rPr>
                <w:rFonts w:hint="eastAsia" w:ascii="Calibri" w:hAnsi="宋体" w:eastAsia="宋体" w:cs="Times New Roman"/>
                <w:sz w:val="18"/>
                <w:szCs w:val="18"/>
              </w:rPr>
              <w:t>以下）、天棚、吊顶（单项面积在</w:t>
            </w:r>
            <w:r>
              <w:rPr>
                <w:rFonts w:ascii="Calibri" w:hAnsi="宋体" w:eastAsia="宋体" w:cs="Times New Roman"/>
                <w:sz w:val="18"/>
                <w:szCs w:val="18"/>
              </w:rPr>
              <w:t>12m</w:t>
            </w:r>
            <w:r>
              <w:rPr>
                <w:rFonts w:ascii="Calibri" w:hAnsi="宋体" w:eastAsia="宋体" w:cs="Times New Roman"/>
                <w:sz w:val="18"/>
                <w:szCs w:val="18"/>
                <w:vertAlign w:val="superscript"/>
              </w:rPr>
              <w:t>2</w:t>
            </w:r>
            <w:r>
              <w:rPr>
                <w:rFonts w:hint="eastAsia" w:ascii="Calibri" w:hAnsi="宋体" w:eastAsia="宋体" w:cs="Times New Roman"/>
                <w:sz w:val="18"/>
                <w:szCs w:val="18"/>
              </w:rPr>
              <w:t>以下）局部破损维修复原，无论是何原因造成的均需要修补。</w:t>
            </w:r>
          </w:p>
        </w:tc>
      </w:tr>
      <w:tr w14:paraId="48C5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40C8060">
            <w:pPr>
              <w:shd w:val="clear"/>
              <w:jc w:val="center"/>
              <w:rPr>
                <w:rFonts w:ascii="Calibri" w:hAnsi="宋体" w:eastAsia="宋体" w:cs="宋体"/>
                <w:bCs/>
                <w:sz w:val="18"/>
                <w:szCs w:val="18"/>
              </w:rPr>
            </w:pPr>
            <w:r>
              <w:rPr>
                <w:rFonts w:ascii="Calibri" w:hAnsi="宋体" w:eastAsia="宋体" w:cs="宋体"/>
                <w:bCs/>
                <w:sz w:val="18"/>
                <w:szCs w:val="18"/>
              </w:rPr>
              <w:t>7</w:t>
            </w:r>
          </w:p>
        </w:tc>
        <w:tc>
          <w:tcPr>
            <w:tcW w:w="1843" w:type="dxa"/>
            <w:vAlign w:val="center"/>
          </w:tcPr>
          <w:p w14:paraId="313B9B0C">
            <w:pPr>
              <w:shd w:val="clear"/>
              <w:jc w:val="center"/>
              <w:rPr>
                <w:rFonts w:ascii="Calibri" w:hAnsi="宋体" w:eastAsia="宋体" w:cs="Times New Roman"/>
                <w:sz w:val="18"/>
                <w:szCs w:val="18"/>
              </w:rPr>
            </w:pPr>
            <w:r>
              <w:rPr>
                <w:rFonts w:hint="eastAsia" w:ascii="Calibri" w:hAnsi="宋体" w:eastAsia="宋体" w:cs="Times New Roman"/>
                <w:sz w:val="18"/>
                <w:szCs w:val="18"/>
              </w:rPr>
              <w:t>零星金属构件维修及网线固定</w:t>
            </w:r>
          </w:p>
        </w:tc>
        <w:tc>
          <w:tcPr>
            <w:tcW w:w="6379" w:type="dxa"/>
            <w:vAlign w:val="center"/>
          </w:tcPr>
          <w:p w14:paraId="27A38AF1">
            <w:pPr>
              <w:shd w:val="clear"/>
              <w:jc w:val="left"/>
              <w:rPr>
                <w:rFonts w:ascii="Calibri" w:hAnsi="宋体" w:eastAsia="宋体" w:cs="Times New Roman"/>
                <w:sz w:val="18"/>
                <w:szCs w:val="18"/>
              </w:rPr>
            </w:pPr>
            <w:r>
              <w:rPr>
                <w:rFonts w:hint="eastAsia" w:ascii="Calibri" w:hAnsi="宋体" w:eastAsia="宋体" w:cs="Times New Roman"/>
                <w:sz w:val="18"/>
                <w:szCs w:val="18"/>
              </w:rPr>
              <w:t>金属栏杆（含不锈钢栏杆）、防盗窗（含锁扣）、扶手固定及除锈油漆，屋面、桥架等金属构件松动固定，晾衣杆整修、网线及面板的整理与固定，少量室内对拉网线的固定。围墙铁艺栅栏、伸缩门、铁艺门检修、定期除锈、补漆。</w:t>
            </w:r>
          </w:p>
        </w:tc>
      </w:tr>
      <w:tr w14:paraId="7DDB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C14B838">
            <w:pPr>
              <w:shd w:val="clear"/>
              <w:jc w:val="center"/>
              <w:rPr>
                <w:rFonts w:ascii="Calibri" w:hAnsi="宋体" w:eastAsia="宋体" w:cs="宋体"/>
                <w:bCs/>
                <w:sz w:val="18"/>
                <w:szCs w:val="18"/>
              </w:rPr>
            </w:pPr>
            <w:r>
              <w:rPr>
                <w:rFonts w:ascii="Calibri" w:hAnsi="宋体" w:eastAsia="宋体" w:cs="宋体"/>
                <w:bCs/>
                <w:sz w:val="18"/>
                <w:szCs w:val="18"/>
              </w:rPr>
              <w:t>8</w:t>
            </w:r>
          </w:p>
        </w:tc>
        <w:tc>
          <w:tcPr>
            <w:tcW w:w="1843" w:type="dxa"/>
            <w:vMerge w:val="restart"/>
            <w:vAlign w:val="center"/>
          </w:tcPr>
          <w:p w14:paraId="7FE4EC6A">
            <w:pPr>
              <w:shd w:val="clear"/>
              <w:jc w:val="center"/>
              <w:rPr>
                <w:rFonts w:ascii="Calibri" w:hAnsi="宋体" w:eastAsia="宋体" w:cs="Times New Roman"/>
                <w:sz w:val="18"/>
                <w:szCs w:val="18"/>
              </w:rPr>
            </w:pPr>
            <w:r>
              <w:rPr>
                <w:rFonts w:hint="eastAsia" w:ascii="Calibri" w:hAnsi="宋体" w:eastAsia="宋体" w:cs="Times New Roman"/>
                <w:sz w:val="18"/>
                <w:szCs w:val="18"/>
              </w:rPr>
              <w:t>例行检查</w:t>
            </w:r>
          </w:p>
        </w:tc>
        <w:tc>
          <w:tcPr>
            <w:tcW w:w="6379" w:type="dxa"/>
            <w:vAlign w:val="center"/>
          </w:tcPr>
          <w:p w14:paraId="07819201">
            <w:pPr>
              <w:shd w:val="clear"/>
              <w:jc w:val="left"/>
              <w:rPr>
                <w:rFonts w:ascii="Calibri" w:hAnsi="宋体" w:eastAsia="宋体" w:cs="Times New Roman"/>
                <w:sz w:val="18"/>
                <w:szCs w:val="18"/>
              </w:rPr>
            </w:pPr>
            <w:r>
              <w:rPr>
                <w:rFonts w:hint="eastAsia" w:ascii="Calibri" w:hAnsi="宋体" w:eastAsia="宋体" w:cs="宋体"/>
                <w:sz w:val="18"/>
                <w:szCs w:val="18"/>
              </w:rPr>
              <w:t>通风井、管道井的维修及管道井内电机、配电控制柜等电器设备的维修，强电井的检查每月不少于一次。</w:t>
            </w:r>
          </w:p>
        </w:tc>
      </w:tr>
      <w:tr w14:paraId="6B13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99ACA8A">
            <w:pPr>
              <w:shd w:val="clear"/>
              <w:jc w:val="center"/>
              <w:rPr>
                <w:rFonts w:ascii="Calibri" w:hAnsi="宋体" w:eastAsia="宋体" w:cs="宋体"/>
                <w:bCs/>
                <w:sz w:val="18"/>
                <w:szCs w:val="18"/>
              </w:rPr>
            </w:pPr>
            <w:r>
              <w:rPr>
                <w:rFonts w:ascii="Calibri" w:hAnsi="宋体" w:eastAsia="宋体" w:cs="宋体"/>
                <w:bCs/>
                <w:sz w:val="18"/>
                <w:szCs w:val="18"/>
              </w:rPr>
              <w:t>9</w:t>
            </w:r>
          </w:p>
        </w:tc>
        <w:tc>
          <w:tcPr>
            <w:tcW w:w="1843" w:type="dxa"/>
            <w:vMerge w:val="continue"/>
            <w:vAlign w:val="center"/>
          </w:tcPr>
          <w:p w14:paraId="465A8717">
            <w:pPr>
              <w:shd w:val="clear"/>
              <w:jc w:val="center"/>
              <w:rPr>
                <w:rFonts w:ascii="Calibri" w:hAnsi="宋体" w:eastAsia="宋体" w:cs="Times New Roman"/>
                <w:sz w:val="18"/>
                <w:szCs w:val="18"/>
              </w:rPr>
            </w:pPr>
          </w:p>
        </w:tc>
        <w:tc>
          <w:tcPr>
            <w:tcW w:w="6379" w:type="dxa"/>
            <w:vAlign w:val="center"/>
          </w:tcPr>
          <w:p w14:paraId="7ECE5847">
            <w:pPr>
              <w:shd w:val="clear"/>
              <w:jc w:val="left"/>
              <w:rPr>
                <w:rFonts w:ascii="Calibri" w:hAnsi="宋体" w:eastAsia="宋体" w:cs="Times New Roman"/>
                <w:sz w:val="18"/>
                <w:szCs w:val="18"/>
              </w:rPr>
            </w:pPr>
            <w:r>
              <w:rPr>
                <w:rFonts w:hint="eastAsia" w:ascii="Calibri" w:hAnsi="宋体" w:eastAsia="宋体" w:cs="宋体"/>
                <w:sz w:val="18"/>
                <w:szCs w:val="18"/>
              </w:rPr>
              <w:t>每学期对强电井、电表、配电箱等公共场所的设施、设备的主动检查、维修不少于一次。</w:t>
            </w:r>
          </w:p>
        </w:tc>
      </w:tr>
      <w:tr w14:paraId="004E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812DD77">
            <w:pPr>
              <w:shd w:val="clear"/>
              <w:jc w:val="center"/>
              <w:rPr>
                <w:rFonts w:ascii="Calibri" w:hAnsi="宋体" w:eastAsia="宋体" w:cs="宋体"/>
                <w:bCs/>
                <w:sz w:val="18"/>
                <w:szCs w:val="18"/>
              </w:rPr>
            </w:pPr>
            <w:r>
              <w:rPr>
                <w:rFonts w:ascii="Calibri" w:hAnsi="宋体" w:eastAsia="宋体" w:cs="宋体"/>
                <w:bCs/>
                <w:sz w:val="18"/>
                <w:szCs w:val="18"/>
              </w:rPr>
              <w:t>10</w:t>
            </w:r>
          </w:p>
        </w:tc>
        <w:tc>
          <w:tcPr>
            <w:tcW w:w="1843" w:type="dxa"/>
            <w:vMerge w:val="continue"/>
            <w:vAlign w:val="center"/>
          </w:tcPr>
          <w:p w14:paraId="7091674C">
            <w:pPr>
              <w:shd w:val="clear"/>
              <w:jc w:val="center"/>
              <w:rPr>
                <w:rFonts w:ascii="Calibri" w:hAnsi="宋体" w:eastAsia="宋体" w:cs="Times New Roman"/>
                <w:sz w:val="18"/>
                <w:szCs w:val="18"/>
              </w:rPr>
            </w:pPr>
          </w:p>
        </w:tc>
        <w:tc>
          <w:tcPr>
            <w:tcW w:w="6379" w:type="dxa"/>
            <w:vAlign w:val="center"/>
          </w:tcPr>
          <w:p w14:paraId="119F13B2">
            <w:pPr>
              <w:shd w:val="clear"/>
              <w:jc w:val="left"/>
              <w:rPr>
                <w:rFonts w:ascii="Calibri" w:hAnsi="宋体" w:eastAsia="宋体" w:cs="Times New Roman"/>
                <w:sz w:val="18"/>
                <w:szCs w:val="18"/>
              </w:rPr>
            </w:pPr>
            <w:r>
              <w:rPr>
                <w:rFonts w:hint="eastAsia" w:ascii="Calibri" w:hAnsi="宋体" w:eastAsia="宋体" w:cs="Times New Roman"/>
                <w:sz w:val="18"/>
                <w:szCs w:val="18"/>
              </w:rPr>
              <w:t>园区公共区域的人行道板、广场砖、植草砖、上下水管的脱落、破损、堵塞的零星维修、疏通、更换等并做好管道维保工作。</w:t>
            </w:r>
          </w:p>
        </w:tc>
      </w:tr>
      <w:tr w14:paraId="5EA3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4FA6303">
            <w:pPr>
              <w:shd w:val="clear"/>
              <w:jc w:val="center"/>
              <w:rPr>
                <w:rFonts w:ascii="Calibri" w:hAnsi="宋体" w:eastAsia="宋体" w:cs="宋体"/>
                <w:bCs/>
                <w:sz w:val="18"/>
                <w:szCs w:val="18"/>
              </w:rPr>
            </w:pPr>
            <w:r>
              <w:rPr>
                <w:rFonts w:ascii="Calibri" w:hAnsi="宋体" w:eastAsia="宋体" w:cs="宋体"/>
                <w:bCs/>
                <w:sz w:val="18"/>
                <w:szCs w:val="18"/>
              </w:rPr>
              <w:t>11</w:t>
            </w:r>
          </w:p>
        </w:tc>
        <w:tc>
          <w:tcPr>
            <w:tcW w:w="1843" w:type="dxa"/>
            <w:vMerge w:val="continue"/>
            <w:vAlign w:val="center"/>
          </w:tcPr>
          <w:p w14:paraId="438D0EE6">
            <w:pPr>
              <w:shd w:val="clear"/>
              <w:jc w:val="center"/>
              <w:rPr>
                <w:rFonts w:ascii="Calibri" w:hAnsi="宋体" w:eastAsia="宋体" w:cs="Times New Roman"/>
                <w:sz w:val="18"/>
                <w:szCs w:val="18"/>
              </w:rPr>
            </w:pPr>
          </w:p>
        </w:tc>
        <w:tc>
          <w:tcPr>
            <w:tcW w:w="6379" w:type="dxa"/>
            <w:vAlign w:val="center"/>
          </w:tcPr>
          <w:p w14:paraId="3761419C">
            <w:pPr>
              <w:shd w:val="clear"/>
              <w:jc w:val="left"/>
              <w:rPr>
                <w:rFonts w:ascii="Calibri" w:hAnsi="宋体" w:eastAsia="宋体" w:cs="宋体"/>
                <w:sz w:val="18"/>
                <w:szCs w:val="18"/>
              </w:rPr>
            </w:pPr>
            <w:r>
              <w:rPr>
                <w:rFonts w:hint="eastAsia" w:ascii="Calibri" w:hAnsi="宋体" w:eastAsia="宋体" w:cs="Times New Roman"/>
                <w:sz w:val="18"/>
                <w:szCs w:val="18"/>
              </w:rPr>
              <w:t>毕业生离校后的毕业生公寓楼的全面排查与整修，配合做好暑假公寓各类工程大修的工程监管。</w:t>
            </w:r>
          </w:p>
        </w:tc>
      </w:tr>
      <w:tr w14:paraId="0D3F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9A6F6E6">
            <w:pPr>
              <w:shd w:val="clear"/>
              <w:jc w:val="center"/>
              <w:rPr>
                <w:rFonts w:ascii="Calibri" w:hAnsi="宋体" w:eastAsia="宋体" w:cs="宋体"/>
                <w:bCs/>
                <w:sz w:val="18"/>
                <w:szCs w:val="18"/>
              </w:rPr>
            </w:pPr>
            <w:r>
              <w:rPr>
                <w:rFonts w:ascii="Calibri" w:hAnsi="宋体" w:eastAsia="宋体" w:cs="宋体"/>
                <w:bCs/>
                <w:sz w:val="18"/>
                <w:szCs w:val="18"/>
              </w:rPr>
              <w:t>12</w:t>
            </w:r>
          </w:p>
        </w:tc>
        <w:tc>
          <w:tcPr>
            <w:tcW w:w="1843" w:type="dxa"/>
            <w:vMerge w:val="continue"/>
            <w:vAlign w:val="center"/>
          </w:tcPr>
          <w:p w14:paraId="325EF45C">
            <w:pPr>
              <w:shd w:val="clear"/>
              <w:jc w:val="center"/>
              <w:rPr>
                <w:rFonts w:ascii="Calibri" w:hAnsi="宋体" w:eastAsia="宋体" w:cs="Times New Roman"/>
                <w:sz w:val="18"/>
                <w:szCs w:val="18"/>
              </w:rPr>
            </w:pPr>
          </w:p>
        </w:tc>
        <w:tc>
          <w:tcPr>
            <w:tcW w:w="6379" w:type="dxa"/>
            <w:vAlign w:val="center"/>
          </w:tcPr>
          <w:p w14:paraId="2330E0CF">
            <w:pPr>
              <w:shd w:val="clear"/>
              <w:jc w:val="left"/>
              <w:rPr>
                <w:rFonts w:ascii="Calibri" w:hAnsi="宋体" w:eastAsia="宋体" w:cs="Times New Roman"/>
                <w:sz w:val="18"/>
                <w:szCs w:val="18"/>
              </w:rPr>
            </w:pPr>
            <w:r>
              <w:rPr>
                <w:rFonts w:hint="eastAsia" w:ascii="Calibri" w:hAnsi="宋体" w:eastAsia="宋体" w:cs="Times New Roman"/>
                <w:sz w:val="18"/>
                <w:szCs w:val="18"/>
              </w:rPr>
              <w:t>认真做好防雷设施的检查维护工作，按规定要求进行防雷测试并建立档案，确保防雷设施安全有效。</w:t>
            </w:r>
          </w:p>
        </w:tc>
      </w:tr>
      <w:tr w14:paraId="4627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ADDB8E4">
            <w:pPr>
              <w:shd w:val="clear"/>
              <w:jc w:val="center"/>
              <w:rPr>
                <w:rFonts w:ascii="Calibri" w:hAnsi="宋体" w:eastAsia="宋体" w:cs="宋体"/>
                <w:bCs/>
                <w:sz w:val="18"/>
                <w:szCs w:val="18"/>
              </w:rPr>
            </w:pPr>
            <w:r>
              <w:rPr>
                <w:rFonts w:ascii="Calibri" w:hAnsi="宋体" w:eastAsia="宋体" w:cs="宋体"/>
                <w:bCs/>
                <w:sz w:val="18"/>
                <w:szCs w:val="18"/>
              </w:rPr>
              <w:t>13</w:t>
            </w:r>
          </w:p>
        </w:tc>
        <w:tc>
          <w:tcPr>
            <w:tcW w:w="1843" w:type="dxa"/>
            <w:vMerge w:val="continue"/>
            <w:vAlign w:val="center"/>
          </w:tcPr>
          <w:p w14:paraId="446A8B2C">
            <w:pPr>
              <w:shd w:val="clear"/>
              <w:jc w:val="center"/>
              <w:rPr>
                <w:rFonts w:ascii="Calibri" w:hAnsi="宋体" w:eastAsia="宋体" w:cs="Times New Roman"/>
                <w:sz w:val="18"/>
                <w:szCs w:val="18"/>
              </w:rPr>
            </w:pPr>
          </w:p>
        </w:tc>
        <w:tc>
          <w:tcPr>
            <w:tcW w:w="6379" w:type="dxa"/>
            <w:vAlign w:val="center"/>
          </w:tcPr>
          <w:p w14:paraId="05C1F55C">
            <w:pPr>
              <w:shd w:val="clear"/>
              <w:jc w:val="left"/>
              <w:rPr>
                <w:rFonts w:hint="eastAsia" w:ascii="Calibri" w:hAnsi="宋体" w:eastAsia="宋体" w:cs="Times New Roman"/>
                <w:sz w:val="18"/>
                <w:szCs w:val="18"/>
                <w:lang w:eastAsia="zh-CN"/>
              </w:rPr>
            </w:pPr>
            <w:r>
              <w:rPr>
                <w:rFonts w:hint="eastAsia" w:ascii="Calibri" w:hAnsi="宋体" w:eastAsia="宋体" w:cs="Times New Roman"/>
                <w:sz w:val="18"/>
                <w:szCs w:val="18"/>
              </w:rPr>
              <w:t>配合保卫处做好消防（防火</w:t>
            </w:r>
            <w:r>
              <w:rPr>
                <w:rFonts w:ascii="Calibri" w:hAnsi="宋体" w:eastAsia="宋体" w:cs="Times New Roman"/>
                <w:sz w:val="18"/>
                <w:szCs w:val="18"/>
              </w:rPr>
              <w:t>卷帘、电动排烟设施</w:t>
            </w:r>
            <w:r>
              <w:rPr>
                <w:rFonts w:hint="eastAsia" w:ascii="Calibri" w:hAnsi="宋体" w:eastAsia="宋体" w:cs="Times New Roman"/>
                <w:sz w:val="18"/>
                <w:szCs w:val="18"/>
              </w:rPr>
              <w:t>等）、人防设施的检查</w:t>
            </w:r>
            <w:r>
              <w:rPr>
                <w:rFonts w:hint="eastAsia" w:ascii="Calibri" w:hAnsi="宋体" w:eastAsia="宋体" w:cs="Times New Roman"/>
                <w:sz w:val="18"/>
                <w:szCs w:val="18"/>
                <w:lang w:eastAsia="zh-CN"/>
              </w:rPr>
              <w:t>。</w:t>
            </w:r>
          </w:p>
        </w:tc>
      </w:tr>
      <w:tr w14:paraId="2C16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D3D34F0">
            <w:pPr>
              <w:shd w:val="clear"/>
              <w:jc w:val="center"/>
              <w:rPr>
                <w:rFonts w:ascii="Calibri" w:hAnsi="宋体" w:eastAsia="宋体" w:cs="宋体"/>
                <w:bCs/>
                <w:sz w:val="18"/>
                <w:szCs w:val="18"/>
              </w:rPr>
            </w:pPr>
            <w:r>
              <w:rPr>
                <w:rFonts w:ascii="Calibri" w:hAnsi="宋体" w:eastAsia="宋体" w:cs="宋体"/>
                <w:bCs/>
                <w:sz w:val="18"/>
                <w:szCs w:val="18"/>
              </w:rPr>
              <w:t>13</w:t>
            </w:r>
          </w:p>
        </w:tc>
        <w:tc>
          <w:tcPr>
            <w:tcW w:w="1843" w:type="dxa"/>
            <w:shd w:val="clear" w:color="auto" w:fill="auto"/>
            <w:vAlign w:val="center"/>
          </w:tcPr>
          <w:p w14:paraId="78616E4C">
            <w:pPr>
              <w:shd w:val="clear"/>
              <w:jc w:val="center"/>
              <w:rPr>
                <w:rFonts w:hint="eastAsia" w:ascii="Calibri" w:hAnsi="宋体" w:eastAsia="宋体" w:cs="Times New Roman"/>
                <w:sz w:val="18"/>
                <w:szCs w:val="18"/>
              </w:rPr>
            </w:pPr>
            <w:r>
              <w:rPr>
                <w:rFonts w:hint="eastAsia" w:ascii="Calibri" w:hAnsi="宋体" w:eastAsia="宋体" w:cs="Times New Roman"/>
                <w:sz w:val="18"/>
                <w:szCs w:val="18"/>
              </w:rPr>
              <w:t>抗台防汛、防冻</w:t>
            </w:r>
          </w:p>
        </w:tc>
        <w:tc>
          <w:tcPr>
            <w:tcW w:w="6379" w:type="dxa"/>
            <w:shd w:val="clear" w:color="auto" w:fill="auto"/>
            <w:vAlign w:val="center"/>
          </w:tcPr>
          <w:p w14:paraId="598D41EC">
            <w:pPr>
              <w:shd w:val="clear"/>
              <w:jc w:val="left"/>
              <w:rPr>
                <w:rFonts w:hint="eastAsia" w:ascii="Calibri" w:hAnsi="宋体" w:eastAsia="宋体" w:cs="Times New Roman"/>
                <w:sz w:val="18"/>
                <w:szCs w:val="18"/>
              </w:rPr>
            </w:pPr>
            <w:r>
              <w:rPr>
                <w:rFonts w:hint="eastAsia" w:ascii="Calibri" w:hAnsi="宋体" w:eastAsia="宋体" w:cs="Times New Roman"/>
                <w:sz w:val="18"/>
                <w:szCs w:val="18"/>
              </w:rPr>
              <w:t>配置充足的抗台防汛所需物资与设备，根据气象部门预报，安排抗台防汛值班人员，提前做好相关准备工作。做好室外露天管道、阀门、龙头等保温防冻工作。</w:t>
            </w:r>
          </w:p>
        </w:tc>
      </w:tr>
      <w:tr w14:paraId="5D9C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2F562CA">
            <w:pPr>
              <w:shd w:val="clear"/>
              <w:jc w:val="center"/>
              <w:rPr>
                <w:rFonts w:ascii="Calibri" w:hAnsi="宋体" w:eastAsia="宋体" w:cs="宋体"/>
                <w:bCs/>
                <w:sz w:val="18"/>
                <w:szCs w:val="18"/>
              </w:rPr>
            </w:pPr>
            <w:r>
              <w:rPr>
                <w:rFonts w:ascii="Calibri" w:hAnsi="宋体" w:eastAsia="宋体" w:cs="宋体"/>
                <w:bCs/>
                <w:sz w:val="18"/>
                <w:szCs w:val="18"/>
              </w:rPr>
              <w:t>1</w:t>
            </w:r>
            <w:r>
              <w:rPr>
                <w:rFonts w:hint="eastAsia" w:ascii="Calibri" w:hAnsi="宋体" w:eastAsia="宋体" w:cs="宋体"/>
                <w:bCs/>
                <w:sz w:val="18"/>
                <w:szCs w:val="18"/>
              </w:rPr>
              <w:t>4</w:t>
            </w:r>
          </w:p>
        </w:tc>
        <w:tc>
          <w:tcPr>
            <w:tcW w:w="1843" w:type="dxa"/>
            <w:vAlign w:val="center"/>
          </w:tcPr>
          <w:p w14:paraId="7E6F9E01">
            <w:pPr>
              <w:shd w:val="clear"/>
              <w:jc w:val="center"/>
              <w:rPr>
                <w:rFonts w:hint="eastAsia" w:ascii="Calibri" w:hAnsi="宋体" w:eastAsia="宋体" w:cs="Times New Roman"/>
                <w:sz w:val="18"/>
                <w:szCs w:val="18"/>
              </w:rPr>
            </w:pPr>
            <w:r>
              <w:rPr>
                <w:rFonts w:hint="eastAsia" w:ascii="Calibri" w:hAnsi="宋体" w:eastAsia="宋体" w:cs="Times New Roman"/>
                <w:sz w:val="18"/>
                <w:szCs w:val="18"/>
              </w:rPr>
              <w:t>消防维修</w:t>
            </w:r>
          </w:p>
        </w:tc>
        <w:tc>
          <w:tcPr>
            <w:tcW w:w="6379" w:type="dxa"/>
            <w:vAlign w:val="center"/>
          </w:tcPr>
          <w:p w14:paraId="258048E2">
            <w:pPr>
              <w:shd w:val="clear"/>
              <w:jc w:val="left"/>
              <w:rPr>
                <w:rFonts w:hint="eastAsia" w:ascii="Calibri" w:hAnsi="宋体" w:eastAsia="宋体" w:cs="Times New Roman"/>
                <w:sz w:val="18"/>
                <w:szCs w:val="18"/>
              </w:rPr>
            </w:pPr>
            <w:r>
              <w:rPr>
                <w:rFonts w:hint="eastAsia" w:ascii="Calibri" w:hAnsi="宋体" w:eastAsia="宋体" w:cs="Times New Roman"/>
                <w:sz w:val="18"/>
                <w:szCs w:val="18"/>
              </w:rPr>
              <w:t>消防管道维修、消防栓维修、消防类水泵维修、压力表、消防喷头更换等。</w:t>
            </w:r>
          </w:p>
        </w:tc>
      </w:tr>
      <w:tr w14:paraId="00F0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C07D199">
            <w:pPr>
              <w:shd w:val="clear"/>
              <w:jc w:val="center"/>
              <w:rPr>
                <w:rFonts w:ascii="Calibri" w:hAnsi="宋体" w:eastAsia="宋体" w:cs="宋体"/>
                <w:bCs/>
                <w:sz w:val="18"/>
                <w:szCs w:val="18"/>
              </w:rPr>
            </w:pPr>
            <w:r>
              <w:rPr>
                <w:rFonts w:hint="eastAsia" w:ascii="Calibri" w:hAnsi="宋体" w:eastAsia="宋体" w:cs="宋体"/>
                <w:bCs/>
                <w:sz w:val="18"/>
                <w:szCs w:val="18"/>
              </w:rPr>
              <w:t>15</w:t>
            </w:r>
          </w:p>
        </w:tc>
        <w:tc>
          <w:tcPr>
            <w:tcW w:w="1843" w:type="dxa"/>
            <w:vAlign w:val="center"/>
          </w:tcPr>
          <w:p w14:paraId="208E6DB6">
            <w:pPr>
              <w:shd w:val="clear"/>
              <w:jc w:val="center"/>
              <w:rPr>
                <w:rFonts w:hint="eastAsia" w:ascii="Calibri" w:hAnsi="宋体" w:eastAsia="宋体" w:cs="Times New Roman"/>
                <w:sz w:val="18"/>
                <w:szCs w:val="18"/>
              </w:rPr>
            </w:pPr>
            <w:r>
              <w:rPr>
                <w:rFonts w:hint="eastAsia" w:ascii="Calibri" w:hAnsi="宋体" w:eastAsia="宋体" w:cs="Times New Roman"/>
                <w:sz w:val="18"/>
                <w:szCs w:val="18"/>
              </w:rPr>
              <w:t>分体空调</w:t>
            </w:r>
          </w:p>
          <w:p w14:paraId="2FDC89A6">
            <w:pPr>
              <w:shd w:val="clear"/>
              <w:jc w:val="center"/>
              <w:rPr>
                <w:rFonts w:hint="eastAsia" w:ascii="Calibri" w:hAnsi="宋体" w:eastAsia="宋体" w:cs="Times New Roman"/>
                <w:sz w:val="18"/>
                <w:szCs w:val="18"/>
              </w:rPr>
            </w:pPr>
            <w:r>
              <w:rPr>
                <w:rFonts w:hint="eastAsia" w:ascii="Calibri" w:hAnsi="宋体" w:eastAsia="宋体" w:cs="Times New Roman"/>
                <w:sz w:val="18"/>
                <w:szCs w:val="18"/>
              </w:rPr>
              <w:t>（宿舍租赁空调除外）</w:t>
            </w:r>
          </w:p>
        </w:tc>
        <w:tc>
          <w:tcPr>
            <w:tcW w:w="6379" w:type="dxa"/>
            <w:vAlign w:val="center"/>
          </w:tcPr>
          <w:p w14:paraId="550B260E">
            <w:pPr>
              <w:shd w:val="clear"/>
              <w:jc w:val="left"/>
              <w:rPr>
                <w:rFonts w:hint="eastAsia" w:ascii="Calibri" w:hAnsi="宋体" w:eastAsia="宋体" w:cs="Times New Roman"/>
                <w:sz w:val="18"/>
                <w:szCs w:val="18"/>
              </w:rPr>
            </w:pPr>
            <w:r>
              <w:rPr>
                <w:rFonts w:hint="eastAsia" w:ascii="Calibri" w:hAnsi="宋体" w:eastAsia="宋体" w:cs="Times New Roman"/>
                <w:sz w:val="18"/>
                <w:szCs w:val="18"/>
              </w:rPr>
              <w:t>加制冷剂、风机启动器维修更换、感温器维修更换、电动机维修更换、压缩机启动器维修更换、电脑主板维修更换、接触器维修更换、漏水维修、铜管查漏补漏加氟、空调移机、空调拆机、铜管加长每米维修、墙面钻孔、空调内外机清洗消毒、高空作业费、四通阀维修等。</w:t>
            </w:r>
          </w:p>
        </w:tc>
      </w:tr>
      <w:tr w14:paraId="1698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37B365F">
            <w:pPr>
              <w:shd w:val="clear"/>
              <w:jc w:val="center"/>
              <w:rPr>
                <w:rFonts w:ascii="Calibri" w:hAnsi="宋体" w:eastAsia="宋体" w:cs="宋体"/>
                <w:bCs/>
                <w:sz w:val="18"/>
                <w:szCs w:val="18"/>
              </w:rPr>
            </w:pPr>
            <w:r>
              <w:rPr>
                <w:rFonts w:ascii="Calibri" w:hAnsi="宋体" w:eastAsia="宋体" w:cs="宋体"/>
                <w:bCs/>
                <w:sz w:val="18"/>
                <w:szCs w:val="18"/>
              </w:rPr>
              <w:t>1</w:t>
            </w:r>
            <w:r>
              <w:rPr>
                <w:rFonts w:hint="eastAsia" w:ascii="Calibri" w:hAnsi="宋体" w:eastAsia="宋体" w:cs="宋体"/>
                <w:bCs/>
                <w:sz w:val="18"/>
                <w:szCs w:val="18"/>
              </w:rPr>
              <w:t>6</w:t>
            </w:r>
          </w:p>
        </w:tc>
        <w:tc>
          <w:tcPr>
            <w:tcW w:w="1843" w:type="dxa"/>
            <w:vAlign w:val="center"/>
          </w:tcPr>
          <w:p w14:paraId="7BD633DA">
            <w:pPr>
              <w:shd w:val="clear"/>
              <w:jc w:val="center"/>
              <w:rPr>
                <w:rFonts w:hint="eastAsia" w:ascii="Calibri" w:hAnsi="宋体" w:eastAsia="宋体" w:cs="Times New Roman"/>
                <w:sz w:val="18"/>
                <w:szCs w:val="18"/>
              </w:rPr>
            </w:pPr>
            <w:r>
              <w:rPr>
                <w:rFonts w:hint="eastAsia" w:ascii="Calibri" w:hAnsi="宋体" w:eastAsia="宋体" w:cs="Times New Roman"/>
                <w:sz w:val="18"/>
                <w:szCs w:val="18"/>
              </w:rPr>
              <w:t>其他</w:t>
            </w:r>
          </w:p>
        </w:tc>
        <w:tc>
          <w:tcPr>
            <w:tcW w:w="6379" w:type="dxa"/>
            <w:vAlign w:val="center"/>
          </w:tcPr>
          <w:p w14:paraId="483025A1">
            <w:pPr>
              <w:shd w:val="clear"/>
              <w:jc w:val="left"/>
              <w:rPr>
                <w:rFonts w:hint="eastAsia" w:ascii="Calibri" w:hAnsi="宋体" w:eastAsia="宋体" w:cs="Times New Roman"/>
                <w:sz w:val="18"/>
                <w:szCs w:val="18"/>
              </w:rPr>
            </w:pPr>
            <w:r>
              <w:rPr>
                <w:rFonts w:hint="eastAsia" w:ascii="Calibri" w:hAnsi="宋体" w:eastAsia="宋体" w:cs="Times New Roman"/>
                <w:sz w:val="18"/>
                <w:szCs w:val="18"/>
              </w:rPr>
              <w:t>包含智能锁等已有电子设备的电池等易耗品的更换。开水器、净水器维修及滤芯等耗材的更换。</w:t>
            </w:r>
          </w:p>
        </w:tc>
      </w:tr>
    </w:tbl>
    <w:p w14:paraId="05815E7C">
      <w:pPr>
        <w:shd w:val="clear"/>
        <w:rPr>
          <w:rFonts w:ascii="Calibri" w:hAnsi="Calibri" w:eastAsia="宋体" w:cs="Times New Roman"/>
        </w:rPr>
      </w:pPr>
      <w:r>
        <w:rPr>
          <w:rFonts w:hint="eastAsia" w:ascii="Calibri" w:hAnsi="Calibri" w:eastAsia="宋体" w:cs="Times New Roman"/>
        </w:rPr>
        <w:t>注：工程保修期内的相关维修除外。</w:t>
      </w:r>
    </w:p>
    <w:p w14:paraId="209247B0">
      <w:pPr>
        <w:shd w:val="clear"/>
        <w:rPr>
          <w:rFonts w:ascii="Calibri" w:hAnsi="Calibri" w:eastAsia="宋体" w:cs="Times New Roman"/>
        </w:rPr>
      </w:pPr>
    </w:p>
    <w:p w14:paraId="333919AE">
      <w:pPr>
        <w:shd w:val="clear"/>
        <w:ind w:firstLine="48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7.2服务要求</w:t>
      </w:r>
    </w:p>
    <w:p w14:paraId="06241C92">
      <w:pPr>
        <w:shd w:val="clear"/>
        <w:ind w:firstLine="420" w:firstLineChars="200"/>
        <w:rPr>
          <w:rFonts w:ascii="Calibri" w:hAnsi="Calibri" w:eastAsia="宋体" w:cs="Times New Roman"/>
          <w:szCs w:val="21"/>
        </w:rPr>
      </w:pPr>
      <w:r>
        <w:rPr>
          <w:rFonts w:hint="eastAsia" w:ascii="Calibri" w:hAnsi="宋体" w:eastAsia="宋体" w:cs="Times New Roman"/>
          <w:szCs w:val="21"/>
          <w:lang w:eastAsia="zh-CN"/>
        </w:rPr>
        <w:t>（</w:t>
      </w:r>
      <w:r>
        <w:rPr>
          <w:rFonts w:hint="eastAsia" w:ascii="Calibri" w:hAnsi="宋体" w:eastAsia="宋体" w:cs="Times New Roman"/>
          <w:szCs w:val="21"/>
          <w:lang w:val="en-US" w:eastAsia="zh-CN"/>
        </w:rPr>
        <w:t>1）</w:t>
      </w:r>
      <w:r>
        <w:rPr>
          <w:rFonts w:hint="eastAsia" w:ascii="Calibri" w:hAnsi="宋体" w:eastAsia="宋体" w:cs="Times New Roman"/>
          <w:szCs w:val="21"/>
          <w:lang w:eastAsia="zh-CN"/>
        </w:rPr>
        <w:t>学校</w:t>
      </w:r>
      <w:r>
        <w:rPr>
          <w:rFonts w:hint="eastAsia" w:ascii="Calibri" w:hAnsi="宋体" w:eastAsia="宋体" w:cs="Times New Roman"/>
          <w:szCs w:val="21"/>
        </w:rPr>
        <w:t>委托的水、电正常供应，服务范围内各建筑物及其设施设备、活动场地、附属设施、室外道路、地下管线、给排水、强电等的日常零星维修；正常工作时间内及应急的报修接到报修信息后15分钟内赶赴现场，提出维修方案，并及时安排维修，维修满意率达</w:t>
      </w:r>
      <w:r>
        <w:rPr>
          <w:rFonts w:ascii="Calibri" w:hAnsi="宋体" w:eastAsia="宋体" w:cs="Times New Roman"/>
          <w:szCs w:val="21"/>
        </w:rPr>
        <w:t>90%</w:t>
      </w:r>
      <w:r>
        <w:rPr>
          <w:rFonts w:hint="eastAsia" w:ascii="Calibri" w:hAnsi="宋体" w:eastAsia="宋体" w:cs="Times New Roman"/>
          <w:szCs w:val="21"/>
        </w:rPr>
        <w:t>以上；日常零星维修须当天完成，如有特殊情况需向校方说明原因，且维修时间不能超过3天；超出维修响应期（24小时至72小时）未完成的维修（且属于零星维修范围内的），</w:t>
      </w:r>
      <w:r>
        <w:rPr>
          <w:rFonts w:hint="eastAsia" w:ascii="Calibri" w:hAnsi="宋体" w:eastAsia="宋体" w:cs="Times New Roman"/>
          <w:szCs w:val="21"/>
          <w:lang w:eastAsia="zh-CN"/>
        </w:rPr>
        <w:t>学校</w:t>
      </w:r>
      <w:r>
        <w:rPr>
          <w:rFonts w:hint="eastAsia" w:ascii="Calibri" w:hAnsi="宋体" w:eastAsia="宋体" w:cs="Times New Roman"/>
          <w:szCs w:val="21"/>
        </w:rPr>
        <w:t>可另派人完成，产生的费用按市场价（包括材料费、人工费等）</w:t>
      </w:r>
      <w:r>
        <w:rPr>
          <w:rFonts w:hint="eastAsia" w:ascii="Calibri" w:hAnsi="宋体" w:eastAsia="宋体" w:cs="Times New Roman"/>
          <w:szCs w:val="21"/>
          <w:lang w:eastAsia="zh-CN"/>
        </w:rPr>
        <w:t>中标单位</w:t>
      </w:r>
      <w:r>
        <w:rPr>
          <w:rFonts w:hint="eastAsia" w:ascii="Calibri" w:hAnsi="宋体" w:eastAsia="宋体" w:cs="Times New Roman"/>
          <w:szCs w:val="21"/>
        </w:rPr>
        <w:t>须无条件支付。</w:t>
      </w:r>
    </w:p>
    <w:p w14:paraId="15DA6F7A">
      <w:pPr>
        <w:shd w:val="clear"/>
        <w:ind w:firstLine="420" w:firstLineChars="200"/>
        <w:rPr>
          <w:rFonts w:ascii="Calibri" w:hAnsi="Calibri" w:eastAsia="宋体" w:cs="Times New Roman"/>
          <w:szCs w:val="21"/>
        </w:rPr>
      </w:pPr>
      <w:r>
        <w:rPr>
          <w:rFonts w:hint="eastAsia" w:ascii="Calibri" w:hAnsi="宋体" w:eastAsia="宋体" w:cs="Times New Roman"/>
          <w:szCs w:val="21"/>
          <w:lang w:eastAsia="zh-CN"/>
        </w:rPr>
        <w:t>（</w:t>
      </w:r>
      <w:r>
        <w:rPr>
          <w:rFonts w:hint="eastAsia" w:ascii="Calibri" w:hAnsi="宋体" w:eastAsia="宋体" w:cs="Times New Roman"/>
          <w:szCs w:val="21"/>
          <w:lang w:val="en-US" w:eastAsia="zh-CN"/>
        </w:rPr>
        <w:t>2）</w:t>
      </w:r>
      <w:r>
        <w:rPr>
          <w:rFonts w:hint="eastAsia" w:ascii="Calibri" w:hAnsi="宋体" w:eastAsia="宋体" w:cs="Times New Roman"/>
          <w:szCs w:val="21"/>
        </w:rPr>
        <w:t>根据行业规定按委托项目建立运行班组，设立专职管理人员1人，负责维修质量监管、与校方的沟通、各类台账的建档与管理，配备能满足日常零星维修工作的各工种维修人员每天不少于7人，其中电工不少于</w:t>
      </w:r>
      <w:r>
        <w:rPr>
          <w:rFonts w:ascii="Calibri" w:hAnsi="宋体" w:eastAsia="宋体" w:cs="Times New Roman"/>
          <w:szCs w:val="21"/>
        </w:rPr>
        <w:t>6</w:t>
      </w:r>
      <w:r>
        <w:rPr>
          <w:rFonts w:hint="eastAsia" w:ascii="Calibri" w:hAnsi="宋体" w:eastAsia="宋体" w:cs="Times New Roman"/>
          <w:szCs w:val="21"/>
        </w:rPr>
        <w:t>人，遇学校有重大任务时，需加派电工</w:t>
      </w:r>
      <w:r>
        <w:rPr>
          <w:rFonts w:ascii="Calibri" w:hAnsi="宋体" w:eastAsia="宋体" w:cs="Times New Roman"/>
          <w:szCs w:val="21"/>
        </w:rPr>
        <w:t>1-2</w:t>
      </w:r>
      <w:r>
        <w:rPr>
          <w:rFonts w:hint="eastAsia" w:ascii="Calibri" w:hAnsi="宋体" w:eastAsia="宋体" w:cs="Times New Roman"/>
          <w:szCs w:val="21"/>
        </w:rPr>
        <w:t>人。维修人员须持有与所从事工种相匹配的上岗资格证书，并严格按照相关规范和技术规程进行维修作业，确保维修质量。</w:t>
      </w:r>
    </w:p>
    <w:p w14:paraId="5FAA1861">
      <w:pPr>
        <w:shd w:val="clear"/>
        <w:ind w:firstLine="420" w:firstLineChars="200"/>
        <w:rPr>
          <w:rFonts w:ascii="Calibri" w:hAnsi="Calibri" w:eastAsia="宋体" w:cs="Times New Roman"/>
          <w:szCs w:val="21"/>
        </w:rPr>
      </w:pPr>
      <w:r>
        <w:rPr>
          <w:rFonts w:hint="eastAsia" w:ascii="Calibri" w:hAnsi="宋体" w:eastAsia="宋体" w:cs="Times New Roman"/>
          <w:szCs w:val="21"/>
          <w:lang w:eastAsia="zh-CN"/>
        </w:rPr>
        <w:t>（</w:t>
      </w:r>
      <w:r>
        <w:rPr>
          <w:rFonts w:hint="eastAsia" w:ascii="Calibri" w:hAnsi="宋体" w:eastAsia="宋体" w:cs="Times New Roman"/>
          <w:szCs w:val="21"/>
          <w:lang w:val="en-US" w:eastAsia="zh-CN"/>
        </w:rPr>
        <w:t>3）</w:t>
      </w:r>
      <w:r>
        <w:rPr>
          <w:rFonts w:hint="eastAsia" w:ascii="Calibri" w:hAnsi="宋体" w:eastAsia="宋体" w:cs="Times New Roman"/>
          <w:szCs w:val="21"/>
        </w:rPr>
        <w:t>维修材料由</w:t>
      </w:r>
      <w:r>
        <w:rPr>
          <w:rFonts w:hint="eastAsia" w:ascii="Calibri" w:hAnsi="宋体" w:eastAsia="宋体" w:cs="Times New Roman"/>
          <w:szCs w:val="21"/>
          <w:lang w:eastAsia="zh-CN"/>
        </w:rPr>
        <w:t>中标单位</w:t>
      </w:r>
      <w:r>
        <w:rPr>
          <w:rFonts w:hint="eastAsia" w:ascii="Calibri" w:hAnsi="宋体" w:eastAsia="宋体" w:cs="Times New Roman"/>
          <w:szCs w:val="21"/>
        </w:rPr>
        <w:t>提供，品牌档次不得低于原有设施设备使用的材料。校方按学校规章制度及行业规范要求对</w:t>
      </w:r>
      <w:r>
        <w:rPr>
          <w:rFonts w:hint="eastAsia" w:ascii="Calibri" w:hAnsi="宋体" w:eastAsia="宋体" w:cs="Times New Roman"/>
          <w:szCs w:val="21"/>
          <w:lang w:eastAsia="zh-CN"/>
        </w:rPr>
        <w:t>中标单位</w:t>
      </w:r>
      <w:r>
        <w:rPr>
          <w:rFonts w:hint="eastAsia" w:ascii="Calibri" w:hAnsi="宋体" w:eastAsia="宋体" w:cs="Times New Roman"/>
          <w:szCs w:val="21"/>
        </w:rPr>
        <w:t>所提供的材料进行核验。</w:t>
      </w:r>
    </w:p>
    <w:p w14:paraId="2FFFC344">
      <w:pPr>
        <w:shd w:val="clear"/>
        <w:ind w:firstLine="420" w:firstLineChars="200"/>
        <w:rPr>
          <w:rFonts w:ascii="Calibri" w:hAnsi="宋体" w:eastAsia="宋体" w:cs="Times New Roman"/>
          <w:szCs w:val="21"/>
        </w:rPr>
      </w:pPr>
      <w:r>
        <w:rPr>
          <w:rFonts w:hint="eastAsia" w:ascii="Calibri" w:hAnsi="宋体" w:eastAsia="宋体" w:cs="Times New Roman"/>
          <w:szCs w:val="21"/>
          <w:lang w:eastAsia="zh-CN"/>
        </w:rPr>
        <w:t>（</w:t>
      </w:r>
      <w:r>
        <w:rPr>
          <w:rFonts w:hint="eastAsia" w:ascii="Calibri" w:hAnsi="宋体" w:eastAsia="宋体" w:cs="Times New Roman"/>
          <w:szCs w:val="21"/>
          <w:lang w:val="en-US" w:eastAsia="zh-CN"/>
        </w:rPr>
        <w:t>4）</w:t>
      </w:r>
      <w:r>
        <w:rPr>
          <w:rFonts w:hint="eastAsia" w:ascii="Calibri" w:hAnsi="宋体" w:eastAsia="宋体" w:cs="Times New Roman"/>
          <w:szCs w:val="21"/>
        </w:rPr>
        <w:t>加强设施设备维修管理，建立维修管理专人负责制，熟悉设施设备的技术特性，配合做好大修计划、维护保养工作，保持设施设备的完好、正常运转。</w:t>
      </w:r>
    </w:p>
    <w:p w14:paraId="04A442C6">
      <w:pPr>
        <w:shd w:val="clear"/>
        <w:ind w:firstLine="420" w:firstLineChars="200"/>
        <w:rPr>
          <w:rFonts w:ascii="Calibri" w:hAnsi="宋体" w:eastAsia="宋体" w:cs="Times New Roman"/>
          <w:szCs w:val="21"/>
        </w:rPr>
      </w:pPr>
      <w:r>
        <w:rPr>
          <w:rFonts w:hint="eastAsia" w:ascii="Calibri" w:hAnsi="宋体" w:eastAsia="宋体" w:cs="Times New Roman"/>
          <w:szCs w:val="21"/>
          <w:lang w:eastAsia="zh-CN"/>
        </w:rPr>
        <w:t>（</w:t>
      </w:r>
      <w:r>
        <w:rPr>
          <w:rFonts w:hint="eastAsia" w:ascii="Calibri" w:hAnsi="宋体" w:eastAsia="宋体" w:cs="Times New Roman"/>
          <w:szCs w:val="21"/>
          <w:lang w:val="en-US" w:eastAsia="zh-CN"/>
        </w:rPr>
        <w:t>5）</w:t>
      </w:r>
      <w:r>
        <w:rPr>
          <w:rFonts w:hint="eastAsia" w:ascii="Calibri" w:hAnsi="宋体" w:eastAsia="宋体" w:cs="Times New Roman"/>
          <w:szCs w:val="21"/>
        </w:rPr>
        <w:t>加强日常维修管理，按学校规定建立日常维修台帐，配合学校做好月、季度维修报表（列名维修名称、主要维修内容、工时、主材费用等），实行网上报修；做好技术资料、运行档案、设备清单的收集、整理、登记、造册工作。</w:t>
      </w:r>
    </w:p>
    <w:p w14:paraId="21DCE99A">
      <w:pPr>
        <w:shd w:val="clear"/>
        <w:ind w:firstLine="420" w:firstLineChars="200"/>
        <w:rPr>
          <w:rFonts w:ascii="Calibri" w:hAnsi="Calibri" w:eastAsia="宋体" w:cs="Times New Roman"/>
          <w:szCs w:val="21"/>
        </w:rPr>
      </w:pPr>
      <w:r>
        <w:rPr>
          <w:rFonts w:hint="eastAsia" w:ascii="Calibri" w:hAnsi="宋体" w:eastAsia="宋体" w:cs="Times New Roman"/>
          <w:szCs w:val="21"/>
          <w:lang w:eastAsia="zh-CN"/>
        </w:rPr>
        <w:t>（</w:t>
      </w:r>
      <w:r>
        <w:rPr>
          <w:rFonts w:hint="eastAsia" w:ascii="Calibri" w:hAnsi="宋体" w:eastAsia="宋体" w:cs="Times New Roman"/>
          <w:szCs w:val="21"/>
          <w:lang w:val="en-US" w:eastAsia="zh-CN"/>
        </w:rPr>
        <w:t>6）</w:t>
      </w:r>
      <w:r>
        <w:rPr>
          <w:rFonts w:hint="eastAsia" w:ascii="Calibri" w:hAnsi="宋体" w:eastAsia="宋体" w:cs="Times New Roman"/>
          <w:szCs w:val="21"/>
        </w:rPr>
        <w:t>保持办公场所场地的环境整洁，保护好原有设施、设备及财物，根据行业标准建立健全晚上值班、巡视检查等制度，维修管理正规化和标准化。</w:t>
      </w:r>
    </w:p>
    <w:p w14:paraId="6D7E006B">
      <w:pPr>
        <w:shd w:val="clear"/>
        <w:ind w:firstLine="420" w:firstLineChars="200"/>
        <w:rPr>
          <w:rFonts w:ascii="Calibri" w:hAnsi="Calibri" w:eastAsia="宋体" w:cs="Times New Roman"/>
          <w:szCs w:val="21"/>
        </w:rPr>
      </w:pPr>
      <w:r>
        <w:rPr>
          <w:rFonts w:hint="eastAsia" w:ascii="Calibri" w:hAnsi="宋体" w:eastAsia="宋体" w:cs="Times New Roman"/>
          <w:szCs w:val="21"/>
          <w:lang w:eastAsia="zh-CN"/>
        </w:rPr>
        <w:t>（</w:t>
      </w:r>
      <w:r>
        <w:rPr>
          <w:rFonts w:hint="eastAsia" w:ascii="Calibri" w:hAnsi="宋体" w:eastAsia="宋体" w:cs="Times New Roman"/>
          <w:szCs w:val="21"/>
          <w:lang w:val="en-US" w:eastAsia="zh-CN"/>
        </w:rPr>
        <w:t>7）</w:t>
      </w:r>
      <w:r>
        <w:rPr>
          <w:rFonts w:hint="eastAsia" w:ascii="Calibri" w:hAnsi="宋体" w:eastAsia="宋体" w:cs="Times New Roman"/>
          <w:szCs w:val="21"/>
        </w:rPr>
        <w:t>按现行建筑安装规范要求安全、文明施工，维修人员统一着装，悬挂胸牌，遵守职业道德，服务周到，热情主动，按时保质保量完成区域内各类维修任务；自觉爱护学校的一切设施，及时清运施工垃圾，切实做到工完场清，无安全责任事故；做好施工的一切防护措施，如因</w:t>
      </w:r>
      <w:r>
        <w:rPr>
          <w:rFonts w:hint="eastAsia" w:ascii="Calibri" w:hAnsi="宋体" w:eastAsia="宋体" w:cs="Times New Roman"/>
          <w:szCs w:val="21"/>
          <w:lang w:eastAsia="zh-CN"/>
        </w:rPr>
        <w:t>中标单位</w:t>
      </w:r>
      <w:r>
        <w:rPr>
          <w:rFonts w:hint="eastAsia" w:ascii="Calibri" w:hAnsi="宋体" w:eastAsia="宋体" w:cs="Times New Roman"/>
          <w:szCs w:val="21"/>
        </w:rPr>
        <w:t>自身原因造成的人身安全事故、设施损坏等，由</w:t>
      </w:r>
      <w:r>
        <w:rPr>
          <w:rFonts w:hint="eastAsia" w:ascii="Calibri" w:hAnsi="宋体" w:eastAsia="宋体" w:cs="Times New Roman"/>
          <w:szCs w:val="21"/>
          <w:lang w:eastAsia="zh-CN"/>
        </w:rPr>
        <w:t>中标单位</w:t>
      </w:r>
      <w:r>
        <w:rPr>
          <w:rFonts w:hint="eastAsia" w:ascii="Calibri" w:hAnsi="宋体" w:eastAsia="宋体" w:cs="Times New Roman"/>
          <w:szCs w:val="21"/>
        </w:rPr>
        <w:t>承担一切责任，并赔偿由此造成的损失；校方有权要求</w:t>
      </w:r>
      <w:r>
        <w:rPr>
          <w:rFonts w:hint="eastAsia" w:ascii="Calibri" w:hAnsi="宋体" w:eastAsia="宋体" w:cs="Times New Roman"/>
          <w:szCs w:val="21"/>
          <w:lang w:eastAsia="zh-CN"/>
        </w:rPr>
        <w:t>中标单位</w:t>
      </w:r>
      <w:r>
        <w:rPr>
          <w:rFonts w:hint="eastAsia" w:ascii="Calibri" w:hAnsi="宋体" w:eastAsia="宋体" w:cs="Times New Roman"/>
          <w:szCs w:val="21"/>
        </w:rPr>
        <w:t>撤换工作不负责任、管理不力、贻误工期的维修员工，对造成安全事故和工程质量事故或有违法乱纪行为的，校方有权追究</w:t>
      </w:r>
      <w:r>
        <w:rPr>
          <w:rFonts w:hint="eastAsia" w:ascii="Calibri" w:hAnsi="宋体" w:eastAsia="宋体" w:cs="Times New Roman"/>
          <w:szCs w:val="21"/>
          <w:lang w:eastAsia="zh-CN"/>
        </w:rPr>
        <w:t>中标单位</w:t>
      </w:r>
      <w:r>
        <w:rPr>
          <w:rFonts w:hint="eastAsia" w:ascii="Calibri" w:hAnsi="宋体" w:eastAsia="宋体" w:cs="Times New Roman"/>
          <w:szCs w:val="21"/>
        </w:rPr>
        <w:t>法律责任。</w:t>
      </w:r>
    </w:p>
    <w:p w14:paraId="4642EEB0">
      <w:pPr>
        <w:shd w:val="clear"/>
        <w:ind w:firstLine="480"/>
        <w:rPr>
          <w:rFonts w:ascii="Calibri" w:hAnsi="Calibri" w:eastAsia="宋体" w:cs="Times New Roman"/>
          <w:bCs/>
        </w:rPr>
      </w:pPr>
      <w:r>
        <w:rPr>
          <w:rFonts w:ascii="Calibri" w:hAnsi="Calibri" w:eastAsia="宋体" w:cs="Times New Roman"/>
          <w:bCs/>
        </w:rPr>
        <w:t>3.</w:t>
      </w:r>
      <w:r>
        <w:rPr>
          <w:rFonts w:hint="eastAsia" w:ascii="Calibri" w:hAnsi="Calibri" w:eastAsia="宋体" w:cs="Times New Roman"/>
          <w:bCs/>
        </w:rPr>
        <w:t>8.3 其他说明</w:t>
      </w:r>
    </w:p>
    <w:p w14:paraId="072ACEEA">
      <w:pPr>
        <w:shd w:val="clear"/>
        <w:ind w:firstLine="480"/>
        <w:rPr>
          <w:rFonts w:ascii="Calibri" w:hAnsi="Calibri" w:eastAsia="宋体" w:cs="Times New Roman"/>
        </w:rPr>
      </w:pPr>
      <w:r>
        <w:rPr>
          <w:rFonts w:hint="eastAsia" w:ascii="Calibri" w:hAnsi="Calibri" w:eastAsia="宋体" w:cs="Times New Roman"/>
        </w:rPr>
        <w:t>由学校采购、安装的水电等设施设备在质保期内因质量或其他原因（非</w:t>
      </w:r>
      <w:r>
        <w:rPr>
          <w:rFonts w:hint="eastAsia" w:ascii="Calibri" w:hAnsi="Calibri" w:eastAsia="宋体" w:cs="Times New Roman"/>
          <w:lang w:eastAsia="zh-CN"/>
        </w:rPr>
        <w:t>中标单位</w:t>
      </w:r>
      <w:r>
        <w:rPr>
          <w:rFonts w:hint="eastAsia" w:ascii="Calibri" w:hAnsi="Calibri" w:eastAsia="宋体" w:cs="Times New Roman"/>
        </w:rPr>
        <w:t>使用或保管不当）造成损坏或不能正常使用，由</w:t>
      </w:r>
      <w:r>
        <w:rPr>
          <w:rFonts w:hint="eastAsia" w:ascii="Calibri" w:hAnsi="Calibri" w:eastAsia="宋体" w:cs="Times New Roman"/>
          <w:lang w:eastAsia="zh-CN"/>
        </w:rPr>
        <w:t>中标单位</w:t>
      </w:r>
      <w:r>
        <w:rPr>
          <w:rFonts w:hint="eastAsia" w:ascii="Calibri" w:hAnsi="Calibri" w:eastAsia="宋体" w:cs="Times New Roman"/>
        </w:rPr>
        <w:t>负责联系厂家维修或更换，同时予以配合，如需</w:t>
      </w:r>
      <w:r>
        <w:rPr>
          <w:rFonts w:hint="eastAsia" w:ascii="Calibri" w:hAnsi="Calibri" w:eastAsia="宋体" w:cs="Times New Roman"/>
          <w:lang w:eastAsia="zh-CN"/>
        </w:rPr>
        <w:t>中标单位</w:t>
      </w:r>
      <w:r>
        <w:rPr>
          <w:rFonts w:hint="eastAsia" w:ascii="Calibri" w:hAnsi="Calibri" w:eastAsia="宋体" w:cs="Times New Roman"/>
        </w:rPr>
        <w:t>维修，所需材料由</w:t>
      </w:r>
      <w:r>
        <w:rPr>
          <w:rFonts w:hint="eastAsia" w:ascii="Calibri" w:hAnsi="Calibri" w:eastAsia="宋体" w:cs="Times New Roman"/>
          <w:lang w:eastAsia="zh-CN"/>
        </w:rPr>
        <w:t>中标单位</w:t>
      </w:r>
      <w:r>
        <w:rPr>
          <w:rFonts w:hint="eastAsia" w:ascii="Calibri" w:hAnsi="Calibri" w:eastAsia="宋体" w:cs="Times New Roman"/>
        </w:rPr>
        <w:t>与质保单位另行结算。</w:t>
      </w:r>
    </w:p>
    <w:p w14:paraId="2101943C">
      <w:pPr>
        <w:keepNext/>
        <w:keepLines/>
        <w:shd w:val="clear"/>
        <w:spacing w:before="260" w:after="260" w:line="416" w:lineRule="auto"/>
        <w:outlineLvl w:val="1"/>
        <w:rPr>
          <w:rFonts w:hint="eastAsia" w:ascii="Arial" w:hAnsi="Arial" w:eastAsia="黑体" w:cs="Times New Roman"/>
          <w:b/>
          <w:bCs/>
          <w:sz w:val="32"/>
          <w:szCs w:val="32"/>
        </w:rPr>
      </w:pPr>
      <w:r>
        <w:rPr>
          <w:rFonts w:hint="eastAsia" w:ascii="Arial" w:hAnsi="Arial" w:eastAsia="黑体" w:cs="Times New Roman"/>
          <w:b/>
          <w:bCs/>
          <w:sz w:val="32"/>
          <w:szCs w:val="32"/>
        </w:rPr>
        <w:t>3.8 第三方监管</w:t>
      </w:r>
    </w:p>
    <w:p w14:paraId="60BED163">
      <w:pPr>
        <w:widowControl/>
        <w:shd w:val="clear"/>
        <w:spacing w:line="460" w:lineRule="exact"/>
        <w:ind w:firstLine="420" w:firstLineChars="200"/>
        <w:rPr>
          <w:rFonts w:hint="eastAsia" w:ascii="Calibri" w:hAnsi="Calibri" w:eastAsia="宋体" w:cs="Times New Roman"/>
        </w:rPr>
      </w:pPr>
      <w:r>
        <w:rPr>
          <w:rFonts w:hint="eastAsia" w:ascii="Calibri" w:hAnsi="Calibri" w:eastAsia="宋体" w:cs="Times New Roman"/>
        </w:rPr>
        <w:t>3.8.1负责校方维修改造工程的现场监管工作。具体职责如下：</w:t>
      </w:r>
    </w:p>
    <w:p w14:paraId="769D660C">
      <w:pPr>
        <w:widowControl/>
        <w:shd w:val="clear"/>
        <w:spacing w:line="460" w:lineRule="exact"/>
        <w:ind w:firstLine="420" w:firstLineChars="200"/>
        <w:rPr>
          <w:rFonts w:hint="eastAsia" w:ascii="Calibri" w:hAnsi="Calibri" w:eastAsia="宋体" w:cs="Times New Roman"/>
          <w:lang w:eastAsia="zh-CN"/>
        </w:rPr>
      </w:pPr>
      <w:r>
        <w:rPr>
          <w:rFonts w:hint="eastAsia" w:ascii="Calibri" w:hAnsi="Calibri" w:eastAsia="宋体" w:cs="Times New Roman"/>
        </w:rPr>
        <w:t>（</w:t>
      </w:r>
      <w:r>
        <w:rPr>
          <w:rFonts w:ascii="Calibri" w:hAnsi="Calibri" w:eastAsia="宋体" w:cs="Times New Roman"/>
        </w:rPr>
        <w:t>1</w:t>
      </w:r>
      <w:r>
        <w:rPr>
          <w:rFonts w:hint="eastAsia" w:ascii="Calibri" w:hAnsi="Calibri" w:eastAsia="宋体" w:cs="Times New Roman"/>
        </w:rPr>
        <w:t>）各专项及日常修缮派单工程施工现场管理</w:t>
      </w:r>
      <w:r>
        <w:rPr>
          <w:rFonts w:hint="eastAsia" w:ascii="Calibri" w:hAnsi="Calibri" w:eastAsia="宋体" w:cs="Times New Roman"/>
          <w:lang w:eastAsia="zh-CN"/>
        </w:rPr>
        <w:t>。</w:t>
      </w:r>
    </w:p>
    <w:p w14:paraId="130A16DC">
      <w:pPr>
        <w:widowControl/>
        <w:shd w:val="clear"/>
        <w:spacing w:line="460" w:lineRule="exact"/>
        <w:ind w:firstLine="420" w:firstLineChars="200"/>
        <w:rPr>
          <w:rFonts w:hint="eastAsia" w:ascii="Calibri" w:hAnsi="Calibri" w:eastAsia="宋体" w:cs="Times New Roman"/>
          <w:lang w:eastAsia="zh-CN"/>
        </w:rPr>
      </w:pPr>
      <w:r>
        <w:rPr>
          <w:rFonts w:hint="eastAsia" w:ascii="Calibri" w:hAnsi="Calibri" w:eastAsia="宋体" w:cs="Times New Roman"/>
        </w:rPr>
        <w:t>（</w:t>
      </w:r>
      <w:r>
        <w:rPr>
          <w:rFonts w:ascii="Calibri" w:hAnsi="Calibri" w:eastAsia="宋体" w:cs="Times New Roman"/>
        </w:rPr>
        <w:t>2</w:t>
      </w:r>
      <w:r>
        <w:rPr>
          <w:rFonts w:hint="eastAsia" w:ascii="Calibri" w:hAnsi="Calibri" w:eastAsia="宋体" w:cs="Times New Roman"/>
        </w:rPr>
        <w:t>）协助完成各项目竣工验收工作（含隐蔽工程验收）</w:t>
      </w:r>
      <w:r>
        <w:rPr>
          <w:rFonts w:hint="eastAsia" w:ascii="Calibri" w:hAnsi="Calibri" w:eastAsia="宋体" w:cs="Times New Roman"/>
          <w:lang w:eastAsia="zh-CN"/>
        </w:rPr>
        <w:t>。</w:t>
      </w:r>
    </w:p>
    <w:p w14:paraId="703D8CB0">
      <w:pPr>
        <w:widowControl/>
        <w:shd w:val="clear"/>
        <w:spacing w:line="460" w:lineRule="exact"/>
        <w:ind w:firstLine="420" w:firstLineChars="200"/>
        <w:rPr>
          <w:rFonts w:hint="eastAsia" w:ascii="Calibri" w:hAnsi="Calibri" w:eastAsia="宋体" w:cs="Times New Roman"/>
          <w:lang w:eastAsia="zh-CN"/>
        </w:rPr>
      </w:pPr>
      <w:r>
        <w:rPr>
          <w:rFonts w:hint="eastAsia" w:ascii="Calibri" w:hAnsi="Calibri" w:eastAsia="宋体" w:cs="Times New Roman"/>
        </w:rPr>
        <w:t>（3）督促施工方进行工程项目资料的编制汇总，及时完成工程送审工作</w:t>
      </w:r>
      <w:r>
        <w:rPr>
          <w:rFonts w:hint="eastAsia" w:ascii="Calibri" w:hAnsi="Calibri" w:eastAsia="宋体" w:cs="Times New Roman"/>
          <w:lang w:eastAsia="zh-CN"/>
        </w:rPr>
        <w:t>。</w:t>
      </w:r>
    </w:p>
    <w:p w14:paraId="625DC2D1">
      <w:pPr>
        <w:widowControl/>
        <w:shd w:val="clear"/>
        <w:spacing w:line="460" w:lineRule="exact"/>
        <w:ind w:firstLine="420" w:firstLineChars="200"/>
        <w:rPr>
          <w:rFonts w:hint="eastAsia" w:ascii="Calibri" w:hAnsi="Calibri" w:eastAsia="宋体" w:cs="Times New Roman"/>
          <w:lang w:eastAsia="zh-CN"/>
        </w:rPr>
      </w:pPr>
      <w:r>
        <w:rPr>
          <w:rFonts w:hint="eastAsia" w:ascii="Calibri" w:hAnsi="Calibri" w:eastAsia="宋体" w:cs="Times New Roman"/>
        </w:rPr>
        <w:t>（4）做好工程的质量控制、进度控制、安全管理</w:t>
      </w:r>
      <w:r>
        <w:rPr>
          <w:rFonts w:hint="eastAsia" w:ascii="Calibri" w:hAnsi="Calibri" w:eastAsia="宋体" w:cs="Times New Roman"/>
          <w:lang w:eastAsia="zh-CN"/>
        </w:rPr>
        <w:t>。</w:t>
      </w:r>
    </w:p>
    <w:p w14:paraId="34F3207E">
      <w:pPr>
        <w:widowControl/>
        <w:shd w:val="clear"/>
        <w:spacing w:line="460" w:lineRule="exact"/>
        <w:ind w:firstLine="420" w:firstLineChars="200"/>
        <w:rPr>
          <w:rFonts w:hint="eastAsia" w:ascii="Calibri" w:hAnsi="Calibri" w:eastAsia="宋体" w:cs="Times New Roman"/>
          <w:lang w:eastAsia="zh-CN"/>
        </w:rPr>
      </w:pPr>
      <w:r>
        <w:rPr>
          <w:rFonts w:hint="eastAsia" w:ascii="Calibri" w:hAnsi="Calibri" w:eastAsia="宋体" w:cs="Times New Roman"/>
        </w:rPr>
        <w:t>（5）配合校方做好工程量变更的现场确认</w:t>
      </w:r>
      <w:r>
        <w:rPr>
          <w:rFonts w:hint="eastAsia" w:ascii="Calibri" w:hAnsi="Calibri" w:eastAsia="宋体" w:cs="Times New Roman"/>
          <w:lang w:eastAsia="zh-CN"/>
        </w:rPr>
        <w:t>。</w:t>
      </w:r>
    </w:p>
    <w:p w14:paraId="7B5EDEED">
      <w:pPr>
        <w:widowControl/>
        <w:shd w:val="clear"/>
        <w:spacing w:line="460" w:lineRule="exact"/>
        <w:ind w:firstLine="420" w:firstLineChars="200"/>
        <w:rPr>
          <w:rFonts w:hint="eastAsia" w:ascii="Calibri" w:hAnsi="Calibri" w:eastAsia="宋体" w:cs="Times New Roman"/>
          <w:lang w:eastAsia="zh-CN"/>
        </w:rPr>
      </w:pPr>
      <w:r>
        <w:rPr>
          <w:rFonts w:hint="eastAsia" w:ascii="Calibri" w:hAnsi="Calibri" w:eastAsia="宋体" w:cs="Times New Roman"/>
        </w:rPr>
        <w:t>（6）参与施工图纸及方案的初审工作</w:t>
      </w:r>
      <w:r>
        <w:rPr>
          <w:rFonts w:hint="eastAsia" w:ascii="Calibri" w:hAnsi="Calibri" w:eastAsia="宋体" w:cs="Times New Roman"/>
          <w:lang w:eastAsia="zh-CN"/>
        </w:rPr>
        <w:t>。</w:t>
      </w:r>
    </w:p>
    <w:p w14:paraId="05470DBB">
      <w:pPr>
        <w:widowControl/>
        <w:shd w:val="clear"/>
        <w:spacing w:line="460" w:lineRule="exact"/>
        <w:ind w:firstLine="420" w:firstLineChars="200"/>
        <w:rPr>
          <w:rFonts w:ascii="Arial" w:hAnsi="Arial" w:eastAsia="黑体" w:cs="Times New Roman"/>
          <w:b/>
          <w:bCs/>
          <w:sz w:val="32"/>
          <w:szCs w:val="32"/>
        </w:rPr>
      </w:pPr>
      <w:r>
        <w:rPr>
          <w:rFonts w:ascii="Calibri" w:hAnsi="Calibri" w:eastAsia="宋体" w:cs="Times New Roman"/>
        </w:rPr>
        <w:t>3.</w:t>
      </w:r>
      <w:r>
        <w:rPr>
          <w:rFonts w:hint="eastAsia" w:ascii="Calibri" w:hAnsi="Calibri" w:eastAsia="宋体" w:cs="Times New Roman"/>
        </w:rPr>
        <w:t>8</w:t>
      </w:r>
      <w:r>
        <w:rPr>
          <w:rFonts w:ascii="Calibri" w:hAnsi="Calibri" w:eastAsia="宋体" w:cs="Times New Roman"/>
        </w:rPr>
        <w:t>.2</w:t>
      </w:r>
      <w:r>
        <w:rPr>
          <w:rFonts w:hint="eastAsia" w:ascii="Calibri" w:hAnsi="Calibri" w:eastAsia="宋体" w:cs="Times New Roman"/>
        </w:rPr>
        <w:t>负责学生公寓空气源热水系统监管工作。具体职责如下：</w:t>
      </w:r>
    </w:p>
    <w:p w14:paraId="21EE2384">
      <w:pPr>
        <w:shd w:val="clear"/>
        <w:tabs>
          <w:tab w:val="left" w:pos="720"/>
        </w:tabs>
        <w:ind w:firstLine="420" w:firstLineChars="200"/>
        <w:rPr>
          <w:rFonts w:ascii="Calibri" w:hAnsi="Calibri" w:eastAsia="宋体" w:cs="Times New Roman"/>
        </w:rPr>
      </w:pPr>
      <w:r>
        <w:rPr>
          <w:rFonts w:hint="eastAsia" w:ascii="Calibri" w:hAnsi="Calibri" w:eastAsia="宋体" w:cs="Times New Roman"/>
        </w:rPr>
        <w:t>（</w:t>
      </w:r>
      <w:r>
        <w:rPr>
          <w:rFonts w:ascii="Calibri" w:hAnsi="Calibri" w:eastAsia="宋体" w:cs="Times New Roman"/>
        </w:rPr>
        <w:t>1</w:t>
      </w:r>
      <w:r>
        <w:rPr>
          <w:rFonts w:hint="eastAsia" w:ascii="Calibri" w:hAnsi="Calibri" w:eastAsia="宋体" w:cs="Times New Roman"/>
        </w:rPr>
        <w:t>）空气源热水系统由指定厂商负责运行维护，中标单位需负责管理、监督该厂商，确保空气源热水系统的正常运行。</w:t>
      </w:r>
    </w:p>
    <w:p w14:paraId="6DC3190B">
      <w:pPr>
        <w:shd w:val="clear"/>
        <w:ind w:firstLine="420" w:firstLineChars="200"/>
        <w:rPr>
          <w:rFonts w:ascii="宋体" w:hAnsi="宋体" w:eastAsia="宋体" w:cs="Times New Roman"/>
        </w:rPr>
      </w:pPr>
      <w:r>
        <w:rPr>
          <w:rFonts w:hint="eastAsia" w:ascii="Calibri" w:hAnsi="Calibri" w:eastAsia="宋体" w:cs="Times New Roman"/>
        </w:rPr>
        <w:t>（</w:t>
      </w:r>
      <w:r>
        <w:rPr>
          <w:rFonts w:ascii="Calibri" w:hAnsi="Calibri" w:eastAsia="宋体" w:cs="Times New Roman"/>
        </w:rPr>
        <w:t>2</w:t>
      </w:r>
      <w:r>
        <w:rPr>
          <w:rFonts w:hint="eastAsia" w:ascii="Calibri" w:hAnsi="Calibri" w:eastAsia="宋体" w:cs="Times New Roman"/>
        </w:rPr>
        <w:t>）</w:t>
      </w:r>
      <w:r>
        <w:rPr>
          <w:rFonts w:hint="eastAsia" w:ascii="Calibri" w:hAnsi="Calibri" w:eastAsia="宋体" w:cs="Times New Roman"/>
          <w:lang w:eastAsia="zh-CN"/>
        </w:rPr>
        <w:t>中标单位</w:t>
      </w:r>
      <w:r>
        <w:rPr>
          <w:rFonts w:hint="eastAsia" w:ascii="Calibri" w:hAnsi="Calibri" w:eastAsia="宋体" w:cs="Times New Roman"/>
        </w:rPr>
        <w:t>负责</w:t>
      </w:r>
      <w:r>
        <w:rPr>
          <w:rFonts w:hint="eastAsia" w:ascii="宋体" w:hAnsi="宋体" w:eastAsia="宋体" w:cs="Times New Roman"/>
        </w:rPr>
        <w:t>监督</w:t>
      </w:r>
      <w:r>
        <w:rPr>
          <w:rFonts w:hint="eastAsia" w:ascii="Calibri" w:hAnsi="Calibri" w:eastAsia="宋体" w:cs="Times New Roman"/>
        </w:rPr>
        <w:t>空气源热水系统厂家的</w:t>
      </w:r>
      <w:r>
        <w:rPr>
          <w:rFonts w:hint="eastAsia" w:ascii="宋体" w:hAnsi="宋体" w:eastAsia="宋体" w:cs="Times New Roman"/>
        </w:rPr>
        <w:t>定期保养和接报修落实情况。对厂家维修及时率与质量进行跟踪并落实。</w:t>
      </w:r>
    </w:p>
    <w:p w14:paraId="023E1B12">
      <w:pPr>
        <w:shd w:val="clear"/>
        <w:tabs>
          <w:tab w:val="left" w:pos="720"/>
        </w:tabs>
        <w:ind w:firstLine="420" w:firstLineChars="200"/>
        <w:rPr>
          <w:rFonts w:ascii="Calibri" w:hAnsi="Calibri" w:eastAsia="宋体" w:cs="Times New Roman"/>
        </w:rPr>
      </w:pPr>
      <w:r>
        <w:rPr>
          <w:rFonts w:hint="eastAsia" w:ascii="Calibri" w:hAnsi="Calibri" w:eastAsia="宋体" w:cs="Times New Roman"/>
        </w:rPr>
        <w:t>（</w:t>
      </w:r>
      <w:r>
        <w:rPr>
          <w:rFonts w:ascii="Calibri" w:hAnsi="Calibri" w:eastAsia="宋体" w:cs="Times New Roman"/>
        </w:rPr>
        <w:t>3</w:t>
      </w:r>
      <w:r>
        <w:rPr>
          <w:rFonts w:hint="eastAsia" w:ascii="Calibri" w:hAnsi="Calibri" w:eastAsia="宋体" w:cs="Times New Roman"/>
        </w:rPr>
        <w:t>）保障空气源热水系统的水电供应，将空气源热水系统报修服务接入校园报修网络，跟踪管理记录维修情况。</w:t>
      </w:r>
    </w:p>
    <w:p w14:paraId="66ED4B3E">
      <w:pPr>
        <w:shd w:val="clear"/>
        <w:tabs>
          <w:tab w:val="left" w:pos="720"/>
        </w:tabs>
        <w:ind w:firstLine="210" w:firstLineChars="100"/>
        <w:rPr>
          <w:rFonts w:ascii="Calibri" w:hAnsi="Calibri" w:eastAsia="宋体" w:cs="Times New Roman"/>
        </w:rPr>
      </w:pPr>
      <w:r>
        <w:rPr>
          <w:rFonts w:hint="eastAsia" w:ascii="Calibri" w:hAnsi="Calibri" w:eastAsia="宋体" w:cs="Times New Roman"/>
        </w:rPr>
        <w:t>3.8.3负责学生公寓空调监管。具体职责如下：</w:t>
      </w:r>
    </w:p>
    <w:p w14:paraId="45607028">
      <w:pPr>
        <w:shd w:val="clear"/>
        <w:tabs>
          <w:tab w:val="left" w:pos="720"/>
        </w:tabs>
        <w:ind w:firstLine="420" w:firstLineChars="200"/>
        <w:rPr>
          <w:rFonts w:ascii="Calibri" w:hAnsi="Calibri" w:eastAsia="宋体" w:cs="Times New Roman"/>
        </w:rPr>
      </w:pPr>
      <w:r>
        <w:rPr>
          <w:rFonts w:hint="eastAsia" w:ascii="Calibri" w:hAnsi="Calibri" w:eastAsia="宋体" w:cs="Times New Roman"/>
        </w:rPr>
        <w:t>（1）空调设备由指定厂商负责运行维护，中标单位需负责管理、监督该厂商，确保空调设备的正常运行。</w:t>
      </w:r>
    </w:p>
    <w:p w14:paraId="7492D4F7">
      <w:pPr>
        <w:shd w:val="clear"/>
        <w:tabs>
          <w:tab w:val="left" w:pos="720"/>
        </w:tabs>
        <w:ind w:firstLine="420" w:firstLineChars="200"/>
        <w:rPr>
          <w:rFonts w:ascii="Calibri" w:hAnsi="Calibri" w:eastAsia="宋体" w:cs="Times New Roman"/>
        </w:rPr>
      </w:pPr>
      <w:r>
        <w:rPr>
          <w:rFonts w:hint="eastAsia" w:ascii="Calibri" w:hAnsi="Calibri" w:eastAsia="宋体" w:cs="Times New Roman"/>
        </w:rPr>
        <w:t>（2）</w:t>
      </w:r>
      <w:r>
        <w:rPr>
          <w:rFonts w:hint="eastAsia" w:ascii="Calibri" w:hAnsi="Calibri" w:eastAsia="宋体" w:cs="Times New Roman"/>
          <w:lang w:eastAsia="zh-CN"/>
        </w:rPr>
        <w:t>中标单位</w:t>
      </w:r>
      <w:r>
        <w:rPr>
          <w:rFonts w:hint="eastAsia" w:ascii="Calibri" w:hAnsi="Calibri" w:eastAsia="宋体" w:cs="Times New Roman"/>
        </w:rPr>
        <w:t>负责监督空调设备厂家的定期清理和接报修落实情况。对厂家维修及时率与质量进行跟踪并落实。</w:t>
      </w:r>
    </w:p>
    <w:p w14:paraId="251B5579">
      <w:pPr>
        <w:shd w:val="clear"/>
        <w:tabs>
          <w:tab w:val="left" w:pos="720"/>
        </w:tabs>
        <w:ind w:firstLine="420" w:firstLineChars="200"/>
        <w:rPr>
          <w:rFonts w:ascii="Calibri" w:hAnsi="Calibri" w:eastAsia="宋体" w:cs="Times New Roman"/>
        </w:rPr>
      </w:pPr>
      <w:r>
        <w:rPr>
          <w:rFonts w:hint="eastAsia" w:ascii="Calibri" w:hAnsi="Calibri" w:eastAsia="宋体" w:cs="Times New Roman"/>
        </w:rPr>
        <w:t>（3）将空调设备报修服务接入校园报修网络，跟踪管理记录维修情况。</w:t>
      </w:r>
    </w:p>
    <w:p w14:paraId="0675E2AC">
      <w:pPr>
        <w:shd w:val="clear"/>
        <w:tabs>
          <w:tab w:val="left" w:pos="720"/>
        </w:tabs>
        <w:ind w:firstLine="420" w:firstLineChars="200"/>
        <w:rPr>
          <w:rFonts w:ascii="Calibri" w:hAnsi="Calibri" w:eastAsia="宋体" w:cs="Times New Roman"/>
        </w:rPr>
      </w:pPr>
      <w:r>
        <w:rPr>
          <w:rFonts w:hint="eastAsia" w:ascii="Calibri" w:hAnsi="Calibri" w:eastAsia="宋体" w:cs="Times New Roman"/>
        </w:rPr>
        <w:t>3.8.4负责校方其他合作商（后勤服务类）的监管服务。</w:t>
      </w:r>
    </w:p>
    <w:bookmarkEnd w:id="70"/>
    <w:p w14:paraId="36ADE735">
      <w:pPr>
        <w:widowControl/>
        <w:shd w:val="clear"/>
        <w:spacing w:line="460" w:lineRule="exact"/>
        <w:ind w:left="-2" w:leftChars="-1" w:firstLine="315" w:firstLineChars="150"/>
        <w:rPr>
          <w:rFonts w:ascii="Calibri" w:hAnsi="Calibri" w:eastAsia="宋体" w:cs="Times New Roman"/>
        </w:rPr>
      </w:pPr>
    </w:p>
    <w:p w14:paraId="63DF59D8">
      <w:pPr>
        <w:shd w:val="clear"/>
        <w:autoSpaceDE w:val="0"/>
        <w:autoSpaceDN w:val="0"/>
        <w:adjustRightInd w:val="0"/>
        <w:spacing w:line="360" w:lineRule="auto"/>
        <w:jc w:val="center"/>
        <w:outlineLvl w:val="0"/>
        <w:rPr>
          <w:rFonts w:ascii="Calibri" w:hAnsi="Calibri" w:eastAsia="隶书" w:cs="Times New Roman"/>
          <w:b/>
          <w:bCs/>
          <w:kern w:val="0"/>
          <w:sz w:val="36"/>
          <w:szCs w:val="36"/>
        </w:rPr>
      </w:pPr>
      <w:bookmarkStart w:id="72" w:name="_Toc89023953"/>
      <w:bookmarkStart w:id="73" w:name="_Toc90475304"/>
      <w:bookmarkStart w:id="74" w:name="_Toc97303150"/>
      <w:r>
        <w:rPr>
          <w:rFonts w:hint="eastAsia" w:ascii="Calibri" w:hAnsi="Calibri" w:eastAsia="隶书" w:cs="Times New Roman"/>
          <w:b/>
          <w:bCs/>
          <w:kern w:val="0"/>
          <w:sz w:val="36"/>
          <w:szCs w:val="36"/>
        </w:rPr>
        <w:t>四、学生宿舍管理</w:t>
      </w:r>
      <w:bookmarkEnd w:id="72"/>
      <w:bookmarkEnd w:id="73"/>
      <w:bookmarkEnd w:id="74"/>
    </w:p>
    <w:p w14:paraId="7EDF4CA2">
      <w:pPr>
        <w:keepNext/>
        <w:keepLines/>
        <w:shd w:val="clear"/>
        <w:spacing w:before="260" w:after="260" w:line="416" w:lineRule="auto"/>
        <w:outlineLvl w:val="1"/>
        <w:rPr>
          <w:rFonts w:ascii="Arial" w:hAnsi="Arial" w:eastAsia="黑体" w:cs="Times New Roman"/>
          <w:b/>
          <w:bCs/>
          <w:sz w:val="32"/>
          <w:szCs w:val="32"/>
        </w:rPr>
      </w:pPr>
      <w:bookmarkStart w:id="75" w:name="_Toc97303151"/>
      <w:bookmarkStart w:id="76" w:name="_Toc90475305"/>
      <w:r>
        <w:rPr>
          <w:rFonts w:hint="eastAsia" w:ascii="Arial" w:hAnsi="Arial" w:eastAsia="黑体" w:cs="Times New Roman"/>
          <w:b/>
          <w:bCs/>
          <w:sz w:val="32"/>
          <w:szCs w:val="32"/>
        </w:rPr>
        <w:t>4.1 宿舍管理概述</w:t>
      </w:r>
      <w:bookmarkEnd w:id="75"/>
      <w:bookmarkEnd w:id="76"/>
    </w:p>
    <w:p w14:paraId="550194BF">
      <w:pPr>
        <w:shd w:val="clear"/>
        <w:ind w:firstLine="480"/>
        <w:rPr>
          <w:rFonts w:ascii="Calibri" w:hAnsi="Calibri" w:eastAsia="宋体" w:cs="Times New Roman"/>
          <w:color w:val="FF0000"/>
        </w:rPr>
      </w:pPr>
      <w:r>
        <w:rPr>
          <w:rFonts w:hint="eastAsia" w:ascii="Calibri" w:hAnsi="Calibri" w:eastAsia="宋体" w:cs="Times New Roman"/>
        </w:rPr>
        <w:t>根据临平校区</w:t>
      </w:r>
      <w:r>
        <w:rPr>
          <w:rFonts w:ascii="Calibri" w:hAnsi="Calibri" w:eastAsia="宋体" w:cs="Times New Roman"/>
        </w:rPr>
        <w:t>7</w:t>
      </w:r>
      <w:r>
        <w:rPr>
          <w:rFonts w:hint="eastAsia" w:ascii="Calibri" w:hAnsi="Calibri" w:eastAsia="宋体" w:cs="Times New Roman"/>
        </w:rPr>
        <w:t>幢学生公寓分布和用途，结合宿管工作实际需要，建议配备宿舍管理人员不少于25名。除宿管员夜间值班室家具以外，其他宿管办公家具、电器设备均由</w:t>
      </w:r>
      <w:r>
        <w:rPr>
          <w:rFonts w:hint="eastAsia" w:ascii="Calibri" w:hAnsi="Calibri" w:eastAsia="宋体" w:cs="Times New Roman"/>
          <w:lang w:eastAsia="zh-CN"/>
        </w:rPr>
        <w:t>中标单位</w:t>
      </w:r>
      <w:r>
        <w:rPr>
          <w:rFonts w:hint="eastAsia" w:ascii="Calibri" w:hAnsi="Calibri" w:eastAsia="宋体" w:cs="Times New Roman"/>
        </w:rPr>
        <w:t>负责配置，包括但不限于大厅工作吧台、办公家具、微波炉、冰箱、值班室空调、宿管站空调、值班室热水器等。</w:t>
      </w:r>
    </w:p>
    <w:p w14:paraId="2508A671">
      <w:pPr>
        <w:shd w:val="clear"/>
        <w:ind w:firstLine="480"/>
        <w:rPr>
          <w:rFonts w:ascii="Calibri" w:hAnsi="Calibri" w:eastAsia="宋体" w:cs="Times New Roman"/>
        </w:rPr>
      </w:pPr>
    </w:p>
    <w:p w14:paraId="661C57AE">
      <w:pPr>
        <w:keepNext/>
        <w:keepLines/>
        <w:shd w:val="clear"/>
        <w:spacing w:before="260" w:after="260" w:line="416" w:lineRule="auto"/>
        <w:outlineLvl w:val="1"/>
        <w:rPr>
          <w:rFonts w:ascii="Arial" w:hAnsi="Arial" w:eastAsia="黑体" w:cs="Times New Roman"/>
          <w:b/>
          <w:bCs/>
          <w:sz w:val="32"/>
          <w:szCs w:val="32"/>
        </w:rPr>
      </w:pPr>
      <w:bookmarkStart w:id="77" w:name="_Toc90475306"/>
      <w:bookmarkStart w:id="78" w:name="_Toc97303152"/>
      <w:r>
        <w:rPr>
          <w:rFonts w:hint="eastAsia" w:ascii="Arial" w:hAnsi="Arial" w:eastAsia="黑体" w:cs="Times New Roman"/>
          <w:b/>
          <w:bCs/>
          <w:sz w:val="32"/>
          <w:szCs w:val="32"/>
        </w:rPr>
        <w:t>4.2 宿管人员工作内容</w:t>
      </w:r>
      <w:bookmarkEnd w:id="77"/>
      <w:bookmarkEnd w:id="78"/>
    </w:p>
    <w:p w14:paraId="4742D6F2">
      <w:pPr>
        <w:shd w:val="clear"/>
        <w:ind w:firstLine="480"/>
        <w:rPr>
          <w:rFonts w:ascii="Calibri" w:hAnsi="Calibri" w:eastAsia="宋体" w:cs="Times New Roman"/>
        </w:rPr>
      </w:pPr>
      <w:r>
        <w:rPr>
          <w:rFonts w:hint="eastAsia" w:ascii="Calibri" w:hAnsi="Calibri" w:eastAsia="宋体" w:cs="Times New Roman"/>
        </w:rPr>
        <w:t>（</w:t>
      </w:r>
      <w:r>
        <w:rPr>
          <w:rFonts w:ascii="Calibri" w:hAnsi="Calibri" w:eastAsia="宋体" w:cs="Times New Roman"/>
        </w:rPr>
        <w:t>1</w:t>
      </w:r>
      <w:r>
        <w:rPr>
          <w:rFonts w:hint="eastAsia" w:ascii="Calibri" w:hAnsi="Calibri" w:eastAsia="宋体" w:cs="Times New Roman"/>
        </w:rPr>
        <w:t>）日常主要职责：负责</w:t>
      </w:r>
      <w:r>
        <w:rPr>
          <w:rFonts w:ascii="Calibri" w:hAnsi="Calibri" w:eastAsia="宋体" w:cs="Times New Roman"/>
        </w:rPr>
        <w:t>24</w:t>
      </w:r>
      <w:r>
        <w:rPr>
          <w:rFonts w:hint="eastAsia" w:ascii="Calibri" w:hAnsi="Calibri" w:eastAsia="宋体" w:cs="Times New Roman"/>
        </w:rPr>
        <w:t>小时门岗管理，开展进出楼管理、床位管理、钥匙管理、报修、通知、熄灯、公共区域巡查、夜间巡查、文明寝室检查、学生信息管理、信息化系统管理等日常宿管工作。</w:t>
      </w:r>
    </w:p>
    <w:p w14:paraId="5866AE49">
      <w:pPr>
        <w:shd w:val="clear"/>
        <w:ind w:firstLine="480"/>
        <w:rPr>
          <w:rFonts w:ascii="Calibri" w:hAnsi="Calibri" w:eastAsia="宋体" w:cs="Times New Roman"/>
        </w:rPr>
      </w:pPr>
      <w:r>
        <w:rPr>
          <w:rFonts w:hint="eastAsia" w:ascii="Calibri" w:hAnsi="Calibri" w:eastAsia="宋体" w:cs="Times New Roman"/>
        </w:rPr>
        <w:t>（2）根据校方要求开展日常以及专项卫生检查及安全检查工作，目前本科生1周全覆盖，研究生1月全覆盖，留学生1月全覆盖，具体根据学校实际工作需要进行调整。</w:t>
      </w:r>
    </w:p>
    <w:p w14:paraId="4786546B">
      <w:pPr>
        <w:shd w:val="clear"/>
        <w:ind w:firstLine="480"/>
        <w:rPr>
          <w:rFonts w:ascii="Calibri" w:hAnsi="Calibri" w:eastAsia="宋体" w:cs="Times New Roman"/>
        </w:rPr>
      </w:pPr>
      <w:r>
        <w:rPr>
          <w:rFonts w:hint="eastAsia" w:ascii="Calibri" w:hAnsi="Calibri" w:eastAsia="宋体" w:cs="Times New Roman"/>
        </w:rPr>
        <w:t>（3）完成学校重大活动、迎新、毕业离校等宿管工作，如毕业生离校退宿、迎新准备及报到、平安校园建设等相关工作。</w:t>
      </w:r>
    </w:p>
    <w:p w14:paraId="7B9F6ADF">
      <w:pPr>
        <w:shd w:val="clear"/>
        <w:ind w:firstLine="480"/>
        <w:rPr>
          <w:rFonts w:ascii="Calibri" w:hAnsi="Calibri" w:eastAsia="宋体" w:cs="Times New Roman"/>
        </w:rPr>
      </w:pPr>
      <w:r>
        <w:rPr>
          <w:rFonts w:hint="eastAsia" w:ascii="Calibri" w:hAnsi="Calibri" w:eastAsia="宋体" w:cs="Times New Roman"/>
        </w:rPr>
        <w:t>（4）根据学校安排做好寒暑假公寓管理工作，负责公寓楼的开封楼相关工作。</w:t>
      </w:r>
    </w:p>
    <w:p w14:paraId="26CAEA43">
      <w:pPr>
        <w:shd w:val="clear"/>
        <w:ind w:firstLine="480"/>
        <w:rPr>
          <w:rFonts w:ascii="Calibri" w:hAnsi="Calibri" w:eastAsia="宋体" w:cs="Times New Roman"/>
        </w:rPr>
      </w:pPr>
      <w:r>
        <w:rPr>
          <w:rFonts w:hint="eastAsia" w:ascii="Calibri" w:hAnsi="Calibri" w:eastAsia="宋体" w:cs="Times New Roman"/>
        </w:rPr>
        <w:t>（5）负责设施设备等资产的日常管理，做好日常维护、报修、协助更换等相关工作。</w:t>
      </w:r>
    </w:p>
    <w:p w14:paraId="504B552D">
      <w:pPr>
        <w:shd w:val="clear"/>
        <w:ind w:firstLine="480"/>
        <w:rPr>
          <w:rFonts w:ascii="Calibri" w:hAnsi="Calibri" w:eastAsia="宋体" w:cs="Times New Roman"/>
        </w:rPr>
      </w:pPr>
      <w:r>
        <w:rPr>
          <w:rFonts w:hint="eastAsia" w:ascii="Calibri" w:hAnsi="Calibri" w:eastAsia="宋体" w:cs="Times New Roman"/>
        </w:rPr>
        <w:t>（</w:t>
      </w:r>
      <w:r>
        <w:rPr>
          <w:rFonts w:ascii="Calibri" w:hAnsi="Calibri" w:eastAsia="宋体" w:cs="Times New Roman"/>
        </w:rPr>
        <w:t>6</w:t>
      </w:r>
      <w:r>
        <w:rPr>
          <w:rFonts w:hint="eastAsia" w:ascii="Calibri" w:hAnsi="Calibri" w:eastAsia="宋体" w:cs="Times New Roman"/>
        </w:rPr>
        <w:t>）负责做好辅导员用房、员工用房、特护房、仓储等功能用房的日常管理。</w:t>
      </w:r>
    </w:p>
    <w:p w14:paraId="16F21601">
      <w:pPr>
        <w:shd w:val="clear"/>
        <w:ind w:firstLine="480"/>
        <w:rPr>
          <w:rFonts w:ascii="Calibri" w:hAnsi="Calibri" w:eastAsia="宋体" w:cs="Times New Roman"/>
        </w:rPr>
      </w:pPr>
      <w:r>
        <w:rPr>
          <w:rFonts w:hint="eastAsia" w:ascii="Calibri" w:hAnsi="Calibri" w:eastAsia="宋体" w:cs="Times New Roman"/>
        </w:rPr>
        <w:t>（</w:t>
      </w:r>
      <w:r>
        <w:rPr>
          <w:rFonts w:ascii="Calibri" w:hAnsi="Calibri" w:eastAsia="宋体" w:cs="Times New Roman"/>
        </w:rPr>
        <w:t>7</w:t>
      </w:r>
      <w:r>
        <w:rPr>
          <w:rFonts w:hint="eastAsia" w:ascii="Calibri" w:hAnsi="Calibri" w:eastAsia="宋体" w:cs="Times New Roman"/>
        </w:rPr>
        <w:t>）负责公寓楼内合作项目的日常巡查、投诉反馈、问题协调处理等工作。</w:t>
      </w:r>
    </w:p>
    <w:p w14:paraId="2DEB957B">
      <w:pPr>
        <w:shd w:val="clear"/>
        <w:ind w:firstLine="480"/>
        <w:rPr>
          <w:rFonts w:ascii="Calibri" w:hAnsi="Calibri" w:eastAsia="宋体" w:cs="Times New Roman"/>
        </w:rPr>
      </w:pPr>
      <w:r>
        <w:rPr>
          <w:rFonts w:hint="eastAsia" w:ascii="Calibri" w:hAnsi="Calibri" w:eastAsia="宋体" w:cs="Times New Roman"/>
        </w:rPr>
        <w:t>（</w:t>
      </w:r>
      <w:r>
        <w:rPr>
          <w:rFonts w:ascii="Calibri" w:hAnsi="Calibri" w:eastAsia="宋体" w:cs="Times New Roman"/>
        </w:rPr>
        <w:t>8</w:t>
      </w:r>
      <w:r>
        <w:rPr>
          <w:rFonts w:hint="eastAsia" w:ascii="Calibri" w:hAnsi="Calibri" w:eastAsia="宋体" w:cs="Times New Roman"/>
        </w:rPr>
        <w:t>）做好学生住宿费的核查、催缴等相关工作。</w:t>
      </w:r>
    </w:p>
    <w:p w14:paraId="67398158">
      <w:pPr>
        <w:shd w:val="clear"/>
        <w:ind w:firstLine="480"/>
        <w:rPr>
          <w:rFonts w:ascii="Calibri" w:hAnsi="Calibri" w:eastAsia="宋体" w:cs="Times New Roman"/>
        </w:rPr>
      </w:pPr>
      <w:r>
        <w:rPr>
          <w:rFonts w:hint="eastAsia" w:ascii="Calibri" w:hAnsi="Calibri" w:eastAsia="宋体" w:cs="Times New Roman"/>
        </w:rPr>
        <w:t>（</w:t>
      </w:r>
      <w:r>
        <w:rPr>
          <w:rFonts w:ascii="Calibri" w:hAnsi="Calibri" w:eastAsia="宋体" w:cs="Times New Roman"/>
        </w:rPr>
        <w:t>9</w:t>
      </w:r>
      <w:r>
        <w:rPr>
          <w:rFonts w:hint="eastAsia" w:ascii="Calibri" w:hAnsi="Calibri" w:eastAsia="宋体" w:cs="Times New Roman"/>
        </w:rPr>
        <w:t>）根据学校要求，开展垃圾分类、防震减灾等教育、培训、宣传工作。</w:t>
      </w:r>
    </w:p>
    <w:p w14:paraId="3F653F49">
      <w:pPr>
        <w:shd w:val="clear"/>
        <w:ind w:firstLine="480"/>
        <w:rPr>
          <w:rFonts w:ascii="Calibri" w:hAnsi="Calibri" w:eastAsia="宋体" w:cs="Times New Roman"/>
        </w:rPr>
      </w:pPr>
      <w:r>
        <w:rPr>
          <w:rFonts w:hint="eastAsia" w:ascii="Calibri" w:hAnsi="Calibri" w:eastAsia="宋体" w:cs="Times New Roman"/>
        </w:rPr>
        <w:t>（10）协助开展突发事件的处理，如了解学生思想动态，掌握特殊学生、重点人群的情况，妥善处理打架、斗殴、火灾等突发事件，配合开展灾害天气预防工作。</w:t>
      </w:r>
      <w:bookmarkStart w:id="79" w:name="_Toc89023954"/>
    </w:p>
    <w:p w14:paraId="74638407">
      <w:pPr>
        <w:shd w:val="clear"/>
        <w:ind w:firstLine="480"/>
        <w:rPr>
          <w:rFonts w:ascii="Calibri" w:hAnsi="Calibri" w:eastAsia="宋体" w:cs="Times New Roman"/>
        </w:rPr>
      </w:pPr>
      <w:r>
        <w:rPr>
          <w:rFonts w:hint="eastAsia" w:ascii="Calibri" w:hAnsi="Calibri" w:eastAsia="宋体" w:cs="Times New Roman"/>
        </w:rPr>
        <w:t>（11）开展公寓文化建设、组织公寓文化活动等。</w:t>
      </w:r>
    </w:p>
    <w:p w14:paraId="471CF8EF">
      <w:pPr>
        <w:shd w:val="clear"/>
        <w:autoSpaceDE w:val="0"/>
        <w:autoSpaceDN w:val="0"/>
        <w:adjustRightInd w:val="0"/>
        <w:spacing w:line="360" w:lineRule="auto"/>
        <w:jc w:val="center"/>
        <w:outlineLvl w:val="0"/>
        <w:rPr>
          <w:rFonts w:ascii="Calibri" w:hAnsi="Calibri" w:eastAsia="隶书" w:cs="Times New Roman"/>
          <w:b/>
          <w:bCs/>
          <w:kern w:val="0"/>
          <w:sz w:val="36"/>
          <w:szCs w:val="36"/>
        </w:rPr>
      </w:pPr>
      <w:bookmarkStart w:id="80" w:name="_Toc97303153"/>
      <w:bookmarkStart w:id="81" w:name="_Toc90475307"/>
      <w:r>
        <w:rPr>
          <w:rFonts w:hint="eastAsia" w:ascii="Calibri" w:hAnsi="Calibri" w:eastAsia="隶书" w:cs="Times New Roman"/>
          <w:b/>
          <w:bCs/>
          <w:kern w:val="0"/>
          <w:sz w:val="36"/>
          <w:szCs w:val="36"/>
        </w:rPr>
        <w:t>五、综合管理</w:t>
      </w:r>
      <w:bookmarkEnd w:id="80"/>
      <w:bookmarkEnd w:id="81"/>
    </w:p>
    <w:p w14:paraId="3620C52D">
      <w:pPr>
        <w:keepNext/>
        <w:keepLines/>
        <w:shd w:val="clear"/>
        <w:spacing w:before="260" w:after="260" w:line="416" w:lineRule="auto"/>
        <w:outlineLvl w:val="1"/>
        <w:rPr>
          <w:rFonts w:ascii="Arial" w:hAnsi="Arial" w:eastAsia="黑体" w:cs="Times New Roman"/>
          <w:b/>
          <w:bCs/>
          <w:sz w:val="32"/>
          <w:szCs w:val="32"/>
        </w:rPr>
      </w:pPr>
      <w:bookmarkStart w:id="82" w:name="_Toc97303154"/>
      <w:r>
        <w:rPr>
          <w:rFonts w:hint="eastAsia" w:ascii="Arial" w:hAnsi="Arial" w:eastAsia="黑体" w:cs="Times New Roman"/>
          <w:b/>
          <w:bCs/>
          <w:sz w:val="32"/>
          <w:szCs w:val="32"/>
        </w:rPr>
        <w:t>5.1 项目综合管理</w:t>
      </w:r>
      <w:bookmarkEnd w:id="82"/>
    </w:p>
    <w:p w14:paraId="33A2FC10">
      <w:pPr>
        <w:shd w:val="clear"/>
        <w:ind w:firstLine="480"/>
        <w:rPr>
          <w:rFonts w:hint="eastAsia" w:ascii="Calibri" w:hAnsi="Calibri" w:eastAsia="宋体" w:cs="Times New Roman"/>
          <w:lang w:eastAsia="zh-CN"/>
        </w:rPr>
      </w:pPr>
      <w:r>
        <w:rPr>
          <w:rFonts w:hint="eastAsia" w:ascii="Calibri" w:hAnsi="Calibri" w:eastAsia="宋体" w:cs="Times New Roman"/>
        </w:rPr>
        <w:t>（1）建立物业管理组织机构，落实各项管理规章制度</w:t>
      </w:r>
      <w:r>
        <w:rPr>
          <w:rFonts w:hint="eastAsia" w:ascii="Calibri" w:hAnsi="Calibri" w:eastAsia="宋体" w:cs="Times New Roman"/>
          <w:lang w:eastAsia="zh-CN"/>
        </w:rPr>
        <w:t>。</w:t>
      </w:r>
    </w:p>
    <w:p w14:paraId="3F95E5DA">
      <w:pPr>
        <w:shd w:val="clear"/>
        <w:ind w:firstLine="480"/>
        <w:rPr>
          <w:rFonts w:hint="eastAsia" w:ascii="Calibri" w:hAnsi="Calibri" w:eastAsia="宋体" w:cs="Times New Roman"/>
          <w:lang w:eastAsia="zh-CN"/>
        </w:rPr>
      </w:pPr>
      <w:r>
        <w:rPr>
          <w:rFonts w:hint="eastAsia" w:ascii="Calibri" w:hAnsi="Calibri" w:eastAsia="宋体" w:cs="Times New Roman"/>
        </w:rPr>
        <w:t>（2）员工管理、工作计划制定等</w:t>
      </w:r>
      <w:r>
        <w:rPr>
          <w:rFonts w:hint="eastAsia" w:ascii="Calibri" w:hAnsi="Calibri" w:eastAsia="宋体" w:cs="Times New Roman"/>
          <w:lang w:eastAsia="zh-CN"/>
        </w:rPr>
        <w:t>。</w:t>
      </w:r>
    </w:p>
    <w:p w14:paraId="2A56DAF1">
      <w:pPr>
        <w:shd w:val="clear"/>
        <w:ind w:firstLine="480"/>
        <w:rPr>
          <w:rFonts w:hint="eastAsia" w:ascii="Calibri" w:hAnsi="Calibri" w:eastAsia="宋体" w:cs="Times New Roman"/>
          <w:lang w:eastAsia="zh-CN"/>
        </w:rPr>
      </w:pPr>
      <w:r>
        <w:rPr>
          <w:rFonts w:hint="eastAsia" w:ascii="Calibri" w:hAnsi="Calibri" w:eastAsia="宋体" w:cs="Times New Roman"/>
        </w:rPr>
        <w:t>（3）各种物业档案资料管理，财产造册及清查，建立完善各项管理服务、行政服务、资源使用等方面的制度并加以落实</w:t>
      </w:r>
      <w:r>
        <w:rPr>
          <w:rFonts w:hint="eastAsia" w:ascii="Calibri" w:hAnsi="Calibri" w:eastAsia="宋体" w:cs="Times New Roman"/>
          <w:lang w:eastAsia="zh-CN"/>
        </w:rPr>
        <w:t>。</w:t>
      </w:r>
    </w:p>
    <w:p w14:paraId="4AFAC7A8">
      <w:pPr>
        <w:shd w:val="clear"/>
        <w:ind w:firstLine="480"/>
        <w:rPr>
          <w:rFonts w:hint="eastAsia" w:ascii="Calibri" w:hAnsi="Calibri" w:eastAsia="宋体" w:cs="Times New Roman"/>
          <w:lang w:eastAsia="zh-CN"/>
        </w:rPr>
      </w:pPr>
      <w:r>
        <w:rPr>
          <w:rFonts w:hint="eastAsia" w:ascii="Calibri" w:hAnsi="Calibri" w:eastAsia="宋体" w:cs="Times New Roman"/>
        </w:rPr>
        <w:t>（4）党建工作开展</w:t>
      </w:r>
      <w:r>
        <w:rPr>
          <w:rFonts w:hint="eastAsia" w:ascii="Calibri" w:hAnsi="Calibri" w:eastAsia="宋体" w:cs="Times New Roman"/>
          <w:lang w:eastAsia="zh-CN"/>
        </w:rPr>
        <w:t>。</w:t>
      </w:r>
    </w:p>
    <w:p w14:paraId="27837216">
      <w:pPr>
        <w:shd w:val="clear"/>
        <w:ind w:firstLine="480"/>
        <w:rPr>
          <w:rFonts w:ascii="Calibri" w:hAnsi="Calibri" w:eastAsia="宋体" w:cs="Times New Roman"/>
        </w:rPr>
      </w:pPr>
      <w:r>
        <w:rPr>
          <w:rFonts w:hint="eastAsia" w:ascii="Calibri" w:hAnsi="Calibri" w:eastAsia="宋体" w:cs="Times New Roman"/>
        </w:rPr>
        <w:t>（5）物业管理创优方案及实施；</w:t>
      </w:r>
    </w:p>
    <w:p w14:paraId="622264E0">
      <w:pPr>
        <w:shd w:val="clear"/>
        <w:ind w:firstLine="480"/>
        <w:rPr>
          <w:rFonts w:hint="eastAsia" w:ascii="Calibri" w:hAnsi="Calibri" w:eastAsia="宋体" w:cs="Times New Roman"/>
          <w:lang w:eastAsia="zh-CN"/>
        </w:rPr>
      </w:pPr>
      <w:r>
        <w:rPr>
          <w:rFonts w:hint="eastAsia" w:ascii="Calibri" w:hAnsi="Calibri" w:eastAsia="宋体" w:cs="Times New Roman"/>
        </w:rPr>
        <w:t>（6）后勤文化建设及开展服务育人活动</w:t>
      </w:r>
      <w:r>
        <w:rPr>
          <w:rFonts w:hint="eastAsia" w:ascii="Calibri" w:hAnsi="Calibri" w:eastAsia="宋体" w:cs="Times New Roman"/>
          <w:lang w:eastAsia="zh-CN"/>
        </w:rPr>
        <w:t>。</w:t>
      </w:r>
    </w:p>
    <w:p w14:paraId="595A4020">
      <w:pPr>
        <w:shd w:val="clear"/>
        <w:ind w:firstLine="480"/>
        <w:rPr>
          <w:rFonts w:hint="eastAsia" w:ascii="Calibri" w:hAnsi="Calibri" w:eastAsia="宋体" w:cs="Times New Roman"/>
          <w:lang w:eastAsia="zh-CN"/>
        </w:rPr>
      </w:pPr>
      <w:r>
        <w:rPr>
          <w:rFonts w:hint="eastAsia" w:ascii="Calibri" w:hAnsi="Calibri" w:eastAsia="宋体" w:cs="Times New Roman"/>
        </w:rPr>
        <w:t>（7）节能管理</w:t>
      </w:r>
      <w:r>
        <w:rPr>
          <w:rFonts w:hint="eastAsia" w:ascii="Calibri" w:hAnsi="Calibri" w:eastAsia="宋体" w:cs="Times New Roman"/>
          <w:lang w:eastAsia="zh-CN"/>
        </w:rPr>
        <w:t>。</w:t>
      </w:r>
    </w:p>
    <w:p w14:paraId="339F434B">
      <w:pPr>
        <w:shd w:val="clear"/>
        <w:ind w:firstLine="480"/>
        <w:rPr>
          <w:rFonts w:hint="eastAsia" w:ascii="Calibri" w:hAnsi="Calibri" w:eastAsia="宋体" w:cs="Times New Roman"/>
          <w:lang w:eastAsia="zh-CN"/>
        </w:rPr>
      </w:pPr>
      <w:r>
        <w:rPr>
          <w:rFonts w:hint="eastAsia" w:ascii="Calibri" w:hAnsi="Calibri" w:eastAsia="宋体" w:cs="Times New Roman"/>
        </w:rPr>
        <w:t>（8）服务手册制定</w:t>
      </w:r>
      <w:r>
        <w:rPr>
          <w:rFonts w:hint="eastAsia" w:ascii="Calibri" w:hAnsi="Calibri" w:eastAsia="宋体" w:cs="Times New Roman"/>
          <w:lang w:eastAsia="zh-CN"/>
        </w:rPr>
        <w:t>。</w:t>
      </w:r>
    </w:p>
    <w:p w14:paraId="6CBEDAD4">
      <w:pPr>
        <w:shd w:val="clear"/>
        <w:ind w:firstLine="480"/>
        <w:rPr>
          <w:rFonts w:hint="eastAsia" w:ascii="Calibri" w:hAnsi="Calibri" w:eastAsia="宋体" w:cs="Times New Roman"/>
          <w:lang w:eastAsia="zh-CN"/>
        </w:rPr>
      </w:pPr>
      <w:r>
        <w:rPr>
          <w:rFonts w:hint="eastAsia" w:ascii="Calibri" w:hAnsi="Calibri" w:eastAsia="宋体" w:cs="Times New Roman"/>
        </w:rPr>
        <w:t>（9）应急事件处理</w:t>
      </w:r>
      <w:r>
        <w:rPr>
          <w:rFonts w:hint="eastAsia" w:ascii="Calibri" w:hAnsi="Calibri" w:eastAsia="宋体" w:cs="Times New Roman"/>
          <w:lang w:eastAsia="zh-CN"/>
        </w:rPr>
        <w:t>。</w:t>
      </w:r>
    </w:p>
    <w:p w14:paraId="5A5A9D66">
      <w:pPr>
        <w:shd w:val="clear"/>
        <w:ind w:firstLine="480"/>
        <w:rPr>
          <w:rFonts w:hint="eastAsia" w:ascii="Calibri" w:hAnsi="Calibri" w:eastAsia="宋体" w:cs="Times New Roman"/>
          <w:lang w:eastAsia="zh-CN"/>
        </w:rPr>
      </w:pPr>
      <w:r>
        <w:rPr>
          <w:rFonts w:hint="eastAsia" w:ascii="Calibri" w:hAnsi="Calibri" w:eastAsia="宋体" w:cs="Times New Roman"/>
        </w:rPr>
        <w:t>（10）宣传管理</w:t>
      </w:r>
      <w:r>
        <w:rPr>
          <w:rFonts w:hint="eastAsia" w:ascii="Calibri" w:hAnsi="Calibri" w:eastAsia="宋体" w:cs="Times New Roman"/>
          <w:lang w:eastAsia="zh-CN"/>
        </w:rPr>
        <w:t>。</w:t>
      </w:r>
    </w:p>
    <w:p w14:paraId="4DA19DB1">
      <w:pPr>
        <w:shd w:val="clear"/>
        <w:ind w:firstLine="480"/>
        <w:rPr>
          <w:rFonts w:hint="eastAsia" w:ascii="Calibri" w:hAnsi="Calibri" w:eastAsia="宋体" w:cs="Times New Roman"/>
          <w:lang w:eastAsia="zh-CN"/>
        </w:rPr>
      </w:pPr>
      <w:r>
        <w:rPr>
          <w:rFonts w:hint="eastAsia" w:ascii="Calibri" w:hAnsi="Calibri" w:eastAsia="宋体" w:cs="Times New Roman"/>
        </w:rPr>
        <w:t>（11）仓库管理</w:t>
      </w:r>
      <w:r>
        <w:rPr>
          <w:rFonts w:hint="eastAsia" w:ascii="Calibri" w:hAnsi="Calibri" w:eastAsia="宋体" w:cs="Times New Roman"/>
          <w:lang w:eastAsia="zh-CN"/>
        </w:rPr>
        <w:t>。</w:t>
      </w:r>
    </w:p>
    <w:p w14:paraId="2662974B">
      <w:pPr>
        <w:shd w:val="clear"/>
        <w:ind w:firstLine="480"/>
        <w:rPr>
          <w:rFonts w:ascii="Calibri" w:hAnsi="Calibri" w:eastAsia="宋体" w:cs="Times New Roman"/>
        </w:rPr>
      </w:pPr>
      <w:r>
        <w:rPr>
          <w:rFonts w:hint="eastAsia" w:ascii="Calibri" w:hAnsi="Calibri" w:eastAsia="宋体" w:cs="Times New Roman"/>
        </w:rPr>
        <w:t>（12）满意度测评等其他综合管理服务。</w:t>
      </w:r>
    </w:p>
    <w:p w14:paraId="360D0988">
      <w:pPr>
        <w:shd w:val="clear"/>
        <w:rPr>
          <w:rFonts w:ascii="Calibri" w:hAnsi="Calibri" w:eastAsia="宋体" w:cs="Times New Roman"/>
        </w:rPr>
      </w:pPr>
    </w:p>
    <w:p w14:paraId="6B47D711">
      <w:pPr>
        <w:keepNext/>
        <w:keepLines/>
        <w:shd w:val="clear"/>
        <w:spacing w:before="260" w:after="260" w:line="416" w:lineRule="auto"/>
        <w:outlineLvl w:val="1"/>
        <w:rPr>
          <w:rFonts w:ascii="Arial" w:hAnsi="Arial" w:eastAsia="黑体" w:cs="Times New Roman"/>
          <w:b/>
          <w:bCs/>
          <w:sz w:val="32"/>
          <w:szCs w:val="32"/>
        </w:rPr>
      </w:pPr>
      <w:bookmarkStart w:id="83" w:name="_Toc97303155"/>
      <w:r>
        <w:rPr>
          <w:rFonts w:hint="eastAsia" w:ascii="Arial" w:hAnsi="Arial" w:eastAsia="黑体" w:cs="Times New Roman"/>
          <w:b/>
          <w:bCs/>
          <w:sz w:val="32"/>
          <w:szCs w:val="32"/>
        </w:rPr>
        <w:t>5.</w:t>
      </w:r>
      <w:r>
        <w:rPr>
          <w:rFonts w:ascii="Arial" w:hAnsi="Arial" w:eastAsia="黑体" w:cs="Times New Roman"/>
          <w:b/>
          <w:bCs/>
          <w:sz w:val="32"/>
          <w:szCs w:val="32"/>
        </w:rPr>
        <w:t>2</w:t>
      </w:r>
      <w:r>
        <w:rPr>
          <w:rFonts w:hint="eastAsia" w:ascii="Arial" w:hAnsi="Arial" w:eastAsia="黑体" w:cs="Times New Roman"/>
          <w:b/>
          <w:bCs/>
          <w:sz w:val="32"/>
          <w:szCs w:val="32"/>
        </w:rPr>
        <w:t>物业窗口服务</w:t>
      </w:r>
      <w:bookmarkEnd w:id="83"/>
    </w:p>
    <w:p w14:paraId="522DC16D">
      <w:pPr>
        <w:shd w:val="clear"/>
        <w:ind w:firstLine="480"/>
        <w:rPr>
          <w:rFonts w:hint="eastAsia" w:ascii="Calibri" w:hAnsi="Calibri" w:eastAsia="宋体" w:cs="Times New Roman"/>
          <w:lang w:eastAsia="zh-CN"/>
        </w:rPr>
      </w:pPr>
      <w:r>
        <w:rPr>
          <w:rFonts w:hint="eastAsia" w:ascii="Calibri" w:hAnsi="Calibri" w:eastAsia="宋体" w:cs="Times New Roman"/>
        </w:rPr>
        <w:t>物业窗口服务：系学校为师生提供物业服务咨询的服务窗口</w:t>
      </w:r>
      <w:r>
        <w:rPr>
          <w:rFonts w:hint="eastAsia" w:ascii="Calibri" w:hAnsi="Calibri" w:eastAsia="宋体" w:cs="Times New Roman"/>
          <w:lang w:eastAsia="zh-CN"/>
        </w:rPr>
        <w:t>。</w:t>
      </w:r>
    </w:p>
    <w:p w14:paraId="0301F7D2">
      <w:pPr>
        <w:shd w:val="clear"/>
        <w:ind w:firstLine="480"/>
        <w:rPr>
          <w:rFonts w:ascii="Calibri" w:hAnsi="Calibri" w:eastAsia="宋体" w:cs="Times New Roman"/>
          <w:b/>
        </w:rPr>
      </w:pPr>
      <w:bookmarkStart w:id="84" w:name="_Hlk90536971"/>
      <w:r>
        <w:rPr>
          <w:rFonts w:ascii="Calibri" w:hAnsi="Calibri" w:eastAsia="宋体" w:cs="Times New Roman"/>
        </w:rPr>
        <w:t xml:space="preserve">5.2.1 </w:t>
      </w:r>
      <w:r>
        <w:rPr>
          <w:rFonts w:hint="eastAsia" w:ascii="Calibri" w:hAnsi="Calibri" w:eastAsia="宋体" w:cs="Times New Roman"/>
          <w:b/>
        </w:rPr>
        <w:t>总体服务要求</w:t>
      </w:r>
    </w:p>
    <w:bookmarkEnd w:id="84"/>
    <w:p w14:paraId="75E87C2B">
      <w:pPr>
        <w:shd w:val="clear"/>
        <w:ind w:firstLine="480"/>
        <w:rPr>
          <w:rFonts w:ascii="Calibri" w:hAnsi="Calibri" w:eastAsia="宋体" w:cs="Times New Roman"/>
        </w:rPr>
      </w:pPr>
      <w:r>
        <w:rPr>
          <w:rFonts w:hint="eastAsia" w:ascii="Calibri" w:hAnsi="Calibri" w:eastAsia="宋体" w:cs="Times New Roman"/>
        </w:rPr>
        <w:t>（</w:t>
      </w:r>
      <w:r>
        <w:rPr>
          <w:rFonts w:hint="eastAsia" w:ascii="Calibri" w:hAnsi="Calibri" w:eastAsia="宋体" w:cs="Times New Roman"/>
          <w:lang w:val="en-US" w:eastAsia="zh-CN"/>
        </w:rPr>
        <w:t>1</w:t>
      </w:r>
      <w:r>
        <w:rPr>
          <w:rFonts w:hint="eastAsia" w:ascii="Calibri" w:hAnsi="Calibri" w:eastAsia="宋体" w:cs="Times New Roman"/>
        </w:rPr>
        <w:t>）该窗口为师生提供双语服务咨询、维修报修、校园参观导览、失物招领、便民服务等任何与校园支撑相关的服务。</w:t>
      </w:r>
    </w:p>
    <w:p w14:paraId="1AE1D1F1">
      <w:pPr>
        <w:shd w:val="clear"/>
        <w:ind w:firstLine="480"/>
        <w:rPr>
          <w:rFonts w:ascii="Calibri" w:hAnsi="Calibri" w:eastAsia="宋体" w:cs="Times New Roman"/>
        </w:rPr>
      </w:pPr>
      <w:r>
        <w:rPr>
          <w:rFonts w:hint="eastAsia" w:ascii="Calibri" w:hAnsi="Calibri" w:eastAsia="宋体" w:cs="Times New Roman"/>
        </w:rPr>
        <w:t>（</w:t>
      </w:r>
      <w:r>
        <w:rPr>
          <w:rFonts w:hint="eastAsia" w:ascii="Calibri" w:hAnsi="Calibri" w:eastAsia="宋体" w:cs="Times New Roman"/>
          <w:lang w:val="en-US" w:eastAsia="zh-CN"/>
        </w:rPr>
        <w:t>2</w:t>
      </w:r>
      <w:r>
        <w:rPr>
          <w:rFonts w:hint="eastAsia" w:ascii="Calibri" w:hAnsi="Calibri" w:eastAsia="宋体" w:cs="Times New Roman"/>
        </w:rPr>
        <w:t>）设专人接听服务统一电话，要求24小时365天常开，及时办理师生服务需求。</w:t>
      </w:r>
    </w:p>
    <w:p w14:paraId="391E7FD2">
      <w:pPr>
        <w:shd w:val="clear"/>
        <w:ind w:firstLine="480"/>
        <w:rPr>
          <w:rFonts w:ascii="Calibri" w:hAnsi="Calibri" w:eastAsia="宋体" w:cs="Times New Roman"/>
          <w:b/>
        </w:rPr>
      </w:pPr>
      <w:r>
        <w:rPr>
          <w:rFonts w:ascii="Calibri" w:hAnsi="Calibri" w:eastAsia="宋体" w:cs="Times New Roman"/>
        </w:rPr>
        <w:t>5.2.</w:t>
      </w:r>
      <w:r>
        <w:rPr>
          <w:rFonts w:hint="eastAsia" w:ascii="Calibri" w:hAnsi="Calibri" w:eastAsia="宋体" w:cs="Times New Roman"/>
        </w:rPr>
        <w:t>2</w:t>
      </w:r>
      <w:r>
        <w:rPr>
          <w:rFonts w:hint="eastAsia" w:ascii="Calibri" w:hAnsi="Calibri" w:eastAsia="宋体" w:cs="Times New Roman"/>
          <w:b/>
        </w:rPr>
        <w:t>综合性服务</w:t>
      </w:r>
    </w:p>
    <w:p w14:paraId="29420556">
      <w:pPr>
        <w:shd w:val="clear"/>
        <w:ind w:firstLine="480"/>
        <w:rPr>
          <w:rFonts w:ascii="Calibri" w:hAnsi="Calibri" w:eastAsia="宋体" w:cs="Times New Roman"/>
        </w:rPr>
      </w:pPr>
      <w:r>
        <w:rPr>
          <w:rFonts w:hint="eastAsia" w:ascii="Calibri" w:hAnsi="Calibri" w:eastAsia="宋体" w:cs="Times New Roman"/>
        </w:rPr>
        <w:t>（1）做好校园各项节能减排工作。</w:t>
      </w:r>
    </w:p>
    <w:p w14:paraId="4C2FE773">
      <w:pPr>
        <w:shd w:val="clear"/>
        <w:ind w:firstLine="480"/>
        <w:rPr>
          <w:rFonts w:ascii="Calibri" w:hAnsi="Calibri" w:eastAsia="宋体" w:cs="Times New Roman"/>
        </w:rPr>
      </w:pPr>
      <w:r>
        <w:rPr>
          <w:rFonts w:hint="eastAsia" w:ascii="Calibri" w:hAnsi="Calibri" w:eastAsia="宋体" w:cs="Times New Roman"/>
        </w:rPr>
        <w:t>（2）提供新生报到、毕业及校区组织的大型活动的各类活动支持。</w:t>
      </w:r>
    </w:p>
    <w:p w14:paraId="2FCBBBEA">
      <w:pPr>
        <w:shd w:val="clear"/>
        <w:ind w:firstLine="480"/>
        <w:rPr>
          <w:rFonts w:ascii="Calibri" w:hAnsi="Calibri" w:eastAsia="宋体" w:cs="Times New Roman"/>
        </w:rPr>
      </w:pPr>
      <w:r>
        <w:rPr>
          <w:rFonts w:hint="eastAsia" w:ascii="Calibri" w:hAnsi="Calibri" w:eastAsia="宋体" w:cs="Times New Roman"/>
        </w:rPr>
        <w:t>（3）与校园服务相关的通知、海报设计与双语发布，张贴物应统一形式。</w:t>
      </w:r>
    </w:p>
    <w:p w14:paraId="787D195B">
      <w:pPr>
        <w:shd w:val="clear"/>
        <w:ind w:firstLine="480"/>
        <w:rPr>
          <w:rFonts w:ascii="Calibri" w:hAnsi="Calibri" w:eastAsia="宋体" w:cs="Times New Roman"/>
        </w:rPr>
      </w:pPr>
      <w:r>
        <w:rPr>
          <w:rFonts w:hint="eastAsia" w:ascii="Calibri" w:hAnsi="Calibri" w:eastAsia="宋体" w:cs="Times New Roman"/>
        </w:rPr>
        <w:t>（4）为访客参观提供校园导游介绍服务，为师生、家长、访客提供各类咨询及可能的帮助与服务。</w:t>
      </w:r>
    </w:p>
    <w:p w14:paraId="0BE470B0">
      <w:pPr>
        <w:shd w:val="clear"/>
        <w:ind w:firstLine="480"/>
        <w:rPr>
          <w:rFonts w:ascii="Calibri" w:hAnsi="Calibri" w:eastAsia="宋体" w:cs="Times New Roman"/>
        </w:rPr>
      </w:pPr>
      <w:r>
        <w:rPr>
          <w:rFonts w:hint="eastAsia" w:ascii="Calibri" w:hAnsi="Calibri" w:eastAsia="宋体" w:cs="Times New Roman"/>
        </w:rPr>
        <w:t>（5）为学生提供校区内夜间护送服务。</w:t>
      </w:r>
    </w:p>
    <w:p w14:paraId="1389F34C">
      <w:pPr>
        <w:shd w:val="clear"/>
        <w:ind w:firstLine="480"/>
        <w:rPr>
          <w:rFonts w:ascii="Calibri" w:hAnsi="Calibri" w:eastAsia="宋体" w:cs="Times New Roman"/>
        </w:rPr>
      </w:pPr>
      <w:r>
        <w:rPr>
          <w:rFonts w:hint="eastAsia" w:ascii="Calibri" w:hAnsi="Calibri" w:eastAsia="宋体" w:cs="Times New Roman"/>
        </w:rPr>
        <w:t>（6）负责校区观光车管理、维护与驾驶服务。</w:t>
      </w:r>
    </w:p>
    <w:p w14:paraId="495FA6E2">
      <w:pPr>
        <w:shd w:val="clear"/>
        <w:ind w:firstLine="480"/>
        <w:rPr>
          <w:rFonts w:ascii="Calibri" w:hAnsi="Calibri" w:eastAsia="宋体" w:cs="Times New Roman"/>
        </w:rPr>
      </w:pPr>
      <w:r>
        <w:rPr>
          <w:rFonts w:hint="eastAsia" w:ascii="Calibri" w:hAnsi="Calibri" w:eastAsia="宋体" w:cs="Times New Roman"/>
        </w:rPr>
        <w:t>（7）</w:t>
      </w:r>
      <w:r>
        <w:rPr>
          <w:rFonts w:hint="eastAsia" w:ascii="Calibri" w:hAnsi="Calibri" w:eastAsia="宋体" w:cs="Times New Roman"/>
          <w:lang w:eastAsia="zh-CN"/>
        </w:rPr>
        <w:t>中标单位</w:t>
      </w:r>
      <w:r>
        <w:rPr>
          <w:rFonts w:hint="eastAsia" w:ascii="Calibri" w:hAnsi="Calibri" w:eastAsia="宋体" w:cs="Times New Roman"/>
        </w:rPr>
        <w:t>配置各门厅共享雨具并负责管理，包括雨伞架、雨伞袋等，费用由</w:t>
      </w:r>
      <w:r>
        <w:rPr>
          <w:rFonts w:hint="eastAsia" w:ascii="Calibri" w:hAnsi="Calibri" w:eastAsia="宋体" w:cs="Times New Roman"/>
          <w:lang w:eastAsia="zh-CN"/>
        </w:rPr>
        <w:t>中标单位</w:t>
      </w:r>
      <w:r>
        <w:rPr>
          <w:rFonts w:hint="eastAsia" w:ascii="Calibri" w:hAnsi="Calibri" w:eastAsia="宋体" w:cs="Times New Roman"/>
        </w:rPr>
        <w:t>支付。</w:t>
      </w:r>
    </w:p>
    <w:p w14:paraId="6E7B89E9">
      <w:pPr>
        <w:keepNext/>
        <w:keepLines/>
        <w:shd w:val="clear"/>
        <w:spacing w:before="260" w:after="260" w:line="416" w:lineRule="auto"/>
        <w:outlineLvl w:val="1"/>
        <w:rPr>
          <w:rFonts w:ascii="Arial" w:hAnsi="Arial" w:eastAsia="黑体" w:cs="Times New Roman"/>
          <w:b/>
          <w:bCs/>
          <w:sz w:val="32"/>
          <w:szCs w:val="32"/>
        </w:rPr>
      </w:pPr>
      <w:bookmarkStart w:id="85" w:name="_Toc97303156"/>
      <w:r>
        <w:rPr>
          <w:rFonts w:hint="eastAsia" w:ascii="Arial" w:hAnsi="Arial" w:eastAsia="黑体" w:cs="Times New Roman"/>
          <w:b/>
          <w:bCs/>
          <w:sz w:val="32"/>
          <w:szCs w:val="32"/>
        </w:rPr>
        <w:t>5.3</w:t>
      </w:r>
      <w:r>
        <w:rPr>
          <w:rFonts w:ascii="Arial" w:hAnsi="Arial" w:eastAsia="黑体" w:cs="Times New Roman"/>
          <w:b/>
          <w:bCs/>
          <w:sz w:val="32"/>
          <w:szCs w:val="32"/>
        </w:rPr>
        <w:t>校园文化布置</w:t>
      </w:r>
      <w:bookmarkEnd w:id="85"/>
    </w:p>
    <w:p w14:paraId="30248F68">
      <w:pPr>
        <w:shd w:val="clear"/>
        <w:ind w:firstLine="630" w:firstLineChars="300"/>
        <w:rPr>
          <w:rFonts w:ascii="Calibri" w:hAnsi="Calibri" w:eastAsia="宋体" w:cs="Times New Roman"/>
        </w:rPr>
      </w:pPr>
      <w:r>
        <w:rPr>
          <w:rFonts w:hint="eastAsia" w:ascii="Calibri" w:hAnsi="Calibri" w:eastAsia="宋体" w:cs="Times New Roman"/>
        </w:rPr>
        <w:t>中标</w:t>
      </w:r>
      <w:r>
        <w:rPr>
          <w:rFonts w:hint="eastAsia" w:ascii="Calibri" w:hAnsi="Calibri" w:eastAsia="宋体" w:cs="Times New Roman"/>
          <w:lang w:val="en-US" w:eastAsia="zh-CN"/>
        </w:rPr>
        <w:t>单位</w:t>
      </w:r>
      <w:r>
        <w:rPr>
          <w:rFonts w:hint="eastAsia" w:ascii="Calibri" w:hAnsi="Calibri" w:eastAsia="宋体" w:cs="Times New Roman"/>
        </w:rPr>
        <w:t>应落实校园及楼宇文化氛围营造、布置和宣传工作，包括节假日（春节、元旦节、国庆节）、迎新和毕业典礼、重大活动等文化氛围（如横幅挂制、海报张贴等）。</w:t>
      </w:r>
    </w:p>
    <w:p w14:paraId="6BF961C1">
      <w:pPr>
        <w:keepNext/>
        <w:keepLines/>
        <w:shd w:val="clear"/>
        <w:spacing w:before="260" w:after="260" w:line="416" w:lineRule="auto"/>
        <w:outlineLvl w:val="1"/>
        <w:rPr>
          <w:rFonts w:ascii="Arial" w:hAnsi="Arial" w:eastAsia="黑体" w:cs="Times New Roman"/>
          <w:b/>
          <w:bCs/>
          <w:sz w:val="32"/>
          <w:szCs w:val="32"/>
        </w:rPr>
      </w:pPr>
      <w:r>
        <w:rPr>
          <w:rFonts w:hint="eastAsia" w:ascii="Arial" w:hAnsi="Arial" w:eastAsia="黑体" w:cs="Times New Roman"/>
          <w:b/>
          <w:bCs/>
          <w:sz w:val="32"/>
          <w:szCs w:val="32"/>
        </w:rPr>
        <w:t>5.4楼宇综合管理</w:t>
      </w:r>
    </w:p>
    <w:p w14:paraId="6C97840B">
      <w:pPr>
        <w:shd w:val="clear"/>
        <w:ind w:firstLine="480"/>
        <w:rPr>
          <w:rFonts w:ascii="Calibri" w:hAnsi="Calibri" w:eastAsia="宋体" w:cs="Times New Roman"/>
        </w:rPr>
      </w:pPr>
      <w:r>
        <w:rPr>
          <w:rFonts w:hint="eastAsia" w:ascii="Calibri" w:hAnsi="Calibri" w:eastAsia="宋体" w:cs="Times New Roman"/>
        </w:rPr>
        <w:t>根据不同楼宇，分别提供不同功能需求的楼宇综合物业服务。</w:t>
      </w:r>
    </w:p>
    <w:p w14:paraId="3FD7A375">
      <w:pPr>
        <w:shd w:val="clear"/>
        <w:ind w:firstLine="480"/>
        <w:rPr>
          <w:rFonts w:ascii="Calibri" w:hAnsi="Calibri" w:eastAsia="宋体" w:cs="Times New Roman"/>
          <w:b/>
        </w:rPr>
      </w:pPr>
      <w:r>
        <w:rPr>
          <w:rFonts w:hint="eastAsia" w:ascii="Calibri" w:hAnsi="Calibri" w:eastAsia="宋体" w:cs="Times New Roman"/>
        </w:rPr>
        <w:t>5</w:t>
      </w:r>
      <w:r>
        <w:rPr>
          <w:rFonts w:ascii="Calibri" w:hAnsi="Calibri" w:eastAsia="宋体" w:cs="Times New Roman"/>
        </w:rPr>
        <w:t>.4.1</w:t>
      </w:r>
      <w:r>
        <w:rPr>
          <w:rFonts w:hint="eastAsia" w:ascii="Calibri" w:hAnsi="Calibri" w:eastAsia="宋体" w:cs="Times New Roman"/>
          <w:b/>
        </w:rPr>
        <w:t>总体服务要求</w:t>
      </w:r>
    </w:p>
    <w:p w14:paraId="2CCF242D">
      <w:pPr>
        <w:shd w:val="clear"/>
        <w:ind w:firstLine="480"/>
        <w:rPr>
          <w:rFonts w:hint="eastAsia" w:ascii="Calibri" w:hAnsi="Calibri" w:eastAsia="宋体" w:cs="Times New Roman"/>
          <w:lang w:eastAsia="zh-CN"/>
        </w:rPr>
      </w:pPr>
      <w:r>
        <w:rPr>
          <w:rFonts w:hint="eastAsia" w:ascii="Calibri" w:hAnsi="Calibri" w:eastAsia="宋体" w:cs="Times New Roman"/>
        </w:rPr>
        <w:t>（1）使用文明用语，做到微笑服务，协调楼内各项事宜</w:t>
      </w:r>
      <w:r>
        <w:rPr>
          <w:rFonts w:hint="eastAsia" w:ascii="Calibri" w:hAnsi="Calibri" w:eastAsia="宋体" w:cs="Times New Roman"/>
          <w:lang w:val="en-US" w:eastAsia="zh-CN"/>
        </w:rPr>
        <w:t>。</w:t>
      </w:r>
    </w:p>
    <w:p w14:paraId="310A6203">
      <w:pPr>
        <w:shd w:val="clear"/>
        <w:ind w:firstLine="480"/>
        <w:rPr>
          <w:rFonts w:hint="eastAsia" w:ascii="Calibri" w:hAnsi="Calibri" w:eastAsia="宋体" w:cs="Times New Roman"/>
          <w:lang w:eastAsia="zh-CN"/>
        </w:rPr>
      </w:pPr>
      <w:r>
        <w:rPr>
          <w:rFonts w:hint="eastAsia" w:ascii="Calibri" w:hAnsi="Calibri" w:eastAsia="宋体" w:cs="Times New Roman"/>
        </w:rPr>
        <w:t>（2）定期检查安全、卫生及设备完好状况，发现问题及时报修，并做好记录，杜绝影响正常教学运行的情况发生</w:t>
      </w:r>
      <w:r>
        <w:rPr>
          <w:rFonts w:hint="eastAsia" w:ascii="Calibri" w:hAnsi="Calibri" w:eastAsia="宋体" w:cs="Times New Roman"/>
          <w:lang w:eastAsia="zh-CN"/>
        </w:rPr>
        <w:t>。</w:t>
      </w:r>
    </w:p>
    <w:p w14:paraId="4872198B">
      <w:pPr>
        <w:shd w:val="clear"/>
        <w:ind w:firstLine="480"/>
        <w:rPr>
          <w:rFonts w:hint="eastAsia" w:ascii="Calibri" w:hAnsi="Calibri" w:eastAsia="宋体" w:cs="Times New Roman"/>
          <w:lang w:eastAsia="zh-CN"/>
        </w:rPr>
      </w:pPr>
      <w:r>
        <w:rPr>
          <w:rFonts w:hint="eastAsia" w:ascii="Calibri" w:hAnsi="Calibri" w:eastAsia="宋体" w:cs="Times New Roman"/>
        </w:rPr>
        <w:t>（3）挂牌服务，礼貌待客；向导咨询，有求必应；不得谩骂、殴打学生，不得与师生发生任何冲突，如有纠纷及时向校方管理部门反映</w:t>
      </w:r>
      <w:r>
        <w:rPr>
          <w:rFonts w:hint="eastAsia" w:ascii="Calibri" w:hAnsi="Calibri" w:eastAsia="宋体" w:cs="Times New Roman"/>
          <w:lang w:eastAsia="zh-CN"/>
        </w:rPr>
        <w:t>。</w:t>
      </w:r>
    </w:p>
    <w:p w14:paraId="3B1080D5">
      <w:pPr>
        <w:shd w:val="clear"/>
        <w:ind w:firstLine="480"/>
        <w:rPr>
          <w:rFonts w:hint="eastAsia" w:ascii="Calibri" w:hAnsi="Calibri" w:eastAsia="宋体" w:cs="Times New Roman"/>
          <w:lang w:eastAsia="zh-CN"/>
        </w:rPr>
      </w:pPr>
      <w:r>
        <w:rPr>
          <w:rFonts w:hint="eastAsia" w:ascii="Calibri" w:hAnsi="Calibri" w:eastAsia="宋体" w:cs="Times New Roman"/>
        </w:rPr>
        <w:t>（4）了解建筑物内外设备设施底数并做好登记清查，定期检查安全、卫生及设备完好状况，发现问题及时处理，并做好记录。熟悉本楼宇一切情况，包括但不限于：教室、实验室、场馆、座位、卫生间数量、位置，公共区域面积，保持楼宇内的正常秩序，具备处理应急突发事件的能力</w:t>
      </w:r>
      <w:r>
        <w:rPr>
          <w:rFonts w:hint="eastAsia" w:ascii="Calibri" w:hAnsi="Calibri" w:eastAsia="宋体" w:cs="Times New Roman"/>
          <w:lang w:eastAsia="zh-CN"/>
        </w:rPr>
        <w:t>。</w:t>
      </w:r>
    </w:p>
    <w:p w14:paraId="40F87045">
      <w:pPr>
        <w:shd w:val="clear"/>
        <w:ind w:firstLine="480"/>
        <w:rPr>
          <w:rFonts w:hint="eastAsia" w:ascii="Calibri" w:hAnsi="Calibri" w:eastAsia="宋体" w:cs="Times New Roman"/>
          <w:lang w:eastAsia="zh-CN"/>
        </w:rPr>
      </w:pPr>
      <w:r>
        <w:rPr>
          <w:rFonts w:hint="eastAsia" w:ascii="Calibri" w:hAnsi="Calibri" w:eastAsia="宋体" w:cs="Times New Roman"/>
        </w:rPr>
        <w:t>（5）针对火灾、治安、公共卫生等突发事件制定应急处置预案，并落实到位，及时报告，协助相关部门采取相应措施</w:t>
      </w:r>
      <w:r>
        <w:rPr>
          <w:rFonts w:hint="eastAsia" w:ascii="Calibri" w:hAnsi="Calibri" w:eastAsia="宋体" w:cs="Times New Roman"/>
          <w:lang w:eastAsia="zh-CN"/>
        </w:rPr>
        <w:t>。</w:t>
      </w:r>
    </w:p>
    <w:p w14:paraId="09ED7EC2">
      <w:pPr>
        <w:shd w:val="clear"/>
        <w:ind w:firstLine="480"/>
        <w:rPr>
          <w:rFonts w:ascii="Calibri" w:hAnsi="Calibri" w:eastAsia="宋体" w:cs="Times New Roman"/>
        </w:rPr>
      </w:pPr>
      <w:r>
        <w:rPr>
          <w:rFonts w:hint="eastAsia" w:ascii="Calibri" w:hAnsi="Calibri" w:eastAsia="宋体" w:cs="Times New Roman"/>
        </w:rPr>
        <w:t>（6）严格执行楼宇内禁烟管理，发现有人吸烟及时劝阻，做好书面记录并及时上报。</w:t>
      </w:r>
    </w:p>
    <w:p w14:paraId="54C4240E">
      <w:pPr>
        <w:shd w:val="clear"/>
        <w:ind w:firstLine="480"/>
        <w:rPr>
          <w:rFonts w:hint="eastAsia" w:ascii="Calibri" w:hAnsi="Calibri" w:eastAsia="宋体" w:cs="Times New Roman"/>
          <w:lang w:eastAsia="zh-CN"/>
        </w:rPr>
      </w:pPr>
      <w:r>
        <w:rPr>
          <w:rFonts w:hint="eastAsia" w:ascii="Calibri" w:hAnsi="Calibri" w:eastAsia="宋体" w:cs="Times New Roman"/>
        </w:rPr>
        <w:t>（7）负责部分楼宇的钥匙管理，做好钥匙借用登记。按照校方要求提供公共教室开关门服务，按要求准时切送照明及有关设施电源，确保教学、实验等的正常进行</w:t>
      </w:r>
      <w:r>
        <w:rPr>
          <w:rFonts w:hint="eastAsia" w:ascii="Calibri" w:hAnsi="Calibri" w:eastAsia="宋体" w:cs="Times New Roman"/>
          <w:lang w:eastAsia="zh-CN"/>
        </w:rPr>
        <w:t>。</w:t>
      </w:r>
    </w:p>
    <w:p w14:paraId="5E334B20">
      <w:pPr>
        <w:shd w:val="clear"/>
        <w:ind w:firstLine="480"/>
        <w:rPr>
          <w:rFonts w:hint="eastAsia" w:ascii="Calibri" w:hAnsi="Calibri" w:eastAsia="宋体" w:cs="Times New Roman"/>
          <w:lang w:eastAsia="zh-CN"/>
        </w:rPr>
      </w:pPr>
      <w:r>
        <w:rPr>
          <w:rFonts w:hint="eastAsia" w:ascii="Calibri" w:hAnsi="Calibri" w:eastAsia="宋体" w:cs="Times New Roman"/>
        </w:rPr>
        <w:t>（8）定期对员工进行相关培训</w:t>
      </w:r>
      <w:r>
        <w:rPr>
          <w:rFonts w:hint="eastAsia" w:ascii="Calibri" w:hAnsi="Calibri" w:eastAsia="宋体" w:cs="Times New Roman"/>
          <w:lang w:eastAsia="zh-CN"/>
        </w:rPr>
        <w:t>。</w:t>
      </w:r>
    </w:p>
    <w:p w14:paraId="7A30EB6C">
      <w:pPr>
        <w:shd w:val="clear"/>
        <w:ind w:firstLine="480"/>
        <w:rPr>
          <w:rFonts w:ascii="Calibri" w:hAnsi="Calibri" w:eastAsia="宋体" w:cs="Times New Roman"/>
        </w:rPr>
      </w:pPr>
      <w:r>
        <w:rPr>
          <w:rFonts w:hint="eastAsia" w:ascii="Calibri" w:hAnsi="Calibri" w:eastAsia="宋体" w:cs="Times New Roman"/>
        </w:rPr>
        <w:t>（9）负责公共教室、各类场馆设施设备及家具管理。</w:t>
      </w:r>
    </w:p>
    <w:p w14:paraId="33E2A5B5">
      <w:pPr>
        <w:shd w:val="clear"/>
        <w:ind w:firstLine="480"/>
        <w:rPr>
          <w:rFonts w:ascii="Calibri" w:hAnsi="Calibri" w:eastAsia="宋体" w:cs="Times New Roman"/>
          <w:b/>
          <w:bCs/>
        </w:rPr>
      </w:pPr>
      <w:r>
        <w:rPr>
          <w:rFonts w:ascii="Calibri" w:hAnsi="Calibri" w:eastAsia="宋体" w:cs="Times New Roman"/>
          <w:b/>
          <w:bCs/>
        </w:rPr>
        <w:t>5.4.2</w:t>
      </w:r>
      <w:r>
        <w:rPr>
          <w:rFonts w:hint="eastAsia" w:ascii="Calibri" w:hAnsi="Calibri" w:eastAsia="宋体" w:cs="Times New Roman"/>
          <w:b/>
          <w:bCs/>
        </w:rPr>
        <w:t>公共教室日常管理服务</w:t>
      </w:r>
    </w:p>
    <w:p w14:paraId="5E462E49">
      <w:pPr>
        <w:shd w:val="clear"/>
        <w:ind w:firstLine="480"/>
        <w:rPr>
          <w:rFonts w:hint="eastAsia" w:ascii="Calibri" w:hAnsi="Calibri" w:eastAsia="宋体" w:cs="Times New Roman"/>
          <w:lang w:eastAsia="zh-CN"/>
        </w:rPr>
      </w:pPr>
      <w:r>
        <w:rPr>
          <w:rFonts w:hint="eastAsia" w:ascii="Calibri" w:hAnsi="Calibri" w:eastAsia="宋体" w:cs="Times New Roman"/>
        </w:rPr>
        <w:t>（1）按照教务部门审批的课表、教室借用情况进行楼宇教学辅助管理</w:t>
      </w:r>
      <w:r>
        <w:rPr>
          <w:rFonts w:hint="eastAsia" w:ascii="Calibri" w:hAnsi="Calibri" w:eastAsia="宋体" w:cs="Times New Roman"/>
          <w:lang w:eastAsia="zh-CN"/>
        </w:rPr>
        <w:t>。</w:t>
      </w:r>
    </w:p>
    <w:p w14:paraId="373C1CA6">
      <w:pPr>
        <w:shd w:val="clear"/>
        <w:ind w:firstLine="480"/>
        <w:rPr>
          <w:rFonts w:hint="eastAsia" w:ascii="Calibri" w:hAnsi="Calibri" w:eastAsia="宋体" w:cs="Times New Roman"/>
          <w:lang w:eastAsia="zh-CN"/>
        </w:rPr>
      </w:pPr>
      <w:r>
        <w:rPr>
          <w:rFonts w:hint="eastAsia" w:ascii="Calibri" w:hAnsi="Calibri" w:eastAsia="宋体" w:cs="Times New Roman"/>
        </w:rPr>
        <w:t>（2）按照教务部门要求做好学生自习教室开放的安排辅助管理</w:t>
      </w:r>
      <w:r>
        <w:rPr>
          <w:rFonts w:hint="eastAsia" w:ascii="Calibri" w:hAnsi="Calibri" w:eastAsia="宋体" w:cs="Times New Roman"/>
          <w:lang w:eastAsia="zh-CN"/>
        </w:rPr>
        <w:t>。</w:t>
      </w:r>
    </w:p>
    <w:p w14:paraId="090377CC">
      <w:pPr>
        <w:shd w:val="clear"/>
        <w:ind w:firstLine="480"/>
        <w:rPr>
          <w:rFonts w:hint="eastAsia" w:ascii="Calibri" w:hAnsi="Calibri" w:eastAsia="宋体" w:cs="Times New Roman"/>
          <w:lang w:eastAsia="zh-CN"/>
        </w:rPr>
      </w:pPr>
      <w:r>
        <w:rPr>
          <w:rFonts w:hint="eastAsia" w:ascii="Calibri" w:hAnsi="Calibri" w:eastAsia="宋体" w:cs="Times New Roman"/>
        </w:rPr>
        <w:t>（3）按校方要求检查教室开放关闭情况，晚自习后，组织员工做好清楼、设备检查及卫生保洁工作；负责晚间建筑物关闭后的全楼巡视，关闭门窗、检查水电有无异常情况并确定无闲杂人员滞留</w:t>
      </w:r>
      <w:r>
        <w:rPr>
          <w:rFonts w:hint="eastAsia" w:ascii="Calibri" w:hAnsi="Calibri" w:eastAsia="宋体" w:cs="Times New Roman"/>
          <w:lang w:eastAsia="zh-CN"/>
        </w:rPr>
        <w:t>。</w:t>
      </w:r>
    </w:p>
    <w:p w14:paraId="703F69D8">
      <w:pPr>
        <w:shd w:val="clear"/>
        <w:ind w:firstLine="480"/>
        <w:rPr>
          <w:rFonts w:hint="eastAsia" w:ascii="Calibri" w:hAnsi="Calibri" w:eastAsia="宋体" w:cs="Times New Roman"/>
          <w:lang w:eastAsia="zh-CN"/>
        </w:rPr>
      </w:pPr>
      <w:r>
        <w:rPr>
          <w:rFonts w:hint="eastAsia" w:ascii="Calibri" w:hAnsi="Calibri" w:eastAsia="宋体" w:cs="Times New Roman"/>
        </w:rPr>
        <w:t>（4）配合校方在重大活动、节庆期间做出相应的工作调整，并负责校方审批的宣传品的管理</w:t>
      </w:r>
      <w:r>
        <w:rPr>
          <w:rFonts w:hint="eastAsia" w:ascii="Calibri" w:hAnsi="Calibri" w:eastAsia="宋体" w:cs="Times New Roman"/>
          <w:lang w:eastAsia="zh-CN"/>
        </w:rPr>
        <w:t>。</w:t>
      </w:r>
    </w:p>
    <w:p w14:paraId="75ED2E07">
      <w:pPr>
        <w:shd w:val="clear"/>
        <w:ind w:firstLine="480"/>
        <w:rPr>
          <w:rFonts w:hint="eastAsia" w:ascii="Calibri" w:hAnsi="Calibri" w:eastAsia="宋体" w:cs="Times New Roman"/>
          <w:lang w:eastAsia="zh-CN"/>
        </w:rPr>
      </w:pPr>
      <w:r>
        <w:rPr>
          <w:rFonts w:hint="eastAsia" w:ascii="Calibri" w:hAnsi="Calibri" w:eastAsia="宋体" w:cs="Times New Roman"/>
        </w:rPr>
        <w:t>（5）根据校方相关部门要求，配合做好各类考试的后勤保障工作</w:t>
      </w:r>
      <w:r>
        <w:rPr>
          <w:rFonts w:hint="eastAsia" w:ascii="Calibri" w:hAnsi="Calibri" w:eastAsia="宋体" w:cs="Times New Roman"/>
          <w:lang w:eastAsia="zh-CN"/>
        </w:rPr>
        <w:t>。</w:t>
      </w:r>
    </w:p>
    <w:p w14:paraId="16BD415C">
      <w:pPr>
        <w:shd w:val="clear"/>
        <w:ind w:firstLine="480"/>
        <w:rPr>
          <w:rFonts w:hint="eastAsia" w:ascii="Calibri" w:hAnsi="Calibri" w:eastAsia="宋体" w:cs="Times New Roman"/>
          <w:lang w:eastAsia="zh-CN"/>
        </w:rPr>
      </w:pPr>
      <w:r>
        <w:rPr>
          <w:rFonts w:hint="eastAsia" w:ascii="Calibri" w:hAnsi="Calibri" w:eastAsia="宋体" w:cs="Times New Roman"/>
        </w:rPr>
        <w:t>（6）教室休息室卫生保障</w:t>
      </w:r>
      <w:r>
        <w:rPr>
          <w:rFonts w:hint="eastAsia" w:ascii="Calibri" w:hAnsi="Calibri" w:eastAsia="宋体" w:cs="Times New Roman"/>
          <w:lang w:eastAsia="zh-CN"/>
        </w:rPr>
        <w:t>。</w:t>
      </w:r>
    </w:p>
    <w:p w14:paraId="73DD51EC">
      <w:pPr>
        <w:shd w:val="clear"/>
        <w:ind w:firstLine="480"/>
        <w:rPr>
          <w:rFonts w:hint="eastAsia" w:ascii="Calibri" w:hAnsi="Calibri" w:eastAsia="宋体" w:cs="Times New Roman"/>
          <w:lang w:eastAsia="zh-CN"/>
        </w:rPr>
      </w:pPr>
      <w:r>
        <w:rPr>
          <w:rFonts w:hint="eastAsia" w:ascii="Calibri" w:hAnsi="Calibri" w:eastAsia="宋体" w:cs="Times New Roman"/>
        </w:rPr>
        <w:t>（7）设置失物招领处，妥善保管师生的招领物品，并做好领取登记</w:t>
      </w:r>
      <w:r>
        <w:rPr>
          <w:rFonts w:hint="eastAsia" w:ascii="Calibri" w:hAnsi="Calibri" w:eastAsia="宋体" w:cs="Times New Roman"/>
          <w:lang w:eastAsia="zh-CN"/>
        </w:rPr>
        <w:t>。</w:t>
      </w:r>
    </w:p>
    <w:p w14:paraId="5EF9E35F">
      <w:pPr>
        <w:shd w:val="clear"/>
        <w:ind w:firstLine="480"/>
        <w:rPr>
          <w:rFonts w:hint="eastAsia" w:ascii="Calibri" w:hAnsi="Calibri" w:eastAsia="宋体" w:cs="Times New Roman"/>
          <w:lang w:eastAsia="zh-CN"/>
        </w:rPr>
      </w:pPr>
      <w:r>
        <w:rPr>
          <w:rFonts w:hint="eastAsia" w:ascii="Calibri" w:hAnsi="Calibri" w:eastAsia="宋体" w:cs="Times New Roman"/>
        </w:rPr>
        <w:t>（8）根据校方要求负责校区内日常宣传展板、桌椅等零星物资的搬运工作</w:t>
      </w:r>
      <w:r>
        <w:rPr>
          <w:rFonts w:hint="eastAsia" w:ascii="Calibri" w:hAnsi="Calibri" w:eastAsia="宋体" w:cs="Times New Roman"/>
          <w:lang w:eastAsia="zh-CN"/>
        </w:rPr>
        <w:t>。</w:t>
      </w:r>
    </w:p>
    <w:p w14:paraId="1E22F01E">
      <w:pPr>
        <w:shd w:val="clear"/>
        <w:ind w:firstLine="480"/>
        <w:rPr>
          <w:rFonts w:ascii="Calibri" w:hAnsi="Calibri" w:eastAsia="宋体" w:cs="Times New Roman"/>
        </w:rPr>
      </w:pPr>
      <w:r>
        <w:rPr>
          <w:rFonts w:hint="eastAsia" w:ascii="Calibri" w:hAnsi="Calibri" w:eastAsia="宋体" w:cs="Times New Roman"/>
        </w:rPr>
        <w:t>（9）做好晚间、周末、节假日楼宇使用的综合管理工作（晚自习、会议、活动等）</w:t>
      </w:r>
      <w:r>
        <w:rPr>
          <w:rFonts w:hint="eastAsia" w:ascii="Calibri" w:hAnsi="Calibri" w:eastAsia="宋体" w:cs="Times New Roman"/>
          <w:lang w:eastAsia="zh-CN"/>
        </w:rPr>
        <w:t>。</w:t>
      </w:r>
      <w:r>
        <w:rPr>
          <w:rFonts w:ascii="Calibri" w:hAnsi="Calibri" w:eastAsia="宋体" w:cs="Times New Roman"/>
        </w:rPr>
        <w:t xml:space="preserve"> </w:t>
      </w:r>
    </w:p>
    <w:p w14:paraId="1474C72A">
      <w:pPr>
        <w:shd w:val="clear"/>
        <w:ind w:firstLine="480"/>
        <w:rPr>
          <w:rFonts w:ascii="Calibri" w:hAnsi="Calibri" w:eastAsia="宋体" w:cs="Times New Roman"/>
        </w:rPr>
      </w:pPr>
      <w:r>
        <w:rPr>
          <w:rFonts w:hint="eastAsia" w:ascii="Calibri" w:hAnsi="Calibri" w:eastAsia="宋体" w:cs="Times New Roman"/>
        </w:rPr>
        <w:t>（10）做好公共教室内桌椅管理，定期进行清点归位工作。</w:t>
      </w:r>
    </w:p>
    <w:p w14:paraId="06A541BB">
      <w:pPr>
        <w:shd w:val="clear"/>
        <w:ind w:firstLine="480"/>
        <w:rPr>
          <w:rFonts w:hint="eastAsia" w:ascii="Calibri" w:hAnsi="Calibri" w:eastAsia="宋体" w:cs="Times New Roman"/>
          <w:b/>
          <w:bCs/>
        </w:rPr>
      </w:pPr>
      <w:r>
        <w:rPr>
          <w:rFonts w:hint="eastAsia" w:ascii="Calibri" w:hAnsi="Calibri" w:eastAsia="宋体" w:cs="Times New Roman"/>
          <w:b/>
          <w:bCs/>
        </w:rPr>
        <w:t>5.4.3图书馆闭馆巡查服务</w:t>
      </w:r>
    </w:p>
    <w:p w14:paraId="2AFDEC73">
      <w:pPr>
        <w:shd w:val="clear"/>
        <w:ind w:firstLine="480"/>
        <w:rPr>
          <w:rFonts w:hint="eastAsia" w:ascii="Calibri" w:hAnsi="Calibri" w:eastAsia="宋体" w:cs="Times New Roman"/>
        </w:rPr>
      </w:pPr>
      <w:r>
        <w:rPr>
          <w:rFonts w:hint="eastAsia" w:ascii="Calibri" w:hAnsi="Calibri" w:eastAsia="宋体" w:cs="Times New Roman"/>
        </w:rPr>
        <w:t>（1）闭馆巡视：每日闭馆前（含节假日），协助图书馆管理人员对全馆各楼层进行巡视，确保无人员滞留，并检查空调、电灯等是否全部关闭。</w:t>
      </w:r>
    </w:p>
    <w:p w14:paraId="6DF27BDE">
      <w:pPr>
        <w:shd w:val="clear"/>
        <w:ind w:firstLine="480"/>
        <w:rPr>
          <w:rFonts w:hint="eastAsia" w:ascii="Calibri" w:hAnsi="Calibri" w:eastAsia="宋体" w:cs="Times New Roman"/>
        </w:rPr>
      </w:pPr>
      <w:r>
        <w:rPr>
          <w:rFonts w:hint="eastAsia" w:ascii="Calibri" w:hAnsi="Calibri" w:eastAsia="宋体" w:cs="Times New Roman"/>
        </w:rPr>
        <w:t>（2）综合治理协助：熟悉图书馆功能布局、消防安全通道等，发现特殊情况及时报告图书馆相关人员；在紧急情况下，能协助馆员迅速疏散人群。</w:t>
      </w:r>
    </w:p>
    <w:p w14:paraId="3BFDF810">
      <w:pPr>
        <w:shd w:val="clear"/>
        <w:ind w:firstLine="480"/>
        <w:rPr>
          <w:rFonts w:ascii="Calibri" w:hAnsi="Calibri" w:eastAsia="宋体" w:cs="Times New Roman"/>
          <w:b/>
          <w:bCs/>
        </w:rPr>
      </w:pPr>
      <w:r>
        <w:rPr>
          <w:rFonts w:ascii="Calibri" w:hAnsi="Calibri" w:eastAsia="宋体" w:cs="Times New Roman"/>
          <w:b/>
          <w:bCs/>
        </w:rPr>
        <w:t>5.4.</w:t>
      </w:r>
      <w:r>
        <w:rPr>
          <w:rFonts w:hint="eastAsia" w:ascii="Calibri" w:hAnsi="Calibri" w:eastAsia="宋体" w:cs="Times New Roman"/>
          <w:b/>
          <w:bCs/>
        </w:rPr>
        <w:t>4其他场馆（学生活动中心、报告厅等）日常管理服务</w:t>
      </w:r>
    </w:p>
    <w:p w14:paraId="6D315E54">
      <w:pPr>
        <w:shd w:val="clear"/>
        <w:ind w:firstLine="480"/>
        <w:rPr>
          <w:rFonts w:ascii="Calibri" w:hAnsi="Calibri" w:eastAsia="宋体" w:cs="Times New Roman"/>
        </w:rPr>
      </w:pPr>
      <w:r>
        <w:rPr>
          <w:rFonts w:hint="eastAsia" w:ascii="Calibri" w:hAnsi="Calibri" w:eastAsia="宋体" w:cs="Times New Roman"/>
        </w:rPr>
        <w:t>（</w:t>
      </w:r>
      <w:r>
        <w:rPr>
          <w:rFonts w:ascii="Calibri" w:hAnsi="Calibri" w:eastAsia="宋体" w:cs="Times New Roman"/>
        </w:rPr>
        <w:t>1</w:t>
      </w:r>
      <w:r>
        <w:rPr>
          <w:rFonts w:hint="eastAsia" w:ascii="Calibri" w:hAnsi="Calibri" w:eastAsia="宋体" w:cs="Times New Roman"/>
        </w:rPr>
        <w:t>）负责其他场馆（学生活动中心、报告厅等）的日常巡查，检查水电、门窗有无异常情况。</w:t>
      </w:r>
    </w:p>
    <w:p w14:paraId="52B74F83">
      <w:pPr>
        <w:shd w:val="clear"/>
        <w:ind w:firstLine="480"/>
        <w:rPr>
          <w:rFonts w:hint="eastAsia" w:ascii="Calibri" w:hAnsi="Calibri" w:eastAsia="宋体" w:cs="Times New Roman"/>
          <w:lang w:eastAsia="zh-CN"/>
        </w:rPr>
      </w:pPr>
      <w:r>
        <w:rPr>
          <w:rFonts w:hint="eastAsia" w:ascii="Calibri" w:hAnsi="Calibri" w:eastAsia="宋体" w:cs="Times New Roman"/>
        </w:rPr>
        <w:t>（</w:t>
      </w:r>
      <w:r>
        <w:rPr>
          <w:rFonts w:ascii="Calibri" w:hAnsi="Calibri" w:eastAsia="宋体" w:cs="Times New Roman"/>
        </w:rPr>
        <w:t>2</w:t>
      </w:r>
      <w:r>
        <w:rPr>
          <w:rFonts w:hint="eastAsia" w:ascii="Calibri" w:hAnsi="Calibri" w:eastAsia="宋体" w:cs="Times New Roman"/>
        </w:rPr>
        <w:t>）负责场馆内各会议室投影仪、显示屏等设备故障的排查和报修，做好学校大小型活动音控等设备的保障工作</w:t>
      </w:r>
      <w:r>
        <w:rPr>
          <w:rFonts w:hint="eastAsia" w:ascii="Calibri" w:hAnsi="Calibri" w:eastAsia="宋体" w:cs="Times New Roman"/>
          <w:lang w:eastAsia="zh-CN"/>
        </w:rPr>
        <w:t>。</w:t>
      </w:r>
    </w:p>
    <w:p w14:paraId="1AE37EBE">
      <w:pPr>
        <w:shd w:val="clear"/>
        <w:ind w:firstLine="480"/>
        <w:rPr>
          <w:rFonts w:hint="eastAsia" w:ascii="Calibri" w:hAnsi="Calibri" w:eastAsia="宋体" w:cs="Times New Roman"/>
          <w:lang w:eastAsia="zh-CN"/>
        </w:rPr>
      </w:pPr>
      <w:r>
        <w:rPr>
          <w:rFonts w:hint="eastAsia" w:ascii="Calibri" w:hAnsi="Calibri" w:eastAsia="宋体" w:cs="Times New Roman"/>
        </w:rPr>
        <w:t>（3）学生活动中心的灯光、音响、LED等设备必须由专人操作，其他人员不得擅自操作</w:t>
      </w:r>
      <w:r>
        <w:rPr>
          <w:rFonts w:hint="eastAsia" w:ascii="Calibri" w:hAnsi="Calibri" w:eastAsia="宋体" w:cs="Times New Roman"/>
          <w:lang w:eastAsia="zh-CN"/>
        </w:rPr>
        <w:t>。</w:t>
      </w:r>
    </w:p>
    <w:p w14:paraId="2FAB4130">
      <w:pPr>
        <w:shd w:val="clear"/>
        <w:ind w:firstLine="480"/>
        <w:rPr>
          <w:rFonts w:hint="eastAsia" w:ascii="Calibri" w:hAnsi="Calibri" w:eastAsia="宋体" w:cs="Times New Roman"/>
          <w:lang w:eastAsia="zh-CN"/>
        </w:rPr>
      </w:pPr>
      <w:r>
        <w:rPr>
          <w:rFonts w:hint="eastAsia" w:ascii="Calibri" w:hAnsi="Calibri" w:eastAsia="宋体" w:cs="Times New Roman"/>
        </w:rPr>
        <w:t>（4）根据校方相关部门要求，配合做好各类活动的后勤保障工作</w:t>
      </w:r>
      <w:r>
        <w:rPr>
          <w:rFonts w:hint="eastAsia" w:ascii="Calibri" w:hAnsi="Calibri" w:eastAsia="宋体" w:cs="Times New Roman"/>
          <w:lang w:eastAsia="zh-CN"/>
        </w:rPr>
        <w:t>。</w:t>
      </w:r>
    </w:p>
    <w:p w14:paraId="7DE9EEB5">
      <w:pPr>
        <w:shd w:val="clear"/>
        <w:ind w:firstLine="480"/>
        <w:rPr>
          <w:rFonts w:ascii="Calibri" w:hAnsi="Calibri" w:eastAsia="宋体" w:cs="Times New Roman"/>
        </w:rPr>
      </w:pPr>
      <w:r>
        <w:rPr>
          <w:rFonts w:hint="eastAsia" w:ascii="Calibri" w:hAnsi="Calibri" w:eastAsia="宋体" w:cs="Times New Roman"/>
        </w:rPr>
        <w:t>（5）做好场馆内卫生和环境的管理工作：各类活动结束后，及时清点现场使用的设备和设施的使用情况，检查卫生情况，如有异常及时汇报给校方并做好相关记录。</w:t>
      </w:r>
    </w:p>
    <w:p w14:paraId="3682FE9F">
      <w:pPr>
        <w:shd w:val="clear"/>
        <w:ind w:firstLine="480"/>
        <w:rPr>
          <w:rFonts w:hint="eastAsia" w:ascii="Calibri" w:hAnsi="Calibri" w:eastAsia="宋体" w:cs="Times New Roman"/>
          <w:lang w:eastAsia="zh-CN"/>
        </w:rPr>
      </w:pPr>
      <w:r>
        <w:rPr>
          <w:rFonts w:hint="eastAsia" w:ascii="Calibri" w:hAnsi="Calibri" w:eastAsia="宋体" w:cs="Times New Roman"/>
        </w:rPr>
        <w:t>（6）根据校方要求负责校区内日常宣传展板、桌椅等零星物资的搬运工作</w:t>
      </w:r>
      <w:r>
        <w:rPr>
          <w:rFonts w:hint="eastAsia" w:ascii="Calibri" w:hAnsi="Calibri" w:eastAsia="宋体" w:cs="Times New Roman"/>
          <w:lang w:eastAsia="zh-CN"/>
        </w:rPr>
        <w:t>。</w:t>
      </w:r>
    </w:p>
    <w:p w14:paraId="6E070C41">
      <w:pPr>
        <w:shd w:val="clear"/>
        <w:ind w:firstLine="480"/>
        <w:rPr>
          <w:rFonts w:ascii="Calibri" w:hAnsi="Calibri" w:eastAsia="宋体" w:cs="Times New Roman"/>
        </w:rPr>
      </w:pPr>
      <w:r>
        <w:rPr>
          <w:rFonts w:hint="eastAsia" w:ascii="Calibri" w:hAnsi="Calibri" w:eastAsia="宋体" w:cs="Times New Roman"/>
        </w:rPr>
        <w:t>（7）校园活动场地的使用实行安全责任制，投标方配合安全责任单位及时跟进开展情况。</w:t>
      </w:r>
    </w:p>
    <w:p w14:paraId="048F0521">
      <w:pPr>
        <w:keepNext/>
        <w:keepLines/>
        <w:shd w:val="clear"/>
        <w:spacing w:before="260" w:after="260" w:line="416" w:lineRule="auto"/>
        <w:outlineLvl w:val="1"/>
        <w:rPr>
          <w:rFonts w:ascii="Arial" w:hAnsi="Arial" w:eastAsia="黑体" w:cs="Times New Roman"/>
          <w:b/>
          <w:bCs/>
          <w:sz w:val="32"/>
          <w:szCs w:val="32"/>
        </w:rPr>
      </w:pPr>
      <w:bookmarkStart w:id="86" w:name="_Toc97303158"/>
      <w:r>
        <w:rPr>
          <w:rFonts w:hint="eastAsia" w:ascii="Arial" w:hAnsi="Arial" w:eastAsia="黑体" w:cs="Times New Roman"/>
          <w:b/>
          <w:bCs/>
          <w:sz w:val="32"/>
          <w:szCs w:val="32"/>
        </w:rPr>
        <w:t>5.</w:t>
      </w:r>
      <w:r>
        <w:rPr>
          <w:rFonts w:ascii="Arial" w:hAnsi="Arial" w:eastAsia="黑体" w:cs="Times New Roman"/>
          <w:b/>
          <w:bCs/>
          <w:sz w:val="32"/>
          <w:szCs w:val="32"/>
        </w:rPr>
        <w:t xml:space="preserve">6 </w:t>
      </w:r>
      <w:r>
        <w:rPr>
          <w:rFonts w:hint="eastAsia" w:ascii="Arial" w:hAnsi="Arial" w:eastAsia="黑体" w:cs="Times New Roman"/>
          <w:b/>
          <w:bCs/>
          <w:sz w:val="32"/>
          <w:szCs w:val="32"/>
        </w:rPr>
        <w:t>节能管理</w:t>
      </w:r>
      <w:bookmarkEnd w:id="86"/>
    </w:p>
    <w:p w14:paraId="76EE70CC">
      <w:pPr>
        <w:shd w:val="clear"/>
        <w:ind w:firstLine="480"/>
        <w:rPr>
          <w:rFonts w:ascii="Calibri" w:hAnsi="Calibri" w:eastAsia="宋体" w:cs="Times New Roman"/>
        </w:rPr>
      </w:pPr>
      <w:r>
        <w:rPr>
          <w:rFonts w:hint="eastAsia" w:ascii="Calibri" w:hAnsi="Calibri" w:eastAsia="宋体" w:cs="Times New Roman"/>
        </w:rPr>
        <w:t>5.6.1 完成校方水电管理部门下达的水电指标任务。杜绝长明灯、长流水，做到人走灯灭，人走水停，无跑、冒、滴、漏现象。各楼宇管理员负责巡视检查，发现水电浪费的行为要及时制止，检查情况要记录备案。教室用灯要做到随用随开，并根据在教室学生人数随时调整教室照明度，晚自习下课后楼宇管理员必须在 10 分钟内关灯。</w:t>
      </w:r>
    </w:p>
    <w:p w14:paraId="6B27043E">
      <w:pPr>
        <w:shd w:val="clear"/>
        <w:ind w:firstLine="480"/>
        <w:rPr>
          <w:rFonts w:hint="eastAsia" w:ascii="Calibri" w:hAnsi="Calibri" w:eastAsia="宋体" w:cs="Times New Roman"/>
          <w:lang w:eastAsia="zh-CN"/>
        </w:rPr>
      </w:pPr>
      <w:r>
        <w:rPr>
          <w:rFonts w:hint="eastAsia" w:ascii="Calibri" w:hAnsi="Calibri" w:eastAsia="宋体" w:cs="Times New Roman"/>
        </w:rPr>
        <w:t>5.6.2 根据学校的实际情况制定节能降耗方案，实施行为节能与技术节能相结合，做好日常水电检查工作，每天需组织人员巡视校园水电，防止水电资源流失，做好巡视记录</w:t>
      </w:r>
      <w:r>
        <w:rPr>
          <w:rFonts w:hint="eastAsia" w:ascii="Calibri" w:hAnsi="Calibri" w:eastAsia="宋体" w:cs="Times New Roman"/>
          <w:lang w:eastAsia="zh-CN"/>
        </w:rPr>
        <w:t>。</w:t>
      </w:r>
    </w:p>
    <w:p w14:paraId="4970F46B">
      <w:pPr>
        <w:shd w:val="clear"/>
        <w:ind w:firstLine="480"/>
        <w:rPr>
          <w:rFonts w:ascii="Calibri" w:hAnsi="Calibri" w:eastAsia="宋体" w:cs="Times New Roman"/>
        </w:rPr>
      </w:pPr>
      <w:r>
        <w:rPr>
          <w:rFonts w:hint="eastAsia" w:ascii="Calibri" w:hAnsi="Calibri" w:eastAsia="宋体" w:cs="Times New Roman"/>
        </w:rPr>
        <w:t>5.6.3 按月分析校园内水电实际消耗趋势，及时总结经验，负责查找处理水电抄表数据异常原因，对水电量波动大的用户需了解其用水用电情况及计量装置是否异常，及时调整改善。</w:t>
      </w:r>
    </w:p>
    <w:p w14:paraId="67FDC036">
      <w:pPr>
        <w:shd w:val="clear"/>
        <w:ind w:firstLine="480"/>
        <w:rPr>
          <w:rFonts w:ascii="Calibri" w:hAnsi="Calibri" w:eastAsia="宋体" w:cs="Times New Roman"/>
        </w:rPr>
      </w:pPr>
      <w:r>
        <w:rPr>
          <w:rFonts w:hint="eastAsia" w:ascii="Calibri" w:hAnsi="Calibri" w:eastAsia="宋体" w:cs="Times New Roman"/>
        </w:rPr>
        <w:t>5.6.4 积极进行节水节电知识和政策的宣传，提高员工的水电节约意识，勇于纠正制止违章用水用电行为。</w:t>
      </w:r>
    </w:p>
    <w:p w14:paraId="4119F34C">
      <w:pPr>
        <w:shd w:val="clear"/>
        <w:ind w:firstLine="480"/>
        <w:rPr>
          <w:rFonts w:ascii="Calibri" w:hAnsi="Calibri" w:eastAsia="宋体" w:cs="Times New Roman"/>
        </w:rPr>
      </w:pPr>
      <w:r>
        <w:rPr>
          <w:rFonts w:hint="eastAsia" w:ascii="Calibri" w:hAnsi="Calibri" w:eastAsia="宋体" w:cs="Times New Roman"/>
        </w:rPr>
        <w:t>5.6.5 了解掌握水电技术与管理基本知识，熟悉工作流程和工作安全规范。</w:t>
      </w:r>
    </w:p>
    <w:p w14:paraId="78FA49ED">
      <w:pPr>
        <w:shd w:val="clear"/>
        <w:ind w:firstLine="480"/>
        <w:rPr>
          <w:rFonts w:ascii="Calibri" w:hAnsi="Calibri" w:eastAsia="宋体" w:cs="Times New Roman"/>
        </w:rPr>
      </w:pPr>
      <w:r>
        <w:rPr>
          <w:rFonts w:hint="eastAsia" w:ascii="Calibri" w:hAnsi="Calibri" w:eastAsia="宋体" w:cs="Times New Roman"/>
        </w:rPr>
        <w:t>5.6.6 熟悉校园水电供应网线及管道走向，建立相关档案。</w:t>
      </w:r>
    </w:p>
    <w:p w14:paraId="49607358">
      <w:pPr>
        <w:shd w:val="clear"/>
        <w:ind w:firstLine="480"/>
        <w:rPr>
          <w:rFonts w:ascii="Calibri" w:hAnsi="Calibri" w:eastAsia="宋体" w:cs="Times New Roman"/>
        </w:rPr>
      </w:pPr>
      <w:r>
        <w:rPr>
          <w:rFonts w:hint="eastAsia" w:ascii="Calibri" w:hAnsi="Calibri" w:eastAsia="宋体" w:cs="Times New Roman"/>
        </w:rPr>
        <w:t>5.6.7 配合校方进行节水型高校、绿色建筑认证等创建相关工作。</w:t>
      </w:r>
    </w:p>
    <w:p w14:paraId="3E54744F">
      <w:pPr>
        <w:shd w:val="clear"/>
        <w:ind w:firstLine="480"/>
        <w:rPr>
          <w:rFonts w:hint="eastAsia" w:ascii="Calibri" w:hAnsi="Calibri" w:eastAsia="宋体" w:cs="Times New Roman"/>
          <w:lang w:eastAsia="zh-CN"/>
        </w:rPr>
      </w:pPr>
      <w:r>
        <w:rPr>
          <w:rFonts w:hint="eastAsia" w:ascii="Calibri" w:hAnsi="Calibri" w:eastAsia="宋体" w:cs="Times New Roman"/>
        </w:rPr>
        <w:t xml:space="preserve">5.6.8 </w:t>
      </w:r>
      <w:r>
        <w:rPr>
          <w:rFonts w:ascii="Calibri" w:hAnsi="Calibri" w:eastAsia="宋体" w:cs="Times New Roman"/>
        </w:rPr>
        <w:t>根据学校年度节能计划，制订所负责能耗范围内的具体指标，制定具体的节能减排工作计划，报节能领导小组办公室</w:t>
      </w:r>
      <w:r>
        <w:rPr>
          <w:rFonts w:hint="eastAsia" w:ascii="Calibri" w:hAnsi="Calibri" w:eastAsia="宋体" w:cs="Times New Roman"/>
          <w:lang w:eastAsia="zh-CN"/>
        </w:rPr>
        <w:t>。</w:t>
      </w:r>
    </w:p>
    <w:p w14:paraId="6AA25C99">
      <w:pPr>
        <w:shd w:val="clear"/>
        <w:ind w:firstLine="480"/>
        <w:rPr>
          <w:rFonts w:hint="eastAsia" w:ascii="Calibri" w:hAnsi="Calibri" w:eastAsia="宋体" w:cs="Times New Roman"/>
          <w:lang w:eastAsia="zh-CN"/>
        </w:rPr>
      </w:pPr>
      <w:r>
        <w:rPr>
          <w:rFonts w:hint="eastAsia" w:ascii="Calibri" w:hAnsi="Calibri" w:eastAsia="宋体" w:cs="Times New Roman"/>
        </w:rPr>
        <w:t xml:space="preserve">5.6.9 </w:t>
      </w:r>
      <w:r>
        <w:rPr>
          <w:rFonts w:ascii="Calibri" w:hAnsi="Calibri" w:eastAsia="宋体" w:cs="Times New Roman"/>
        </w:rPr>
        <w:t>对所管理的各种用能设备设施，应保证在安全运行的前提下，进行经济运行管控</w:t>
      </w:r>
      <w:r>
        <w:rPr>
          <w:rFonts w:hint="eastAsia" w:ascii="Calibri" w:hAnsi="Calibri" w:eastAsia="宋体" w:cs="Times New Roman"/>
          <w:lang w:eastAsia="zh-CN"/>
        </w:rPr>
        <w:t>。</w:t>
      </w:r>
    </w:p>
    <w:p w14:paraId="0775184F">
      <w:pPr>
        <w:shd w:val="clear"/>
        <w:ind w:firstLine="480"/>
        <w:rPr>
          <w:rFonts w:hint="eastAsia" w:ascii="Calibri" w:hAnsi="Calibri" w:eastAsia="宋体" w:cs="Times New Roman"/>
          <w:lang w:eastAsia="zh-CN"/>
        </w:rPr>
      </w:pPr>
      <w:r>
        <w:rPr>
          <w:rFonts w:hint="eastAsia" w:ascii="Calibri" w:hAnsi="Calibri" w:eastAsia="宋体" w:cs="Times New Roman"/>
        </w:rPr>
        <w:t xml:space="preserve">5.6.10 </w:t>
      </w:r>
      <w:r>
        <w:rPr>
          <w:rFonts w:ascii="Calibri" w:hAnsi="Calibri" w:eastAsia="宋体" w:cs="Times New Roman"/>
        </w:rPr>
        <w:t>主动提供所负责用能设施设备的技能技改建议、技改计划；对校区内其他设备提供节能建议</w:t>
      </w:r>
      <w:r>
        <w:rPr>
          <w:rFonts w:hint="eastAsia" w:ascii="Calibri" w:hAnsi="Calibri" w:eastAsia="宋体" w:cs="Times New Roman"/>
          <w:lang w:eastAsia="zh-CN"/>
        </w:rPr>
        <w:t>。</w:t>
      </w:r>
    </w:p>
    <w:p w14:paraId="71D6596E">
      <w:pPr>
        <w:shd w:val="clear"/>
        <w:ind w:firstLine="480"/>
        <w:rPr>
          <w:rFonts w:ascii="Calibri" w:hAnsi="Calibri" w:eastAsia="宋体" w:cs="Times New Roman"/>
        </w:rPr>
      </w:pPr>
      <w:r>
        <w:rPr>
          <w:rFonts w:hint="eastAsia" w:ascii="Calibri" w:hAnsi="Calibri" w:eastAsia="宋体" w:cs="Times New Roman"/>
        </w:rPr>
        <w:t xml:space="preserve">5.6.11 </w:t>
      </w:r>
      <w:r>
        <w:rPr>
          <w:rFonts w:ascii="Calibri" w:hAnsi="Calibri" w:eastAsia="宋体" w:cs="Times New Roman"/>
        </w:rPr>
        <w:t>落实学校节能领导小组办公室对设备设施的技改要求。</w:t>
      </w:r>
    </w:p>
    <w:p w14:paraId="07C02557">
      <w:pPr>
        <w:shd w:val="clear"/>
        <w:ind w:firstLine="480"/>
        <w:rPr>
          <w:rFonts w:ascii="Calibri" w:hAnsi="Calibri" w:eastAsia="宋体" w:cs="Times New Roman"/>
        </w:rPr>
      </w:pPr>
      <w:r>
        <w:rPr>
          <w:rFonts w:hint="eastAsia" w:ascii="Calibri" w:hAnsi="Calibri" w:eastAsia="宋体" w:cs="Times New Roman"/>
        </w:rPr>
        <w:t xml:space="preserve">5.6.12 </w:t>
      </w:r>
      <w:r>
        <w:rPr>
          <w:rFonts w:ascii="Calibri" w:hAnsi="Calibri" w:eastAsia="宋体" w:cs="Times New Roman"/>
        </w:rPr>
        <w:t>投标人需对相关设备进行全面了解，制定相应设备管理方案。</w:t>
      </w:r>
    </w:p>
    <w:p w14:paraId="5CFD5E60">
      <w:pPr>
        <w:keepNext/>
        <w:keepLines/>
        <w:shd w:val="clear"/>
        <w:spacing w:before="260" w:after="260" w:line="416" w:lineRule="auto"/>
        <w:outlineLvl w:val="1"/>
        <w:rPr>
          <w:rFonts w:ascii="Arial" w:hAnsi="Arial" w:eastAsia="黑体" w:cs="Times New Roman"/>
          <w:b/>
          <w:bCs/>
          <w:sz w:val="32"/>
          <w:szCs w:val="32"/>
        </w:rPr>
      </w:pPr>
      <w:bookmarkStart w:id="87" w:name="_Toc97303159"/>
      <w:r>
        <w:rPr>
          <w:rFonts w:hint="eastAsia" w:ascii="Arial" w:hAnsi="Arial" w:eastAsia="黑体" w:cs="Times New Roman"/>
          <w:b/>
          <w:bCs/>
          <w:sz w:val="32"/>
          <w:szCs w:val="32"/>
        </w:rPr>
        <w:t>5.</w:t>
      </w:r>
      <w:r>
        <w:rPr>
          <w:rFonts w:ascii="Arial" w:hAnsi="Arial" w:eastAsia="黑体" w:cs="Times New Roman"/>
          <w:b/>
          <w:bCs/>
          <w:sz w:val="32"/>
          <w:szCs w:val="32"/>
        </w:rPr>
        <w:t xml:space="preserve">7 </w:t>
      </w:r>
      <w:r>
        <w:rPr>
          <w:rFonts w:hint="eastAsia" w:ascii="Arial" w:hAnsi="Arial" w:eastAsia="黑体" w:cs="Times New Roman"/>
          <w:b/>
          <w:bCs/>
          <w:sz w:val="32"/>
          <w:szCs w:val="32"/>
        </w:rPr>
        <w:t>信息化服务</w:t>
      </w:r>
      <w:bookmarkEnd w:id="87"/>
    </w:p>
    <w:p w14:paraId="54A247F8">
      <w:pPr>
        <w:shd w:val="clear"/>
        <w:ind w:firstLine="480"/>
        <w:rPr>
          <w:rFonts w:ascii="Calibri" w:hAnsi="Calibri" w:eastAsia="宋体" w:cs="Times New Roman"/>
        </w:rPr>
      </w:pPr>
      <w:r>
        <w:rPr>
          <w:rFonts w:hint="eastAsia" w:ascii="Calibri" w:hAnsi="Calibri" w:eastAsia="宋体" w:cs="Times New Roman"/>
          <w:lang w:val="en-US" w:eastAsia="zh-CN"/>
        </w:rPr>
        <w:t>5.7.1</w:t>
      </w:r>
      <w:r>
        <w:rPr>
          <w:rFonts w:hint="eastAsia" w:ascii="Calibri" w:hAnsi="Calibri" w:eastAsia="宋体" w:cs="Times New Roman"/>
          <w:lang w:eastAsia="zh-CN"/>
        </w:rPr>
        <w:t>中标单位</w:t>
      </w:r>
      <w:r>
        <w:rPr>
          <w:rFonts w:hint="eastAsia" w:ascii="Calibri" w:hAnsi="Calibri" w:eastAsia="宋体" w:cs="Times New Roman"/>
        </w:rPr>
        <w:t>应配备与本项目服务需求相关的信息化服务系统或平台或承诺在中标后具有相关信息化服务系统或平台（主要包括施设备管理系统，报事报修管理系统，巡查巡检系统，便民服务APP等），并应无条件向校方管理部门开放后台管理功能，与校方的信息化管理与服务系统对接；负责以上系统的的维护、信息发布等。</w:t>
      </w:r>
    </w:p>
    <w:p w14:paraId="3D226AA2">
      <w:pPr>
        <w:shd w:val="clear"/>
        <w:ind w:firstLine="420" w:firstLineChars="200"/>
        <w:rPr>
          <w:rFonts w:ascii="Calibri" w:hAnsi="Calibri" w:eastAsia="宋体" w:cs="Times New Roman"/>
        </w:rPr>
      </w:pPr>
      <w:r>
        <w:rPr>
          <w:rFonts w:hint="eastAsia" w:ascii="Calibri" w:hAnsi="Calibri" w:eastAsia="宋体" w:cs="Times New Roman"/>
          <w:lang w:val="en-US" w:eastAsia="zh-CN"/>
        </w:rPr>
        <w:t>5.7.2</w:t>
      </w:r>
      <w:r>
        <w:rPr>
          <w:rFonts w:hint="eastAsia" w:ascii="Calibri" w:hAnsi="Calibri" w:eastAsia="宋体" w:cs="Times New Roman"/>
          <w:lang w:eastAsia="zh-CN"/>
        </w:rPr>
        <w:t>中标单位</w:t>
      </w:r>
      <w:r>
        <w:rPr>
          <w:rFonts w:hint="eastAsia" w:ascii="Calibri" w:hAnsi="Calibri" w:eastAsia="宋体" w:cs="Times New Roman"/>
        </w:rPr>
        <w:t>应根据该项目的管理特点尽可能地利用信息化技术手段降低服务成本，提升服务品质，并提供针对本项目的物业管理服务信息化、大数据、数字化、智慧化等技术应用方案。有管理创新举措（如含有物业保值增值管理运营方案、维修调度管理、访客信息管理等功能），充分发挥高科技在管理中的作用，以提高管理效率和管理质量。</w:t>
      </w:r>
    </w:p>
    <w:p w14:paraId="3751B7EF">
      <w:pPr>
        <w:keepNext/>
        <w:keepLines/>
        <w:shd w:val="clear"/>
        <w:spacing w:before="260" w:after="260" w:line="416" w:lineRule="auto"/>
        <w:outlineLvl w:val="1"/>
        <w:rPr>
          <w:rFonts w:ascii="Cambria" w:hAnsi="Cambria" w:eastAsia="宋体" w:cs="Times New Roman"/>
          <w:sz w:val="32"/>
          <w:szCs w:val="32"/>
        </w:rPr>
      </w:pPr>
      <w:bookmarkStart w:id="88" w:name="_Toc97303160"/>
      <w:r>
        <w:rPr>
          <w:rFonts w:hint="eastAsia" w:ascii="Arial" w:hAnsi="Arial" w:eastAsia="黑体" w:cs="Times New Roman"/>
          <w:b/>
          <w:bCs/>
          <w:sz w:val="32"/>
          <w:szCs w:val="32"/>
        </w:rPr>
        <w:t>5.8档案及固定资产管理</w:t>
      </w:r>
      <w:bookmarkEnd w:id="88"/>
    </w:p>
    <w:p w14:paraId="0A870FA0">
      <w:pPr>
        <w:shd w:val="clear"/>
        <w:ind w:firstLine="420" w:firstLineChars="200"/>
        <w:rPr>
          <w:rFonts w:hint="eastAsia" w:ascii="Calibri" w:hAnsi="Calibri" w:eastAsia="宋体" w:cs="Times New Roman"/>
        </w:rPr>
      </w:pPr>
      <w:r>
        <w:rPr>
          <w:rFonts w:hint="eastAsia" w:ascii="Calibri" w:hAnsi="Calibri" w:eastAsia="宋体" w:cs="Times New Roman"/>
        </w:rPr>
        <w:t>5.8.1档案管理</w:t>
      </w:r>
    </w:p>
    <w:p w14:paraId="2B26E205">
      <w:pPr>
        <w:shd w:val="clear"/>
        <w:ind w:firstLine="420" w:firstLineChars="200"/>
        <w:rPr>
          <w:rFonts w:hint="eastAsia" w:ascii="Calibri" w:hAnsi="Calibri" w:eastAsia="宋体" w:cs="Times New Roman"/>
        </w:rPr>
      </w:pPr>
      <w:r>
        <w:rPr>
          <w:rFonts w:hint="eastAsia" w:ascii="Calibri" w:hAnsi="Calibri" w:eastAsia="宋体" w:cs="Times New Roman"/>
        </w:rPr>
        <w:t>（1）建立完整的物业服务人员人事档案和仓库出入库档案，做好各类行政文件、合同的存档工作；</w:t>
      </w:r>
    </w:p>
    <w:p w14:paraId="0E792671">
      <w:pPr>
        <w:shd w:val="clear"/>
        <w:ind w:firstLine="420" w:firstLineChars="200"/>
        <w:rPr>
          <w:rFonts w:hint="eastAsia" w:ascii="Calibri" w:hAnsi="Calibri" w:eastAsia="宋体" w:cs="Times New Roman"/>
        </w:rPr>
      </w:pPr>
      <w:r>
        <w:rPr>
          <w:rFonts w:hint="eastAsia" w:ascii="Calibri" w:hAnsi="Calibri" w:eastAsia="宋体" w:cs="Times New Roman"/>
        </w:rPr>
        <w:t>（2）建立维修、保洁、车辆等日常运作管理档案；</w:t>
      </w:r>
    </w:p>
    <w:p w14:paraId="79621436">
      <w:pPr>
        <w:shd w:val="clear"/>
        <w:ind w:firstLine="420" w:firstLineChars="200"/>
        <w:rPr>
          <w:rFonts w:hint="eastAsia" w:ascii="Calibri" w:hAnsi="Calibri" w:eastAsia="宋体" w:cs="Times New Roman"/>
        </w:rPr>
      </w:pPr>
      <w:r>
        <w:rPr>
          <w:rFonts w:hint="eastAsia" w:ascii="Calibri" w:hAnsi="Calibri" w:eastAsia="宋体" w:cs="Times New Roman"/>
        </w:rPr>
        <w:t>（3）建立物业验收、设备维修、房屋修缮、外购存货、楼宇数据及资产管理档案；</w:t>
      </w:r>
    </w:p>
    <w:p w14:paraId="382071E3">
      <w:pPr>
        <w:shd w:val="clear"/>
        <w:ind w:firstLine="420" w:firstLineChars="200"/>
        <w:rPr>
          <w:rFonts w:hint="eastAsia" w:ascii="Calibri" w:hAnsi="Calibri" w:eastAsia="宋体" w:cs="Times New Roman"/>
        </w:rPr>
      </w:pPr>
      <w:r>
        <w:rPr>
          <w:rFonts w:hint="eastAsia" w:ascii="Calibri" w:hAnsi="Calibri" w:eastAsia="宋体" w:cs="Times New Roman"/>
        </w:rPr>
        <w:t>（4）所有资料及管理资料分为图、档、卡、册四类，安放于防火、防潮、防蛀之专用档案箱内；</w:t>
      </w:r>
    </w:p>
    <w:p w14:paraId="304B801D">
      <w:pPr>
        <w:shd w:val="clear"/>
        <w:ind w:firstLine="420" w:firstLineChars="200"/>
        <w:rPr>
          <w:rFonts w:hint="eastAsia" w:ascii="Calibri" w:hAnsi="Calibri" w:eastAsia="宋体" w:cs="Times New Roman"/>
        </w:rPr>
      </w:pPr>
      <w:r>
        <w:rPr>
          <w:rFonts w:hint="eastAsia" w:ascii="Calibri" w:hAnsi="Calibri" w:eastAsia="宋体" w:cs="Times New Roman"/>
        </w:rPr>
        <w:t>（5）代管校方规划图、竣工图等建设资料复印件和设备设施技术资料复印件；</w:t>
      </w:r>
    </w:p>
    <w:p w14:paraId="7359828E">
      <w:pPr>
        <w:shd w:val="clear"/>
        <w:ind w:firstLine="420" w:firstLineChars="200"/>
        <w:rPr>
          <w:rFonts w:hint="eastAsia" w:ascii="Calibri" w:hAnsi="Calibri" w:eastAsia="宋体" w:cs="Times New Roman"/>
        </w:rPr>
      </w:pPr>
      <w:r>
        <w:rPr>
          <w:rFonts w:hint="eastAsia" w:ascii="Calibri" w:hAnsi="Calibri" w:eastAsia="宋体" w:cs="Times New Roman"/>
        </w:rPr>
        <w:t>（6）制定有关人、财、物移交的管理规定，所有管理档案资料，必须保证完整、完好、真实，并及时更新，撤离时全部移交校方。</w:t>
      </w:r>
    </w:p>
    <w:p w14:paraId="4FC97906">
      <w:pPr>
        <w:shd w:val="clear"/>
        <w:ind w:firstLine="420" w:firstLineChars="200"/>
        <w:rPr>
          <w:rFonts w:hint="eastAsia" w:ascii="Calibri" w:hAnsi="Calibri" w:eastAsia="宋体" w:cs="Times New Roman"/>
        </w:rPr>
      </w:pPr>
      <w:r>
        <w:rPr>
          <w:rFonts w:hint="eastAsia" w:ascii="Calibri" w:hAnsi="Calibri" w:eastAsia="宋体" w:cs="Times New Roman"/>
        </w:rPr>
        <w:t>5.8.2固定资产管理（后勤服务类）</w:t>
      </w:r>
    </w:p>
    <w:p w14:paraId="4E4AE9A7">
      <w:pPr>
        <w:shd w:val="clear"/>
        <w:ind w:firstLine="420" w:firstLineChars="200"/>
        <w:rPr>
          <w:rFonts w:hint="eastAsia" w:ascii="Calibri" w:hAnsi="Calibri" w:eastAsia="宋体" w:cs="Times New Roman"/>
          <w:lang w:eastAsia="zh-CN"/>
        </w:rPr>
      </w:pPr>
      <w:r>
        <w:rPr>
          <w:rFonts w:hint="eastAsia" w:ascii="Calibri" w:hAnsi="Calibri" w:eastAsia="宋体" w:cs="Times New Roman"/>
        </w:rPr>
        <w:t>（1）代管校方交接的固定资产，日常对固定资产做好归位清点工作，定期（如每季度或每年）对固定资产进行全面盘点，记录盘点结果，包括实际资产数量、状态与台账的差异情况，对盘盈、盘亏的资产进行详细说明</w:t>
      </w:r>
      <w:r>
        <w:rPr>
          <w:rFonts w:hint="eastAsia" w:ascii="Calibri" w:hAnsi="Calibri" w:eastAsia="宋体" w:cs="Times New Roman"/>
          <w:lang w:eastAsia="zh-CN"/>
        </w:rPr>
        <w:t>。</w:t>
      </w:r>
    </w:p>
    <w:p w14:paraId="280DF8A4">
      <w:pPr>
        <w:shd w:val="clear"/>
        <w:ind w:firstLine="420" w:firstLineChars="200"/>
        <w:rPr>
          <w:rFonts w:hint="eastAsia" w:ascii="Calibri" w:hAnsi="Calibri" w:eastAsia="宋体" w:cs="Times New Roman"/>
          <w:lang w:eastAsia="zh-CN"/>
        </w:rPr>
      </w:pPr>
      <w:r>
        <w:rPr>
          <w:rFonts w:hint="eastAsia" w:ascii="Calibri" w:hAnsi="Calibri" w:eastAsia="宋体" w:cs="Times New Roman"/>
        </w:rPr>
        <w:t>（2）建立详细的固定资产借用归还台账，涵盖借用人、借用人电话、资产名称、借用数量、借用原因、归还时间、经办人等信息，确保每一项借用归还固定资产都有完整的记录</w:t>
      </w:r>
      <w:r>
        <w:rPr>
          <w:rFonts w:hint="eastAsia" w:ascii="Calibri" w:hAnsi="Calibri" w:eastAsia="宋体" w:cs="Times New Roman"/>
          <w:lang w:eastAsia="zh-CN"/>
        </w:rPr>
        <w:t>。</w:t>
      </w:r>
    </w:p>
    <w:p w14:paraId="460ACB6B">
      <w:pPr>
        <w:shd w:val="clear"/>
        <w:ind w:firstLine="420" w:firstLineChars="200"/>
        <w:rPr>
          <w:rFonts w:hint="eastAsia" w:ascii="Calibri" w:hAnsi="Calibri" w:eastAsia="宋体" w:cs="Times New Roman"/>
        </w:rPr>
      </w:pPr>
      <w:r>
        <w:rPr>
          <w:rFonts w:hint="eastAsia" w:ascii="Calibri" w:hAnsi="Calibri" w:eastAsia="宋体" w:cs="Times New Roman"/>
        </w:rPr>
        <w:t>（3）根据校方要求，做好固定资产的搬运及维护，做好搬运过程中保护措施。</w:t>
      </w:r>
    </w:p>
    <w:p w14:paraId="568A93F0">
      <w:pPr>
        <w:keepNext/>
        <w:keepLines/>
        <w:shd w:val="clear"/>
        <w:spacing w:before="260" w:after="260" w:line="416" w:lineRule="auto"/>
        <w:outlineLvl w:val="1"/>
        <w:rPr>
          <w:rFonts w:ascii="Arial" w:hAnsi="Arial" w:eastAsia="黑体" w:cs="Times New Roman"/>
          <w:b/>
          <w:bCs/>
          <w:sz w:val="32"/>
          <w:szCs w:val="32"/>
        </w:rPr>
      </w:pPr>
      <w:bookmarkStart w:id="89" w:name="_Toc97303161"/>
      <w:r>
        <w:rPr>
          <w:rFonts w:hint="eastAsia" w:ascii="Arial" w:hAnsi="Arial" w:eastAsia="黑体" w:cs="Times New Roman"/>
          <w:b/>
          <w:bCs/>
          <w:sz w:val="32"/>
          <w:szCs w:val="32"/>
        </w:rPr>
        <w:t>5.</w:t>
      </w:r>
      <w:r>
        <w:rPr>
          <w:rFonts w:ascii="Arial" w:hAnsi="Arial" w:eastAsia="黑体" w:cs="Times New Roman"/>
          <w:b/>
          <w:bCs/>
          <w:sz w:val="32"/>
          <w:szCs w:val="32"/>
        </w:rPr>
        <w:t>9</w:t>
      </w:r>
      <w:r>
        <w:rPr>
          <w:rFonts w:hint="eastAsia" w:ascii="Arial" w:hAnsi="Arial" w:eastAsia="黑体" w:cs="Times New Roman"/>
          <w:b/>
          <w:bCs/>
          <w:sz w:val="32"/>
          <w:szCs w:val="32"/>
        </w:rPr>
        <w:t>应急事项处置</w:t>
      </w:r>
      <w:bookmarkEnd w:id="89"/>
    </w:p>
    <w:p w14:paraId="438665E6">
      <w:pPr>
        <w:shd w:val="clear"/>
        <w:ind w:firstLine="480"/>
        <w:rPr>
          <w:rFonts w:ascii="Calibri" w:hAnsi="Calibri" w:eastAsia="宋体" w:cs="Times New Roman"/>
        </w:rPr>
      </w:pPr>
      <w:r>
        <w:rPr>
          <w:rFonts w:hint="eastAsia" w:ascii="Calibri" w:hAnsi="Calibri" w:eastAsia="宋体" w:cs="Times New Roman"/>
        </w:rPr>
        <w:t>负责本物业管理服务项目内停电、停水、火灾、触电、渍水、自然灾害、治安刑事案件、聚众闹事、员工劳资纠纷、职工健康、员工舆情、电梯困人，非法集会、燃气泄露、重大人身伤亡事故等情况的应急处置工作，并及时汇报校方相关部门。</w:t>
      </w:r>
    </w:p>
    <w:p w14:paraId="306438BF">
      <w:pPr>
        <w:shd w:val="clear"/>
        <w:ind w:firstLine="480"/>
        <w:rPr>
          <w:rFonts w:hint="eastAsia" w:ascii="Calibri" w:hAnsi="Calibri" w:eastAsia="宋体" w:cs="Times New Roman"/>
          <w:lang w:eastAsia="zh-CN"/>
        </w:rPr>
      </w:pPr>
      <w:r>
        <w:rPr>
          <w:rFonts w:hint="eastAsia" w:ascii="Calibri" w:hAnsi="Calibri" w:eastAsia="宋体" w:cs="Times New Roman"/>
        </w:rPr>
        <w:t>5.</w:t>
      </w:r>
      <w:r>
        <w:rPr>
          <w:rFonts w:hint="eastAsia" w:ascii="Calibri" w:hAnsi="Calibri" w:eastAsia="宋体" w:cs="Times New Roman"/>
          <w:lang w:val="en-US" w:eastAsia="zh-CN"/>
        </w:rPr>
        <w:t>9</w:t>
      </w:r>
      <w:r>
        <w:rPr>
          <w:rFonts w:hint="eastAsia" w:ascii="Calibri" w:hAnsi="Calibri" w:eastAsia="宋体" w:cs="Times New Roman"/>
        </w:rPr>
        <w:t>.</w:t>
      </w:r>
      <w:r>
        <w:rPr>
          <w:rFonts w:hint="eastAsia" w:ascii="Calibri" w:hAnsi="Calibri" w:eastAsia="宋体" w:cs="Times New Roman"/>
          <w:lang w:val="en-US" w:eastAsia="zh-CN"/>
        </w:rPr>
        <w:t>1</w:t>
      </w:r>
      <w:r>
        <w:rPr>
          <w:rFonts w:hint="eastAsia" w:ascii="Calibri" w:hAnsi="Calibri" w:eastAsia="宋体" w:cs="Times New Roman"/>
        </w:rPr>
        <w:t>机构设置：成立突发事件应急处置工作组，</w:t>
      </w:r>
      <w:r>
        <w:rPr>
          <w:rFonts w:hint="eastAsia" w:ascii="Calibri" w:hAnsi="Calibri" w:eastAsia="宋体" w:cs="Times New Roman"/>
          <w:lang w:eastAsia="zh-CN"/>
        </w:rPr>
        <w:t>中标单位</w:t>
      </w:r>
      <w:r>
        <w:rPr>
          <w:rFonts w:hint="eastAsia" w:ascii="Calibri" w:hAnsi="Calibri" w:eastAsia="宋体" w:cs="Times New Roman"/>
        </w:rPr>
        <w:t>主要负责人为组长、各部门负责人为副组长、部门员工为组员的工作机构</w:t>
      </w:r>
      <w:r>
        <w:rPr>
          <w:rFonts w:hint="eastAsia" w:ascii="Calibri" w:hAnsi="Calibri" w:eastAsia="宋体" w:cs="Times New Roman"/>
          <w:lang w:eastAsia="zh-CN"/>
        </w:rPr>
        <w:t>。</w:t>
      </w:r>
    </w:p>
    <w:p w14:paraId="45B05955">
      <w:pPr>
        <w:shd w:val="clear"/>
        <w:ind w:firstLine="480"/>
        <w:rPr>
          <w:rFonts w:hint="eastAsia" w:ascii="Calibri" w:hAnsi="Calibri" w:eastAsia="宋体" w:cs="Times New Roman"/>
          <w:lang w:eastAsia="zh-CN"/>
        </w:rPr>
      </w:pPr>
      <w:r>
        <w:rPr>
          <w:rFonts w:hint="eastAsia" w:ascii="Calibri" w:hAnsi="Calibri" w:eastAsia="宋体" w:cs="Times New Roman"/>
        </w:rPr>
        <w:t>5.</w:t>
      </w:r>
      <w:r>
        <w:rPr>
          <w:rFonts w:hint="eastAsia" w:ascii="Calibri" w:hAnsi="Calibri" w:eastAsia="宋体" w:cs="Times New Roman"/>
          <w:lang w:val="en-US" w:eastAsia="zh-CN"/>
        </w:rPr>
        <w:t>9</w:t>
      </w:r>
      <w:r>
        <w:rPr>
          <w:rFonts w:hint="eastAsia" w:ascii="Calibri" w:hAnsi="Calibri" w:eastAsia="宋体" w:cs="Times New Roman"/>
        </w:rPr>
        <w:t>.</w:t>
      </w:r>
      <w:r>
        <w:rPr>
          <w:rFonts w:hint="eastAsia" w:ascii="Calibri" w:hAnsi="Calibri" w:eastAsia="宋体" w:cs="Times New Roman"/>
          <w:lang w:val="en-US" w:eastAsia="zh-CN"/>
        </w:rPr>
        <w:t>2</w:t>
      </w:r>
      <w:r>
        <w:rPr>
          <w:rFonts w:hint="eastAsia" w:ascii="Calibri" w:hAnsi="Calibri" w:eastAsia="宋体" w:cs="Times New Roman"/>
        </w:rPr>
        <w:t>应急预案：制定切实可行，操作性强的应预案，定期做好各项预案的演练，配备足够的应急物资与工具</w:t>
      </w:r>
      <w:r>
        <w:rPr>
          <w:rFonts w:hint="eastAsia" w:ascii="Calibri" w:hAnsi="Calibri" w:eastAsia="宋体" w:cs="Times New Roman"/>
          <w:lang w:eastAsia="zh-CN"/>
        </w:rPr>
        <w:t>。</w:t>
      </w:r>
    </w:p>
    <w:p w14:paraId="2AF1B149">
      <w:pPr>
        <w:shd w:val="clear"/>
        <w:ind w:firstLine="480"/>
        <w:rPr>
          <w:rFonts w:hint="eastAsia" w:ascii="Calibri" w:hAnsi="Calibri" w:eastAsia="宋体" w:cs="Times New Roman"/>
          <w:lang w:eastAsia="zh-CN"/>
        </w:rPr>
      </w:pPr>
      <w:r>
        <w:rPr>
          <w:rFonts w:hint="eastAsia" w:ascii="Calibri" w:hAnsi="Calibri" w:eastAsia="宋体" w:cs="Times New Roman"/>
        </w:rPr>
        <w:t>5.</w:t>
      </w:r>
      <w:r>
        <w:rPr>
          <w:rFonts w:hint="eastAsia" w:ascii="Calibri" w:hAnsi="Calibri" w:eastAsia="宋体" w:cs="Times New Roman"/>
          <w:lang w:val="en-US" w:eastAsia="zh-CN"/>
        </w:rPr>
        <w:t>9</w:t>
      </w:r>
      <w:r>
        <w:rPr>
          <w:rFonts w:hint="eastAsia" w:ascii="Calibri" w:hAnsi="Calibri" w:eastAsia="宋体" w:cs="Times New Roman"/>
        </w:rPr>
        <w:t>.</w:t>
      </w:r>
      <w:r>
        <w:rPr>
          <w:rFonts w:hint="eastAsia" w:ascii="Calibri" w:hAnsi="Calibri" w:eastAsia="宋体" w:cs="Times New Roman"/>
          <w:lang w:val="en-US" w:eastAsia="zh-CN"/>
        </w:rPr>
        <w:t>3</w:t>
      </w:r>
      <w:r>
        <w:rPr>
          <w:rFonts w:hint="eastAsia" w:ascii="Calibri" w:hAnsi="Calibri" w:eastAsia="宋体" w:cs="Times New Roman"/>
        </w:rPr>
        <w:t>工作原则：统一领导、各司其责、及时处置（在 5 分钟内快速反应）</w:t>
      </w:r>
      <w:r>
        <w:rPr>
          <w:rFonts w:hint="eastAsia" w:ascii="Calibri" w:hAnsi="Calibri" w:eastAsia="宋体" w:cs="Times New Roman"/>
          <w:lang w:eastAsia="zh-CN"/>
        </w:rPr>
        <w:t>。</w:t>
      </w:r>
    </w:p>
    <w:p w14:paraId="06BD9917">
      <w:pPr>
        <w:shd w:val="clear"/>
        <w:ind w:firstLine="480"/>
        <w:rPr>
          <w:rFonts w:ascii="Calibri" w:hAnsi="Calibri" w:eastAsia="宋体" w:cs="Times New Roman"/>
        </w:rPr>
      </w:pPr>
      <w:r>
        <w:rPr>
          <w:rFonts w:hint="eastAsia" w:ascii="Calibri" w:hAnsi="Calibri" w:eastAsia="宋体" w:cs="Times New Roman"/>
        </w:rPr>
        <w:t>5.</w:t>
      </w:r>
      <w:r>
        <w:rPr>
          <w:rFonts w:hint="eastAsia" w:ascii="Calibri" w:hAnsi="Calibri" w:eastAsia="宋体" w:cs="Times New Roman"/>
          <w:lang w:val="en-US" w:eastAsia="zh-CN"/>
        </w:rPr>
        <w:t>9</w:t>
      </w:r>
      <w:r>
        <w:rPr>
          <w:rFonts w:hint="eastAsia" w:ascii="Calibri" w:hAnsi="Calibri" w:eastAsia="宋体" w:cs="Times New Roman"/>
        </w:rPr>
        <w:t>.</w:t>
      </w:r>
      <w:r>
        <w:rPr>
          <w:rFonts w:hint="eastAsia" w:ascii="Calibri" w:hAnsi="Calibri" w:eastAsia="宋体" w:cs="Times New Roman"/>
          <w:lang w:val="en-US" w:eastAsia="zh-CN"/>
        </w:rPr>
        <w:t>4</w:t>
      </w:r>
      <w:r>
        <w:rPr>
          <w:rFonts w:hint="eastAsia" w:ascii="Calibri" w:hAnsi="Calibri" w:eastAsia="宋体" w:cs="Times New Roman"/>
        </w:rPr>
        <w:t>责任追究：对因应急处置不及时或不力，造成重大财产损失或人身伤害的，依法追究法律责任。</w:t>
      </w:r>
    </w:p>
    <w:p w14:paraId="4DFEBB21">
      <w:pPr>
        <w:keepNext/>
        <w:keepLines/>
        <w:shd w:val="clear"/>
        <w:spacing w:before="260" w:after="260" w:line="416" w:lineRule="auto"/>
        <w:outlineLvl w:val="1"/>
        <w:rPr>
          <w:rFonts w:ascii="Arial" w:hAnsi="Arial" w:eastAsia="黑体" w:cs="Times New Roman"/>
          <w:b/>
          <w:bCs/>
          <w:sz w:val="32"/>
          <w:szCs w:val="32"/>
        </w:rPr>
      </w:pPr>
      <w:bookmarkStart w:id="90" w:name="_Toc97303162"/>
      <w:r>
        <w:rPr>
          <w:rFonts w:hint="eastAsia" w:ascii="Arial" w:hAnsi="Arial" w:eastAsia="黑体" w:cs="Times New Roman"/>
          <w:b/>
          <w:bCs/>
          <w:sz w:val="32"/>
          <w:szCs w:val="32"/>
        </w:rPr>
        <w:t>5.1</w:t>
      </w:r>
      <w:r>
        <w:rPr>
          <w:rFonts w:ascii="Arial" w:hAnsi="Arial" w:eastAsia="黑体" w:cs="Times New Roman"/>
          <w:b/>
          <w:bCs/>
          <w:sz w:val="32"/>
          <w:szCs w:val="32"/>
        </w:rPr>
        <w:t xml:space="preserve">0 </w:t>
      </w:r>
      <w:r>
        <w:rPr>
          <w:rFonts w:hint="eastAsia" w:ascii="Arial" w:hAnsi="Arial" w:eastAsia="黑体" w:cs="Times New Roman"/>
          <w:b/>
          <w:bCs/>
          <w:sz w:val="32"/>
          <w:szCs w:val="32"/>
        </w:rPr>
        <w:t>开展物业工作研究及其他</w:t>
      </w:r>
      <w:bookmarkEnd w:id="90"/>
    </w:p>
    <w:p w14:paraId="1EB25E2F">
      <w:pPr>
        <w:shd w:val="clear"/>
        <w:ind w:firstLine="480"/>
        <w:rPr>
          <w:rFonts w:ascii="Calibri" w:hAnsi="Calibri" w:eastAsia="宋体" w:cs="Times New Roman"/>
        </w:rPr>
      </w:pPr>
      <w:r>
        <w:rPr>
          <w:rFonts w:hint="eastAsia" w:ascii="Calibri" w:hAnsi="Calibri" w:eastAsia="宋体" w:cs="Times New Roman"/>
        </w:rPr>
        <w:t>协助校方共同参与国家、省、市有关部门、教育后勤协会开展的关于高校后勤、物业、绿色节能等方面的课题研究、项目申报，优秀/示范项目创建、评比等工作。</w:t>
      </w:r>
    </w:p>
    <w:p w14:paraId="3C2377F7">
      <w:pPr>
        <w:shd w:val="clear"/>
        <w:ind w:firstLine="480"/>
        <w:rPr>
          <w:rFonts w:ascii="Calibri" w:hAnsi="Calibri" w:eastAsia="宋体" w:cs="Times New Roman"/>
        </w:rPr>
      </w:pPr>
      <w:r>
        <w:rPr>
          <w:rFonts w:ascii="Calibri" w:hAnsi="Calibri" w:eastAsia="宋体" w:cs="Times New Roman"/>
        </w:rPr>
        <w:t>采取一定的方法开展育人活动，为各类志愿者提供指导和协助。</w:t>
      </w:r>
    </w:p>
    <w:p w14:paraId="24B5C96E">
      <w:pPr>
        <w:keepNext/>
        <w:keepLines/>
        <w:shd w:val="clear"/>
        <w:spacing w:before="260" w:after="260" w:line="416" w:lineRule="auto"/>
        <w:outlineLvl w:val="1"/>
        <w:rPr>
          <w:rFonts w:hint="eastAsia" w:ascii="Arial" w:hAnsi="Arial" w:eastAsia="黑体" w:cs="Times New Roman"/>
          <w:b/>
          <w:bCs/>
          <w:sz w:val="32"/>
          <w:szCs w:val="32"/>
        </w:rPr>
      </w:pPr>
      <w:bookmarkStart w:id="91" w:name="_Toc97303164"/>
      <w:r>
        <w:rPr>
          <w:rFonts w:hint="eastAsia" w:ascii="Arial" w:hAnsi="Arial" w:eastAsia="黑体" w:cs="Times New Roman"/>
          <w:b/>
          <w:bCs/>
          <w:sz w:val="32"/>
          <w:szCs w:val="32"/>
        </w:rPr>
        <w:t>5.11 延伸服务</w:t>
      </w:r>
      <w:bookmarkEnd w:id="91"/>
    </w:p>
    <w:p w14:paraId="09FEDB3B">
      <w:pPr>
        <w:shd w:val="clear"/>
        <w:ind w:firstLine="480"/>
        <w:rPr>
          <w:rFonts w:ascii="Calibri" w:hAnsi="Calibri" w:eastAsia="宋体" w:cs="Times New Roman"/>
          <w:highlight w:val="yellow"/>
        </w:rPr>
      </w:pPr>
      <w:r>
        <w:rPr>
          <w:rFonts w:hint="eastAsia" w:ascii="Calibri" w:hAnsi="Calibri" w:eastAsia="宋体" w:cs="Times New Roman"/>
          <w:lang w:eastAsia="zh-CN"/>
        </w:rPr>
        <w:t>中标单位</w:t>
      </w:r>
      <w:r>
        <w:rPr>
          <w:rFonts w:hint="eastAsia" w:ascii="Calibri" w:hAnsi="Calibri" w:eastAsia="宋体" w:cs="Times New Roman"/>
        </w:rPr>
        <w:t>须配合校方做好学生生活配套服务工作以及开学、迎新、毕业免费运行行李、非固定资产类废旧品处置等。配合校方做好配套服务的方案策划、运营监管、服务评价等相关工作</w:t>
      </w:r>
      <w:bookmarkEnd w:id="79"/>
      <w:r>
        <w:rPr>
          <w:rFonts w:hint="eastAsia" w:ascii="Calibri" w:hAnsi="Calibri" w:eastAsia="宋体" w:cs="Times New Roman"/>
        </w:rPr>
        <w:t>。</w:t>
      </w:r>
    </w:p>
    <w:p w14:paraId="7B8CBAEA">
      <w:pPr>
        <w:shd w:val="clear"/>
        <w:autoSpaceDE w:val="0"/>
        <w:autoSpaceDN w:val="0"/>
        <w:adjustRightInd w:val="0"/>
        <w:spacing w:line="360" w:lineRule="auto"/>
        <w:jc w:val="center"/>
        <w:outlineLvl w:val="0"/>
        <w:rPr>
          <w:rFonts w:ascii="Calibri" w:hAnsi="Calibri" w:eastAsia="隶书" w:cs="Times New Roman"/>
          <w:b/>
          <w:bCs/>
          <w:kern w:val="0"/>
          <w:sz w:val="36"/>
          <w:szCs w:val="36"/>
        </w:rPr>
      </w:pPr>
      <w:bookmarkStart w:id="92" w:name="_Toc97303165"/>
      <w:r>
        <w:rPr>
          <w:rFonts w:hint="eastAsia" w:ascii="Calibri" w:hAnsi="Calibri" w:eastAsia="隶书" w:cs="Times New Roman"/>
          <w:b/>
          <w:bCs/>
          <w:kern w:val="0"/>
          <w:sz w:val="36"/>
          <w:szCs w:val="36"/>
        </w:rPr>
        <w:t>六、其他约定</w:t>
      </w:r>
      <w:bookmarkEnd w:id="92"/>
    </w:p>
    <w:p w14:paraId="3233F2CE">
      <w:pPr>
        <w:shd w:val="clear"/>
        <w:rPr>
          <w:rFonts w:hint="default" w:ascii="Arial" w:hAnsi="Arial" w:eastAsia="黑体" w:cs="Times New Roman"/>
          <w:b/>
          <w:bCs/>
          <w:sz w:val="32"/>
          <w:szCs w:val="32"/>
          <w:lang w:val="en-US" w:eastAsia="zh-CN"/>
        </w:rPr>
      </w:pPr>
      <w:r>
        <w:rPr>
          <w:rFonts w:hint="eastAsia" w:ascii="Arial" w:hAnsi="Arial" w:eastAsia="黑体" w:cs="Times New Roman"/>
          <w:b/>
          <w:bCs/>
          <w:sz w:val="32"/>
          <w:szCs w:val="32"/>
          <w:lang w:val="en-US" w:eastAsia="zh-CN"/>
        </w:rPr>
        <w:t>6.1行政办公费用</w:t>
      </w:r>
    </w:p>
    <w:p w14:paraId="77153634">
      <w:pPr>
        <w:shd w:val="clear"/>
        <w:ind w:firstLine="420" w:firstLineChars="200"/>
        <w:rPr>
          <w:rFonts w:ascii="宋体" w:hAnsi="宋体" w:eastAsia="宋体" w:cs="Times New Roman"/>
        </w:rPr>
      </w:pPr>
      <w:r>
        <w:rPr>
          <w:rFonts w:hint="eastAsia" w:ascii="Calibri" w:hAnsi="Calibri" w:eastAsia="宋体" w:cs="Times New Roman"/>
          <w:lang w:val="en-US" w:eastAsia="zh-CN"/>
        </w:rPr>
        <w:t>6</w:t>
      </w:r>
      <w:r>
        <w:rPr>
          <w:rFonts w:hint="eastAsia" w:ascii="Calibri" w:hAnsi="Calibri" w:eastAsia="宋体" w:cs="Times New Roman"/>
        </w:rPr>
        <w:t>.</w:t>
      </w:r>
      <w:r>
        <w:rPr>
          <w:rFonts w:hint="eastAsia" w:ascii="Calibri" w:hAnsi="Calibri" w:eastAsia="宋体" w:cs="Times New Roman"/>
          <w:lang w:val="en-US" w:eastAsia="zh-CN"/>
        </w:rPr>
        <w:t>1</w:t>
      </w:r>
      <w:r>
        <w:rPr>
          <w:rFonts w:hint="eastAsia" w:ascii="宋体" w:hAnsi="宋体" w:eastAsia="宋体" w:cs="Times New Roman"/>
        </w:rPr>
        <w:t>.</w:t>
      </w:r>
      <w:r>
        <w:rPr>
          <w:rFonts w:hint="eastAsia" w:ascii="宋体" w:hAnsi="宋体" w:eastAsia="宋体" w:cs="Times New Roman"/>
          <w:lang w:val="en-US" w:eastAsia="zh-CN"/>
        </w:rPr>
        <w:t>1</w:t>
      </w:r>
      <w:r>
        <w:rPr>
          <w:rFonts w:hint="eastAsia" w:ascii="宋体" w:hAnsi="宋体" w:eastAsia="宋体" w:cs="Times New Roman"/>
        </w:rPr>
        <w:t>通讯费</w:t>
      </w:r>
      <w:r>
        <w:rPr>
          <w:rFonts w:hint="eastAsia" w:ascii="宋体" w:hAnsi="宋体" w:eastAsia="宋体" w:cs="Times New Roman"/>
          <w:lang w:eastAsia="zh-CN"/>
        </w:rPr>
        <w:t>：</w:t>
      </w:r>
      <w:r>
        <w:rPr>
          <w:rFonts w:hint="eastAsia" w:ascii="宋体" w:hAnsi="宋体" w:eastAsia="宋体" w:cs="Times New Roman"/>
        </w:rPr>
        <w:t>物业公司自行承担电话、网络等通讯费用。</w:t>
      </w:r>
    </w:p>
    <w:p w14:paraId="72FDB6EF">
      <w:pPr>
        <w:numPr>
          <w:ilvl w:val="0"/>
          <w:numId w:val="0"/>
        </w:numPr>
        <w:shd w:val="clear"/>
        <w:ind w:firstLine="420" w:firstLineChars="200"/>
        <w:rPr>
          <w:rFonts w:ascii="宋体" w:hAnsi="宋体" w:eastAsia="宋体" w:cs="Times New Roman"/>
        </w:rPr>
      </w:pPr>
      <w:r>
        <w:rPr>
          <w:rFonts w:hint="eastAsia" w:ascii="宋体" w:hAnsi="宋体" w:eastAsia="宋体" w:cs="Times New Roman"/>
          <w:lang w:val="en-US" w:eastAsia="zh-CN"/>
        </w:rPr>
        <w:t>6.1</w:t>
      </w:r>
      <w:r>
        <w:rPr>
          <w:rFonts w:hint="eastAsia" w:ascii="宋体" w:hAnsi="宋体" w:eastAsia="宋体" w:cs="Times New Roman"/>
        </w:rPr>
        <w:t>.</w:t>
      </w:r>
      <w:r>
        <w:rPr>
          <w:rFonts w:hint="eastAsia" w:ascii="宋体" w:hAnsi="宋体" w:eastAsia="宋体" w:cs="Times New Roman"/>
          <w:lang w:val="en-US" w:eastAsia="zh-CN"/>
        </w:rPr>
        <w:t>2能耗费：</w:t>
      </w:r>
      <w:r>
        <w:rPr>
          <w:rFonts w:hint="eastAsia" w:ascii="宋体" w:hAnsi="宋体" w:eastAsia="宋体" w:cs="Times New Roman"/>
        </w:rPr>
        <w:t>物业公司自行承担办公场所产生的能耗费。</w:t>
      </w:r>
    </w:p>
    <w:p w14:paraId="4EFF25FF">
      <w:pPr>
        <w:numPr>
          <w:ilvl w:val="0"/>
          <w:numId w:val="0"/>
        </w:numPr>
        <w:shd w:val="clear"/>
        <w:ind w:firstLine="420" w:firstLineChars="200"/>
        <w:rPr>
          <w:rFonts w:hint="eastAsia" w:ascii="宋体" w:hAnsi="宋体" w:eastAsia="宋体" w:cs="Times New Roman"/>
        </w:rPr>
      </w:pPr>
      <w:r>
        <w:rPr>
          <w:rFonts w:hint="eastAsia" w:ascii="宋体" w:hAnsi="宋体" w:eastAsia="宋体" w:cs="Times New Roman"/>
          <w:lang w:val="en-US" w:eastAsia="zh-CN"/>
        </w:rPr>
        <w:t>6.1</w:t>
      </w:r>
      <w:r>
        <w:rPr>
          <w:rFonts w:hint="eastAsia" w:ascii="宋体" w:hAnsi="宋体" w:eastAsia="宋体" w:cs="Times New Roman"/>
        </w:rPr>
        <w:t>.</w:t>
      </w:r>
      <w:r>
        <w:rPr>
          <w:rFonts w:hint="eastAsia" w:ascii="宋体" w:hAnsi="宋体" w:eastAsia="宋体" w:cs="Times New Roman"/>
          <w:lang w:val="en-US" w:eastAsia="zh-CN"/>
        </w:rPr>
        <w:t>3制服费用：</w:t>
      </w:r>
      <w:r>
        <w:rPr>
          <w:rFonts w:hint="eastAsia" w:ascii="宋体" w:hAnsi="宋体" w:eastAsia="宋体" w:cs="Times New Roman"/>
        </w:rPr>
        <w:t>物业公司承担员工的工作服费用，款式及颜色需经校方认可。</w:t>
      </w:r>
    </w:p>
    <w:p w14:paraId="2757D697">
      <w:pPr>
        <w:numPr>
          <w:ilvl w:val="0"/>
          <w:numId w:val="0"/>
        </w:numPr>
        <w:shd w:val="clear"/>
        <w:ind w:firstLine="420" w:firstLineChars="200"/>
        <w:rPr>
          <w:rFonts w:hint="eastAsia" w:ascii="宋体" w:hAnsi="宋体" w:eastAsia="宋体" w:cs="Times New Roman"/>
        </w:rPr>
      </w:pPr>
      <w:r>
        <w:rPr>
          <w:rFonts w:hint="eastAsia" w:ascii="宋体" w:hAnsi="宋体" w:eastAsia="宋体" w:cs="Times New Roman"/>
          <w:lang w:val="en-US" w:eastAsia="zh-CN"/>
        </w:rPr>
        <w:t>6.1</w:t>
      </w:r>
      <w:r>
        <w:rPr>
          <w:rFonts w:hint="eastAsia" w:ascii="宋体" w:hAnsi="宋体" w:eastAsia="宋体" w:cs="Times New Roman"/>
        </w:rPr>
        <w:t>.</w:t>
      </w:r>
      <w:r>
        <w:rPr>
          <w:rFonts w:hint="eastAsia" w:ascii="宋体" w:hAnsi="宋体" w:eastAsia="宋体" w:cs="Times New Roman"/>
          <w:lang w:val="en-US" w:eastAsia="zh-CN"/>
        </w:rPr>
        <w:t>4其他办公费用：</w:t>
      </w:r>
      <w:r>
        <w:rPr>
          <w:rFonts w:hint="eastAsia" w:ascii="宋体" w:hAnsi="宋体" w:eastAsia="宋体" w:cs="Times New Roman"/>
        </w:rPr>
        <w:t>物业公司自行承担。</w:t>
      </w:r>
    </w:p>
    <w:p w14:paraId="17FC570B">
      <w:pPr>
        <w:shd w:val="clear"/>
        <w:jc w:val="left"/>
        <w:rPr>
          <w:rFonts w:hint="eastAsia" w:ascii="Arial" w:hAnsi="Arial" w:eastAsia="黑体" w:cs="Times New Roman"/>
          <w:b/>
          <w:bCs/>
          <w:sz w:val="32"/>
          <w:szCs w:val="32"/>
          <w:lang w:val="en-US" w:eastAsia="zh-CN"/>
        </w:rPr>
      </w:pPr>
      <w:r>
        <w:rPr>
          <w:rFonts w:hint="eastAsia" w:ascii="Arial" w:hAnsi="Arial" w:eastAsia="黑体" w:cs="Times New Roman"/>
          <w:b/>
          <w:bCs/>
          <w:sz w:val="32"/>
          <w:szCs w:val="32"/>
          <w:lang w:val="en-US" w:eastAsia="zh-CN"/>
        </w:rPr>
        <w:t>6.2工具及耗材费用</w:t>
      </w:r>
    </w:p>
    <w:p w14:paraId="1392EE96">
      <w:pPr>
        <w:shd w:val="clear"/>
        <w:ind w:firstLine="420" w:firstLineChars="200"/>
        <w:jc w:val="left"/>
        <w:rPr>
          <w:rFonts w:ascii="宋体" w:hAnsi="宋体" w:eastAsia="宋体" w:cs="Times New Roman"/>
          <w:snapToGrid w:val="0"/>
          <w:kern w:val="0"/>
        </w:rPr>
      </w:pPr>
      <w:r>
        <w:rPr>
          <w:rFonts w:hint="eastAsia" w:ascii="Calibri" w:hAnsi="Calibri" w:eastAsia="宋体" w:cs="Times New Roman"/>
          <w:lang w:val="en-US" w:eastAsia="zh-CN"/>
        </w:rPr>
        <w:t>6</w:t>
      </w:r>
      <w:r>
        <w:rPr>
          <w:rFonts w:hint="eastAsia" w:ascii="Calibri" w:hAnsi="Calibri" w:eastAsia="宋体" w:cs="Times New Roman"/>
        </w:rPr>
        <w:t>.</w:t>
      </w:r>
      <w:r>
        <w:rPr>
          <w:rFonts w:hint="eastAsia" w:ascii="Calibri" w:hAnsi="Calibri" w:eastAsia="宋体" w:cs="Times New Roman"/>
          <w:lang w:val="en-US" w:eastAsia="zh-CN"/>
        </w:rPr>
        <w:t>2</w:t>
      </w:r>
      <w:r>
        <w:rPr>
          <w:rFonts w:hint="eastAsia" w:ascii="宋体" w:hAnsi="宋体" w:eastAsia="宋体" w:cs="Times New Roman"/>
        </w:rPr>
        <w:t>.</w:t>
      </w:r>
      <w:r>
        <w:rPr>
          <w:rFonts w:hint="eastAsia" w:ascii="宋体" w:hAnsi="宋体" w:eastAsia="宋体" w:cs="Times New Roman"/>
          <w:lang w:val="en-US" w:eastAsia="zh-CN"/>
        </w:rPr>
        <w:t>1</w:t>
      </w:r>
      <w:r>
        <w:rPr>
          <w:rFonts w:hint="eastAsia" w:ascii="宋体" w:hAnsi="宋体" w:eastAsia="宋体" w:cs="Times New Roman"/>
        </w:rPr>
        <w:t>保洁工具（含垃圾桶）及耗材（含各类垃圾袋、</w:t>
      </w:r>
      <w:r>
        <w:rPr>
          <w:rFonts w:hint="eastAsia" w:ascii="宋体" w:hAnsi="宋体" w:eastAsia="宋体" w:cs="Times New Roman"/>
          <w:lang w:val="en-US" w:eastAsia="zh-CN"/>
        </w:rPr>
        <w:t>公共</w:t>
      </w:r>
      <w:r>
        <w:rPr>
          <w:rFonts w:hint="eastAsia" w:ascii="宋体" w:hAnsi="宋体" w:eastAsia="宋体" w:cs="Times New Roman"/>
        </w:rPr>
        <w:t>卫生间的卫生纸及洗手液</w:t>
      </w:r>
      <w:r>
        <w:rPr>
          <w:rFonts w:hint="eastAsia" w:ascii="宋体" w:hAnsi="宋体" w:eastAsia="宋体" w:cs="Times New Roman"/>
          <w:lang w:eastAsia="zh-CN"/>
        </w:rPr>
        <w:t>，</w:t>
      </w:r>
      <w:r>
        <w:rPr>
          <w:rFonts w:hint="eastAsia" w:ascii="宋体" w:hAnsi="宋体" w:eastAsia="宋体" w:cs="Times New Roman"/>
          <w:lang w:val="en-US" w:eastAsia="zh-CN"/>
        </w:rPr>
        <w:t>卫生纸提供清风、心相印、洁柔等品牌或同档次的产品</w:t>
      </w:r>
      <w:r>
        <w:rPr>
          <w:rFonts w:hint="eastAsia" w:ascii="宋体" w:hAnsi="宋体" w:eastAsia="宋体" w:cs="Times New Roman"/>
        </w:rPr>
        <w:t>）、绿化工具、耗材及各类播种草籽费、消杀费、生活水箱清洗及水质检测费、化粪池清运费、维修工具、无尘粉笔、粉笔擦等耗材由物业公司承担；</w:t>
      </w:r>
      <w:r>
        <w:rPr>
          <w:rFonts w:hint="eastAsia" w:ascii="宋体" w:hAnsi="宋体" w:eastAsia="宋体" w:cs="Times New Roman"/>
          <w:snapToGrid w:val="0"/>
          <w:kern w:val="0"/>
        </w:rPr>
        <w:t>日常零星维修耗材费用由物业公司承担。</w:t>
      </w:r>
    </w:p>
    <w:p w14:paraId="2806FBB9">
      <w:pPr>
        <w:shd w:val="clear"/>
        <w:ind w:firstLine="420" w:firstLineChars="200"/>
        <w:rPr>
          <w:rFonts w:ascii="宋体" w:hAnsi="宋体" w:eastAsia="宋体" w:cs="Times New Roman"/>
        </w:rPr>
      </w:pPr>
      <w:r>
        <w:rPr>
          <w:rFonts w:hint="eastAsia" w:ascii="Calibri" w:hAnsi="Calibri" w:eastAsia="宋体" w:cs="Times New Roman"/>
          <w:lang w:val="en-US" w:eastAsia="zh-CN"/>
        </w:rPr>
        <w:t>6</w:t>
      </w:r>
      <w:r>
        <w:rPr>
          <w:rFonts w:hint="eastAsia" w:ascii="Calibri" w:hAnsi="Calibri" w:eastAsia="宋体" w:cs="Times New Roman"/>
        </w:rPr>
        <w:t>.</w:t>
      </w:r>
      <w:r>
        <w:rPr>
          <w:rFonts w:hint="eastAsia" w:ascii="Calibri" w:hAnsi="Calibri" w:eastAsia="宋体" w:cs="Times New Roman"/>
          <w:lang w:val="en-US" w:eastAsia="zh-CN"/>
        </w:rPr>
        <w:t>2</w:t>
      </w:r>
      <w:r>
        <w:rPr>
          <w:rFonts w:hint="eastAsia" w:ascii="宋体" w:hAnsi="宋体" w:eastAsia="宋体" w:cs="Times New Roman"/>
        </w:rPr>
        <w:t>.</w:t>
      </w:r>
      <w:r>
        <w:rPr>
          <w:rFonts w:hint="eastAsia" w:ascii="宋体" w:hAnsi="宋体" w:eastAsia="宋体" w:cs="Times New Roman"/>
          <w:lang w:val="en-US" w:eastAsia="zh-CN"/>
        </w:rPr>
        <w:t>2</w:t>
      </w:r>
      <w:r>
        <w:rPr>
          <w:rFonts w:hint="eastAsia" w:ascii="宋体" w:hAnsi="宋体" w:eastAsia="宋体" w:cs="Times New Roman"/>
        </w:rPr>
        <w:t>文明寝室建设所需要的工具、易耗品费用由物业公司承担。</w:t>
      </w:r>
    </w:p>
    <w:p w14:paraId="05105A5A">
      <w:pPr>
        <w:shd w:val="clear"/>
        <w:ind w:firstLine="420" w:firstLineChars="200"/>
        <w:rPr>
          <w:rFonts w:ascii="宋体" w:hAnsi="宋体" w:eastAsia="宋体" w:cs="Times New Roman"/>
        </w:rPr>
      </w:pPr>
      <w:r>
        <w:rPr>
          <w:rFonts w:hint="eastAsia" w:ascii="Calibri" w:hAnsi="Calibri" w:eastAsia="宋体" w:cs="Times New Roman"/>
          <w:lang w:val="en-US" w:eastAsia="zh-CN"/>
        </w:rPr>
        <w:t>6</w:t>
      </w:r>
      <w:r>
        <w:rPr>
          <w:rFonts w:hint="eastAsia" w:ascii="Calibri" w:hAnsi="Calibri" w:eastAsia="宋体" w:cs="Times New Roman"/>
        </w:rPr>
        <w:t>.</w:t>
      </w:r>
      <w:r>
        <w:rPr>
          <w:rFonts w:hint="eastAsia" w:ascii="Calibri" w:hAnsi="Calibri" w:eastAsia="宋体" w:cs="Times New Roman"/>
          <w:lang w:val="en-US" w:eastAsia="zh-CN"/>
        </w:rPr>
        <w:t>2</w:t>
      </w:r>
      <w:r>
        <w:rPr>
          <w:rFonts w:hint="eastAsia" w:ascii="宋体" w:hAnsi="宋体" w:eastAsia="宋体" w:cs="Times New Roman"/>
        </w:rPr>
        <w:t>.</w:t>
      </w:r>
      <w:r>
        <w:rPr>
          <w:rFonts w:hint="eastAsia" w:ascii="宋体" w:hAnsi="宋体" w:eastAsia="宋体" w:cs="Times New Roman"/>
          <w:lang w:val="en-US" w:eastAsia="zh-CN"/>
        </w:rPr>
        <w:t>3</w:t>
      </w:r>
      <w:r>
        <w:rPr>
          <w:rFonts w:hint="eastAsia" w:ascii="宋体" w:hAnsi="宋体" w:eastAsia="宋体" w:cs="Times New Roman"/>
        </w:rPr>
        <w:t>室内绿植租摆费用由物业公司承担。</w:t>
      </w:r>
    </w:p>
    <w:p w14:paraId="2CC6D74E">
      <w:pPr>
        <w:shd w:val="clear"/>
        <w:ind w:firstLine="420" w:firstLineChars="200"/>
        <w:rPr>
          <w:rFonts w:hint="eastAsia" w:ascii="宋体" w:hAnsi="宋体" w:eastAsia="宋体" w:cs="Times New Roman"/>
        </w:rPr>
      </w:pPr>
      <w:r>
        <w:rPr>
          <w:rFonts w:hint="eastAsia" w:ascii="Calibri" w:hAnsi="Calibri" w:eastAsia="宋体" w:cs="Times New Roman"/>
          <w:lang w:val="en-US" w:eastAsia="zh-CN"/>
        </w:rPr>
        <w:t>6</w:t>
      </w:r>
      <w:r>
        <w:rPr>
          <w:rFonts w:hint="eastAsia" w:ascii="Calibri" w:hAnsi="Calibri" w:eastAsia="宋体" w:cs="Times New Roman"/>
        </w:rPr>
        <w:t>.</w:t>
      </w:r>
      <w:r>
        <w:rPr>
          <w:rFonts w:hint="eastAsia" w:ascii="Calibri" w:hAnsi="Calibri" w:eastAsia="宋体" w:cs="Times New Roman"/>
          <w:lang w:val="en-US" w:eastAsia="zh-CN"/>
        </w:rPr>
        <w:t>2</w:t>
      </w:r>
      <w:r>
        <w:rPr>
          <w:rFonts w:hint="eastAsia" w:ascii="宋体" w:hAnsi="宋体" w:eastAsia="宋体" w:cs="Times New Roman"/>
        </w:rPr>
        <w:t>.</w:t>
      </w:r>
      <w:r>
        <w:rPr>
          <w:rFonts w:hint="eastAsia" w:ascii="宋体" w:hAnsi="宋体" w:eastAsia="宋体" w:cs="Times New Roman"/>
          <w:lang w:val="en-US" w:eastAsia="zh-CN"/>
        </w:rPr>
        <w:t>4</w:t>
      </w:r>
      <w:r>
        <w:rPr>
          <w:rFonts w:hint="eastAsia" w:ascii="宋体" w:hAnsi="宋体" w:eastAsia="宋体" w:cs="Times New Roman"/>
        </w:rPr>
        <w:t>所有公共设备及专业设备（食堂、消防和车辆管理、信息化、通讯网络、各类教学设备、体育专用设备、学院加装设备等除外）的维护、保养工作由物业公司负责并承担相关费用。</w:t>
      </w:r>
    </w:p>
    <w:p w14:paraId="54E3350F">
      <w:pPr>
        <w:shd w:val="clear"/>
        <w:outlineLvl w:val="0"/>
        <w:rPr>
          <w:rFonts w:ascii="宋体" w:hAnsi="宋体" w:eastAsia="宋体" w:cs="Times New Roman"/>
        </w:rPr>
      </w:pPr>
    </w:p>
    <w:p w14:paraId="49E85E76">
      <w:pPr>
        <w:shd w:val="clear"/>
        <w:autoSpaceDE w:val="0"/>
        <w:autoSpaceDN w:val="0"/>
        <w:adjustRightInd w:val="0"/>
        <w:spacing w:line="360" w:lineRule="auto"/>
        <w:ind w:firstLine="480"/>
        <w:jc w:val="center"/>
        <w:outlineLvl w:val="0"/>
        <w:rPr>
          <w:rFonts w:ascii="Calibri" w:hAnsi="Calibri" w:eastAsia="隶书" w:cs="Times New Roman"/>
          <w:kern w:val="0"/>
          <w:sz w:val="36"/>
          <w:szCs w:val="36"/>
        </w:rPr>
      </w:pPr>
      <w:bookmarkStart w:id="93" w:name="_Toc97303166"/>
      <w:r>
        <w:rPr>
          <w:rFonts w:hint="eastAsia" w:ascii="Calibri" w:hAnsi="Calibri" w:eastAsia="隶书" w:cs="Times New Roman"/>
          <w:b/>
          <w:bCs/>
          <w:kern w:val="0"/>
          <w:sz w:val="36"/>
          <w:szCs w:val="36"/>
        </w:rPr>
        <w:t>七、物业管理费用测算及补充说明</w:t>
      </w:r>
      <w:bookmarkEnd w:id="93"/>
    </w:p>
    <w:p w14:paraId="364F3E8D">
      <w:pPr>
        <w:shd w:val="clear"/>
        <w:rPr>
          <w:rFonts w:hint="eastAsia" w:ascii="Arial" w:hAnsi="Arial" w:eastAsia="黑体" w:cs="Times New Roman"/>
          <w:b/>
          <w:bCs/>
          <w:sz w:val="32"/>
          <w:szCs w:val="32"/>
          <w:lang w:val="en-US" w:eastAsia="zh-CN"/>
        </w:rPr>
      </w:pPr>
      <w:r>
        <w:rPr>
          <w:rFonts w:hint="eastAsia" w:ascii="Arial" w:hAnsi="Arial" w:eastAsia="黑体" w:cs="Times New Roman"/>
          <w:b/>
          <w:bCs/>
          <w:sz w:val="32"/>
          <w:szCs w:val="32"/>
          <w:lang w:val="en-US" w:eastAsia="zh-CN"/>
        </w:rPr>
        <w:t>7.1物业管理经费包含费用</w:t>
      </w:r>
    </w:p>
    <w:p w14:paraId="167457FB">
      <w:pPr>
        <w:shd w:val="clear"/>
        <w:ind w:firstLine="420" w:firstLineChars="200"/>
        <w:rPr>
          <w:rFonts w:ascii="宋体" w:hAnsi="宋体" w:eastAsia="宋体" w:cs="Times New Roman"/>
        </w:rPr>
      </w:pPr>
      <w:r>
        <w:rPr>
          <w:rFonts w:hint="eastAsia" w:ascii="Calibri" w:hAnsi="Calibri" w:eastAsia="宋体" w:cs="Times New Roman"/>
          <w:lang w:val="en-US" w:eastAsia="zh-CN"/>
        </w:rPr>
        <w:t>7</w:t>
      </w:r>
      <w:r>
        <w:rPr>
          <w:rFonts w:hint="eastAsia" w:ascii="宋体" w:hAnsi="宋体" w:eastAsia="宋体" w:cs="Times New Roman"/>
        </w:rPr>
        <w:t>.</w:t>
      </w:r>
      <w:r>
        <w:rPr>
          <w:rFonts w:hint="eastAsia" w:ascii="宋体" w:hAnsi="宋体" w:eastAsia="宋体" w:cs="Times New Roman"/>
          <w:lang w:val="en-US" w:eastAsia="zh-CN"/>
        </w:rPr>
        <w:t>1.</w:t>
      </w:r>
      <w:r>
        <w:rPr>
          <w:rFonts w:ascii="宋体" w:hAnsi="宋体" w:eastAsia="宋体" w:cs="Times New Roman"/>
        </w:rPr>
        <w:t>1</w:t>
      </w:r>
      <w:r>
        <w:rPr>
          <w:rFonts w:hint="eastAsia" w:ascii="宋体" w:hAnsi="宋体" w:eastAsia="宋体" w:cs="Times New Roman"/>
        </w:rPr>
        <w:t>人工工资费用（必须符合杭州市劳动部门有关规定，否则作无效标处理）</w:t>
      </w:r>
    </w:p>
    <w:p w14:paraId="7664BC56">
      <w:pPr>
        <w:shd w:val="clear"/>
        <w:ind w:firstLine="420" w:firstLineChars="200"/>
        <w:rPr>
          <w:rFonts w:ascii="宋体" w:hAnsi="宋体" w:eastAsia="宋体" w:cs="Times New Roman"/>
        </w:rPr>
      </w:pPr>
      <w:r>
        <w:rPr>
          <w:rFonts w:hint="eastAsia" w:ascii="Calibri" w:hAnsi="Calibri" w:eastAsia="宋体" w:cs="Times New Roman"/>
          <w:lang w:val="en-US" w:eastAsia="zh-CN"/>
        </w:rPr>
        <w:t>7</w:t>
      </w:r>
      <w:r>
        <w:rPr>
          <w:rFonts w:hint="eastAsia" w:ascii="宋体" w:hAnsi="宋体" w:eastAsia="宋体" w:cs="Times New Roman"/>
        </w:rPr>
        <w:t>.</w:t>
      </w:r>
      <w:r>
        <w:rPr>
          <w:rFonts w:hint="eastAsia" w:ascii="宋体" w:hAnsi="宋体" w:eastAsia="宋体" w:cs="Times New Roman"/>
          <w:lang w:val="en-US" w:eastAsia="zh-CN"/>
        </w:rPr>
        <w:t>1.</w:t>
      </w:r>
      <w:r>
        <w:rPr>
          <w:rFonts w:ascii="宋体" w:hAnsi="宋体" w:eastAsia="宋体" w:cs="Times New Roman"/>
        </w:rPr>
        <w:t>2</w:t>
      </w:r>
      <w:r>
        <w:rPr>
          <w:rFonts w:hint="eastAsia" w:ascii="宋体" w:hAnsi="宋体" w:eastAsia="宋体" w:cs="Times New Roman"/>
        </w:rPr>
        <w:t>社保医保（必须符合杭州市劳动部门有关规定，否则作无效标处理）</w:t>
      </w:r>
    </w:p>
    <w:p w14:paraId="25473C4C">
      <w:pPr>
        <w:shd w:val="clear"/>
        <w:ind w:firstLine="420" w:firstLineChars="200"/>
        <w:rPr>
          <w:rFonts w:ascii="宋体" w:hAnsi="宋体" w:eastAsia="宋体" w:cs="Times New Roman"/>
        </w:rPr>
      </w:pPr>
      <w:r>
        <w:rPr>
          <w:rFonts w:hint="eastAsia" w:ascii="Calibri" w:hAnsi="Calibri" w:eastAsia="宋体" w:cs="Times New Roman"/>
          <w:lang w:val="en-US" w:eastAsia="zh-CN"/>
        </w:rPr>
        <w:t>7</w:t>
      </w:r>
      <w:r>
        <w:rPr>
          <w:rFonts w:hint="eastAsia" w:ascii="宋体" w:hAnsi="宋体" w:eastAsia="宋体" w:cs="Times New Roman"/>
        </w:rPr>
        <w:t>.</w:t>
      </w:r>
      <w:r>
        <w:rPr>
          <w:rFonts w:hint="eastAsia" w:ascii="宋体" w:hAnsi="宋体" w:eastAsia="宋体" w:cs="Times New Roman"/>
          <w:lang w:val="en-US" w:eastAsia="zh-CN"/>
        </w:rPr>
        <w:t>1.</w:t>
      </w:r>
      <w:r>
        <w:rPr>
          <w:rFonts w:ascii="宋体" w:hAnsi="宋体" w:eastAsia="宋体" w:cs="Times New Roman"/>
        </w:rPr>
        <w:t>3</w:t>
      </w:r>
      <w:r>
        <w:rPr>
          <w:rFonts w:hint="eastAsia" w:ascii="宋体" w:hAnsi="宋体" w:eastAsia="宋体" w:cs="Times New Roman"/>
        </w:rPr>
        <w:t>福利</w:t>
      </w:r>
    </w:p>
    <w:p w14:paraId="75BB8FBF">
      <w:pPr>
        <w:shd w:val="clear"/>
        <w:ind w:firstLine="420" w:firstLineChars="200"/>
        <w:rPr>
          <w:rFonts w:ascii="宋体" w:hAnsi="宋体" w:eastAsia="宋体" w:cs="Times New Roman"/>
        </w:rPr>
      </w:pPr>
      <w:r>
        <w:rPr>
          <w:rFonts w:hint="eastAsia" w:ascii="Calibri" w:hAnsi="Calibri" w:eastAsia="宋体" w:cs="Times New Roman"/>
          <w:lang w:val="en-US" w:eastAsia="zh-CN"/>
        </w:rPr>
        <w:t>7</w:t>
      </w:r>
      <w:r>
        <w:rPr>
          <w:rFonts w:hint="eastAsia" w:ascii="宋体" w:hAnsi="宋体" w:eastAsia="宋体" w:cs="Times New Roman"/>
        </w:rPr>
        <w:t>.</w:t>
      </w:r>
      <w:r>
        <w:rPr>
          <w:rFonts w:hint="eastAsia" w:ascii="宋体" w:hAnsi="宋体" w:eastAsia="宋体" w:cs="Times New Roman"/>
          <w:lang w:val="en-US" w:eastAsia="zh-CN"/>
        </w:rPr>
        <w:t>1.</w:t>
      </w:r>
      <w:r>
        <w:rPr>
          <w:rFonts w:ascii="宋体" w:hAnsi="宋体" w:eastAsia="宋体" w:cs="Times New Roman"/>
        </w:rPr>
        <w:t>4</w:t>
      </w:r>
      <w:r>
        <w:rPr>
          <w:rFonts w:hint="eastAsia" w:ascii="宋体" w:hAnsi="宋体" w:eastAsia="宋体" w:cs="Times New Roman"/>
        </w:rPr>
        <w:t>节假日加班费用</w:t>
      </w:r>
    </w:p>
    <w:p w14:paraId="7B29DD97">
      <w:pPr>
        <w:shd w:val="clear"/>
        <w:ind w:firstLine="420" w:firstLineChars="200"/>
        <w:rPr>
          <w:rFonts w:ascii="宋体" w:hAnsi="宋体" w:eastAsia="宋体" w:cs="Times New Roman"/>
        </w:rPr>
      </w:pPr>
      <w:r>
        <w:rPr>
          <w:rFonts w:hint="eastAsia" w:ascii="Calibri" w:hAnsi="Calibri" w:eastAsia="宋体" w:cs="Times New Roman"/>
          <w:lang w:val="en-US" w:eastAsia="zh-CN"/>
        </w:rPr>
        <w:t>7</w:t>
      </w:r>
      <w:r>
        <w:rPr>
          <w:rFonts w:hint="eastAsia" w:ascii="宋体" w:hAnsi="宋体" w:eastAsia="宋体" w:cs="Times New Roman"/>
        </w:rPr>
        <w:t>.</w:t>
      </w:r>
      <w:r>
        <w:rPr>
          <w:rFonts w:hint="eastAsia" w:ascii="宋体" w:hAnsi="宋体" w:eastAsia="宋体" w:cs="Times New Roman"/>
          <w:lang w:val="en-US" w:eastAsia="zh-CN"/>
        </w:rPr>
        <w:t>1.</w:t>
      </w:r>
      <w:r>
        <w:rPr>
          <w:rFonts w:ascii="宋体" w:hAnsi="宋体" w:eastAsia="宋体" w:cs="Times New Roman"/>
        </w:rPr>
        <w:t>5</w:t>
      </w:r>
      <w:r>
        <w:rPr>
          <w:rFonts w:hint="eastAsia" w:ascii="宋体" w:hAnsi="宋体" w:eastAsia="宋体" w:cs="Times New Roman"/>
        </w:rPr>
        <w:t>行政办公费用</w:t>
      </w:r>
    </w:p>
    <w:p w14:paraId="01FEC7F9">
      <w:pPr>
        <w:shd w:val="clear"/>
        <w:ind w:firstLine="420" w:firstLineChars="200"/>
        <w:rPr>
          <w:rFonts w:ascii="宋体" w:hAnsi="宋体" w:eastAsia="宋体" w:cs="Times New Roman"/>
        </w:rPr>
      </w:pPr>
      <w:r>
        <w:rPr>
          <w:rFonts w:hint="eastAsia" w:ascii="Calibri" w:hAnsi="Calibri" w:eastAsia="宋体" w:cs="Times New Roman"/>
          <w:lang w:val="en-US" w:eastAsia="zh-CN"/>
        </w:rPr>
        <w:t>7</w:t>
      </w:r>
      <w:r>
        <w:rPr>
          <w:rFonts w:hint="eastAsia" w:ascii="宋体" w:hAnsi="宋体" w:eastAsia="宋体" w:cs="Times New Roman"/>
        </w:rPr>
        <w:t>.</w:t>
      </w:r>
      <w:r>
        <w:rPr>
          <w:rFonts w:hint="eastAsia" w:ascii="宋体" w:hAnsi="宋体" w:eastAsia="宋体" w:cs="Times New Roman"/>
          <w:lang w:val="en-US" w:eastAsia="zh-CN"/>
        </w:rPr>
        <w:t>1.</w:t>
      </w:r>
      <w:r>
        <w:rPr>
          <w:rFonts w:ascii="宋体" w:hAnsi="宋体" w:eastAsia="宋体" w:cs="Times New Roman"/>
        </w:rPr>
        <w:t>6</w:t>
      </w:r>
      <w:r>
        <w:rPr>
          <w:rFonts w:hint="eastAsia" w:ascii="宋体" w:hAnsi="宋体" w:eastAsia="宋体" w:cs="Times New Roman"/>
        </w:rPr>
        <w:t>员工的服装费用</w:t>
      </w:r>
    </w:p>
    <w:p w14:paraId="2907F3DF">
      <w:pPr>
        <w:shd w:val="clear"/>
        <w:ind w:firstLine="420" w:firstLineChars="200"/>
        <w:rPr>
          <w:rFonts w:ascii="宋体" w:hAnsi="宋体" w:eastAsia="宋体" w:cs="Times New Roman"/>
        </w:rPr>
      </w:pPr>
      <w:r>
        <w:rPr>
          <w:rFonts w:hint="eastAsia" w:ascii="Calibri" w:hAnsi="Calibri" w:eastAsia="宋体" w:cs="Times New Roman"/>
          <w:lang w:val="en-US" w:eastAsia="zh-CN"/>
        </w:rPr>
        <w:t>7</w:t>
      </w:r>
      <w:r>
        <w:rPr>
          <w:rFonts w:hint="eastAsia" w:ascii="宋体" w:hAnsi="宋体" w:eastAsia="宋体" w:cs="Times New Roman"/>
        </w:rPr>
        <w:t>.</w:t>
      </w:r>
      <w:r>
        <w:rPr>
          <w:rFonts w:hint="eastAsia" w:ascii="宋体" w:hAnsi="宋体" w:eastAsia="宋体" w:cs="Times New Roman"/>
          <w:lang w:val="en-US" w:eastAsia="zh-CN"/>
        </w:rPr>
        <w:t>1.</w:t>
      </w:r>
      <w:r>
        <w:rPr>
          <w:rFonts w:ascii="宋体" w:hAnsi="宋体" w:eastAsia="宋体" w:cs="Times New Roman"/>
        </w:rPr>
        <w:t>7</w:t>
      </w:r>
      <w:r>
        <w:rPr>
          <w:rFonts w:hint="eastAsia" w:ascii="宋体" w:hAnsi="宋体" w:eastAsia="宋体" w:cs="Times New Roman"/>
        </w:rPr>
        <w:t>其它费用</w:t>
      </w:r>
    </w:p>
    <w:p w14:paraId="3816D1DC">
      <w:pPr>
        <w:shd w:val="clear"/>
        <w:ind w:firstLine="420" w:firstLineChars="200"/>
        <w:rPr>
          <w:rFonts w:ascii="宋体" w:hAnsi="宋体" w:eastAsia="宋体" w:cs="Times New Roman"/>
        </w:rPr>
      </w:pPr>
      <w:r>
        <w:rPr>
          <w:rFonts w:hint="eastAsia" w:ascii="Calibri" w:hAnsi="Calibri" w:eastAsia="宋体" w:cs="Times New Roman"/>
          <w:lang w:val="en-US" w:eastAsia="zh-CN"/>
        </w:rPr>
        <w:t>7</w:t>
      </w:r>
      <w:r>
        <w:rPr>
          <w:rFonts w:hint="eastAsia" w:ascii="宋体" w:hAnsi="宋体" w:eastAsia="宋体" w:cs="Times New Roman"/>
        </w:rPr>
        <w:t>.</w:t>
      </w:r>
      <w:r>
        <w:rPr>
          <w:rFonts w:hint="eastAsia" w:ascii="宋体" w:hAnsi="宋体" w:eastAsia="宋体" w:cs="Times New Roman"/>
          <w:lang w:val="en-US" w:eastAsia="zh-CN"/>
        </w:rPr>
        <w:t>1.</w:t>
      </w:r>
      <w:r>
        <w:rPr>
          <w:rFonts w:ascii="宋体" w:hAnsi="宋体" w:eastAsia="宋体" w:cs="Times New Roman"/>
        </w:rPr>
        <w:t>8</w:t>
      </w:r>
      <w:r>
        <w:rPr>
          <w:rFonts w:hint="eastAsia" w:ascii="宋体" w:hAnsi="宋体" w:eastAsia="宋体" w:cs="Times New Roman"/>
        </w:rPr>
        <w:t>管理费用</w:t>
      </w:r>
    </w:p>
    <w:p w14:paraId="010D90BF">
      <w:pPr>
        <w:shd w:val="clear"/>
        <w:ind w:firstLine="420" w:firstLineChars="200"/>
        <w:rPr>
          <w:rFonts w:ascii="宋体" w:hAnsi="宋体" w:eastAsia="宋体" w:cs="Times New Roman"/>
        </w:rPr>
      </w:pPr>
      <w:r>
        <w:rPr>
          <w:rFonts w:hint="eastAsia" w:ascii="Calibri" w:hAnsi="Calibri" w:eastAsia="宋体" w:cs="Times New Roman"/>
          <w:lang w:val="en-US" w:eastAsia="zh-CN"/>
        </w:rPr>
        <w:t>7</w:t>
      </w:r>
      <w:r>
        <w:rPr>
          <w:rFonts w:hint="eastAsia" w:ascii="宋体" w:hAnsi="宋体" w:eastAsia="宋体" w:cs="Times New Roman"/>
        </w:rPr>
        <w:t>.</w:t>
      </w:r>
      <w:r>
        <w:rPr>
          <w:rFonts w:hint="eastAsia" w:ascii="宋体" w:hAnsi="宋体" w:eastAsia="宋体" w:cs="Times New Roman"/>
          <w:lang w:val="en-US" w:eastAsia="zh-CN"/>
        </w:rPr>
        <w:t>1.9</w:t>
      </w:r>
      <w:r>
        <w:rPr>
          <w:rFonts w:hint="eastAsia" w:ascii="宋体" w:hAnsi="宋体" w:eastAsia="宋体" w:cs="Times New Roman"/>
        </w:rPr>
        <w:t>法定税费</w:t>
      </w:r>
    </w:p>
    <w:p w14:paraId="431C23BF">
      <w:pPr>
        <w:shd w:val="clear"/>
        <w:ind w:firstLine="422" w:firstLineChars="200"/>
        <w:rPr>
          <w:rFonts w:ascii="宋体" w:hAnsi="宋体" w:eastAsia="宋体" w:cs="Times New Roman"/>
          <w:b/>
          <w:snapToGrid w:val="0"/>
          <w:kern w:val="0"/>
          <w:szCs w:val="21"/>
        </w:rPr>
      </w:pPr>
      <w:r>
        <w:rPr>
          <w:rFonts w:hint="eastAsia" w:ascii="宋体" w:hAnsi="宋体" w:eastAsia="宋体" w:cs="Times New Roman"/>
          <w:b/>
          <w:snapToGrid w:val="0"/>
          <w:kern w:val="0"/>
          <w:szCs w:val="21"/>
        </w:rPr>
        <w:t>注：</w:t>
      </w:r>
      <w:r>
        <w:rPr>
          <w:rFonts w:hint="eastAsia" w:ascii="宋体" w:hAnsi="宋体" w:eastAsia="宋体" w:cs="Times New Roman"/>
          <w:b/>
          <w:snapToGrid w:val="0"/>
          <w:kern w:val="0"/>
          <w:szCs w:val="21"/>
          <w:lang w:val="en-US" w:eastAsia="zh-CN"/>
        </w:rPr>
        <w:t>工具及</w:t>
      </w:r>
      <w:r>
        <w:rPr>
          <w:rFonts w:ascii="宋体" w:hAnsi="宋体" w:eastAsia="宋体" w:cs="Times New Roman"/>
          <w:b/>
          <w:snapToGrid w:val="0"/>
          <w:kern w:val="0"/>
          <w:szCs w:val="21"/>
        </w:rPr>
        <w:t>耗材费用需提供费用测算明细清单。</w:t>
      </w:r>
    </w:p>
    <w:p w14:paraId="5627C253">
      <w:pPr>
        <w:shd w:val="clear"/>
        <w:ind w:firstLine="480"/>
        <w:rPr>
          <w:rFonts w:ascii="Calibri" w:hAnsi="Calibri" w:eastAsia="宋体" w:cs="Times New Roman"/>
        </w:rPr>
      </w:pPr>
    </w:p>
    <w:bookmarkEnd w:id="31"/>
    <w:p w14:paraId="6A5F5B18">
      <w:pPr>
        <w:autoSpaceDE w:val="0"/>
        <w:autoSpaceDN w:val="0"/>
        <w:adjustRightInd w:val="0"/>
        <w:spacing w:line="360" w:lineRule="auto"/>
        <w:ind w:firstLine="2262" w:firstLineChars="626"/>
        <w:jc w:val="both"/>
        <w:outlineLvl w:val="0"/>
        <w:rPr>
          <w:rFonts w:ascii="Calibri" w:hAnsi="Calibri" w:eastAsia="隶书" w:cs="Times New Roman"/>
          <w:b/>
          <w:bCs/>
          <w:kern w:val="0"/>
          <w:sz w:val="36"/>
          <w:szCs w:val="36"/>
        </w:rPr>
      </w:pPr>
      <w:bookmarkStart w:id="94" w:name="_Toc97303167"/>
      <w:r>
        <w:rPr>
          <w:rFonts w:hint="eastAsia" w:ascii="Calibri" w:hAnsi="Calibri" w:eastAsia="隶书" w:cs="Times New Roman"/>
          <w:b/>
          <w:bCs/>
          <w:kern w:val="0"/>
          <w:sz w:val="36"/>
          <w:szCs w:val="36"/>
        </w:rPr>
        <w:t>八、物业服务考核办法</w:t>
      </w:r>
      <w:bookmarkEnd w:id="94"/>
    </w:p>
    <w:p w14:paraId="2309612C">
      <w:pPr>
        <w:spacing w:line="440" w:lineRule="exact"/>
        <w:ind w:firstLine="480"/>
        <w:rPr>
          <w:rFonts w:hint="eastAsia" w:ascii="宋体" w:hAnsi="宋体" w:eastAsia="宋体" w:cs="宋体"/>
        </w:rPr>
      </w:pPr>
      <w:r>
        <w:rPr>
          <w:rFonts w:hint="eastAsia" w:ascii="宋体" w:hAnsi="宋体" w:eastAsia="宋体" w:cs="宋体"/>
        </w:rPr>
        <w:t>为进一步加强对临平校区物业服务单位的监督管理，有效保障物业服务质量，提高师生满意度，根据国务院379号《物业管理条例》、《浙江省高校物业管理行业规范标准》、《浙江省高校文明寝室建设标准》有关规定以及《浙江理工大学临平校区物业管理服务委托合同》相关内容要求</w:t>
      </w:r>
      <w:r>
        <w:rPr>
          <w:rFonts w:ascii="宋体" w:hAnsi="宋体" w:eastAsia="宋体" w:cs="宋体"/>
        </w:rPr>
        <w:t>，结合学校实际，制订本办法。</w:t>
      </w:r>
    </w:p>
    <w:p w14:paraId="58CC1FAD">
      <w:pPr>
        <w:spacing w:line="440" w:lineRule="exact"/>
        <w:ind w:firstLine="482"/>
        <w:rPr>
          <w:rFonts w:hint="eastAsia" w:ascii="宋体" w:hAnsi="宋体" w:eastAsia="宋体" w:cs="宋体"/>
          <w:b/>
        </w:rPr>
      </w:pPr>
      <w:r>
        <w:rPr>
          <w:rFonts w:hint="eastAsia" w:ascii="宋体" w:hAnsi="宋体" w:eastAsia="宋体" w:cs="宋体"/>
          <w:b/>
        </w:rPr>
        <w:t>第一条  考核目的</w:t>
      </w:r>
    </w:p>
    <w:p w14:paraId="0AB4D70B">
      <w:pPr>
        <w:spacing w:line="440" w:lineRule="exact"/>
        <w:ind w:firstLine="480"/>
        <w:rPr>
          <w:rFonts w:hint="eastAsia" w:ascii="宋体" w:hAnsi="宋体" w:eastAsia="宋体" w:cs="宋体"/>
        </w:rPr>
      </w:pPr>
      <w:r>
        <w:rPr>
          <w:rFonts w:hint="eastAsia" w:ascii="宋体" w:hAnsi="宋体" w:eastAsia="宋体" w:cs="宋体"/>
        </w:rPr>
        <w:t>规范服务单位的工作和服务，提升服务质量和服务水平，努力为师生员工舒适的学习工作和生活服务。</w:t>
      </w:r>
    </w:p>
    <w:p w14:paraId="4BC87015">
      <w:pPr>
        <w:spacing w:line="440" w:lineRule="exact"/>
        <w:ind w:firstLine="482"/>
        <w:rPr>
          <w:rFonts w:hint="eastAsia" w:ascii="宋体" w:hAnsi="宋体" w:eastAsia="宋体" w:cs="宋体"/>
          <w:b/>
        </w:rPr>
      </w:pPr>
      <w:r>
        <w:rPr>
          <w:rFonts w:hint="eastAsia" w:ascii="宋体" w:hAnsi="宋体" w:eastAsia="宋体" w:cs="宋体"/>
          <w:b/>
        </w:rPr>
        <w:t>第二条  考核对象</w:t>
      </w:r>
    </w:p>
    <w:p w14:paraId="70AE96B5">
      <w:pPr>
        <w:spacing w:line="440" w:lineRule="exact"/>
        <w:ind w:firstLine="480"/>
        <w:rPr>
          <w:rFonts w:hint="eastAsia" w:ascii="宋体" w:hAnsi="宋体" w:eastAsia="宋体" w:cs="宋体"/>
        </w:rPr>
      </w:pPr>
      <w:r>
        <w:rPr>
          <w:rFonts w:hint="eastAsia" w:ascii="宋体" w:hAnsi="宋体" w:eastAsia="宋体" w:cs="宋体"/>
        </w:rPr>
        <w:t>考核对象为临平校区物业服务单位。</w:t>
      </w:r>
    </w:p>
    <w:p w14:paraId="109CCCCD">
      <w:pPr>
        <w:spacing w:line="440" w:lineRule="exact"/>
        <w:ind w:firstLine="480"/>
        <w:rPr>
          <w:rFonts w:hint="eastAsia" w:ascii="宋体" w:hAnsi="宋体" w:eastAsia="宋体" w:cs="宋体"/>
          <w:b/>
          <w:bCs/>
        </w:rPr>
      </w:pPr>
      <w:r>
        <w:rPr>
          <w:rFonts w:hint="eastAsia" w:ascii="宋体" w:hAnsi="宋体" w:eastAsia="宋体" w:cs="宋体"/>
          <w:b/>
          <w:bCs/>
        </w:rPr>
        <w:t>第三条  考核小组成员</w:t>
      </w:r>
    </w:p>
    <w:p w14:paraId="641D09B1">
      <w:pPr>
        <w:spacing w:line="440" w:lineRule="exact"/>
        <w:ind w:firstLine="480"/>
        <w:rPr>
          <w:rFonts w:hint="eastAsia" w:ascii="宋体" w:hAnsi="宋体" w:eastAsia="宋体" w:cs="宋体"/>
        </w:rPr>
      </w:pPr>
      <w:r>
        <w:rPr>
          <w:rFonts w:hint="eastAsia" w:ascii="宋体" w:hAnsi="宋体" w:eastAsia="宋体" w:cs="宋体"/>
        </w:rPr>
        <w:t>考核小组成员为</w:t>
      </w:r>
      <w:r>
        <w:rPr>
          <w:rFonts w:hint="eastAsia" w:ascii="宋体" w:hAnsi="宋体" w:eastAsia="宋体" w:cs="宋体"/>
          <w:lang w:val="en-US" w:eastAsia="zh-CN"/>
        </w:rPr>
        <w:t>学校</w:t>
      </w:r>
      <w:r>
        <w:rPr>
          <w:rFonts w:hint="eastAsia" w:ascii="宋体" w:hAnsi="宋体" w:eastAsia="宋体" w:cs="宋体"/>
        </w:rPr>
        <w:t>相关业务</w:t>
      </w:r>
      <w:r>
        <w:rPr>
          <w:rFonts w:hint="eastAsia" w:ascii="宋体" w:hAnsi="宋体" w:eastAsia="宋体" w:cs="宋体"/>
          <w:lang w:val="en-US" w:eastAsia="zh-CN"/>
        </w:rPr>
        <w:t>管理</w:t>
      </w:r>
      <w:r>
        <w:rPr>
          <w:rFonts w:hint="eastAsia" w:ascii="宋体" w:hAnsi="宋体" w:eastAsia="宋体" w:cs="宋体"/>
        </w:rPr>
        <w:t>科室监管人员、科长及分管领导。</w:t>
      </w:r>
    </w:p>
    <w:p w14:paraId="0AEFB37A">
      <w:pPr>
        <w:spacing w:line="440" w:lineRule="exact"/>
        <w:ind w:firstLine="482"/>
        <w:rPr>
          <w:rFonts w:hint="eastAsia" w:ascii="宋体" w:hAnsi="宋体" w:eastAsia="宋体" w:cs="宋体"/>
          <w:b/>
        </w:rPr>
      </w:pPr>
      <w:r>
        <w:rPr>
          <w:rFonts w:hint="eastAsia" w:ascii="宋体" w:hAnsi="宋体" w:eastAsia="宋体" w:cs="宋体"/>
          <w:b/>
        </w:rPr>
        <w:t>第四条  考核形式</w:t>
      </w:r>
    </w:p>
    <w:p w14:paraId="2D3854F3">
      <w:pPr>
        <w:spacing w:line="440" w:lineRule="exact"/>
        <w:ind w:firstLine="480"/>
        <w:rPr>
          <w:rFonts w:hint="eastAsia" w:ascii="宋体" w:hAnsi="宋体" w:eastAsia="宋体" w:cs="宋体"/>
        </w:rPr>
      </w:pPr>
      <w:r>
        <w:rPr>
          <w:rFonts w:hint="eastAsia" w:ascii="宋体" w:hAnsi="宋体" w:eastAsia="宋体" w:cs="宋体"/>
        </w:rPr>
        <w:t>考核采用百分制，考核形式分为月度考核及年度考核两种。</w:t>
      </w:r>
    </w:p>
    <w:p w14:paraId="4E77C120">
      <w:pPr>
        <w:spacing w:line="440" w:lineRule="exact"/>
        <w:ind w:firstLine="480"/>
        <w:rPr>
          <w:rFonts w:hint="eastAsia" w:ascii="宋体" w:hAnsi="宋体" w:eastAsia="宋体" w:cs="宋体"/>
        </w:rPr>
      </w:pPr>
      <w:r>
        <w:rPr>
          <w:rFonts w:hint="eastAsia" w:ascii="宋体" w:hAnsi="宋体" w:eastAsia="宋体" w:cs="宋体"/>
        </w:rPr>
        <w:t>1、月度考核</w:t>
      </w:r>
    </w:p>
    <w:p w14:paraId="3D4F56B5">
      <w:pPr>
        <w:spacing w:line="440" w:lineRule="exact"/>
        <w:ind w:firstLine="480"/>
        <w:rPr>
          <w:rFonts w:hint="eastAsia" w:ascii="宋体" w:hAnsi="宋体" w:eastAsia="宋体" w:cs="宋体"/>
        </w:rPr>
      </w:pPr>
      <w:r>
        <w:rPr>
          <w:rFonts w:hint="eastAsia" w:ascii="宋体" w:hAnsi="宋体" w:eastAsia="宋体" w:cs="宋体"/>
        </w:rPr>
        <w:t>由校方组织实施，每月进行一次，主要考核响应校方提出的各项工作要求的落实完成情况及日常工作完成情况。考核小组成员按量化考核表所列项目打分，成绩计入月度考核分。（月度考核内容见表一）</w:t>
      </w:r>
    </w:p>
    <w:p w14:paraId="69C3CD62">
      <w:pPr>
        <w:spacing w:line="440" w:lineRule="exact"/>
        <w:ind w:firstLine="480"/>
        <w:rPr>
          <w:rFonts w:hint="eastAsia" w:ascii="宋体" w:hAnsi="宋体" w:eastAsia="宋体" w:cs="宋体"/>
        </w:rPr>
      </w:pPr>
      <w:r>
        <w:rPr>
          <w:rFonts w:hint="eastAsia" w:ascii="宋体" w:hAnsi="宋体" w:eastAsia="宋体" w:cs="宋体"/>
        </w:rPr>
        <w:t>2、年度考核</w:t>
      </w:r>
    </w:p>
    <w:p w14:paraId="41B6168A">
      <w:pPr>
        <w:spacing w:line="440" w:lineRule="exact"/>
        <w:ind w:firstLine="480"/>
        <w:rPr>
          <w:rFonts w:hint="eastAsia" w:ascii="宋体" w:hAnsi="宋体" w:eastAsia="宋体" w:cs="宋体"/>
        </w:rPr>
      </w:pPr>
      <w:r>
        <w:rPr>
          <w:rFonts w:hint="eastAsia" w:ascii="宋体" w:hAnsi="宋体" w:eastAsia="宋体" w:cs="宋体"/>
        </w:rPr>
        <w:t>(1)由校方组织实施，每年年底进行一次，主要考核服务单位一年来服务工作完成情况及合同履行情况，考核结果通过年度考核综合得分体现。</w:t>
      </w:r>
    </w:p>
    <w:p w14:paraId="5B34778A">
      <w:pPr>
        <w:spacing w:line="440" w:lineRule="exact"/>
        <w:ind w:firstLine="480"/>
        <w:rPr>
          <w:rFonts w:hint="eastAsia" w:ascii="宋体" w:hAnsi="宋体" w:eastAsia="宋体" w:cs="宋体"/>
        </w:rPr>
      </w:pPr>
      <w:r>
        <w:rPr>
          <w:rFonts w:hint="eastAsia" w:ascii="宋体" w:hAnsi="宋体" w:eastAsia="宋体" w:cs="宋体"/>
        </w:rPr>
        <w:t>(2)年度考核综合得分由月度考核平均分及年度师生满意度得分两部分组成，两者所占比例分别为：月度考核平均分占70%，年度师生满意度得分占30%。</w:t>
      </w:r>
    </w:p>
    <w:p w14:paraId="6D0CD98A">
      <w:pPr>
        <w:spacing w:line="440" w:lineRule="exact"/>
        <w:ind w:firstLine="480"/>
        <w:rPr>
          <w:rFonts w:hint="eastAsia" w:ascii="宋体" w:hAnsi="宋体" w:eastAsia="宋体" w:cs="宋体"/>
        </w:rPr>
      </w:pPr>
      <w:r>
        <w:rPr>
          <w:rFonts w:hint="eastAsia" w:ascii="宋体" w:hAnsi="宋体" w:eastAsia="宋体" w:cs="宋体"/>
        </w:rPr>
        <w:t>(3)师生满意度测评由校方组织开展，测评以调查问卷形式进行，每半年一次，每次抽查人数不少于100人。年度师生满意度得分由两次测评得分按比例相加而得，其中上半年满意度得分占40%，下半年满意度得分占60%。（满意度测评表见表二）</w:t>
      </w:r>
    </w:p>
    <w:p w14:paraId="269471C3">
      <w:pPr>
        <w:spacing w:line="440" w:lineRule="exact"/>
        <w:ind w:firstLine="482"/>
        <w:rPr>
          <w:rFonts w:hint="eastAsia" w:ascii="宋体" w:hAnsi="宋体" w:eastAsia="宋体" w:cs="宋体"/>
          <w:b/>
        </w:rPr>
      </w:pPr>
      <w:r>
        <w:rPr>
          <w:rFonts w:hint="eastAsia" w:ascii="宋体" w:hAnsi="宋体" w:eastAsia="宋体" w:cs="宋体"/>
          <w:b/>
        </w:rPr>
        <w:t>第五条  计分方法</w:t>
      </w:r>
    </w:p>
    <w:p w14:paraId="3DD4FD8F">
      <w:pPr>
        <w:spacing w:line="440" w:lineRule="exact"/>
        <w:ind w:firstLine="480"/>
        <w:rPr>
          <w:rFonts w:hint="eastAsia" w:ascii="宋体" w:hAnsi="宋体" w:eastAsia="宋体" w:cs="宋体"/>
        </w:rPr>
      </w:pPr>
      <w:r>
        <w:rPr>
          <w:rFonts w:hint="eastAsia" w:ascii="宋体" w:hAnsi="宋体" w:eastAsia="宋体" w:cs="宋体"/>
        </w:rPr>
        <w:t>1、得分计算方式（以下所有数据皆保留小数点后一位）</w:t>
      </w:r>
    </w:p>
    <w:p w14:paraId="340B5889">
      <w:pPr>
        <w:spacing w:line="440" w:lineRule="exact"/>
        <w:ind w:firstLine="480"/>
        <w:rPr>
          <w:rFonts w:hint="eastAsia" w:ascii="宋体" w:hAnsi="宋体" w:eastAsia="宋体" w:cs="宋体"/>
        </w:rPr>
      </w:pPr>
      <w:r>
        <w:rPr>
          <w:rFonts w:hint="eastAsia" w:ascii="宋体" w:hAnsi="宋体" w:eastAsia="宋体" w:cs="宋体"/>
        </w:rPr>
        <w:t>（1）满意度得分：按满意度比例计算，满意度95%及以上得100分，85</w:t>
      </w:r>
      <w:r>
        <w:rPr>
          <w:rFonts w:ascii="宋体" w:hAnsi="宋体" w:eastAsia="宋体" w:cs="宋体"/>
        </w:rPr>
        <w:t>%</w:t>
      </w:r>
      <w:r>
        <w:rPr>
          <w:rFonts w:hint="eastAsia" w:ascii="宋体" w:hAnsi="宋体" w:eastAsia="宋体" w:cs="宋体"/>
        </w:rPr>
        <w:t>-95%（不含）得90分，80</w:t>
      </w:r>
      <w:r>
        <w:rPr>
          <w:rFonts w:ascii="宋体" w:hAnsi="宋体" w:eastAsia="宋体" w:cs="宋体"/>
        </w:rPr>
        <w:t>%</w:t>
      </w:r>
      <w:r>
        <w:rPr>
          <w:rFonts w:hint="eastAsia" w:ascii="宋体" w:hAnsi="宋体" w:eastAsia="宋体" w:cs="宋体"/>
        </w:rPr>
        <w:t>-85%（不含）得80分，70</w:t>
      </w:r>
      <w:r>
        <w:rPr>
          <w:rFonts w:ascii="宋体" w:hAnsi="宋体" w:eastAsia="宋体" w:cs="宋体"/>
        </w:rPr>
        <w:t>%</w:t>
      </w:r>
      <w:r>
        <w:rPr>
          <w:rFonts w:hint="eastAsia" w:ascii="宋体" w:hAnsi="宋体" w:eastAsia="宋体" w:cs="宋体"/>
        </w:rPr>
        <w:t>-80%（不含）得70分，70%（不含）以下得60分。</w:t>
      </w:r>
    </w:p>
    <w:p w14:paraId="06F1C0CF">
      <w:pPr>
        <w:spacing w:line="440" w:lineRule="exact"/>
        <w:ind w:firstLine="480"/>
        <w:rPr>
          <w:rFonts w:hint="eastAsia" w:ascii="宋体" w:hAnsi="宋体" w:eastAsia="宋体" w:cs="宋体"/>
        </w:rPr>
      </w:pPr>
      <w:r>
        <w:rPr>
          <w:rFonts w:hint="eastAsia" w:ascii="宋体" w:hAnsi="宋体" w:eastAsia="宋体" w:cs="宋体"/>
        </w:rPr>
        <w:t>（2）月度考核平均分=Σ月度考核分/考核月份</w:t>
      </w:r>
    </w:p>
    <w:p w14:paraId="4E530F79">
      <w:pPr>
        <w:spacing w:line="440" w:lineRule="exact"/>
        <w:ind w:firstLine="480"/>
        <w:rPr>
          <w:rFonts w:hint="eastAsia" w:ascii="宋体" w:hAnsi="宋体" w:eastAsia="宋体" w:cs="宋体"/>
        </w:rPr>
      </w:pPr>
      <w:r>
        <w:rPr>
          <w:rFonts w:hint="eastAsia" w:ascii="宋体" w:hAnsi="宋体" w:eastAsia="宋体" w:cs="宋体"/>
        </w:rPr>
        <w:t>（3）年度考核综合得分=月度考核平均分×70%+年度满意度得分×30%+年度考核加分</w:t>
      </w:r>
    </w:p>
    <w:p w14:paraId="21042FFE">
      <w:pPr>
        <w:spacing w:line="440" w:lineRule="exact"/>
        <w:ind w:firstLine="480"/>
        <w:rPr>
          <w:rFonts w:hint="eastAsia" w:ascii="宋体" w:hAnsi="宋体" w:eastAsia="宋体" w:cs="宋体"/>
        </w:rPr>
      </w:pPr>
      <w:r>
        <w:rPr>
          <w:rFonts w:hint="eastAsia" w:ascii="宋体" w:hAnsi="宋体" w:eastAsia="宋体" w:cs="宋体"/>
        </w:rPr>
        <w:t>2、评定标准</w:t>
      </w:r>
    </w:p>
    <w:p w14:paraId="3B9A95F0">
      <w:pPr>
        <w:spacing w:line="440" w:lineRule="exact"/>
        <w:ind w:firstLine="480"/>
        <w:rPr>
          <w:rFonts w:hint="eastAsia" w:ascii="宋体" w:hAnsi="宋体" w:eastAsia="宋体" w:cs="宋体"/>
        </w:rPr>
      </w:pPr>
      <w:r>
        <w:rPr>
          <w:rFonts w:hint="eastAsia" w:ascii="宋体" w:hAnsi="宋体" w:eastAsia="宋体" w:cs="宋体"/>
        </w:rPr>
        <w:t>——考核95分及以上为优秀</w:t>
      </w:r>
    </w:p>
    <w:p w14:paraId="17320F20">
      <w:pPr>
        <w:spacing w:line="440" w:lineRule="exact"/>
        <w:ind w:firstLine="480"/>
        <w:rPr>
          <w:rFonts w:hint="eastAsia" w:ascii="宋体" w:hAnsi="宋体" w:eastAsia="宋体" w:cs="宋体"/>
        </w:rPr>
      </w:pPr>
      <w:r>
        <w:rPr>
          <w:rFonts w:hint="eastAsia" w:ascii="宋体" w:hAnsi="宋体" w:eastAsia="宋体" w:cs="宋体"/>
        </w:rPr>
        <w:t>——考核85分至95分（不含）为良好</w:t>
      </w:r>
    </w:p>
    <w:p w14:paraId="1F8594FB">
      <w:pPr>
        <w:spacing w:line="440" w:lineRule="exact"/>
        <w:ind w:firstLine="480"/>
        <w:rPr>
          <w:rFonts w:hint="eastAsia" w:ascii="宋体" w:hAnsi="宋体" w:eastAsia="宋体" w:cs="宋体"/>
        </w:rPr>
      </w:pPr>
      <w:r>
        <w:rPr>
          <w:rFonts w:hint="eastAsia" w:ascii="宋体" w:hAnsi="宋体" w:eastAsia="宋体" w:cs="宋体"/>
        </w:rPr>
        <w:t>——考核70分至85分（不含）为合格</w:t>
      </w:r>
    </w:p>
    <w:p w14:paraId="15386ECE">
      <w:pPr>
        <w:spacing w:line="440" w:lineRule="exact"/>
        <w:ind w:firstLine="480"/>
        <w:rPr>
          <w:rFonts w:hint="eastAsia" w:ascii="宋体" w:hAnsi="宋体" w:eastAsia="宋体" w:cs="宋体"/>
        </w:rPr>
      </w:pPr>
      <w:r>
        <w:rPr>
          <w:rFonts w:hint="eastAsia" w:ascii="宋体" w:hAnsi="宋体" w:eastAsia="宋体" w:cs="宋体"/>
        </w:rPr>
        <w:t>——考核70分（不含）以下为不合格</w:t>
      </w:r>
    </w:p>
    <w:p w14:paraId="59E8667E">
      <w:pPr>
        <w:spacing w:line="440" w:lineRule="exact"/>
        <w:ind w:firstLine="482"/>
        <w:rPr>
          <w:rFonts w:hint="eastAsia" w:ascii="宋体" w:hAnsi="宋体" w:eastAsia="宋体" w:cs="宋体"/>
          <w:b/>
        </w:rPr>
      </w:pPr>
      <w:r>
        <w:rPr>
          <w:rFonts w:hint="eastAsia" w:ascii="宋体" w:hAnsi="宋体" w:eastAsia="宋体" w:cs="宋体"/>
          <w:b/>
        </w:rPr>
        <w:t>第六条   奖惩</w:t>
      </w:r>
    </w:p>
    <w:p w14:paraId="44CF820E">
      <w:pPr>
        <w:spacing w:line="440" w:lineRule="exact"/>
        <w:ind w:firstLine="480"/>
        <w:rPr>
          <w:rFonts w:hint="eastAsia" w:ascii="宋体" w:hAnsi="宋体" w:eastAsia="宋体" w:cs="宋体"/>
        </w:rPr>
      </w:pPr>
      <w:r>
        <w:rPr>
          <w:rFonts w:hint="eastAsia" w:ascii="宋体" w:hAnsi="宋体" w:eastAsia="宋体" w:cs="宋体"/>
        </w:rPr>
        <w:t>考核成绩严格按照规定计算，不同阶段的考核成绩将作为服务单位阶段性履约情况的最终依据。</w:t>
      </w:r>
    </w:p>
    <w:p w14:paraId="4382F59C">
      <w:pPr>
        <w:spacing w:line="440" w:lineRule="exact"/>
        <w:ind w:firstLine="480"/>
        <w:rPr>
          <w:rFonts w:hint="eastAsia" w:ascii="宋体" w:hAnsi="宋体" w:eastAsia="宋体" w:cs="宋体"/>
        </w:rPr>
      </w:pPr>
      <w:r>
        <w:rPr>
          <w:rFonts w:hint="eastAsia" w:ascii="宋体" w:hAnsi="宋体" w:eastAsia="宋体" w:cs="宋体"/>
        </w:rPr>
        <w:t>1、月度考核：</w:t>
      </w:r>
    </w:p>
    <w:p w14:paraId="19C3E49C">
      <w:pPr>
        <w:spacing w:line="440" w:lineRule="exact"/>
        <w:ind w:firstLine="480"/>
        <w:rPr>
          <w:rFonts w:hint="eastAsia" w:ascii="宋体" w:hAnsi="宋体" w:eastAsia="宋体" w:cs="宋体"/>
        </w:rPr>
      </w:pPr>
      <w:r>
        <w:rPr>
          <w:rFonts w:hint="eastAsia" w:ascii="宋体" w:hAnsi="宋体" w:eastAsia="宋体" w:cs="宋体"/>
        </w:rPr>
        <w:t>(1)根据月度考核得分进行相应奖惩。</w:t>
      </w:r>
    </w:p>
    <w:p w14:paraId="1AF16712">
      <w:pPr>
        <w:spacing w:line="440" w:lineRule="exact"/>
        <w:ind w:firstLine="480"/>
        <w:rPr>
          <w:rFonts w:hint="eastAsia" w:ascii="宋体" w:hAnsi="宋体" w:eastAsia="宋体" w:cs="宋体"/>
        </w:rPr>
      </w:pPr>
      <w:r>
        <w:rPr>
          <w:rFonts w:hint="eastAsia" w:ascii="宋体" w:hAnsi="宋体" w:eastAsia="宋体" w:cs="宋体"/>
        </w:rPr>
        <w:t xml:space="preserve">(2)奖惩时间：当月。 </w:t>
      </w:r>
    </w:p>
    <w:p w14:paraId="55B72719">
      <w:pPr>
        <w:spacing w:line="440" w:lineRule="exact"/>
        <w:ind w:firstLine="480"/>
        <w:rPr>
          <w:rFonts w:hint="eastAsia" w:ascii="宋体" w:hAnsi="宋体" w:eastAsia="宋体" w:cs="宋体"/>
        </w:rPr>
      </w:pPr>
      <w:r>
        <w:rPr>
          <w:rFonts w:hint="eastAsia" w:ascii="宋体" w:hAnsi="宋体" w:eastAsia="宋体" w:cs="宋体"/>
        </w:rPr>
        <w:t>(3)奖惩与物业费付款挂钩：</w:t>
      </w:r>
    </w:p>
    <w:p w14:paraId="52645D34">
      <w:pPr>
        <w:spacing w:line="440" w:lineRule="exact"/>
        <w:ind w:firstLine="480"/>
        <w:rPr>
          <w:rFonts w:hint="eastAsia" w:ascii="宋体" w:hAnsi="宋体" w:eastAsia="宋体" w:cs="宋体"/>
        </w:rPr>
      </w:pPr>
      <w:r>
        <w:rPr>
          <w:rFonts w:hint="eastAsia" w:ascii="宋体" w:hAnsi="宋体" w:eastAsia="宋体" w:cs="宋体"/>
        </w:rPr>
        <w:t>①考核合格，本月物业费按95%付给；考核良好及以上，物业费按100%付给；考核优秀，计入年度考核加分，每取得一次优秀，年度考核综合得分加1分。</w:t>
      </w:r>
    </w:p>
    <w:p w14:paraId="36992EA3">
      <w:pPr>
        <w:spacing w:line="440" w:lineRule="exact"/>
        <w:ind w:firstLine="480"/>
        <w:rPr>
          <w:rFonts w:hint="eastAsia" w:ascii="宋体" w:hAnsi="宋体" w:eastAsia="宋体" w:cs="宋体"/>
        </w:rPr>
      </w:pPr>
      <w:r>
        <w:rPr>
          <w:rFonts w:hint="eastAsia" w:ascii="宋体" w:hAnsi="宋体" w:eastAsia="宋体" w:cs="宋体"/>
        </w:rPr>
        <w:t>②考核不合格的，本月物业费按85%付给；连续两个月月度考核不合格，本月物业费按75%付给；连续三个月月度考核不合格，即视为年度考核不合格。</w:t>
      </w:r>
    </w:p>
    <w:p w14:paraId="327618C4">
      <w:pPr>
        <w:spacing w:line="440" w:lineRule="exact"/>
        <w:ind w:firstLine="480"/>
        <w:rPr>
          <w:rFonts w:hint="eastAsia" w:ascii="宋体" w:hAnsi="宋体" w:eastAsia="宋体" w:cs="宋体"/>
        </w:rPr>
      </w:pPr>
      <w:r>
        <w:rPr>
          <w:rFonts w:hint="eastAsia" w:ascii="宋体" w:hAnsi="宋体" w:eastAsia="宋体" w:cs="宋体"/>
        </w:rPr>
        <w:t>2、年度考核：</w:t>
      </w:r>
    </w:p>
    <w:p w14:paraId="6C45A77C">
      <w:pPr>
        <w:spacing w:line="440" w:lineRule="exact"/>
        <w:ind w:firstLine="480"/>
        <w:rPr>
          <w:rFonts w:hint="eastAsia" w:ascii="宋体" w:hAnsi="宋体" w:eastAsia="宋体" w:cs="宋体"/>
        </w:rPr>
      </w:pPr>
      <w:r>
        <w:rPr>
          <w:rFonts w:hint="eastAsia" w:ascii="宋体" w:hAnsi="宋体" w:eastAsia="宋体" w:cs="宋体"/>
        </w:rPr>
        <w:t>(1)根据年度考核综合得分进行相应奖惩。</w:t>
      </w:r>
    </w:p>
    <w:p w14:paraId="14A6250F">
      <w:pPr>
        <w:spacing w:line="440" w:lineRule="exact"/>
        <w:ind w:firstLine="480"/>
        <w:rPr>
          <w:rFonts w:hint="eastAsia" w:ascii="宋体" w:hAnsi="宋体" w:eastAsia="宋体" w:cs="宋体"/>
        </w:rPr>
      </w:pPr>
      <w:r>
        <w:rPr>
          <w:rFonts w:hint="eastAsia" w:ascii="宋体" w:hAnsi="宋体" w:eastAsia="宋体" w:cs="宋体"/>
        </w:rPr>
        <w:t xml:space="preserve">(2)奖惩时间：下一年度。 </w:t>
      </w:r>
    </w:p>
    <w:p w14:paraId="2F73592D">
      <w:pPr>
        <w:spacing w:line="440" w:lineRule="exact"/>
        <w:ind w:firstLine="480"/>
        <w:rPr>
          <w:rFonts w:hint="eastAsia" w:ascii="宋体" w:hAnsi="宋体" w:eastAsia="宋体" w:cs="宋体"/>
        </w:rPr>
      </w:pPr>
      <w:r>
        <w:rPr>
          <w:rFonts w:hint="eastAsia" w:ascii="宋体" w:hAnsi="宋体" w:eastAsia="宋体" w:cs="宋体"/>
        </w:rPr>
        <w:t>(3)奖惩与年度履约保证金、合同是否继续履行挂钩：</w:t>
      </w:r>
    </w:p>
    <w:p w14:paraId="44787E72">
      <w:pPr>
        <w:spacing w:line="440" w:lineRule="exact"/>
        <w:ind w:firstLine="480"/>
        <w:rPr>
          <w:rFonts w:hint="eastAsia" w:ascii="宋体" w:hAnsi="宋体" w:eastAsia="宋体" w:cs="宋体"/>
        </w:rPr>
      </w:pPr>
      <w:r>
        <w:rPr>
          <w:rFonts w:hint="eastAsia" w:ascii="宋体" w:hAnsi="宋体" w:eastAsia="宋体" w:cs="宋体"/>
        </w:rPr>
        <w:t>①考核合格以上的，下一年度服务托管合同自动履行，履约保证金自动转入下一年度。</w:t>
      </w:r>
    </w:p>
    <w:p w14:paraId="69D19D12">
      <w:pPr>
        <w:spacing w:line="440" w:lineRule="exact"/>
        <w:ind w:firstLine="480"/>
        <w:rPr>
          <w:rFonts w:hint="eastAsia" w:ascii="宋体" w:hAnsi="宋体" w:eastAsia="宋体" w:cs="宋体"/>
          <w:color w:val="FF0000"/>
        </w:rPr>
      </w:pPr>
      <w:r>
        <w:rPr>
          <w:rFonts w:hint="eastAsia" w:ascii="宋体" w:hAnsi="宋体" w:eastAsia="宋体" w:cs="宋体"/>
        </w:rPr>
        <w:t>②考核不合格的，扣除年度履约保证金的50%作为处罚，连续两年考核不合格的，扣除全部年度保证金，并按政府采购法律法规将相关情况提交到浙江省财政厅政府采购监管处处理。</w:t>
      </w:r>
    </w:p>
    <w:p w14:paraId="0C200491">
      <w:pPr>
        <w:spacing w:line="440" w:lineRule="exact"/>
        <w:ind w:firstLine="480"/>
        <w:rPr>
          <w:rFonts w:hint="eastAsia" w:ascii="宋体" w:hAnsi="宋体" w:eastAsia="宋体" w:cs="宋体"/>
        </w:rPr>
      </w:pPr>
      <w:r>
        <w:rPr>
          <w:rFonts w:hint="eastAsia" w:ascii="宋体" w:hAnsi="宋体" w:eastAsia="宋体" w:cs="宋体"/>
        </w:rPr>
        <w:t>(4)被处罚但尚未终止合同的服务单位，在处罚后两周内，需自行补齐年度履约保证金，否则视为自动放弃托管服务权。</w:t>
      </w:r>
    </w:p>
    <w:p w14:paraId="2A55BDBC">
      <w:pPr>
        <w:spacing w:line="440" w:lineRule="exact"/>
        <w:ind w:firstLine="480"/>
        <w:rPr>
          <w:rFonts w:hint="eastAsia" w:ascii="宋体" w:hAnsi="宋体" w:eastAsia="宋体" w:cs="宋体"/>
        </w:rPr>
      </w:pPr>
      <w:r>
        <w:rPr>
          <w:rFonts w:hint="eastAsia" w:ascii="宋体" w:hAnsi="宋体" w:eastAsia="宋体" w:cs="宋体"/>
        </w:rPr>
        <w:t>3、发生以下情形之一者，属于重大责任事故，则实行一票否决制，扣除全部履约保证金，并按政府采购法律法规将相关情况提交到浙江省财政厅政府采购监管处处理。</w:t>
      </w:r>
    </w:p>
    <w:p w14:paraId="0084B968">
      <w:pPr>
        <w:spacing w:line="440" w:lineRule="exact"/>
        <w:ind w:firstLine="480"/>
        <w:rPr>
          <w:rFonts w:hint="eastAsia" w:ascii="宋体" w:hAnsi="宋体" w:eastAsia="宋体" w:cs="宋体"/>
        </w:rPr>
      </w:pPr>
      <w:r>
        <w:rPr>
          <w:rFonts w:hint="eastAsia" w:ascii="宋体" w:hAnsi="宋体" w:eastAsia="宋体" w:cs="宋体"/>
        </w:rPr>
        <w:t>(1)乙方的工作人员伤害学生且情节较为严重的；</w:t>
      </w:r>
    </w:p>
    <w:p w14:paraId="2D0B7653">
      <w:pPr>
        <w:spacing w:line="440" w:lineRule="exact"/>
        <w:ind w:firstLine="480"/>
        <w:rPr>
          <w:rFonts w:hint="eastAsia" w:ascii="宋体" w:hAnsi="宋体" w:eastAsia="宋体" w:cs="宋体"/>
        </w:rPr>
      </w:pPr>
      <w:r>
        <w:rPr>
          <w:rFonts w:hint="eastAsia" w:ascii="宋体" w:hAnsi="宋体" w:eastAsia="宋体" w:cs="宋体"/>
        </w:rPr>
        <w:t>(2)因人为或操作原因，造成学校重大财产损失或人员重大伤害或死亡的。</w:t>
      </w:r>
    </w:p>
    <w:p w14:paraId="53FA913E">
      <w:pPr>
        <w:spacing w:line="440" w:lineRule="exact"/>
        <w:ind w:firstLine="480"/>
        <w:rPr>
          <w:rFonts w:hint="eastAsia" w:ascii="宋体" w:hAnsi="宋体" w:eastAsia="宋体" w:cs="宋体"/>
        </w:rPr>
      </w:pPr>
      <w:r>
        <w:rPr>
          <w:rFonts w:hint="eastAsia" w:ascii="宋体" w:hAnsi="宋体" w:eastAsia="宋体" w:cs="宋体"/>
        </w:rPr>
        <w:t>(3)其他各类违反学校各项规定、影响学校教学科研保障运行的；</w:t>
      </w:r>
    </w:p>
    <w:p w14:paraId="68DA2735">
      <w:pPr>
        <w:spacing w:line="440" w:lineRule="exact"/>
        <w:ind w:firstLine="480"/>
        <w:rPr>
          <w:rFonts w:hint="eastAsia" w:ascii="宋体" w:hAnsi="宋体" w:eastAsia="宋体" w:cs="宋体"/>
        </w:rPr>
      </w:pPr>
      <w:r>
        <w:rPr>
          <w:rFonts w:hint="eastAsia" w:ascii="宋体" w:hAnsi="宋体" w:eastAsia="宋体" w:cs="宋体"/>
        </w:rPr>
        <w:t>(4)人员到位率不足80%的、按合同约定的配置和设施不到位的。</w:t>
      </w:r>
    </w:p>
    <w:p w14:paraId="4C13E1A3">
      <w:pPr>
        <w:spacing w:line="440" w:lineRule="exact"/>
        <w:ind w:firstLine="482"/>
        <w:rPr>
          <w:rFonts w:hint="eastAsia" w:ascii="宋体" w:hAnsi="宋体" w:eastAsia="宋体" w:cs="宋体"/>
          <w:b/>
        </w:rPr>
      </w:pPr>
      <w:r>
        <w:rPr>
          <w:rFonts w:hint="eastAsia" w:ascii="宋体" w:hAnsi="宋体" w:eastAsia="宋体" w:cs="宋体"/>
          <w:b/>
        </w:rPr>
        <w:t>第七条  其他</w:t>
      </w:r>
    </w:p>
    <w:p w14:paraId="5BB3D9EC">
      <w:pPr>
        <w:spacing w:line="440" w:lineRule="exact"/>
        <w:ind w:firstLine="480"/>
        <w:rPr>
          <w:rFonts w:hint="eastAsia" w:ascii="宋体" w:hAnsi="宋体" w:eastAsia="宋体" w:cs="宋体"/>
        </w:rPr>
      </w:pPr>
      <w:r>
        <w:rPr>
          <w:rFonts w:hint="eastAsia" w:ascii="宋体" w:hAnsi="宋体" w:eastAsia="宋体" w:cs="宋体"/>
        </w:rPr>
        <w:t>1、本考核办法自合同履约之日起施行；</w:t>
      </w:r>
    </w:p>
    <w:p w14:paraId="782673CF">
      <w:pPr>
        <w:spacing w:line="440" w:lineRule="exact"/>
        <w:ind w:firstLine="480"/>
        <w:rPr>
          <w:rFonts w:hint="eastAsia" w:ascii="宋体" w:hAnsi="宋体" w:eastAsia="宋体" w:cs="Times New Roman"/>
          <w:b/>
        </w:rPr>
      </w:pPr>
      <w:r>
        <w:rPr>
          <w:rFonts w:hint="eastAsia" w:ascii="宋体" w:hAnsi="宋体" w:eastAsia="宋体" w:cs="宋体"/>
        </w:rPr>
        <w:t>2、中标单位进场服务后，校方可根据实际情况对考核办法进行适时调整和修改，并出具详细考核打分表。</w:t>
      </w:r>
    </w:p>
    <w:p w14:paraId="1D629F42">
      <w:pPr>
        <w:rPr>
          <w:rFonts w:ascii="Calibri" w:hAnsi="Calibri" w:eastAsia="宋体" w:cs="Times New Roman"/>
        </w:rPr>
        <w:sectPr>
          <w:headerReference r:id="rId3" w:type="default"/>
          <w:footerReference r:id="rId4" w:type="default"/>
          <w:pgSz w:w="11906" w:h="16838"/>
          <w:pgMar w:top="1134" w:right="1418" w:bottom="1134" w:left="1418" w:header="851" w:footer="992" w:gutter="0"/>
          <w:pgBorders>
            <w:top w:val="none" w:sz="0" w:space="0"/>
            <w:left w:val="none" w:sz="0" w:space="0"/>
            <w:bottom w:val="none" w:sz="0" w:space="0"/>
            <w:right w:val="none" w:sz="0" w:space="0"/>
          </w:pgBorders>
          <w:cols w:space="720" w:num="1"/>
          <w:docGrid w:type="lines" w:linePitch="312" w:charSpace="0"/>
        </w:sectPr>
      </w:pPr>
    </w:p>
    <w:p w14:paraId="40B574D2">
      <w:pPr>
        <w:spacing w:line="360" w:lineRule="auto"/>
        <w:rPr>
          <w:rFonts w:cs="仿宋_GB2312"/>
          <w:b/>
          <w:color w:val="auto"/>
          <w:sz w:val="24"/>
        </w:rPr>
      </w:pPr>
      <w:bookmarkStart w:id="95" w:name="_Toc90475309"/>
      <w:bookmarkStart w:id="96" w:name="_Toc97303168"/>
      <w:r>
        <w:rPr>
          <w:rFonts w:hint="eastAsia" w:cs="仿宋_GB2312"/>
          <w:b/>
          <w:color w:val="auto"/>
          <w:sz w:val="24"/>
        </w:rPr>
        <w:t>表一</w:t>
      </w:r>
    </w:p>
    <w:p w14:paraId="2CCB17EE">
      <w:pPr>
        <w:spacing w:line="360" w:lineRule="auto"/>
        <w:jc w:val="center"/>
        <w:rPr>
          <w:rFonts w:cs="仿宋_GB2312"/>
          <w:b/>
          <w:color w:val="auto"/>
          <w:sz w:val="30"/>
          <w:szCs w:val="30"/>
        </w:rPr>
      </w:pPr>
      <w:r>
        <w:rPr>
          <w:rFonts w:hint="eastAsia" w:cs="仿宋_GB2312"/>
          <w:b/>
          <w:color w:val="auto"/>
          <w:sz w:val="30"/>
          <w:szCs w:val="30"/>
        </w:rPr>
        <w:t>临平校区物业服务月度考核表</w:t>
      </w:r>
    </w:p>
    <w:p w14:paraId="6042C4F1">
      <w:pPr>
        <w:widowControl/>
        <w:jc w:val="left"/>
        <w:rPr>
          <w:rFonts w:cs="仿宋_GB2312"/>
          <w:b/>
          <w:color w:val="auto"/>
          <w:sz w:val="24"/>
        </w:rPr>
      </w:pPr>
    </w:p>
    <w:tbl>
      <w:tblPr>
        <w:tblStyle w:val="59"/>
        <w:tblW w:w="13882" w:type="dxa"/>
        <w:tblInd w:w="0" w:type="dxa"/>
        <w:tblLayout w:type="fixed"/>
        <w:tblCellMar>
          <w:top w:w="0" w:type="dxa"/>
          <w:left w:w="108" w:type="dxa"/>
          <w:bottom w:w="0" w:type="dxa"/>
          <w:right w:w="108" w:type="dxa"/>
        </w:tblCellMar>
      </w:tblPr>
      <w:tblGrid>
        <w:gridCol w:w="493"/>
        <w:gridCol w:w="578"/>
        <w:gridCol w:w="578"/>
        <w:gridCol w:w="5478"/>
        <w:gridCol w:w="5337"/>
        <w:gridCol w:w="709"/>
        <w:gridCol w:w="709"/>
      </w:tblGrid>
      <w:tr w14:paraId="0B16EA27">
        <w:tblPrEx>
          <w:tblCellMar>
            <w:top w:w="0" w:type="dxa"/>
            <w:left w:w="108" w:type="dxa"/>
            <w:bottom w:w="0" w:type="dxa"/>
            <w:right w:w="108" w:type="dxa"/>
          </w:tblCellMar>
        </w:tblPrEx>
        <w:trPr>
          <w:trHeight w:val="465" w:hRule="atLeast"/>
        </w:trPr>
        <w:tc>
          <w:tcPr>
            <w:tcW w:w="493" w:type="dxa"/>
            <w:tcBorders>
              <w:top w:val="single" w:color="auto" w:sz="8" w:space="0"/>
              <w:left w:val="single" w:color="auto" w:sz="8" w:space="0"/>
              <w:bottom w:val="single" w:color="auto" w:sz="8" w:space="0"/>
              <w:right w:val="single" w:color="auto" w:sz="8" w:space="0"/>
            </w:tcBorders>
            <w:shd w:val="clear" w:color="000000" w:fill="FFFFFF"/>
            <w:vAlign w:val="center"/>
          </w:tcPr>
          <w:p w14:paraId="229E86A9">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序号</w:t>
            </w:r>
          </w:p>
        </w:tc>
        <w:tc>
          <w:tcPr>
            <w:tcW w:w="578" w:type="dxa"/>
            <w:tcBorders>
              <w:top w:val="single" w:color="auto" w:sz="8" w:space="0"/>
              <w:left w:val="nil"/>
              <w:bottom w:val="single" w:color="auto" w:sz="8" w:space="0"/>
              <w:right w:val="single" w:color="auto" w:sz="8" w:space="0"/>
            </w:tcBorders>
            <w:shd w:val="clear" w:color="000000" w:fill="FFFFFF"/>
            <w:vAlign w:val="center"/>
          </w:tcPr>
          <w:p w14:paraId="2164933F">
            <w:pPr>
              <w:widowControl/>
              <w:rPr>
                <w:rFonts w:hint="eastAsia" w:ascii="宋体" w:hAnsi="宋体" w:cs="宋体"/>
                <w:b/>
                <w:bCs/>
                <w:color w:val="auto"/>
                <w:kern w:val="0"/>
                <w:sz w:val="18"/>
                <w:szCs w:val="18"/>
              </w:rPr>
            </w:pPr>
            <w:r>
              <w:rPr>
                <w:rFonts w:hint="eastAsia" w:ascii="宋体" w:hAnsi="宋体" w:cs="宋体"/>
                <w:b/>
                <w:bCs/>
                <w:color w:val="auto"/>
                <w:kern w:val="0"/>
                <w:sz w:val="18"/>
                <w:szCs w:val="18"/>
              </w:rPr>
              <w:t>项目</w:t>
            </w:r>
          </w:p>
        </w:tc>
        <w:tc>
          <w:tcPr>
            <w:tcW w:w="6056" w:type="dxa"/>
            <w:gridSpan w:val="2"/>
            <w:tcBorders>
              <w:top w:val="single" w:color="auto" w:sz="8" w:space="0"/>
              <w:left w:val="nil"/>
              <w:bottom w:val="single" w:color="auto" w:sz="8" w:space="0"/>
              <w:right w:val="single" w:color="000000" w:sz="8" w:space="0"/>
            </w:tcBorders>
            <w:shd w:val="clear" w:color="000000" w:fill="FFFFFF"/>
            <w:vAlign w:val="center"/>
          </w:tcPr>
          <w:p w14:paraId="50497343">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检</w:t>
            </w:r>
            <w:r>
              <w:rPr>
                <w:b/>
                <w:bCs/>
                <w:color w:val="auto"/>
                <w:kern w:val="0"/>
                <w:sz w:val="18"/>
                <w:szCs w:val="18"/>
              </w:rPr>
              <w:t xml:space="preserve"> </w:t>
            </w:r>
            <w:r>
              <w:rPr>
                <w:rFonts w:hint="eastAsia" w:ascii="宋体" w:hAnsi="宋体" w:cs="宋体"/>
                <w:b/>
                <w:bCs/>
                <w:color w:val="auto"/>
                <w:kern w:val="0"/>
                <w:sz w:val="18"/>
                <w:szCs w:val="18"/>
              </w:rPr>
              <w:t>查</w:t>
            </w:r>
            <w:r>
              <w:rPr>
                <w:b/>
                <w:bCs/>
                <w:color w:val="auto"/>
                <w:kern w:val="0"/>
                <w:sz w:val="18"/>
                <w:szCs w:val="18"/>
              </w:rPr>
              <w:t xml:space="preserve"> </w:t>
            </w:r>
            <w:r>
              <w:rPr>
                <w:rFonts w:hint="eastAsia" w:ascii="宋体" w:hAnsi="宋体" w:cs="宋体"/>
                <w:b/>
                <w:bCs/>
                <w:color w:val="auto"/>
                <w:kern w:val="0"/>
                <w:sz w:val="18"/>
                <w:szCs w:val="18"/>
              </w:rPr>
              <w:t>内</w:t>
            </w:r>
            <w:r>
              <w:rPr>
                <w:b/>
                <w:bCs/>
                <w:color w:val="auto"/>
                <w:kern w:val="0"/>
                <w:sz w:val="18"/>
                <w:szCs w:val="18"/>
              </w:rPr>
              <w:t xml:space="preserve"> </w:t>
            </w:r>
            <w:r>
              <w:rPr>
                <w:rFonts w:hint="eastAsia" w:ascii="宋体" w:hAnsi="宋体" w:cs="宋体"/>
                <w:b/>
                <w:bCs/>
                <w:color w:val="auto"/>
                <w:kern w:val="0"/>
                <w:sz w:val="18"/>
                <w:szCs w:val="18"/>
              </w:rPr>
              <w:t>容</w:t>
            </w:r>
          </w:p>
        </w:tc>
        <w:tc>
          <w:tcPr>
            <w:tcW w:w="5337" w:type="dxa"/>
            <w:tcBorders>
              <w:top w:val="single" w:color="auto" w:sz="8" w:space="0"/>
              <w:left w:val="nil"/>
              <w:bottom w:val="single" w:color="auto" w:sz="8" w:space="0"/>
              <w:right w:val="single" w:color="auto" w:sz="8" w:space="0"/>
            </w:tcBorders>
            <w:shd w:val="clear" w:color="000000" w:fill="FFFFFF"/>
            <w:vAlign w:val="center"/>
          </w:tcPr>
          <w:p w14:paraId="4C1AB09D">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评</w:t>
            </w:r>
            <w:r>
              <w:rPr>
                <w:b/>
                <w:bCs/>
                <w:color w:val="auto"/>
                <w:kern w:val="0"/>
                <w:sz w:val="18"/>
                <w:szCs w:val="18"/>
              </w:rPr>
              <w:t xml:space="preserve"> </w:t>
            </w:r>
            <w:r>
              <w:rPr>
                <w:rFonts w:hint="eastAsia" w:ascii="宋体" w:hAnsi="宋体" w:cs="宋体"/>
                <w:b/>
                <w:bCs/>
                <w:color w:val="auto"/>
                <w:kern w:val="0"/>
                <w:sz w:val="18"/>
                <w:szCs w:val="18"/>
              </w:rPr>
              <w:t>分</w:t>
            </w:r>
            <w:r>
              <w:rPr>
                <w:b/>
                <w:bCs/>
                <w:color w:val="auto"/>
                <w:kern w:val="0"/>
                <w:sz w:val="18"/>
                <w:szCs w:val="18"/>
              </w:rPr>
              <w:t xml:space="preserve"> </w:t>
            </w:r>
            <w:r>
              <w:rPr>
                <w:rFonts w:hint="eastAsia" w:ascii="宋体" w:hAnsi="宋体" w:cs="宋体"/>
                <w:b/>
                <w:bCs/>
                <w:color w:val="auto"/>
                <w:kern w:val="0"/>
                <w:sz w:val="18"/>
                <w:szCs w:val="18"/>
              </w:rPr>
              <w:t>标</w:t>
            </w:r>
            <w:r>
              <w:rPr>
                <w:b/>
                <w:bCs/>
                <w:color w:val="auto"/>
                <w:kern w:val="0"/>
                <w:sz w:val="18"/>
                <w:szCs w:val="18"/>
              </w:rPr>
              <w:t xml:space="preserve"> </w:t>
            </w:r>
            <w:r>
              <w:rPr>
                <w:rFonts w:hint="eastAsia" w:ascii="宋体" w:hAnsi="宋体" w:cs="宋体"/>
                <w:b/>
                <w:bCs/>
                <w:color w:val="auto"/>
                <w:kern w:val="0"/>
                <w:sz w:val="18"/>
                <w:szCs w:val="18"/>
              </w:rPr>
              <w:t>准</w:t>
            </w:r>
          </w:p>
        </w:tc>
        <w:tc>
          <w:tcPr>
            <w:tcW w:w="709" w:type="dxa"/>
            <w:tcBorders>
              <w:top w:val="single" w:color="auto" w:sz="8" w:space="0"/>
              <w:left w:val="nil"/>
              <w:bottom w:val="single" w:color="auto" w:sz="8" w:space="0"/>
              <w:right w:val="single" w:color="auto" w:sz="8" w:space="0"/>
            </w:tcBorders>
            <w:shd w:val="clear" w:color="000000" w:fill="FFFFFF"/>
            <w:vAlign w:val="center"/>
          </w:tcPr>
          <w:p w14:paraId="65921F82">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分值</w:t>
            </w:r>
          </w:p>
        </w:tc>
        <w:tc>
          <w:tcPr>
            <w:tcW w:w="709" w:type="dxa"/>
            <w:tcBorders>
              <w:top w:val="single" w:color="auto" w:sz="8" w:space="0"/>
              <w:left w:val="nil"/>
              <w:bottom w:val="single" w:color="auto" w:sz="8" w:space="0"/>
              <w:right w:val="single" w:color="auto" w:sz="8" w:space="0"/>
            </w:tcBorders>
            <w:shd w:val="clear" w:color="000000" w:fill="FFFFFF"/>
            <w:vAlign w:val="center"/>
          </w:tcPr>
          <w:p w14:paraId="28A20549">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得分</w:t>
            </w:r>
          </w:p>
        </w:tc>
      </w:tr>
      <w:tr w14:paraId="1E417DB1">
        <w:tblPrEx>
          <w:tblCellMar>
            <w:top w:w="0" w:type="dxa"/>
            <w:left w:w="108" w:type="dxa"/>
            <w:bottom w:w="0" w:type="dxa"/>
            <w:right w:w="108" w:type="dxa"/>
          </w:tblCellMar>
        </w:tblPrEx>
        <w:trPr>
          <w:trHeight w:val="315"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15DC11F6">
            <w:pPr>
              <w:widowControl/>
              <w:jc w:val="center"/>
              <w:rPr>
                <w:rFonts w:eastAsia="等线"/>
                <w:b/>
                <w:bCs/>
                <w:color w:val="auto"/>
                <w:kern w:val="0"/>
                <w:sz w:val="18"/>
                <w:szCs w:val="18"/>
              </w:rPr>
            </w:pPr>
            <w:r>
              <w:rPr>
                <w:rFonts w:eastAsia="等线"/>
                <w:b/>
                <w:bCs/>
                <w:color w:val="auto"/>
                <w:kern w:val="0"/>
                <w:sz w:val="18"/>
                <w:szCs w:val="18"/>
              </w:rPr>
              <w:t>1</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74B03696">
            <w:pPr>
              <w:widowControl/>
              <w:rPr>
                <w:rFonts w:hint="eastAsia" w:ascii="宋体" w:hAnsi="宋体" w:cs="宋体"/>
                <w:b/>
                <w:bCs/>
                <w:color w:val="auto"/>
                <w:kern w:val="0"/>
                <w:sz w:val="18"/>
                <w:szCs w:val="18"/>
              </w:rPr>
            </w:pPr>
            <w:r>
              <w:rPr>
                <w:rFonts w:hint="eastAsia" w:ascii="宋体" w:hAnsi="宋体" w:cs="宋体"/>
                <w:b/>
                <w:bCs/>
                <w:color w:val="auto"/>
                <w:kern w:val="0"/>
                <w:sz w:val="18"/>
                <w:szCs w:val="18"/>
              </w:rPr>
              <w:t>服务态度</w:t>
            </w:r>
          </w:p>
        </w:tc>
        <w:tc>
          <w:tcPr>
            <w:tcW w:w="6056" w:type="dxa"/>
            <w:gridSpan w:val="2"/>
            <w:tcBorders>
              <w:top w:val="single" w:color="auto" w:sz="8" w:space="0"/>
              <w:left w:val="nil"/>
              <w:bottom w:val="single" w:color="auto" w:sz="8" w:space="0"/>
              <w:right w:val="single" w:color="000000" w:sz="8" w:space="0"/>
            </w:tcBorders>
            <w:shd w:val="clear" w:color="000000" w:fill="FFFFFF"/>
            <w:vAlign w:val="center"/>
          </w:tcPr>
          <w:p w14:paraId="48E3D3A0">
            <w:pPr>
              <w:widowControl/>
              <w:rPr>
                <w:rFonts w:hint="eastAsia" w:ascii="宋体" w:hAnsi="宋体" w:cs="宋体"/>
                <w:color w:val="auto"/>
                <w:kern w:val="0"/>
                <w:sz w:val="18"/>
                <w:szCs w:val="18"/>
              </w:rPr>
            </w:pPr>
            <w:r>
              <w:rPr>
                <w:rFonts w:hint="eastAsia" w:ascii="宋体" w:hAnsi="宋体" w:cs="宋体"/>
                <w:color w:val="auto"/>
                <w:kern w:val="0"/>
                <w:sz w:val="18"/>
                <w:szCs w:val="18"/>
              </w:rPr>
              <w:t>从业人员上岗时应穿戴工作服。</w:t>
            </w:r>
          </w:p>
        </w:tc>
        <w:tc>
          <w:tcPr>
            <w:tcW w:w="5337" w:type="dxa"/>
            <w:tcBorders>
              <w:top w:val="nil"/>
              <w:left w:val="nil"/>
              <w:bottom w:val="single" w:color="auto" w:sz="8" w:space="0"/>
              <w:right w:val="single" w:color="auto" w:sz="8" w:space="0"/>
            </w:tcBorders>
            <w:shd w:val="clear" w:color="000000" w:fill="FFFFFF"/>
            <w:vAlign w:val="center"/>
          </w:tcPr>
          <w:p w14:paraId="6AC17A36">
            <w:pPr>
              <w:widowControl/>
              <w:rPr>
                <w:rFonts w:hint="eastAsia" w:ascii="宋体" w:hAnsi="宋体" w:cs="宋体"/>
                <w:color w:val="auto"/>
                <w:kern w:val="0"/>
                <w:sz w:val="18"/>
                <w:szCs w:val="18"/>
              </w:rPr>
            </w:pPr>
            <w:r>
              <w:rPr>
                <w:rFonts w:hint="eastAsia" w:ascii="宋体" w:hAnsi="宋体" w:cs="宋体"/>
                <w:color w:val="auto"/>
                <w:kern w:val="0"/>
                <w:sz w:val="18"/>
                <w:szCs w:val="18"/>
              </w:rPr>
              <w:t>发现不符合要求的，每人每次扣0.5分。</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76BE90BA">
            <w:pPr>
              <w:widowControl/>
              <w:jc w:val="center"/>
              <w:rPr>
                <w:rFonts w:eastAsia="等线"/>
                <w:color w:val="auto"/>
                <w:kern w:val="0"/>
                <w:sz w:val="18"/>
                <w:szCs w:val="18"/>
              </w:rPr>
            </w:pPr>
            <w:r>
              <w:rPr>
                <w:rFonts w:eastAsia="等线"/>
                <w:color w:val="auto"/>
                <w:kern w:val="0"/>
                <w:sz w:val="18"/>
                <w:szCs w:val="18"/>
              </w:rPr>
              <w:t>2</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62E71037">
            <w:pPr>
              <w:widowControl/>
              <w:jc w:val="center"/>
              <w:rPr>
                <w:rFonts w:eastAsia="等线"/>
                <w:color w:val="auto"/>
                <w:kern w:val="0"/>
                <w:sz w:val="18"/>
                <w:szCs w:val="18"/>
              </w:rPr>
            </w:pPr>
            <w:r>
              <w:rPr>
                <w:rFonts w:eastAsia="等线"/>
                <w:color w:val="auto"/>
                <w:kern w:val="0"/>
                <w:sz w:val="18"/>
                <w:szCs w:val="18"/>
              </w:rPr>
              <w:t>　</w:t>
            </w:r>
          </w:p>
        </w:tc>
      </w:tr>
      <w:tr w14:paraId="6D6FCCD1">
        <w:tblPrEx>
          <w:tblCellMar>
            <w:top w:w="0" w:type="dxa"/>
            <w:left w:w="108" w:type="dxa"/>
            <w:bottom w:w="0" w:type="dxa"/>
            <w:right w:w="108" w:type="dxa"/>
          </w:tblCellMar>
        </w:tblPrEx>
        <w:trPr>
          <w:trHeight w:val="315"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4C6A1C9A">
            <w:pPr>
              <w:widowControl/>
              <w:jc w:val="center"/>
              <w:rPr>
                <w:rFonts w:eastAsia="等线"/>
                <w:b/>
                <w:bCs/>
                <w:color w:val="auto"/>
                <w:kern w:val="0"/>
                <w:sz w:val="18"/>
                <w:szCs w:val="18"/>
              </w:rPr>
            </w:pPr>
            <w:r>
              <w:rPr>
                <w:rFonts w:eastAsia="等线"/>
                <w:b/>
                <w:bCs/>
                <w:color w:val="auto"/>
                <w:kern w:val="0"/>
                <w:sz w:val="18"/>
                <w:szCs w:val="18"/>
              </w:rPr>
              <w:t>2</w:t>
            </w:r>
          </w:p>
        </w:tc>
        <w:tc>
          <w:tcPr>
            <w:tcW w:w="578" w:type="dxa"/>
            <w:vMerge w:val="continue"/>
            <w:tcBorders>
              <w:top w:val="nil"/>
              <w:left w:val="single" w:color="auto" w:sz="8" w:space="0"/>
              <w:bottom w:val="single" w:color="000000" w:sz="8" w:space="0"/>
              <w:right w:val="single" w:color="auto" w:sz="8" w:space="0"/>
            </w:tcBorders>
            <w:vAlign w:val="center"/>
          </w:tcPr>
          <w:p w14:paraId="4998DCFE">
            <w:pPr>
              <w:widowControl/>
              <w:jc w:val="left"/>
              <w:rPr>
                <w:rFonts w:hint="eastAsia" w:ascii="宋体" w:hAnsi="宋体" w:cs="宋体"/>
                <w:b/>
                <w:bCs/>
                <w:color w:val="auto"/>
                <w:kern w:val="0"/>
                <w:sz w:val="18"/>
                <w:szCs w:val="18"/>
              </w:rPr>
            </w:pPr>
          </w:p>
        </w:tc>
        <w:tc>
          <w:tcPr>
            <w:tcW w:w="6056" w:type="dxa"/>
            <w:gridSpan w:val="2"/>
            <w:tcBorders>
              <w:top w:val="single" w:color="auto" w:sz="8" w:space="0"/>
              <w:left w:val="nil"/>
              <w:bottom w:val="single" w:color="auto" w:sz="8" w:space="0"/>
              <w:right w:val="single" w:color="000000" w:sz="8" w:space="0"/>
            </w:tcBorders>
            <w:shd w:val="clear" w:color="000000" w:fill="FFFFFF"/>
            <w:vAlign w:val="center"/>
          </w:tcPr>
          <w:p w14:paraId="5D50DE1E">
            <w:pPr>
              <w:widowControl/>
              <w:rPr>
                <w:rFonts w:hint="eastAsia" w:ascii="宋体" w:hAnsi="宋体" w:cs="宋体"/>
                <w:color w:val="auto"/>
                <w:kern w:val="0"/>
                <w:sz w:val="18"/>
                <w:szCs w:val="18"/>
              </w:rPr>
            </w:pPr>
            <w:r>
              <w:rPr>
                <w:rFonts w:hint="eastAsia" w:ascii="宋体" w:hAnsi="宋体" w:cs="宋体"/>
                <w:color w:val="auto"/>
                <w:kern w:val="0"/>
                <w:sz w:val="18"/>
                <w:szCs w:val="18"/>
              </w:rPr>
              <w:t>服务态度良好，不与师生发生争执，礼貌回答师生提出的问题。</w:t>
            </w:r>
          </w:p>
        </w:tc>
        <w:tc>
          <w:tcPr>
            <w:tcW w:w="5337" w:type="dxa"/>
            <w:tcBorders>
              <w:top w:val="nil"/>
              <w:left w:val="nil"/>
              <w:bottom w:val="single" w:color="auto" w:sz="8" w:space="0"/>
              <w:right w:val="single" w:color="auto" w:sz="8" w:space="0"/>
            </w:tcBorders>
            <w:shd w:val="clear" w:color="000000" w:fill="FFFFFF"/>
            <w:vAlign w:val="center"/>
          </w:tcPr>
          <w:p w14:paraId="6B9E926F">
            <w:pPr>
              <w:widowControl/>
              <w:rPr>
                <w:rFonts w:hint="eastAsia" w:ascii="宋体" w:hAnsi="宋体" w:cs="宋体"/>
                <w:color w:val="auto"/>
                <w:kern w:val="0"/>
                <w:sz w:val="18"/>
                <w:szCs w:val="18"/>
              </w:rPr>
            </w:pPr>
            <w:r>
              <w:rPr>
                <w:rFonts w:hint="eastAsia" w:ascii="宋体" w:hAnsi="宋体" w:cs="宋体"/>
                <w:color w:val="auto"/>
                <w:kern w:val="0"/>
                <w:sz w:val="18"/>
                <w:szCs w:val="18"/>
              </w:rPr>
              <w:t>发生争执每次扣1分。</w:t>
            </w:r>
          </w:p>
        </w:tc>
        <w:tc>
          <w:tcPr>
            <w:tcW w:w="709" w:type="dxa"/>
            <w:vMerge w:val="continue"/>
            <w:tcBorders>
              <w:top w:val="nil"/>
              <w:left w:val="single" w:color="auto" w:sz="8" w:space="0"/>
              <w:bottom w:val="single" w:color="000000" w:sz="8" w:space="0"/>
              <w:right w:val="single" w:color="auto" w:sz="8" w:space="0"/>
            </w:tcBorders>
            <w:vAlign w:val="center"/>
          </w:tcPr>
          <w:p w14:paraId="4F633A1F">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07F088A8">
            <w:pPr>
              <w:widowControl/>
              <w:jc w:val="left"/>
              <w:rPr>
                <w:rFonts w:eastAsia="等线"/>
                <w:color w:val="auto"/>
                <w:kern w:val="0"/>
                <w:sz w:val="18"/>
                <w:szCs w:val="18"/>
              </w:rPr>
            </w:pPr>
          </w:p>
        </w:tc>
      </w:tr>
      <w:tr w14:paraId="6FD8D512">
        <w:tblPrEx>
          <w:tblCellMar>
            <w:top w:w="0" w:type="dxa"/>
            <w:left w:w="108" w:type="dxa"/>
            <w:bottom w:w="0" w:type="dxa"/>
            <w:right w:w="108" w:type="dxa"/>
          </w:tblCellMar>
        </w:tblPrEx>
        <w:trPr>
          <w:trHeight w:val="690"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3800F196">
            <w:pPr>
              <w:widowControl/>
              <w:jc w:val="center"/>
              <w:rPr>
                <w:rFonts w:eastAsia="等线"/>
                <w:b/>
                <w:bCs/>
                <w:color w:val="auto"/>
                <w:kern w:val="0"/>
                <w:sz w:val="18"/>
                <w:szCs w:val="18"/>
              </w:rPr>
            </w:pPr>
            <w:r>
              <w:rPr>
                <w:rFonts w:eastAsia="等线"/>
                <w:b/>
                <w:bCs/>
                <w:color w:val="auto"/>
                <w:kern w:val="0"/>
                <w:sz w:val="18"/>
                <w:szCs w:val="18"/>
              </w:rPr>
              <w:t>3</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377CAFC0">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日常服务</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7318F59F">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卫生保洁</w:t>
            </w:r>
          </w:p>
        </w:tc>
        <w:tc>
          <w:tcPr>
            <w:tcW w:w="5478" w:type="dxa"/>
            <w:tcBorders>
              <w:top w:val="nil"/>
              <w:left w:val="nil"/>
              <w:bottom w:val="single" w:color="auto" w:sz="8" w:space="0"/>
              <w:right w:val="single" w:color="auto" w:sz="8" w:space="0"/>
            </w:tcBorders>
            <w:shd w:val="clear" w:color="000000" w:fill="FFFFFF"/>
            <w:vAlign w:val="center"/>
          </w:tcPr>
          <w:p w14:paraId="56220CBE">
            <w:pPr>
              <w:widowControl/>
              <w:rPr>
                <w:rFonts w:hint="eastAsia" w:ascii="宋体" w:hAnsi="宋体" w:cs="宋体"/>
                <w:color w:val="auto"/>
                <w:kern w:val="0"/>
                <w:sz w:val="18"/>
                <w:szCs w:val="18"/>
              </w:rPr>
            </w:pPr>
            <w:r>
              <w:rPr>
                <w:rFonts w:hint="eastAsia" w:ascii="宋体" w:hAnsi="宋体" w:cs="宋体"/>
                <w:color w:val="auto"/>
                <w:kern w:val="0"/>
                <w:sz w:val="18"/>
                <w:szCs w:val="18"/>
              </w:rPr>
              <w:t>室内外地面无散落垃圾，无大堆杂物、建筑垃圾或废弃家具器物。</w:t>
            </w:r>
          </w:p>
        </w:tc>
        <w:tc>
          <w:tcPr>
            <w:tcW w:w="5337" w:type="dxa"/>
            <w:tcBorders>
              <w:top w:val="nil"/>
              <w:left w:val="nil"/>
              <w:bottom w:val="single" w:color="auto" w:sz="8" w:space="0"/>
              <w:right w:val="single" w:color="auto" w:sz="8" w:space="0"/>
            </w:tcBorders>
            <w:shd w:val="clear" w:color="000000" w:fill="FFFFFF"/>
            <w:vAlign w:val="center"/>
          </w:tcPr>
          <w:p w14:paraId="6D19F50D">
            <w:pPr>
              <w:widowControl/>
              <w:rPr>
                <w:rFonts w:hint="eastAsia" w:ascii="宋体" w:hAnsi="宋体" w:cs="宋体"/>
                <w:color w:val="auto"/>
                <w:kern w:val="0"/>
                <w:sz w:val="18"/>
                <w:szCs w:val="18"/>
              </w:rPr>
            </w:pPr>
            <w:r>
              <w:rPr>
                <w:rFonts w:hint="eastAsia" w:ascii="宋体" w:hAnsi="宋体" w:cs="宋体"/>
                <w:color w:val="auto"/>
                <w:kern w:val="0"/>
                <w:sz w:val="18"/>
                <w:szCs w:val="18"/>
              </w:rPr>
              <w:t>散落垃圾一平方米内出现4个及以上计一处，大堆杂物、建筑垃圾、废弃家具器物等每堆（个）计一处，每处扣0.5分。</w:t>
            </w:r>
          </w:p>
        </w:tc>
        <w:tc>
          <w:tcPr>
            <w:tcW w:w="709" w:type="dxa"/>
            <w:vMerge w:val="restart"/>
            <w:tcBorders>
              <w:top w:val="nil"/>
              <w:left w:val="single" w:color="auto" w:sz="8" w:space="0"/>
              <w:bottom w:val="single" w:color="000000" w:sz="8" w:space="0"/>
              <w:right w:val="single" w:color="auto" w:sz="8" w:space="0"/>
            </w:tcBorders>
            <w:shd w:val="clear" w:color="auto" w:fill="auto"/>
            <w:vAlign w:val="center"/>
          </w:tcPr>
          <w:p w14:paraId="7D0F8391">
            <w:pPr>
              <w:widowControl/>
              <w:jc w:val="center"/>
              <w:rPr>
                <w:rFonts w:eastAsia="等线"/>
                <w:color w:val="auto"/>
                <w:kern w:val="0"/>
                <w:sz w:val="18"/>
                <w:szCs w:val="18"/>
              </w:rPr>
            </w:pPr>
            <w:r>
              <w:rPr>
                <w:rFonts w:eastAsia="等线"/>
                <w:color w:val="auto"/>
                <w:kern w:val="0"/>
                <w:sz w:val="18"/>
                <w:szCs w:val="18"/>
              </w:rPr>
              <w:t>15</w:t>
            </w:r>
          </w:p>
        </w:tc>
        <w:tc>
          <w:tcPr>
            <w:tcW w:w="709" w:type="dxa"/>
            <w:vMerge w:val="restart"/>
            <w:tcBorders>
              <w:top w:val="nil"/>
              <w:left w:val="single" w:color="auto" w:sz="8" w:space="0"/>
              <w:bottom w:val="single" w:color="000000" w:sz="8" w:space="0"/>
              <w:right w:val="single" w:color="auto" w:sz="8" w:space="0"/>
            </w:tcBorders>
            <w:shd w:val="clear" w:color="auto" w:fill="auto"/>
            <w:vAlign w:val="center"/>
          </w:tcPr>
          <w:p w14:paraId="19DEF071">
            <w:pPr>
              <w:widowControl/>
              <w:jc w:val="center"/>
              <w:rPr>
                <w:rFonts w:eastAsia="等线"/>
                <w:color w:val="auto"/>
                <w:kern w:val="0"/>
                <w:sz w:val="18"/>
                <w:szCs w:val="18"/>
              </w:rPr>
            </w:pPr>
            <w:r>
              <w:rPr>
                <w:rFonts w:eastAsia="等线"/>
                <w:color w:val="auto"/>
                <w:kern w:val="0"/>
                <w:sz w:val="18"/>
                <w:szCs w:val="18"/>
              </w:rPr>
              <w:t>　</w:t>
            </w:r>
          </w:p>
        </w:tc>
      </w:tr>
      <w:tr w14:paraId="11DD832A">
        <w:tblPrEx>
          <w:tblCellMar>
            <w:top w:w="0" w:type="dxa"/>
            <w:left w:w="108" w:type="dxa"/>
            <w:bottom w:w="0" w:type="dxa"/>
            <w:right w:w="108" w:type="dxa"/>
          </w:tblCellMar>
        </w:tblPrEx>
        <w:trPr>
          <w:trHeight w:val="450"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1B8258F0">
            <w:pPr>
              <w:widowControl/>
              <w:jc w:val="center"/>
              <w:rPr>
                <w:rFonts w:eastAsia="等线"/>
                <w:b/>
                <w:bCs/>
                <w:color w:val="auto"/>
                <w:kern w:val="0"/>
                <w:sz w:val="18"/>
                <w:szCs w:val="18"/>
              </w:rPr>
            </w:pPr>
            <w:r>
              <w:rPr>
                <w:rFonts w:eastAsia="等线"/>
                <w:b/>
                <w:bCs/>
                <w:color w:val="auto"/>
                <w:kern w:val="0"/>
                <w:sz w:val="18"/>
                <w:szCs w:val="18"/>
              </w:rPr>
              <w:t>4</w:t>
            </w:r>
          </w:p>
        </w:tc>
        <w:tc>
          <w:tcPr>
            <w:tcW w:w="578" w:type="dxa"/>
            <w:vMerge w:val="continue"/>
            <w:tcBorders>
              <w:top w:val="nil"/>
              <w:left w:val="single" w:color="auto" w:sz="8" w:space="0"/>
              <w:bottom w:val="single" w:color="000000" w:sz="8" w:space="0"/>
              <w:right w:val="single" w:color="auto" w:sz="8" w:space="0"/>
            </w:tcBorders>
            <w:vAlign w:val="center"/>
          </w:tcPr>
          <w:p w14:paraId="77A6F54C">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D6455F8">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2D9F2DED">
            <w:pPr>
              <w:widowControl/>
              <w:rPr>
                <w:rFonts w:hint="eastAsia" w:ascii="宋体" w:hAnsi="宋体" w:cs="宋体"/>
                <w:color w:val="auto"/>
                <w:kern w:val="0"/>
                <w:sz w:val="18"/>
                <w:szCs w:val="18"/>
              </w:rPr>
            </w:pPr>
            <w:r>
              <w:rPr>
                <w:rFonts w:hint="eastAsia" w:ascii="宋体" w:hAnsi="宋体" w:cs="宋体"/>
                <w:color w:val="auto"/>
                <w:kern w:val="0"/>
                <w:sz w:val="18"/>
                <w:szCs w:val="18"/>
              </w:rPr>
              <w:t>室内公共区域（包括楼道、大厅、连廊、楼梯、扶手等）无积尘、无污渍，不锈钢和玻璃表面无手印、无积尘、无污渍，整体保持整洁。</w:t>
            </w:r>
          </w:p>
        </w:tc>
        <w:tc>
          <w:tcPr>
            <w:tcW w:w="5337" w:type="dxa"/>
            <w:tcBorders>
              <w:top w:val="nil"/>
              <w:left w:val="nil"/>
              <w:bottom w:val="single" w:color="auto" w:sz="8" w:space="0"/>
              <w:right w:val="single" w:color="auto" w:sz="8" w:space="0"/>
            </w:tcBorders>
            <w:shd w:val="clear" w:color="000000" w:fill="FFFFFF"/>
            <w:vAlign w:val="center"/>
          </w:tcPr>
          <w:p w14:paraId="237D9F02">
            <w:pPr>
              <w:widowControl/>
              <w:rPr>
                <w:rFonts w:hint="eastAsia" w:ascii="宋体" w:hAnsi="宋体" w:cs="宋体"/>
                <w:color w:val="auto"/>
                <w:kern w:val="0"/>
                <w:sz w:val="18"/>
                <w:szCs w:val="18"/>
              </w:rPr>
            </w:pPr>
            <w:r>
              <w:rPr>
                <w:rFonts w:hint="eastAsia" w:ascii="宋体" w:hAnsi="宋体" w:cs="宋体"/>
                <w:color w:val="auto"/>
                <w:kern w:val="0"/>
                <w:sz w:val="18"/>
                <w:szCs w:val="18"/>
              </w:rPr>
              <w:t>以单处位置为一处（如同一个楼道多处积灰/污渍，每处扣0.5分）。</w:t>
            </w:r>
          </w:p>
        </w:tc>
        <w:tc>
          <w:tcPr>
            <w:tcW w:w="709" w:type="dxa"/>
            <w:vMerge w:val="continue"/>
            <w:tcBorders>
              <w:top w:val="nil"/>
              <w:left w:val="single" w:color="auto" w:sz="8" w:space="0"/>
              <w:bottom w:val="single" w:color="000000" w:sz="8" w:space="0"/>
              <w:right w:val="single" w:color="auto" w:sz="8" w:space="0"/>
            </w:tcBorders>
            <w:vAlign w:val="center"/>
          </w:tcPr>
          <w:p w14:paraId="4719F023">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7C49DDB7">
            <w:pPr>
              <w:widowControl/>
              <w:jc w:val="left"/>
              <w:rPr>
                <w:rFonts w:eastAsia="等线"/>
                <w:color w:val="auto"/>
                <w:kern w:val="0"/>
                <w:sz w:val="18"/>
                <w:szCs w:val="18"/>
              </w:rPr>
            </w:pPr>
          </w:p>
        </w:tc>
      </w:tr>
      <w:tr w14:paraId="2FB06ED4">
        <w:tblPrEx>
          <w:tblCellMar>
            <w:top w:w="0" w:type="dxa"/>
            <w:left w:w="108" w:type="dxa"/>
            <w:bottom w:w="0" w:type="dxa"/>
            <w:right w:w="108" w:type="dxa"/>
          </w:tblCellMar>
        </w:tblPrEx>
        <w:trPr>
          <w:trHeight w:val="675"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6CED6406">
            <w:pPr>
              <w:widowControl/>
              <w:jc w:val="center"/>
              <w:rPr>
                <w:rFonts w:eastAsia="等线"/>
                <w:b/>
                <w:bCs/>
                <w:color w:val="auto"/>
                <w:kern w:val="0"/>
                <w:sz w:val="18"/>
                <w:szCs w:val="18"/>
              </w:rPr>
            </w:pPr>
            <w:r>
              <w:rPr>
                <w:rFonts w:eastAsia="等线"/>
                <w:b/>
                <w:bCs/>
                <w:color w:val="auto"/>
                <w:kern w:val="0"/>
                <w:sz w:val="18"/>
                <w:szCs w:val="18"/>
              </w:rPr>
              <w:t>5</w:t>
            </w:r>
          </w:p>
        </w:tc>
        <w:tc>
          <w:tcPr>
            <w:tcW w:w="578" w:type="dxa"/>
            <w:vMerge w:val="continue"/>
            <w:tcBorders>
              <w:top w:val="nil"/>
              <w:left w:val="single" w:color="auto" w:sz="8" w:space="0"/>
              <w:bottom w:val="single" w:color="000000" w:sz="8" w:space="0"/>
              <w:right w:val="single" w:color="auto" w:sz="8" w:space="0"/>
            </w:tcBorders>
            <w:vAlign w:val="center"/>
          </w:tcPr>
          <w:p w14:paraId="092C69ED">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488C2D7">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16EEF6E0">
            <w:pPr>
              <w:widowControl/>
              <w:rPr>
                <w:rFonts w:hint="eastAsia" w:ascii="宋体" w:hAnsi="宋体" w:cs="宋体"/>
                <w:color w:val="auto"/>
                <w:kern w:val="0"/>
                <w:sz w:val="18"/>
                <w:szCs w:val="18"/>
              </w:rPr>
            </w:pPr>
            <w:r>
              <w:rPr>
                <w:rFonts w:hint="eastAsia" w:ascii="宋体" w:hAnsi="宋体" w:cs="宋体"/>
                <w:color w:val="auto"/>
                <w:kern w:val="0"/>
                <w:sz w:val="18"/>
                <w:szCs w:val="18"/>
              </w:rPr>
              <w:t>室内家具器物（包括桌椅、讲台、电梯门、显示屏等）无积尘、无污渍，不锈钢和玻璃表面无手印、无积尘、无污渍，体保持整洁。</w:t>
            </w:r>
          </w:p>
        </w:tc>
        <w:tc>
          <w:tcPr>
            <w:tcW w:w="5337" w:type="dxa"/>
            <w:tcBorders>
              <w:top w:val="nil"/>
              <w:left w:val="nil"/>
              <w:bottom w:val="single" w:color="auto" w:sz="8" w:space="0"/>
              <w:right w:val="single" w:color="auto" w:sz="8" w:space="0"/>
            </w:tcBorders>
            <w:shd w:val="clear" w:color="000000" w:fill="FFFFFF"/>
            <w:vAlign w:val="center"/>
          </w:tcPr>
          <w:p w14:paraId="43088FE3">
            <w:pPr>
              <w:widowControl/>
              <w:rPr>
                <w:rFonts w:hint="eastAsia" w:ascii="宋体" w:hAnsi="宋体" w:cs="宋体"/>
                <w:color w:val="auto"/>
                <w:kern w:val="0"/>
                <w:sz w:val="18"/>
                <w:szCs w:val="18"/>
              </w:rPr>
            </w:pPr>
            <w:r>
              <w:rPr>
                <w:rFonts w:hint="eastAsia" w:ascii="宋体" w:hAnsi="宋体" w:cs="宋体"/>
                <w:color w:val="auto"/>
                <w:kern w:val="0"/>
                <w:sz w:val="18"/>
                <w:szCs w:val="18"/>
              </w:rPr>
              <w:t>以单个家具器物为单位计一处（如同一个家具多处积灰/污渍、乱摆乱放各计一处，有几个计几处），每处扣0.5分。</w:t>
            </w:r>
          </w:p>
        </w:tc>
        <w:tc>
          <w:tcPr>
            <w:tcW w:w="709" w:type="dxa"/>
            <w:vMerge w:val="continue"/>
            <w:tcBorders>
              <w:top w:val="nil"/>
              <w:left w:val="single" w:color="auto" w:sz="8" w:space="0"/>
              <w:bottom w:val="single" w:color="000000" w:sz="8" w:space="0"/>
              <w:right w:val="single" w:color="auto" w:sz="8" w:space="0"/>
            </w:tcBorders>
            <w:vAlign w:val="center"/>
          </w:tcPr>
          <w:p w14:paraId="180A574E">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0370F4D6">
            <w:pPr>
              <w:widowControl/>
              <w:jc w:val="left"/>
              <w:rPr>
                <w:rFonts w:eastAsia="等线"/>
                <w:color w:val="auto"/>
                <w:kern w:val="0"/>
                <w:sz w:val="18"/>
                <w:szCs w:val="18"/>
              </w:rPr>
            </w:pPr>
          </w:p>
        </w:tc>
      </w:tr>
      <w:tr w14:paraId="740E44A1">
        <w:tblPrEx>
          <w:tblCellMar>
            <w:top w:w="0" w:type="dxa"/>
            <w:left w:w="108" w:type="dxa"/>
            <w:bottom w:w="0" w:type="dxa"/>
            <w:right w:w="108" w:type="dxa"/>
          </w:tblCellMar>
        </w:tblPrEx>
        <w:trPr>
          <w:trHeight w:val="675"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025CF589">
            <w:pPr>
              <w:widowControl/>
              <w:jc w:val="center"/>
              <w:rPr>
                <w:rFonts w:eastAsia="等线"/>
                <w:b/>
                <w:bCs/>
                <w:color w:val="auto"/>
                <w:kern w:val="0"/>
                <w:sz w:val="18"/>
                <w:szCs w:val="18"/>
              </w:rPr>
            </w:pPr>
            <w:r>
              <w:rPr>
                <w:rFonts w:eastAsia="等线"/>
                <w:b/>
                <w:bCs/>
                <w:color w:val="auto"/>
                <w:kern w:val="0"/>
                <w:sz w:val="18"/>
                <w:szCs w:val="18"/>
              </w:rPr>
              <w:t>6</w:t>
            </w:r>
          </w:p>
        </w:tc>
        <w:tc>
          <w:tcPr>
            <w:tcW w:w="578" w:type="dxa"/>
            <w:vMerge w:val="continue"/>
            <w:tcBorders>
              <w:top w:val="nil"/>
              <w:left w:val="single" w:color="auto" w:sz="8" w:space="0"/>
              <w:bottom w:val="single" w:color="000000" w:sz="8" w:space="0"/>
              <w:right w:val="single" w:color="auto" w:sz="8" w:space="0"/>
            </w:tcBorders>
            <w:vAlign w:val="center"/>
          </w:tcPr>
          <w:p w14:paraId="6E79A3A7">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4B660D8">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28772AD3">
            <w:pPr>
              <w:widowControl/>
              <w:rPr>
                <w:rFonts w:hint="eastAsia" w:ascii="宋体" w:hAnsi="宋体" w:cs="宋体"/>
                <w:color w:val="auto"/>
                <w:kern w:val="0"/>
                <w:sz w:val="18"/>
                <w:szCs w:val="18"/>
              </w:rPr>
            </w:pPr>
            <w:r>
              <w:rPr>
                <w:rFonts w:hint="eastAsia" w:ascii="宋体" w:hAnsi="宋体" w:cs="宋体"/>
                <w:color w:val="auto"/>
                <w:kern w:val="0"/>
                <w:sz w:val="18"/>
                <w:szCs w:val="18"/>
              </w:rPr>
              <w:t>室内墙面、天花板、门窗等无蛛网、无违规张贴物、无明显积灰及污渍。</w:t>
            </w:r>
          </w:p>
        </w:tc>
        <w:tc>
          <w:tcPr>
            <w:tcW w:w="5337" w:type="dxa"/>
            <w:tcBorders>
              <w:top w:val="nil"/>
              <w:left w:val="nil"/>
              <w:bottom w:val="single" w:color="auto" w:sz="8" w:space="0"/>
              <w:right w:val="single" w:color="auto" w:sz="8" w:space="0"/>
            </w:tcBorders>
            <w:shd w:val="clear" w:color="000000" w:fill="FFFFFF"/>
            <w:vAlign w:val="center"/>
          </w:tcPr>
          <w:p w14:paraId="0760C82A">
            <w:pPr>
              <w:widowControl/>
              <w:rPr>
                <w:rFonts w:hint="eastAsia" w:ascii="宋体" w:hAnsi="宋体" w:cs="宋体"/>
                <w:color w:val="auto"/>
                <w:kern w:val="0"/>
                <w:sz w:val="18"/>
                <w:szCs w:val="18"/>
              </w:rPr>
            </w:pPr>
            <w:r>
              <w:rPr>
                <w:rFonts w:hint="eastAsia" w:ascii="宋体" w:hAnsi="宋体" w:cs="宋体"/>
                <w:color w:val="auto"/>
                <w:kern w:val="0"/>
                <w:sz w:val="18"/>
                <w:szCs w:val="18"/>
              </w:rPr>
              <w:t>以整面墙/整扇门（窗）为单位，不同类型问题每个计一处（如同一面墙的多个蛛网、多处积灰、多张违规张贴物各计一处，共3处），每处扣0.5分。</w:t>
            </w:r>
          </w:p>
        </w:tc>
        <w:tc>
          <w:tcPr>
            <w:tcW w:w="709" w:type="dxa"/>
            <w:vMerge w:val="continue"/>
            <w:tcBorders>
              <w:top w:val="nil"/>
              <w:left w:val="single" w:color="auto" w:sz="8" w:space="0"/>
              <w:bottom w:val="single" w:color="000000" w:sz="8" w:space="0"/>
              <w:right w:val="single" w:color="auto" w:sz="8" w:space="0"/>
            </w:tcBorders>
            <w:vAlign w:val="center"/>
          </w:tcPr>
          <w:p w14:paraId="074AC42E">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64FED57A">
            <w:pPr>
              <w:widowControl/>
              <w:jc w:val="left"/>
              <w:rPr>
                <w:rFonts w:eastAsia="等线"/>
                <w:color w:val="auto"/>
                <w:kern w:val="0"/>
                <w:sz w:val="18"/>
                <w:szCs w:val="18"/>
              </w:rPr>
            </w:pPr>
          </w:p>
        </w:tc>
      </w:tr>
      <w:tr w14:paraId="2FAC9366">
        <w:tblPrEx>
          <w:tblCellMar>
            <w:top w:w="0" w:type="dxa"/>
            <w:left w:w="108" w:type="dxa"/>
            <w:bottom w:w="0" w:type="dxa"/>
            <w:right w:w="108" w:type="dxa"/>
          </w:tblCellMar>
        </w:tblPrEx>
        <w:trPr>
          <w:trHeight w:val="675"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0A379E58">
            <w:pPr>
              <w:widowControl/>
              <w:jc w:val="center"/>
              <w:rPr>
                <w:rFonts w:eastAsia="等线"/>
                <w:b/>
                <w:bCs/>
                <w:color w:val="auto"/>
                <w:kern w:val="0"/>
                <w:sz w:val="18"/>
                <w:szCs w:val="18"/>
              </w:rPr>
            </w:pPr>
            <w:r>
              <w:rPr>
                <w:rFonts w:eastAsia="等线"/>
                <w:b/>
                <w:bCs/>
                <w:color w:val="auto"/>
                <w:kern w:val="0"/>
                <w:sz w:val="18"/>
                <w:szCs w:val="18"/>
              </w:rPr>
              <w:t>7</w:t>
            </w:r>
          </w:p>
        </w:tc>
        <w:tc>
          <w:tcPr>
            <w:tcW w:w="578" w:type="dxa"/>
            <w:vMerge w:val="continue"/>
            <w:tcBorders>
              <w:top w:val="nil"/>
              <w:left w:val="single" w:color="auto" w:sz="8" w:space="0"/>
              <w:bottom w:val="single" w:color="000000" w:sz="8" w:space="0"/>
              <w:right w:val="single" w:color="auto" w:sz="8" w:space="0"/>
            </w:tcBorders>
            <w:vAlign w:val="center"/>
          </w:tcPr>
          <w:p w14:paraId="15F61DCD">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4D231545">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5F75DEB4">
            <w:pPr>
              <w:widowControl/>
              <w:rPr>
                <w:rFonts w:hint="eastAsia" w:ascii="宋体" w:hAnsi="宋体" w:cs="宋体"/>
                <w:color w:val="auto"/>
                <w:kern w:val="0"/>
                <w:sz w:val="18"/>
                <w:szCs w:val="18"/>
              </w:rPr>
            </w:pPr>
            <w:r>
              <w:rPr>
                <w:rFonts w:hint="eastAsia" w:ascii="宋体" w:hAnsi="宋体" w:cs="宋体"/>
                <w:color w:val="auto"/>
                <w:kern w:val="0"/>
                <w:sz w:val="18"/>
                <w:szCs w:val="18"/>
              </w:rPr>
              <w:t>卫生间在满足其他卫生标准的同时，无明显异味，厕坑便具洁净，纸篓及时清理， 镜面、水盆、台面无污点；</w:t>
            </w:r>
          </w:p>
        </w:tc>
        <w:tc>
          <w:tcPr>
            <w:tcW w:w="5337" w:type="dxa"/>
            <w:tcBorders>
              <w:top w:val="nil"/>
              <w:left w:val="nil"/>
              <w:bottom w:val="single" w:color="auto" w:sz="8" w:space="0"/>
              <w:right w:val="single" w:color="auto" w:sz="8" w:space="0"/>
            </w:tcBorders>
            <w:shd w:val="clear" w:color="000000" w:fill="FFFFFF"/>
            <w:vAlign w:val="center"/>
          </w:tcPr>
          <w:p w14:paraId="35502A5B">
            <w:pPr>
              <w:widowControl/>
              <w:rPr>
                <w:rFonts w:hint="eastAsia" w:ascii="宋体" w:hAnsi="宋体" w:cs="宋体"/>
                <w:color w:val="auto"/>
                <w:kern w:val="0"/>
                <w:sz w:val="18"/>
                <w:szCs w:val="18"/>
              </w:rPr>
            </w:pPr>
            <w:r>
              <w:rPr>
                <w:rFonts w:hint="eastAsia" w:ascii="宋体" w:hAnsi="宋体" w:cs="宋体"/>
                <w:color w:val="auto"/>
                <w:kern w:val="0"/>
                <w:sz w:val="18"/>
                <w:szCs w:val="18"/>
              </w:rPr>
              <w:t>以单个卫生间为单位，有明显异味，每间扣1分；纸篓未及时清理记一处，镜面、水盆、台面有明显污迹记一处，每处扣0.5分；</w:t>
            </w:r>
          </w:p>
        </w:tc>
        <w:tc>
          <w:tcPr>
            <w:tcW w:w="709" w:type="dxa"/>
            <w:vMerge w:val="continue"/>
            <w:tcBorders>
              <w:top w:val="nil"/>
              <w:left w:val="single" w:color="auto" w:sz="8" w:space="0"/>
              <w:bottom w:val="single" w:color="000000" w:sz="8" w:space="0"/>
              <w:right w:val="single" w:color="auto" w:sz="8" w:space="0"/>
            </w:tcBorders>
            <w:vAlign w:val="center"/>
          </w:tcPr>
          <w:p w14:paraId="4B3E504B">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5504D1E0">
            <w:pPr>
              <w:widowControl/>
              <w:jc w:val="left"/>
              <w:rPr>
                <w:rFonts w:eastAsia="等线"/>
                <w:color w:val="auto"/>
                <w:kern w:val="0"/>
                <w:sz w:val="18"/>
                <w:szCs w:val="18"/>
              </w:rPr>
            </w:pPr>
          </w:p>
        </w:tc>
      </w:tr>
      <w:tr w14:paraId="09B15D0E">
        <w:tblPrEx>
          <w:tblCellMar>
            <w:top w:w="0" w:type="dxa"/>
            <w:left w:w="108" w:type="dxa"/>
            <w:bottom w:w="0" w:type="dxa"/>
            <w:right w:w="108" w:type="dxa"/>
          </w:tblCellMar>
        </w:tblPrEx>
        <w:trPr>
          <w:trHeight w:val="675"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727BCF02">
            <w:pPr>
              <w:widowControl/>
              <w:jc w:val="center"/>
              <w:rPr>
                <w:rFonts w:eastAsia="等线"/>
                <w:b/>
                <w:bCs/>
                <w:color w:val="auto"/>
                <w:kern w:val="0"/>
                <w:sz w:val="18"/>
                <w:szCs w:val="18"/>
              </w:rPr>
            </w:pPr>
            <w:r>
              <w:rPr>
                <w:rFonts w:eastAsia="等线"/>
                <w:b/>
                <w:bCs/>
                <w:color w:val="auto"/>
                <w:kern w:val="0"/>
                <w:sz w:val="18"/>
                <w:szCs w:val="18"/>
              </w:rPr>
              <w:t>8</w:t>
            </w:r>
          </w:p>
        </w:tc>
        <w:tc>
          <w:tcPr>
            <w:tcW w:w="578" w:type="dxa"/>
            <w:vMerge w:val="continue"/>
            <w:tcBorders>
              <w:top w:val="nil"/>
              <w:left w:val="single" w:color="auto" w:sz="8" w:space="0"/>
              <w:bottom w:val="single" w:color="000000" w:sz="8" w:space="0"/>
              <w:right w:val="single" w:color="auto" w:sz="8" w:space="0"/>
            </w:tcBorders>
            <w:vAlign w:val="center"/>
          </w:tcPr>
          <w:p w14:paraId="2CA4E660">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3B16AE36">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5EB84CCB">
            <w:pPr>
              <w:widowControl/>
              <w:rPr>
                <w:rFonts w:hint="eastAsia" w:ascii="宋体" w:hAnsi="宋体" w:cs="宋体"/>
                <w:color w:val="auto"/>
                <w:kern w:val="0"/>
                <w:sz w:val="18"/>
                <w:szCs w:val="18"/>
              </w:rPr>
            </w:pPr>
            <w:r>
              <w:rPr>
                <w:rFonts w:hint="eastAsia" w:ascii="宋体" w:hAnsi="宋体" w:cs="宋体"/>
                <w:color w:val="auto"/>
                <w:kern w:val="0"/>
                <w:sz w:val="18"/>
                <w:szCs w:val="18"/>
              </w:rPr>
              <w:t>外围设施（照明灯杆（柱）、景观椅、雕塑像、橱窗等）无明显污渍、无粘贴残留物，垃圾桶/果壳箱、保洁工具等放置有序，整体保持整洁。</w:t>
            </w:r>
          </w:p>
        </w:tc>
        <w:tc>
          <w:tcPr>
            <w:tcW w:w="5337" w:type="dxa"/>
            <w:tcBorders>
              <w:top w:val="nil"/>
              <w:left w:val="nil"/>
              <w:bottom w:val="single" w:color="auto" w:sz="8" w:space="0"/>
              <w:right w:val="single" w:color="auto" w:sz="8" w:space="0"/>
            </w:tcBorders>
            <w:shd w:val="clear" w:color="000000" w:fill="FFFFFF"/>
            <w:vAlign w:val="center"/>
          </w:tcPr>
          <w:p w14:paraId="1DA59FD1">
            <w:pPr>
              <w:widowControl/>
              <w:rPr>
                <w:rFonts w:hint="eastAsia" w:ascii="宋体" w:hAnsi="宋体" w:cs="宋体"/>
                <w:color w:val="auto"/>
                <w:kern w:val="0"/>
                <w:sz w:val="18"/>
                <w:szCs w:val="18"/>
              </w:rPr>
            </w:pPr>
            <w:r>
              <w:rPr>
                <w:rFonts w:hint="eastAsia" w:ascii="宋体" w:hAnsi="宋体" w:cs="宋体"/>
                <w:color w:val="auto"/>
                <w:kern w:val="0"/>
                <w:sz w:val="18"/>
                <w:szCs w:val="18"/>
              </w:rPr>
              <w:t>以单个家具器物为单位计一处（如同一个家具多处积灰/污渍、乱摆乱放各计一处，共2处；有几个计几处），每处扣0.5分；</w:t>
            </w:r>
          </w:p>
        </w:tc>
        <w:tc>
          <w:tcPr>
            <w:tcW w:w="709" w:type="dxa"/>
            <w:vMerge w:val="continue"/>
            <w:tcBorders>
              <w:top w:val="nil"/>
              <w:left w:val="single" w:color="auto" w:sz="8" w:space="0"/>
              <w:bottom w:val="single" w:color="000000" w:sz="8" w:space="0"/>
              <w:right w:val="single" w:color="auto" w:sz="8" w:space="0"/>
            </w:tcBorders>
            <w:vAlign w:val="center"/>
          </w:tcPr>
          <w:p w14:paraId="2AE929E7">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23E35141">
            <w:pPr>
              <w:widowControl/>
              <w:jc w:val="left"/>
              <w:rPr>
                <w:rFonts w:eastAsia="等线"/>
                <w:color w:val="auto"/>
                <w:kern w:val="0"/>
                <w:sz w:val="18"/>
                <w:szCs w:val="18"/>
              </w:rPr>
            </w:pPr>
          </w:p>
        </w:tc>
      </w:tr>
      <w:tr w14:paraId="3D4E9EEB">
        <w:tblPrEx>
          <w:tblCellMar>
            <w:top w:w="0" w:type="dxa"/>
            <w:left w:w="108" w:type="dxa"/>
            <w:bottom w:w="0" w:type="dxa"/>
            <w:right w:w="108" w:type="dxa"/>
          </w:tblCellMar>
        </w:tblPrEx>
        <w:trPr>
          <w:trHeight w:val="675"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50847509">
            <w:pPr>
              <w:widowControl/>
              <w:jc w:val="center"/>
              <w:rPr>
                <w:rFonts w:eastAsia="等线"/>
                <w:b/>
                <w:bCs/>
                <w:color w:val="auto"/>
                <w:kern w:val="0"/>
                <w:sz w:val="18"/>
                <w:szCs w:val="18"/>
              </w:rPr>
            </w:pPr>
            <w:r>
              <w:rPr>
                <w:rFonts w:eastAsia="等线"/>
                <w:b/>
                <w:bCs/>
                <w:color w:val="auto"/>
                <w:kern w:val="0"/>
                <w:sz w:val="18"/>
                <w:szCs w:val="18"/>
              </w:rPr>
              <w:t>9</w:t>
            </w:r>
          </w:p>
        </w:tc>
        <w:tc>
          <w:tcPr>
            <w:tcW w:w="578" w:type="dxa"/>
            <w:vMerge w:val="continue"/>
            <w:tcBorders>
              <w:top w:val="nil"/>
              <w:left w:val="single" w:color="auto" w:sz="8" w:space="0"/>
              <w:bottom w:val="single" w:color="000000" w:sz="8" w:space="0"/>
              <w:right w:val="single" w:color="auto" w:sz="8" w:space="0"/>
            </w:tcBorders>
            <w:vAlign w:val="center"/>
          </w:tcPr>
          <w:p w14:paraId="55F6B292">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6632182B">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7A4ABD89">
            <w:pPr>
              <w:widowControl/>
              <w:rPr>
                <w:rFonts w:hint="eastAsia" w:ascii="宋体" w:hAnsi="宋体" w:cs="宋体"/>
                <w:color w:val="auto"/>
                <w:kern w:val="0"/>
                <w:sz w:val="18"/>
                <w:szCs w:val="18"/>
              </w:rPr>
            </w:pPr>
            <w:r>
              <w:rPr>
                <w:rFonts w:hint="eastAsia" w:ascii="宋体" w:hAnsi="宋体" w:cs="宋体"/>
                <w:color w:val="auto"/>
                <w:kern w:val="0"/>
                <w:sz w:val="18"/>
                <w:szCs w:val="18"/>
              </w:rPr>
              <w:t>室外下水管道、化粪池管道、雨污水井、隔油池及管道，无堵塞现场，化粪池按需做好掏粪及清理工作。</w:t>
            </w:r>
          </w:p>
        </w:tc>
        <w:tc>
          <w:tcPr>
            <w:tcW w:w="5337" w:type="dxa"/>
            <w:tcBorders>
              <w:top w:val="nil"/>
              <w:left w:val="nil"/>
              <w:bottom w:val="single" w:color="auto" w:sz="8" w:space="0"/>
              <w:right w:val="single" w:color="auto" w:sz="8" w:space="0"/>
            </w:tcBorders>
            <w:shd w:val="clear" w:color="000000" w:fill="FFFFFF"/>
            <w:vAlign w:val="center"/>
          </w:tcPr>
          <w:p w14:paraId="23AFA1C4">
            <w:pPr>
              <w:widowControl/>
              <w:rPr>
                <w:rFonts w:hint="eastAsia" w:ascii="宋体" w:hAnsi="宋体" w:cs="宋体"/>
                <w:color w:val="auto"/>
                <w:kern w:val="0"/>
                <w:sz w:val="18"/>
                <w:szCs w:val="18"/>
              </w:rPr>
            </w:pPr>
            <w:r>
              <w:rPr>
                <w:rFonts w:hint="eastAsia" w:ascii="宋体" w:hAnsi="宋体" w:cs="宋体"/>
                <w:color w:val="auto"/>
                <w:kern w:val="0"/>
                <w:sz w:val="18"/>
                <w:szCs w:val="18"/>
              </w:rPr>
              <w:t>有垃圾、杂物，按上述散落垃圾及杂物堆积标准计分，每处扣0.5分；排水沟堵塞、化粪池溢出且无人处理，每处扣1分。</w:t>
            </w:r>
          </w:p>
        </w:tc>
        <w:tc>
          <w:tcPr>
            <w:tcW w:w="709" w:type="dxa"/>
            <w:vMerge w:val="continue"/>
            <w:tcBorders>
              <w:top w:val="nil"/>
              <w:left w:val="single" w:color="auto" w:sz="8" w:space="0"/>
              <w:bottom w:val="single" w:color="000000" w:sz="8" w:space="0"/>
              <w:right w:val="single" w:color="auto" w:sz="8" w:space="0"/>
            </w:tcBorders>
            <w:vAlign w:val="center"/>
          </w:tcPr>
          <w:p w14:paraId="28BED7FA">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06CD9BF9">
            <w:pPr>
              <w:widowControl/>
              <w:jc w:val="left"/>
              <w:rPr>
                <w:rFonts w:eastAsia="等线"/>
                <w:color w:val="auto"/>
                <w:kern w:val="0"/>
                <w:sz w:val="18"/>
                <w:szCs w:val="18"/>
              </w:rPr>
            </w:pPr>
          </w:p>
        </w:tc>
      </w:tr>
      <w:tr w14:paraId="39FFD95B">
        <w:tblPrEx>
          <w:tblCellMar>
            <w:top w:w="0" w:type="dxa"/>
            <w:left w:w="108" w:type="dxa"/>
            <w:bottom w:w="0" w:type="dxa"/>
            <w:right w:w="108" w:type="dxa"/>
          </w:tblCellMar>
        </w:tblPrEx>
        <w:trPr>
          <w:trHeight w:val="675"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5EF326EC">
            <w:pPr>
              <w:widowControl/>
              <w:jc w:val="center"/>
              <w:rPr>
                <w:rFonts w:eastAsia="等线"/>
                <w:b/>
                <w:bCs/>
                <w:color w:val="auto"/>
                <w:kern w:val="0"/>
                <w:sz w:val="18"/>
                <w:szCs w:val="18"/>
              </w:rPr>
            </w:pPr>
            <w:r>
              <w:rPr>
                <w:rFonts w:eastAsia="等线"/>
                <w:b/>
                <w:bCs/>
                <w:color w:val="auto"/>
                <w:kern w:val="0"/>
                <w:sz w:val="18"/>
                <w:szCs w:val="18"/>
              </w:rPr>
              <w:t>10</w:t>
            </w:r>
          </w:p>
        </w:tc>
        <w:tc>
          <w:tcPr>
            <w:tcW w:w="578" w:type="dxa"/>
            <w:vMerge w:val="continue"/>
            <w:tcBorders>
              <w:top w:val="nil"/>
              <w:left w:val="single" w:color="auto" w:sz="8" w:space="0"/>
              <w:bottom w:val="single" w:color="000000" w:sz="8" w:space="0"/>
              <w:right w:val="single" w:color="auto" w:sz="8" w:space="0"/>
            </w:tcBorders>
            <w:vAlign w:val="center"/>
          </w:tcPr>
          <w:p w14:paraId="44DF0401">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DFA72D2">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11B59D25">
            <w:pPr>
              <w:widowControl/>
              <w:rPr>
                <w:rFonts w:hint="eastAsia" w:ascii="宋体" w:hAnsi="宋体" w:cs="宋体"/>
                <w:color w:val="auto"/>
                <w:kern w:val="0"/>
                <w:sz w:val="18"/>
                <w:szCs w:val="18"/>
              </w:rPr>
            </w:pPr>
            <w:r>
              <w:rPr>
                <w:rFonts w:hint="eastAsia" w:ascii="宋体" w:hAnsi="宋体" w:cs="宋体"/>
                <w:color w:val="auto"/>
                <w:kern w:val="0"/>
                <w:sz w:val="18"/>
                <w:szCs w:val="18"/>
              </w:rPr>
              <w:t>定期开展除“四害”、消杀、消毒工作，保留相关记录。</w:t>
            </w:r>
          </w:p>
        </w:tc>
        <w:tc>
          <w:tcPr>
            <w:tcW w:w="5337" w:type="dxa"/>
            <w:tcBorders>
              <w:top w:val="nil"/>
              <w:left w:val="nil"/>
              <w:bottom w:val="single" w:color="auto" w:sz="8" w:space="0"/>
              <w:right w:val="single" w:color="auto" w:sz="8" w:space="0"/>
            </w:tcBorders>
            <w:shd w:val="clear" w:color="000000" w:fill="FFFFFF"/>
            <w:vAlign w:val="center"/>
          </w:tcPr>
          <w:p w14:paraId="20944E4D">
            <w:pPr>
              <w:widowControl/>
              <w:rPr>
                <w:rFonts w:hint="eastAsia" w:ascii="宋体" w:hAnsi="宋体" w:cs="宋体"/>
                <w:color w:val="auto"/>
                <w:kern w:val="0"/>
                <w:sz w:val="18"/>
                <w:szCs w:val="18"/>
              </w:rPr>
            </w:pPr>
            <w:r>
              <w:rPr>
                <w:rFonts w:hint="eastAsia" w:ascii="宋体" w:hAnsi="宋体" w:cs="宋体"/>
                <w:color w:val="auto"/>
                <w:kern w:val="0"/>
                <w:sz w:val="18"/>
                <w:szCs w:val="18"/>
              </w:rPr>
              <w:t>消杀记录不全，一处扣0.5分；未定期开展“除四害”工作，一次扣1分；未定期开展消杀、消毒工作，一次扣1分。</w:t>
            </w:r>
          </w:p>
        </w:tc>
        <w:tc>
          <w:tcPr>
            <w:tcW w:w="709" w:type="dxa"/>
            <w:vMerge w:val="continue"/>
            <w:tcBorders>
              <w:top w:val="nil"/>
              <w:left w:val="single" w:color="auto" w:sz="8" w:space="0"/>
              <w:bottom w:val="single" w:color="000000" w:sz="8" w:space="0"/>
              <w:right w:val="single" w:color="auto" w:sz="8" w:space="0"/>
            </w:tcBorders>
            <w:vAlign w:val="center"/>
          </w:tcPr>
          <w:p w14:paraId="04FC617A">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62C3E0CD">
            <w:pPr>
              <w:widowControl/>
              <w:jc w:val="left"/>
              <w:rPr>
                <w:rFonts w:eastAsia="等线"/>
                <w:color w:val="auto"/>
                <w:kern w:val="0"/>
                <w:sz w:val="18"/>
                <w:szCs w:val="18"/>
              </w:rPr>
            </w:pPr>
          </w:p>
        </w:tc>
      </w:tr>
      <w:tr w14:paraId="3B2CE02A">
        <w:tblPrEx>
          <w:tblCellMar>
            <w:top w:w="0" w:type="dxa"/>
            <w:left w:w="108" w:type="dxa"/>
            <w:bottom w:w="0" w:type="dxa"/>
            <w:right w:w="108" w:type="dxa"/>
          </w:tblCellMar>
        </w:tblPrEx>
        <w:trPr>
          <w:trHeight w:val="450"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63EC2C52">
            <w:pPr>
              <w:widowControl/>
              <w:jc w:val="center"/>
              <w:rPr>
                <w:rFonts w:eastAsia="等线"/>
                <w:b/>
                <w:bCs/>
                <w:color w:val="auto"/>
                <w:kern w:val="0"/>
                <w:sz w:val="18"/>
                <w:szCs w:val="18"/>
              </w:rPr>
            </w:pPr>
            <w:r>
              <w:rPr>
                <w:rFonts w:eastAsia="等线"/>
                <w:b/>
                <w:bCs/>
                <w:color w:val="auto"/>
                <w:kern w:val="0"/>
                <w:sz w:val="18"/>
                <w:szCs w:val="18"/>
              </w:rPr>
              <w:t>11</w:t>
            </w:r>
          </w:p>
        </w:tc>
        <w:tc>
          <w:tcPr>
            <w:tcW w:w="578" w:type="dxa"/>
            <w:vMerge w:val="continue"/>
            <w:tcBorders>
              <w:top w:val="nil"/>
              <w:left w:val="single" w:color="auto" w:sz="8" w:space="0"/>
              <w:bottom w:val="single" w:color="000000" w:sz="8" w:space="0"/>
              <w:right w:val="single" w:color="auto" w:sz="8" w:space="0"/>
            </w:tcBorders>
            <w:vAlign w:val="center"/>
          </w:tcPr>
          <w:p w14:paraId="1B76AE2E">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5CD802B5">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774A7C65">
            <w:pPr>
              <w:widowControl/>
              <w:rPr>
                <w:rFonts w:hint="eastAsia" w:ascii="宋体" w:hAnsi="宋体" w:cs="宋体"/>
                <w:color w:val="auto"/>
                <w:kern w:val="0"/>
                <w:sz w:val="18"/>
                <w:szCs w:val="18"/>
              </w:rPr>
            </w:pPr>
            <w:r>
              <w:rPr>
                <w:rFonts w:hint="eastAsia" w:ascii="宋体" w:hAnsi="宋体" w:cs="宋体"/>
                <w:color w:val="auto"/>
                <w:kern w:val="0"/>
                <w:sz w:val="18"/>
                <w:szCs w:val="18"/>
              </w:rPr>
              <w:t>生活垃圾、有害垃圾、可回收垃圾、餐厨垃圾、其他垃圾分类处置，保持垃圾分类投放相关记录；</w:t>
            </w:r>
          </w:p>
        </w:tc>
        <w:tc>
          <w:tcPr>
            <w:tcW w:w="5337" w:type="dxa"/>
            <w:tcBorders>
              <w:top w:val="nil"/>
              <w:left w:val="nil"/>
              <w:bottom w:val="single" w:color="auto" w:sz="8" w:space="0"/>
              <w:right w:val="single" w:color="auto" w:sz="8" w:space="0"/>
            </w:tcBorders>
            <w:shd w:val="clear" w:color="000000" w:fill="FFFFFF"/>
            <w:vAlign w:val="center"/>
          </w:tcPr>
          <w:p w14:paraId="39771CE0">
            <w:pPr>
              <w:widowControl/>
              <w:rPr>
                <w:rFonts w:hint="eastAsia" w:ascii="宋体" w:hAnsi="宋体" w:cs="宋体"/>
                <w:color w:val="auto"/>
                <w:kern w:val="0"/>
                <w:sz w:val="18"/>
                <w:szCs w:val="18"/>
              </w:rPr>
            </w:pPr>
            <w:r>
              <w:rPr>
                <w:rFonts w:hint="eastAsia" w:ascii="宋体" w:hAnsi="宋体" w:cs="宋体"/>
                <w:color w:val="auto"/>
                <w:kern w:val="0"/>
                <w:sz w:val="18"/>
                <w:szCs w:val="18"/>
              </w:rPr>
              <w:t>垃圾未分类处理，按严重程度每处扣1-2分；记录不全，一处扣0.5分；</w:t>
            </w:r>
          </w:p>
        </w:tc>
        <w:tc>
          <w:tcPr>
            <w:tcW w:w="709" w:type="dxa"/>
            <w:vMerge w:val="continue"/>
            <w:tcBorders>
              <w:top w:val="nil"/>
              <w:left w:val="single" w:color="auto" w:sz="8" w:space="0"/>
              <w:bottom w:val="single" w:color="000000" w:sz="8" w:space="0"/>
              <w:right w:val="single" w:color="auto" w:sz="8" w:space="0"/>
            </w:tcBorders>
            <w:vAlign w:val="center"/>
          </w:tcPr>
          <w:p w14:paraId="1C02C0F0">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76DA2FB8">
            <w:pPr>
              <w:widowControl/>
              <w:jc w:val="left"/>
              <w:rPr>
                <w:rFonts w:eastAsia="等线"/>
                <w:color w:val="auto"/>
                <w:kern w:val="0"/>
                <w:sz w:val="18"/>
                <w:szCs w:val="18"/>
              </w:rPr>
            </w:pPr>
          </w:p>
        </w:tc>
      </w:tr>
      <w:tr w14:paraId="5DE98971">
        <w:tblPrEx>
          <w:tblCellMar>
            <w:top w:w="0" w:type="dxa"/>
            <w:left w:w="108" w:type="dxa"/>
            <w:bottom w:w="0" w:type="dxa"/>
            <w:right w:w="108" w:type="dxa"/>
          </w:tblCellMar>
        </w:tblPrEx>
        <w:trPr>
          <w:trHeight w:val="450"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5B412853">
            <w:pPr>
              <w:widowControl/>
              <w:jc w:val="center"/>
              <w:rPr>
                <w:rFonts w:eastAsia="等线"/>
                <w:b/>
                <w:bCs/>
                <w:color w:val="auto"/>
                <w:kern w:val="0"/>
                <w:sz w:val="18"/>
                <w:szCs w:val="18"/>
              </w:rPr>
            </w:pPr>
            <w:r>
              <w:rPr>
                <w:rFonts w:eastAsia="等线"/>
                <w:b/>
                <w:bCs/>
                <w:color w:val="auto"/>
                <w:kern w:val="0"/>
                <w:sz w:val="18"/>
                <w:szCs w:val="18"/>
              </w:rPr>
              <w:t>12</w:t>
            </w:r>
          </w:p>
        </w:tc>
        <w:tc>
          <w:tcPr>
            <w:tcW w:w="578" w:type="dxa"/>
            <w:vMerge w:val="continue"/>
            <w:tcBorders>
              <w:top w:val="nil"/>
              <w:left w:val="single" w:color="auto" w:sz="8" w:space="0"/>
              <w:bottom w:val="single" w:color="000000" w:sz="8" w:space="0"/>
              <w:right w:val="single" w:color="auto" w:sz="8" w:space="0"/>
            </w:tcBorders>
            <w:vAlign w:val="center"/>
          </w:tcPr>
          <w:p w14:paraId="3D37D40A">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7988F54">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48A9BC94">
            <w:pPr>
              <w:widowControl/>
              <w:rPr>
                <w:rFonts w:hint="eastAsia" w:ascii="宋体" w:hAnsi="宋体" w:cs="宋体"/>
                <w:color w:val="auto"/>
                <w:kern w:val="0"/>
                <w:sz w:val="18"/>
                <w:szCs w:val="18"/>
              </w:rPr>
            </w:pPr>
            <w:r>
              <w:rPr>
                <w:rFonts w:hint="eastAsia" w:ascii="宋体" w:hAnsi="宋体" w:cs="宋体"/>
                <w:color w:val="auto"/>
                <w:kern w:val="0"/>
                <w:sz w:val="18"/>
                <w:szCs w:val="18"/>
              </w:rPr>
              <w:t>及时清运垃圾，垃圾站、果壳箱、垃圾篓等无明显垃圾堆积现象。</w:t>
            </w:r>
          </w:p>
        </w:tc>
        <w:tc>
          <w:tcPr>
            <w:tcW w:w="5337" w:type="dxa"/>
            <w:tcBorders>
              <w:top w:val="nil"/>
              <w:left w:val="nil"/>
              <w:bottom w:val="single" w:color="auto" w:sz="8" w:space="0"/>
              <w:right w:val="single" w:color="auto" w:sz="8" w:space="0"/>
            </w:tcBorders>
            <w:shd w:val="clear" w:color="000000" w:fill="FFFFFF"/>
            <w:vAlign w:val="center"/>
          </w:tcPr>
          <w:p w14:paraId="3396BF9D">
            <w:pPr>
              <w:widowControl/>
              <w:rPr>
                <w:rFonts w:hint="eastAsia" w:ascii="宋体" w:hAnsi="宋体" w:cs="宋体"/>
                <w:color w:val="auto"/>
                <w:kern w:val="0"/>
                <w:sz w:val="18"/>
                <w:szCs w:val="18"/>
              </w:rPr>
            </w:pPr>
            <w:r>
              <w:rPr>
                <w:rFonts w:hint="eastAsia" w:ascii="宋体" w:hAnsi="宋体" w:cs="宋体"/>
                <w:color w:val="auto"/>
                <w:kern w:val="0"/>
                <w:sz w:val="18"/>
                <w:szCs w:val="18"/>
              </w:rPr>
              <w:t>垃圾未及时清运、有明显堆积现象，按严重程度每处扣1-2分。</w:t>
            </w:r>
          </w:p>
        </w:tc>
        <w:tc>
          <w:tcPr>
            <w:tcW w:w="709" w:type="dxa"/>
            <w:vMerge w:val="continue"/>
            <w:tcBorders>
              <w:top w:val="nil"/>
              <w:left w:val="single" w:color="auto" w:sz="8" w:space="0"/>
              <w:bottom w:val="single" w:color="000000" w:sz="8" w:space="0"/>
              <w:right w:val="single" w:color="auto" w:sz="8" w:space="0"/>
            </w:tcBorders>
            <w:vAlign w:val="center"/>
          </w:tcPr>
          <w:p w14:paraId="67050E05">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7CAF082B">
            <w:pPr>
              <w:widowControl/>
              <w:jc w:val="left"/>
              <w:rPr>
                <w:rFonts w:eastAsia="等线"/>
                <w:color w:val="auto"/>
                <w:kern w:val="0"/>
                <w:sz w:val="18"/>
                <w:szCs w:val="18"/>
              </w:rPr>
            </w:pPr>
          </w:p>
        </w:tc>
      </w:tr>
      <w:tr w14:paraId="7B170146">
        <w:tblPrEx>
          <w:tblCellMar>
            <w:top w:w="0" w:type="dxa"/>
            <w:left w:w="108" w:type="dxa"/>
            <w:bottom w:w="0" w:type="dxa"/>
            <w:right w:w="108" w:type="dxa"/>
          </w:tblCellMar>
        </w:tblPrEx>
        <w:trPr>
          <w:trHeight w:val="450"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06720907">
            <w:pPr>
              <w:widowControl/>
              <w:jc w:val="center"/>
              <w:rPr>
                <w:rFonts w:eastAsia="等线"/>
                <w:b/>
                <w:bCs/>
                <w:color w:val="auto"/>
                <w:kern w:val="0"/>
                <w:sz w:val="18"/>
                <w:szCs w:val="18"/>
              </w:rPr>
            </w:pPr>
            <w:r>
              <w:rPr>
                <w:rFonts w:eastAsia="等线"/>
                <w:b/>
                <w:bCs/>
                <w:color w:val="auto"/>
                <w:kern w:val="0"/>
                <w:sz w:val="18"/>
                <w:szCs w:val="18"/>
              </w:rPr>
              <w:t>13</w:t>
            </w:r>
          </w:p>
        </w:tc>
        <w:tc>
          <w:tcPr>
            <w:tcW w:w="578" w:type="dxa"/>
            <w:vMerge w:val="continue"/>
            <w:tcBorders>
              <w:top w:val="nil"/>
              <w:left w:val="single" w:color="auto" w:sz="8" w:space="0"/>
              <w:bottom w:val="single" w:color="000000" w:sz="8" w:space="0"/>
              <w:right w:val="single" w:color="auto" w:sz="8" w:space="0"/>
            </w:tcBorders>
            <w:vAlign w:val="center"/>
          </w:tcPr>
          <w:p w14:paraId="44B377E0">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522B55E">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574743DE">
            <w:pPr>
              <w:widowControl/>
              <w:rPr>
                <w:rFonts w:hint="eastAsia" w:ascii="宋体" w:hAnsi="宋体" w:cs="宋体"/>
                <w:color w:val="auto"/>
                <w:kern w:val="0"/>
                <w:sz w:val="18"/>
                <w:szCs w:val="18"/>
              </w:rPr>
            </w:pPr>
            <w:r>
              <w:rPr>
                <w:rFonts w:hint="eastAsia" w:ascii="宋体" w:hAnsi="宋体" w:cs="宋体"/>
                <w:color w:val="auto"/>
                <w:kern w:val="0"/>
                <w:sz w:val="18"/>
                <w:szCs w:val="18"/>
              </w:rPr>
              <w:t>合理设置标识，水域水质清澈，无污迹无杂物现象，水质达标；</w:t>
            </w:r>
          </w:p>
        </w:tc>
        <w:tc>
          <w:tcPr>
            <w:tcW w:w="5337" w:type="dxa"/>
            <w:tcBorders>
              <w:top w:val="nil"/>
              <w:left w:val="nil"/>
              <w:bottom w:val="single" w:color="auto" w:sz="8" w:space="0"/>
              <w:right w:val="single" w:color="auto" w:sz="8" w:space="0"/>
            </w:tcBorders>
            <w:shd w:val="clear" w:color="000000" w:fill="FFFFFF"/>
            <w:vAlign w:val="center"/>
          </w:tcPr>
          <w:p w14:paraId="63C47DDC">
            <w:pPr>
              <w:widowControl/>
              <w:rPr>
                <w:rFonts w:hint="eastAsia" w:ascii="宋体" w:hAnsi="宋体" w:cs="宋体"/>
                <w:color w:val="auto"/>
                <w:kern w:val="0"/>
                <w:sz w:val="18"/>
                <w:szCs w:val="18"/>
              </w:rPr>
            </w:pPr>
            <w:r>
              <w:rPr>
                <w:rFonts w:hint="eastAsia" w:ascii="宋体" w:hAnsi="宋体" w:cs="宋体"/>
                <w:color w:val="auto"/>
                <w:kern w:val="0"/>
                <w:sz w:val="18"/>
                <w:szCs w:val="18"/>
              </w:rPr>
              <w:t>水质浑浊、污泥淤积发臭等，以连续的水域计一处，按严重程度每处扣1-2分。</w:t>
            </w:r>
          </w:p>
        </w:tc>
        <w:tc>
          <w:tcPr>
            <w:tcW w:w="709" w:type="dxa"/>
            <w:vMerge w:val="continue"/>
            <w:tcBorders>
              <w:top w:val="nil"/>
              <w:left w:val="single" w:color="auto" w:sz="8" w:space="0"/>
              <w:bottom w:val="single" w:color="000000" w:sz="8" w:space="0"/>
              <w:right w:val="single" w:color="auto" w:sz="8" w:space="0"/>
            </w:tcBorders>
            <w:vAlign w:val="center"/>
          </w:tcPr>
          <w:p w14:paraId="67A65DC5">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67C298B5">
            <w:pPr>
              <w:widowControl/>
              <w:jc w:val="left"/>
              <w:rPr>
                <w:rFonts w:eastAsia="等线"/>
                <w:color w:val="auto"/>
                <w:kern w:val="0"/>
                <w:sz w:val="18"/>
                <w:szCs w:val="18"/>
              </w:rPr>
            </w:pPr>
          </w:p>
        </w:tc>
      </w:tr>
      <w:tr w14:paraId="4A0AD3ED">
        <w:tblPrEx>
          <w:tblCellMar>
            <w:top w:w="0" w:type="dxa"/>
            <w:left w:w="108" w:type="dxa"/>
            <w:bottom w:w="0" w:type="dxa"/>
            <w:right w:w="108" w:type="dxa"/>
          </w:tblCellMar>
        </w:tblPrEx>
        <w:trPr>
          <w:trHeight w:val="900"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73A1BB90">
            <w:pPr>
              <w:widowControl/>
              <w:jc w:val="center"/>
              <w:rPr>
                <w:rFonts w:eastAsia="等线"/>
                <w:b/>
                <w:bCs/>
                <w:color w:val="auto"/>
                <w:kern w:val="0"/>
                <w:sz w:val="18"/>
                <w:szCs w:val="18"/>
              </w:rPr>
            </w:pPr>
            <w:r>
              <w:rPr>
                <w:rFonts w:eastAsia="等线"/>
                <w:b/>
                <w:bCs/>
                <w:color w:val="auto"/>
                <w:kern w:val="0"/>
                <w:sz w:val="18"/>
                <w:szCs w:val="18"/>
              </w:rPr>
              <w:t>14</w:t>
            </w:r>
          </w:p>
        </w:tc>
        <w:tc>
          <w:tcPr>
            <w:tcW w:w="578" w:type="dxa"/>
            <w:vMerge w:val="continue"/>
            <w:tcBorders>
              <w:top w:val="nil"/>
              <w:left w:val="single" w:color="auto" w:sz="8" w:space="0"/>
              <w:bottom w:val="single" w:color="000000" w:sz="8" w:space="0"/>
              <w:right w:val="single" w:color="auto" w:sz="8" w:space="0"/>
            </w:tcBorders>
            <w:vAlign w:val="center"/>
          </w:tcPr>
          <w:p w14:paraId="4C3F7979">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B1D8513">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51D83120">
            <w:pPr>
              <w:widowControl/>
              <w:rPr>
                <w:rFonts w:hint="eastAsia" w:ascii="宋体" w:hAnsi="宋体" w:cs="宋体"/>
                <w:color w:val="auto"/>
                <w:kern w:val="0"/>
                <w:sz w:val="18"/>
                <w:szCs w:val="18"/>
              </w:rPr>
            </w:pPr>
            <w:r>
              <w:rPr>
                <w:rFonts w:hint="eastAsia" w:ascii="宋体" w:hAnsi="宋体" w:cs="宋体"/>
                <w:color w:val="auto"/>
                <w:kern w:val="0"/>
                <w:sz w:val="18"/>
                <w:szCs w:val="18"/>
              </w:rPr>
              <w:t>按时开展留学生公共厨房清理工作，确保公共垃圾桶及时清理，橱柜、微波炉、油烟机、电磁炉等设施设备干净整洁。</w:t>
            </w:r>
          </w:p>
        </w:tc>
        <w:tc>
          <w:tcPr>
            <w:tcW w:w="5337" w:type="dxa"/>
            <w:tcBorders>
              <w:top w:val="nil"/>
              <w:left w:val="nil"/>
              <w:bottom w:val="single" w:color="auto" w:sz="8" w:space="0"/>
              <w:right w:val="single" w:color="auto" w:sz="8" w:space="0"/>
            </w:tcBorders>
            <w:shd w:val="clear" w:color="000000" w:fill="FFFFFF"/>
            <w:vAlign w:val="center"/>
          </w:tcPr>
          <w:p w14:paraId="231D14E0">
            <w:pPr>
              <w:widowControl/>
              <w:rPr>
                <w:rFonts w:hint="eastAsia" w:ascii="宋体" w:hAnsi="宋体" w:cs="宋体"/>
                <w:color w:val="auto"/>
                <w:kern w:val="0"/>
                <w:sz w:val="18"/>
                <w:szCs w:val="18"/>
              </w:rPr>
            </w:pPr>
            <w:r>
              <w:rPr>
                <w:rFonts w:hint="eastAsia" w:ascii="宋体" w:hAnsi="宋体" w:cs="宋体"/>
                <w:color w:val="auto"/>
                <w:kern w:val="0"/>
                <w:sz w:val="18"/>
                <w:szCs w:val="18"/>
              </w:rPr>
              <w:t>以公共厨房地面、墙面、门窗为单位计一处，油污积垢、积灰每处扣1分，垃圾桶未及时清理记一处，每处扣1分，橱柜、微波炉、油烟机、电磁炉等油污较重记一处，每处扣0.5分。</w:t>
            </w:r>
          </w:p>
        </w:tc>
        <w:tc>
          <w:tcPr>
            <w:tcW w:w="709" w:type="dxa"/>
            <w:vMerge w:val="continue"/>
            <w:tcBorders>
              <w:top w:val="nil"/>
              <w:left w:val="single" w:color="auto" w:sz="8" w:space="0"/>
              <w:bottom w:val="single" w:color="000000" w:sz="8" w:space="0"/>
              <w:right w:val="single" w:color="auto" w:sz="8" w:space="0"/>
            </w:tcBorders>
            <w:vAlign w:val="center"/>
          </w:tcPr>
          <w:p w14:paraId="0248C970">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6FD041BD">
            <w:pPr>
              <w:widowControl/>
              <w:jc w:val="left"/>
              <w:rPr>
                <w:rFonts w:eastAsia="等线"/>
                <w:color w:val="auto"/>
                <w:kern w:val="0"/>
                <w:sz w:val="18"/>
                <w:szCs w:val="18"/>
              </w:rPr>
            </w:pPr>
          </w:p>
        </w:tc>
      </w:tr>
      <w:tr w14:paraId="200B523B">
        <w:tblPrEx>
          <w:tblCellMar>
            <w:top w:w="0" w:type="dxa"/>
            <w:left w:w="108" w:type="dxa"/>
            <w:bottom w:w="0" w:type="dxa"/>
            <w:right w:w="108" w:type="dxa"/>
          </w:tblCellMar>
        </w:tblPrEx>
        <w:trPr>
          <w:trHeight w:val="1125" w:hRule="atLeast"/>
        </w:trPr>
        <w:tc>
          <w:tcPr>
            <w:tcW w:w="493" w:type="dxa"/>
            <w:vMerge w:val="restart"/>
            <w:tcBorders>
              <w:top w:val="nil"/>
              <w:left w:val="single" w:color="auto" w:sz="8" w:space="0"/>
              <w:bottom w:val="single" w:color="000000" w:sz="8" w:space="0"/>
              <w:right w:val="single" w:color="auto" w:sz="8" w:space="0"/>
            </w:tcBorders>
            <w:shd w:val="clear" w:color="000000" w:fill="FFFFFF"/>
            <w:vAlign w:val="center"/>
          </w:tcPr>
          <w:p w14:paraId="4A65B5DC">
            <w:pPr>
              <w:widowControl/>
              <w:jc w:val="center"/>
              <w:rPr>
                <w:rFonts w:eastAsia="等线"/>
                <w:b/>
                <w:bCs/>
                <w:color w:val="auto"/>
                <w:kern w:val="0"/>
                <w:sz w:val="18"/>
                <w:szCs w:val="18"/>
              </w:rPr>
            </w:pPr>
            <w:r>
              <w:rPr>
                <w:rFonts w:eastAsia="等线"/>
                <w:b/>
                <w:bCs/>
                <w:color w:val="auto"/>
                <w:kern w:val="0"/>
                <w:sz w:val="18"/>
                <w:szCs w:val="18"/>
              </w:rPr>
              <w:t>15</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53B7DE25">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日常服务</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4412AD67">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绿化养护</w:t>
            </w:r>
          </w:p>
        </w:tc>
        <w:tc>
          <w:tcPr>
            <w:tcW w:w="5478" w:type="dxa"/>
            <w:vMerge w:val="restart"/>
            <w:tcBorders>
              <w:top w:val="nil"/>
              <w:left w:val="single" w:color="auto" w:sz="8" w:space="0"/>
              <w:bottom w:val="single" w:color="000000" w:sz="8" w:space="0"/>
              <w:right w:val="single" w:color="auto" w:sz="8" w:space="0"/>
            </w:tcBorders>
            <w:shd w:val="clear" w:color="000000" w:fill="FFFFFF"/>
            <w:vAlign w:val="center"/>
          </w:tcPr>
          <w:p w14:paraId="4524A7B8">
            <w:pPr>
              <w:widowControl/>
              <w:rPr>
                <w:rFonts w:hint="eastAsia" w:ascii="宋体" w:hAnsi="宋体" w:cs="宋体"/>
                <w:color w:val="auto"/>
                <w:kern w:val="0"/>
                <w:sz w:val="18"/>
                <w:szCs w:val="18"/>
              </w:rPr>
            </w:pPr>
            <w:r>
              <w:rPr>
                <w:rFonts w:hint="eastAsia" w:ascii="宋体" w:hAnsi="宋体" w:cs="宋体"/>
                <w:color w:val="auto"/>
                <w:kern w:val="0"/>
                <w:sz w:val="18"/>
                <w:szCs w:val="18"/>
              </w:rPr>
              <w:t>绿植生长基本正常，无明显枯枝死杈，无严重黄叶、焦叶、卷叶，无明显死株、枯枝、病虫株。树木无明显的钉拴、捆绑现象。</w:t>
            </w:r>
          </w:p>
        </w:tc>
        <w:tc>
          <w:tcPr>
            <w:tcW w:w="5337" w:type="dxa"/>
            <w:tcBorders>
              <w:top w:val="nil"/>
              <w:left w:val="nil"/>
              <w:bottom w:val="nil"/>
              <w:right w:val="single" w:color="auto" w:sz="8" w:space="0"/>
            </w:tcBorders>
            <w:shd w:val="clear" w:color="000000" w:fill="FFFFFF"/>
            <w:vAlign w:val="center"/>
          </w:tcPr>
          <w:p w14:paraId="5D94A949">
            <w:pPr>
              <w:widowControl/>
              <w:rPr>
                <w:rFonts w:hint="eastAsia" w:ascii="宋体" w:hAnsi="宋体" w:cs="宋体"/>
                <w:color w:val="auto"/>
                <w:kern w:val="0"/>
                <w:sz w:val="18"/>
                <w:szCs w:val="18"/>
              </w:rPr>
            </w:pPr>
            <w:r>
              <w:rPr>
                <w:rFonts w:hint="eastAsia" w:ascii="宋体" w:hAnsi="宋体" w:cs="宋体"/>
                <w:color w:val="auto"/>
                <w:kern w:val="0"/>
                <w:sz w:val="18"/>
                <w:szCs w:val="18"/>
              </w:rPr>
              <w:t>总包质保期内：物业履行监督职责，监督总包完成的进度以及完成情况，设置监督台账，及时追踪总包的进度，并反馈给校方相关负责人，视事件的严重程度，如有监督不到位的情况一次扣0.5-1分，监督记录不完整不及时，扣1分；</w:t>
            </w:r>
          </w:p>
        </w:tc>
        <w:tc>
          <w:tcPr>
            <w:tcW w:w="709" w:type="dxa"/>
            <w:vMerge w:val="restart"/>
            <w:tcBorders>
              <w:top w:val="nil"/>
              <w:left w:val="single" w:color="auto" w:sz="8" w:space="0"/>
              <w:bottom w:val="single" w:color="000000" w:sz="8" w:space="0"/>
              <w:right w:val="single" w:color="auto" w:sz="8" w:space="0"/>
            </w:tcBorders>
            <w:shd w:val="clear" w:color="auto" w:fill="auto"/>
            <w:vAlign w:val="center"/>
          </w:tcPr>
          <w:p w14:paraId="1A67B3C7">
            <w:pPr>
              <w:widowControl/>
              <w:jc w:val="center"/>
              <w:rPr>
                <w:rFonts w:eastAsia="等线"/>
                <w:color w:val="auto"/>
                <w:kern w:val="0"/>
                <w:sz w:val="18"/>
                <w:szCs w:val="18"/>
              </w:rPr>
            </w:pPr>
            <w:r>
              <w:rPr>
                <w:rFonts w:eastAsia="等线"/>
                <w:color w:val="auto"/>
                <w:kern w:val="0"/>
                <w:sz w:val="18"/>
                <w:szCs w:val="18"/>
              </w:rPr>
              <w:t>8</w:t>
            </w:r>
          </w:p>
        </w:tc>
        <w:tc>
          <w:tcPr>
            <w:tcW w:w="709" w:type="dxa"/>
            <w:vMerge w:val="restart"/>
            <w:tcBorders>
              <w:top w:val="nil"/>
              <w:left w:val="single" w:color="auto" w:sz="8" w:space="0"/>
              <w:bottom w:val="single" w:color="000000" w:sz="8" w:space="0"/>
              <w:right w:val="single" w:color="auto" w:sz="8" w:space="0"/>
            </w:tcBorders>
            <w:shd w:val="clear" w:color="auto" w:fill="auto"/>
            <w:vAlign w:val="center"/>
          </w:tcPr>
          <w:p w14:paraId="68F181F5">
            <w:pPr>
              <w:widowControl/>
              <w:jc w:val="center"/>
              <w:rPr>
                <w:rFonts w:eastAsia="等线"/>
                <w:color w:val="auto"/>
                <w:kern w:val="0"/>
                <w:sz w:val="18"/>
                <w:szCs w:val="18"/>
              </w:rPr>
            </w:pPr>
            <w:r>
              <w:rPr>
                <w:rFonts w:eastAsia="等线"/>
                <w:color w:val="auto"/>
                <w:kern w:val="0"/>
                <w:sz w:val="18"/>
                <w:szCs w:val="18"/>
              </w:rPr>
              <w:t>　</w:t>
            </w:r>
          </w:p>
        </w:tc>
      </w:tr>
      <w:tr w14:paraId="176EA8FC">
        <w:tblPrEx>
          <w:tblCellMar>
            <w:top w:w="0" w:type="dxa"/>
            <w:left w:w="108" w:type="dxa"/>
            <w:bottom w:w="0" w:type="dxa"/>
            <w:right w:w="108" w:type="dxa"/>
          </w:tblCellMar>
        </w:tblPrEx>
        <w:trPr>
          <w:trHeight w:val="285" w:hRule="atLeast"/>
        </w:trPr>
        <w:tc>
          <w:tcPr>
            <w:tcW w:w="493" w:type="dxa"/>
            <w:vMerge w:val="continue"/>
            <w:tcBorders>
              <w:top w:val="nil"/>
              <w:left w:val="single" w:color="auto" w:sz="8" w:space="0"/>
              <w:bottom w:val="single" w:color="000000" w:sz="8" w:space="0"/>
              <w:right w:val="single" w:color="auto" w:sz="8" w:space="0"/>
            </w:tcBorders>
            <w:vAlign w:val="center"/>
          </w:tcPr>
          <w:p w14:paraId="2EB40DFA">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58A3D814">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82B721E">
            <w:pPr>
              <w:widowControl/>
              <w:jc w:val="left"/>
              <w:rPr>
                <w:rFonts w:hint="eastAsia" w:ascii="宋体" w:hAnsi="宋体" w:cs="宋体"/>
                <w:b/>
                <w:bCs/>
                <w:color w:val="auto"/>
                <w:kern w:val="0"/>
                <w:sz w:val="18"/>
                <w:szCs w:val="18"/>
              </w:rPr>
            </w:pPr>
          </w:p>
        </w:tc>
        <w:tc>
          <w:tcPr>
            <w:tcW w:w="5478" w:type="dxa"/>
            <w:vMerge w:val="continue"/>
            <w:tcBorders>
              <w:top w:val="nil"/>
              <w:left w:val="single" w:color="auto" w:sz="8" w:space="0"/>
              <w:bottom w:val="single" w:color="000000" w:sz="8" w:space="0"/>
              <w:right w:val="single" w:color="auto" w:sz="8" w:space="0"/>
            </w:tcBorders>
            <w:vAlign w:val="center"/>
          </w:tcPr>
          <w:p w14:paraId="485C9BC0">
            <w:pPr>
              <w:widowControl/>
              <w:jc w:val="left"/>
              <w:rPr>
                <w:rFonts w:hint="eastAsia" w:ascii="宋体" w:hAnsi="宋体" w:cs="宋体"/>
                <w:color w:val="auto"/>
                <w:kern w:val="0"/>
                <w:sz w:val="18"/>
                <w:szCs w:val="18"/>
              </w:rPr>
            </w:pPr>
          </w:p>
        </w:tc>
        <w:tc>
          <w:tcPr>
            <w:tcW w:w="5337" w:type="dxa"/>
            <w:tcBorders>
              <w:top w:val="nil"/>
              <w:left w:val="nil"/>
              <w:bottom w:val="nil"/>
              <w:right w:val="single" w:color="auto" w:sz="8" w:space="0"/>
            </w:tcBorders>
            <w:shd w:val="clear" w:color="000000" w:fill="FFFFFF"/>
            <w:vAlign w:val="center"/>
          </w:tcPr>
          <w:p w14:paraId="51A3574D">
            <w:pPr>
              <w:widowControl/>
              <w:rPr>
                <w:rFonts w:hint="eastAsia" w:ascii="宋体" w:hAnsi="宋体" w:cs="宋体"/>
                <w:color w:val="auto"/>
                <w:kern w:val="0"/>
                <w:sz w:val="18"/>
                <w:szCs w:val="18"/>
              </w:rPr>
            </w:pPr>
            <w:r>
              <w:rPr>
                <w:rFonts w:hint="eastAsia" w:ascii="宋体" w:hAnsi="宋体" w:cs="宋体"/>
                <w:color w:val="auto"/>
                <w:kern w:val="0"/>
                <w:sz w:val="18"/>
                <w:szCs w:val="18"/>
              </w:rPr>
              <w:t>总包质保期外：</w:t>
            </w:r>
          </w:p>
        </w:tc>
        <w:tc>
          <w:tcPr>
            <w:tcW w:w="709" w:type="dxa"/>
            <w:vMerge w:val="continue"/>
            <w:tcBorders>
              <w:top w:val="nil"/>
              <w:left w:val="single" w:color="auto" w:sz="8" w:space="0"/>
              <w:bottom w:val="single" w:color="000000" w:sz="8" w:space="0"/>
              <w:right w:val="single" w:color="auto" w:sz="8" w:space="0"/>
            </w:tcBorders>
            <w:vAlign w:val="center"/>
          </w:tcPr>
          <w:p w14:paraId="4423AE88">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34561367">
            <w:pPr>
              <w:widowControl/>
              <w:jc w:val="left"/>
              <w:rPr>
                <w:rFonts w:eastAsia="等线"/>
                <w:color w:val="auto"/>
                <w:kern w:val="0"/>
                <w:sz w:val="18"/>
                <w:szCs w:val="18"/>
              </w:rPr>
            </w:pPr>
          </w:p>
        </w:tc>
      </w:tr>
      <w:tr w14:paraId="0389C8A0">
        <w:tblPrEx>
          <w:tblCellMar>
            <w:top w:w="0" w:type="dxa"/>
            <w:left w:w="108" w:type="dxa"/>
            <w:bottom w:w="0" w:type="dxa"/>
            <w:right w:w="108" w:type="dxa"/>
          </w:tblCellMar>
        </w:tblPrEx>
        <w:trPr>
          <w:trHeight w:val="1125" w:hRule="atLeast"/>
        </w:trPr>
        <w:tc>
          <w:tcPr>
            <w:tcW w:w="493" w:type="dxa"/>
            <w:vMerge w:val="continue"/>
            <w:tcBorders>
              <w:top w:val="nil"/>
              <w:left w:val="single" w:color="auto" w:sz="8" w:space="0"/>
              <w:bottom w:val="single" w:color="000000" w:sz="8" w:space="0"/>
              <w:right w:val="single" w:color="auto" w:sz="8" w:space="0"/>
            </w:tcBorders>
            <w:vAlign w:val="center"/>
          </w:tcPr>
          <w:p w14:paraId="0D48FFA3">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BBFC3FA">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D31878E">
            <w:pPr>
              <w:widowControl/>
              <w:jc w:val="left"/>
              <w:rPr>
                <w:rFonts w:hint="eastAsia" w:ascii="宋体" w:hAnsi="宋体" w:cs="宋体"/>
                <w:b/>
                <w:bCs/>
                <w:color w:val="auto"/>
                <w:kern w:val="0"/>
                <w:sz w:val="18"/>
                <w:szCs w:val="18"/>
              </w:rPr>
            </w:pPr>
          </w:p>
        </w:tc>
        <w:tc>
          <w:tcPr>
            <w:tcW w:w="5478" w:type="dxa"/>
            <w:vMerge w:val="continue"/>
            <w:tcBorders>
              <w:top w:val="nil"/>
              <w:left w:val="single" w:color="auto" w:sz="8" w:space="0"/>
              <w:bottom w:val="single" w:color="000000" w:sz="8" w:space="0"/>
              <w:right w:val="single" w:color="auto" w:sz="8" w:space="0"/>
            </w:tcBorders>
            <w:vAlign w:val="center"/>
          </w:tcPr>
          <w:p w14:paraId="4F3A3855">
            <w:pPr>
              <w:widowControl/>
              <w:jc w:val="left"/>
              <w:rPr>
                <w:rFonts w:hint="eastAsia" w:ascii="宋体" w:hAnsi="宋体" w:cs="宋体"/>
                <w:color w:val="auto"/>
                <w:kern w:val="0"/>
                <w:sz w:val="18"/>
                <w:szCs w:val="18"/>
              </w:rPr>
            </w:pPr>
          </w:p>
        </w:tc>
        <w:tc>
          <w:tcPr>
            <w:tcW w:w="5337" w:type="dxa"/>
            <w:tcBorders>
              <w:top w:val="nil"/>
              <w:left w:val="nil"/>
              <w:bottom w:val="nil"/>
              <w:right w:val="single" w:color="auto" w:sz="8" w:space="0"/>
            </w:tcBorders>
            <w:shd w:val="clear" w:color="000000" w:fill="FFFFFF"/>
            <w:vAlign w:val="center"/>
          </w:tcPr>
          <w:p w14:paraId="2BFC0B2D">
            <w:pPr>
              <w:widowControl/>
              <w:rPr>
                <w:rFonts w:hint="eastAsia" w:ascii="宋体" w:hAnsi="宋体" w:cs="宋体"/>
                <w:color w:val="auto"/>
                <w:kern w:val="0"/>
                <w:sz w:val="18"/>
                <w:szCs w:val="18"/>
              </w:rPr>
            </w:pPr>
            <w:r>
              <w:rPr>
                <w:rFonts w:hint="eastAsia" w:ascii="宋体" w:hAnsi="宋体" w:cs="宋体"/>
                <w:color w:val="auto"/>
                <w:kern w:val="0"/>
                <w:sz w:val="18"/>
                <w:szCs w:val="18"/>
              </w:rPr>
              <w:t>1、以一株树或连续的绿化带（目测100株）为单位，有明显叶色不正常（严重黄叶、焦叶、卷叶），或出现死株、枯枝、病虫株现象的计为一处，扣1分。其中，经调查确认系因发生常见病虫害未及时采取措施的，根据后果严重程度加扣1-4分。</w:t>
            </w:r>
          </w:p>
        </w:tc>
        <w:tc>
          <w:tcPr>
            <w:tcW w:w="709" w:type="dxa"/>
            <w:vMerge w:val="continue"/>
            <w:tcBorders>
              <w:top w:val="nil"/>
              <w:left w:val="single" w:color="auto" w:sz="8" w:space="0"/>
              <w:bottom w:val="single" w:color="000000" w:sz="8" w:space="0"/>
              <w:right w:val="single" w:color="auto" w:sz="8" w:space="0"/>
            </w:tcBorders>
            <w:vAlign w:val="center"/>
          </w:tcPr>
          <w:p w14:paraId="03BC2764">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4890C9BC">
            <w:pPr>
              <w:widowControl/>
              <w:jc w:val="left"/>
              <w:rPr>
                <w:rFonts w:eastAsia="等线"/>
                <w:color w:val="auto"/>
                <w:kern w:val="0"/>
                <w:sz w:val="18"/>
                <w:szCs w:val="18"/>
              </w:rPr>
            </w:pPr>
          </w:p>
        </w:tc>
      </w:tr>
      <w:tr w14:paraId="5272450E">
        <w:tblPrEx>
          <w:tblCellMar>
            <w:top w:w="0" w:type="dxa"/>
            <w:left w:w="108" w:type="dxa"/>
            <w:bottom w:w="0" w:type="dxa"/>
            <w:right w:w="108" w:type="dxa"/>
          </w:tblCellMar>
        </w:tblPrEx>
        <w:trPr>
          <w:trHeight w:val="450"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4122DF43">
            <w:pPr>
              <w:widowControl/>
              <w:jc w:val="center"/>
              <w:rPr>
                <w:rFonts w:eastAsia="等线"/>
                <w:b/>
                <w:bCs/>
                <w:color w:val="auto"/>
                <w:kern w:val="0"/>
                <w:sz w:val="18"/>
                <w:szCs w:val="18"/>
              </w:rPr>
            </w:pPr>
            <w:r>
              <w:rPr>
                <w:rFonts w:eastAsia="等线"/>
                <w:b/>
                <w:bCs/>
                <w:color w:val="auto"/>
                <w:kern w:val="0"/>
                <w:sz w:val="18"/>
                <w:szCs w:val="18"/>
              </w:rPr>
              <w:t>16</w:t>
            </w:r>
          </w:p>
        </w:tc>
        <w:tc>
          <w:tcPr>
            <w:tcW w:w="578" w:type="dxa"/>
            <w:vMerge w:val="continue"/>
            <w:tcBorders>
              <w:top w:val="nil"/>
              <w:left w:val="single" w:color="auto" w:sz="8" w:space="0"/>
              <w:bottom w:val="single" w:color="000000" w:sz="8" w:space="0"/>
              <w:right w:val="single" w:color="auto" w:sz="8" w:space="0"/>
            </w:tcBorders>
            <w:vAlign w:val="center"/>
          </w:tcPr>
          <w:p w14:paraId="072862A9">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69FA3D2">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22987B8F">
            <w:pPr>
              <w:widowControl/>
              <w:rPr>
                <w:rFonts w:hint="eastAsia" w:ascii="宋体" w:hAnsi="宋体" w:cs="宋体"/>
                <w:color w:val="auto"/>
                <w:kern w:val="0"/>
                <w:sz w:val="18"/>
                <w:szCs w:val="18"/>
              </w:rPr>
            </w:pPr>
            <w:r>
              <w:rPr>
                <w:rFonts w:hint="eastAsia" w:ascii="宋体" w:hAnsi="宋体" w:cs="宋体"/>
                <w:color w:val="auto"/>
                <w:kern w:val="0"/>
                <w:sz w:val="18"/>
                <w:szCs w:val="18"/>
              </w:rPr>
              <w:t xml:space="preserve">草坪、草花生长基本正常，草坪斑秃和草花缺株不明显，基本无草荒。 </w:t>
            </w:r>
          </w:p>
        </w:tc>
        <w:tc>
          <w:tcPr>
            <w:tcW w:w="5337" w:type="dxa"/>
            <w:tcBorders>
              <w:top w:val="nil"/>
              <w:left w:val="nil"/>
              <w:bottom w:val="nil"/>
              <w:right w:val="single" w:color="auto" w:sz="8" w:space="0"/>
            </w:tcBorders>
            <w:shd w:val="clear" w:color="000000" w:fill="FFFFFF"/>
            <w:vAlign w:val="center"/>
          </w:tcPr>
          <w:p w14:paraId="4D8BDE1C">
            <w:pPr>
              <w:widowControl/>
              <w:rPr>
                <w:rFonts w:hint="eastAsia" w:ascii="宋体" w:hAnsi="宋体" w:cs="宋体"/>
                <w:color w:val="auto"/>
                <w:kern w:val="0"/>
                <w:sz w:val="18"/>
                <w:szCs w:val="18"/>
              </w:rPr>
            </w:pPr>
            <w:r>
              <w:rPr>
                <w:rFonts w:hint="eastAsia" w:ascii="宋体" w:hAnsi="宋体" w:cs="宋体"/>
                <w:color w:val="auto"/>
                <w:kern w:val="0"/>
                <w:sz w:val="18"/>
                <w:szCs w:val="18"/>
              </w:rPr>
              <w:t>2、出现大面积斑秃、草荒现象的，按严重程度扣1-5分。</w:t>
            </w:r>
          </w:p>
        </w:tc>
        <w:tc>
          <w:tcPr>
            <w:tcW w:w="709" w:type="dxa"/>
            <w:vMerge w:val="continue"/>
            <w:tcBorders>
              <w:top w:val="nil"/>
              <w:left w:val="single" w:color="auto" w:sz="8" w:space="0"/>
              <w:bottom w:val="single" w:color="000000" w:sz="8" w:space="0"/>
              <w:right w:val="single" w:color="auto" w:sz="8" w:space="0"/>
            </w:tcBorders>
            <w:vAlign w:val="center"/>
          </w:tcPr>
          <w:p w14:paraId="78A8C4ED">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6E334D92">
            <w:pPr>
              <w:widowControl/>
              <w:jc w:val="left"/>
              <w:rPr>
                <w:rFonts w:eastAsia="等线"/>
                <w:color w:val="auto"/>
                <w:kern w:val="0"/>
                <w:sz w:val="18"/>
                <w:szCs w:val="18"/>
              </w:rPr>
            </w:pPr>
          </w:p>
        </w:tc>
      </w:tr>
      <w:tr w14:paraId="36FB5818">
        <w:tblPrEx>
          <w:tblCellMar>
            <w:top w:w="0" w:type="dxa"/>
            <w:left w:w="108" w:type="dxa"/>
            <w:bottom w:w="0" w:type="dxa"/>
            <w:right w:w="108" w:type="dxa"/>
          </w:tblCellMar>
        </w:tblPrEx>
        <w:trPr>
          <w:trHeight w:val="675"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57D793A7">
            <w:pPr>
              <w:widowControl/>
              <w:jc w:val="center"/>
              <w:rPr>
                <w:rFonts w:eastAsia="等线"/>
                <w:b/>
                <w:bCs/>
                <w:color w:val="auto"/>
                <w:kern w:val="0"/>
                <w:sz w:val="18"/>
                <w:szCs w:val="18"/>
              </w:rPr>
            </w:pPr>
            <w:r>
              <w:rPr>
                <w:rFonts w:eastAsia="等线"/>
                <w:b/>
                <w:bCs/>
                <w:color w:val="auto"/>
                <w:kern w:val="0"/>
                <w:sz w:val="18"/>
                <w:szCs w:val="18"/>
              </w:rPr>
              <w:t>17</w:t>
            </w:r>
          </w:p>
        </w:tc>
        <w:tc>
          <w:tcPr>
            <w:tcW w:w="578" w:type="dxa"/>
            <w:vMerge w:val="continue"/>
            <w:tcBorders>
              <w:top w:val="nil"/>
              <w:left w:val="single" w:color="auto" w:sz="8" w:space="0"/>
              <w:bottom w:val="single" w:color="000000" w:sz="8" w:space="0"/>
              <w:right w:val="single" w:color="auto" w:sz="8" w:space="0"/>
            </w:tcBorders>
            <w:vAlign w:val="center"/>
          </w:tcPr>
          <w:p w14:paraId="358CCD35">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49984EE4">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37DB8E9B">
            <w:pPr>
              <w:widowControl/>
              <w:rPr>
                <w:rFonts w:hint="eastAsia" w:ascii="宋体" w:hAnsi="宋体" w:cs="宋体"/>
                <w:color w:val="auto"/>
                <w:kern w:val="0"/>
                <w:sz w:val="18"/>
                <w:szCs w:val="18"/>
              </w:rPr>
            </w:pPr>
            <w:r>
              <w:rPr>
                <w:rFonts w:hint="eastAsia" w:ascii="宋体" w:hAnsi="宋体" w:cs="宋体"/>
                <w:color w:val="auto"/>
                <w:kern w:val="0"/>
                <w:sz w:val="18"/>
                <w:szCs w:val="18"/>
              </w:rPr>
              <w:t>各类绿化造型及时修剪，及时浇水（严禁使用自来水），及时增肥，养护得当。</w:t>
            </w:r>
          </w:p>
        </w:tc>
        <w:tc>
          <w:tcPr>
            <w:tcW w:w="5337" w:type="dxa"/>
            <w:tcBorders>
              <w:top w:val="nil"/>
              <w:left w:val="nil"/>
              <w:bottom w:val="nil"/>
              <w:right w:val="single" w:color="auto" w:sz="8" w:space="0"/>
            </w:tcBorders>
            <w:shd w:val="clear" w:color="000000" w:fill="FFFFFF"/>
            <w:vAlign w:val="center"/>
          </w:tcPr>
          <w:p w14:paraId="07AB8925">
            <w:pPr>
              <w:widowControl/>
              <w:rPr>
                <w:rFonts w:hint="eastAsia" w:ascii="宋体" w:hAnsi="宋体" w:cs="宋体"/>
                <w:color w:val="auto"/>
                <w:kern w:val="0"/>
                <w:sz w:val="18"/>
                <w:szCs w:val="18"/>
              </w:rPr>
            </w:pPr>
            <w:r>
              <w:rPr>
                <w:rFonts w:hint="eastAsia" w:ascii="宋体" w:hAnsi="宋体" w:cs="宋体"/>
                <w:color w:val="auto"/>
                <w:kern w:val="0"/>
                <w:sz w:val="18"/>
                <w:szCs w:val="18"/>
              </w:rPr>
              <w:t>3、因未及时修剪、维护造成绿化造型变样、枝叶生长杂乱的，以景观造型为单位，多个问题计一处，根据变形严重程度一处扣0.5-2分。</w:t>
            </w:r>
          </w:p>
        </w:tc>
        <w:tc>
          <w:tcPr>
            <w:tcW w:w="709" w:type="dxa"/>
            <w:vMerge w:val="continue"/>
            <w:tcBorders>
              <w:top w:val="nil"/>
              <w:left w:val="single" w:color="auto" w:sz="8" w:space="0"/>
              <w:bottom w:val="single" w:color="000000" w:sz="8" w:space="0"/>
              <w:right w:val="single" w:color="auto" w:sz="8" w:space="0"/>
            </w:tcBorders>
            <w:vAlign w:val="center"/>
          </w:tcPr>
          <w:p w14:paraId="1ECD4527">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3739118C">
            <w:pPr>
              <w:widowControl/>
              <w:jc w:val="left"/>
              <w:rPr>
                <w:rFonts w:eastAsia="等线"/>
                <w:color w:val="auto"/>
                <w:kern w:val="0"/>
                <w:sz w:val="18"/>
                <w:szCs w:val="18"/>
              </w:rPr>
            </w:pPr>
          </w:p>
        </w:tc>
      </w:tr>
      <w:tr w14:paraId="103B5F79">
        <w:tblPrEx>
          <w:tblCellMar>
            <w:top w:w="0" w:type="dxa"/>
            <w:left w:w="108" w:type="dxa"/>
            <w:bottom w:w="0" w:type="dxa"/>
            <w:right w:w="108" w:type="dxa"/>
          </w:tblCellMar>
        </w:tblPrEx>
        <w:trPr>
          <w:trHeight w:val="450"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3613D578">
            <w:pPr>
              <w:widowControl/>
              <w:jc w:val="center"/>
              <w:rPr>
                <w:rFonts w:eastAsia="等线"/>
                <w:b/>
                <w:bCs/>
                <w:color w:val="auto"/>
                <w:kern w:val="0"/>
                <w:sz w:val="18"/>
                <w:szCs w:val="18"/>
              </w:rPr>
            </w:pPr>
            <w:r>
              <w:rPr>
                <w:rFonts w:eastAsia="等线"/>
                <w:b/>
                <w:bCs/>
                <w:color w:val="auto"/>
                <w:kern w:val="0"/>
                <w:sz w:val="18"/>
                <w:szCs w:val="18"/>
              </w:rPr>
              <w:t>18</w:t>
            </w:r>
          </w:p>
        </w:tc>
        <w:tc>
          <w:tcPr>
            <w:tcW w:w="578" w:type="dxa"/>
            <w:vMerge w:val="continue"/>
            <w:tcBorders>
              <w:top w:val="nil"/>
              <w:left w:val="single" w:color="auto" w:sz="8" w:space="0"/>
              <w:bottom w:val="single" w:color="000000" w:sz="8" w:space="0"/>
              <w:right w:val="single" w:color="auto" w:sz="8" w:space="0"/>
            </w:tcBorders>
            <w:vAlign w:val="center"/>
          </w:tcPr>
          <w:p w14:paraId="5C97FB81">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3B7FD996">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2C7B395C">
            <w:pPr>
              <w:widowControl/>
              <w:rPr>
                <w:rFonts w:hint="eastAsia" w:ascii="宋体" w:hAnsi="宋体" w:cs="宋体"/>
                <w:color w:val="auto"/>
                <w:kern w:val="0"/>
                <w:sz w:val="18"/>
                <w:szCs w:val="18"/>
              </w:rPr>
            </w:pPr>
            <w:r>
              <w:rPr>
                <w:rFonts w:hint="eastAsia" w:ascii="宋体" w:hAnsi="宋体" w:cs="宋体"/>
                <w:color w:val="auto"/>
                <w:kern w:val="0"/>
                <w:sz w:val="18"/>
                <w:szCs w:val="18"/>
              </w:rPr>
              <w:t>绿化内垃圾及时清理，无较大树枝散落及大量枝叶堆放，做好防台加固。</w:t>
            </w:r>
          </w:p>
        </w:tc>
        <w:tc>
          <w:tcPr>
            <w:tcW w:w="5337" w:type="dxa"/>
            <w:tcBorders>
              <w:top w:val="nil"/>
              <w:left w:val="nil"/>
              <w:bottom w:val="nil"/>
              <w:right w:val="single" w:color="auto" w:sz="8" w:space="0"/>
            </w:tcBorders>
            <w:shd w:val="clear" w:color="000000" w:fill="FFFFFF"/>
            <w:vAlign w:val="center"/>
          </w:tcPr>
          <w:p w14:paraId="5F3CAD1F">
            <w:pPr>
              <w:widowControl/>
              <w:rPr>
                <w:rFonts w:hint="eastAsia" w:ascii="宋体" w:hAnsi="宋体" w:cs="宋体"/>
                <w:color w:val="auto"/>
                <w:kern w:val="0"/>
                <w:sz w:val="18"/>
                <w:szCs w:val="18"/>
              </w:rPr>
            </w:pPr>
            <w:r>
              <w:rPr>
                <w:rFonts w:hint="eastAsia" w:ascii="宋体" w:hAnsi="宋体" w:cs="宋体"/>
                <w:color w:val="auto"/>
                <w:kern w:val="0"/>
                <w:sz w:val="18"/>
                <w:szCs w:val="18"/>
              </w:rPr>
              <w:t>4、以单根散落的大树枝或成堆的枝叶为单位，发现一处绿化垃圾扣0.5分。</w:t>
            </w:r>
          </w:p>
        </w:tc>
        <w:tc>
          <w:tcPr>
            <w:tcW w:w="709" w:type="dxa"/>
            <w:vMerge w:val="continue"/>
            <w:tcBorders>
              <w:top w:val="nil"/>
              <w:left w:val="single" w:color="auto" w:sz="8" w:space="0"/>
              <w:bottom w:val="single" w:color="000000" w:sz="8" w:space="0"/>
              <w:right w:val="single" w:color="auto" w:sz="8" w:space="0"/>
            </w:tcBorders>
            <w:vAlign w:val="center"/>
          </w:tcPr>
          <w:p w14:paraId="13E676E8">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0FFA8A0B">
            <w:pPr>
              <w:widowControl/>
              <w:jc w:val="left"/>
              <w:rPr>
                <w:rFonts w:eastAsia="等线"/>
                <w:color w:val="auto"/>
                <w:kern w:val="0"/>
                <w:sz w:val="18"/>
                <w:szCs w:val="18"/>
              </w:rPr>
            </w:pPr>
          </w:p>
        </w:tc>
      </w:tr>
      <w:tr w14:paraId="074B87F2">
        <w:tblPrEx>
          <w:tblCellMar>
            <w:top w:w="0" w:type="dxa"/>
            <w:left w:w="108" w:type="dxa"/>
            <w:bottom w:w="0" w:type="dxa"/>
            <w:right w:w="108" w:type="dxa"/>
          </w:tblCellMar>
        </w:tblPrEx>
        <w:trPr>
          <w:trHeight w:val="675"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7873C0BC">
            <w:pPr>
              <w:widowControl/>
              <w:jc w:val="center"/>
              <w:rPr>
                <w:rFonts w:eastAsia="等线"/>
                <w:b/>
                <w:bCs/>
                <w:color w:val="auto"/>
                <w:kern w:val="0"/>
                <w:sz w:val="18"/>
                <w:szCs w:val="18"/>
              </w:rPr>
            </w:pPr>
            <w:r>
              <w:rPr>
                <w:rFonts w:eastAsia="等线"/>
                <w:b/>
                <w:bCs/>
                <w:color w:val="auto"/>
                <w:kern w:val="0"/>
                <w:sz w:val="18"/>
                <w:szCs w:val="18"/>
              </w:rPr>
              <w:t>19</w:t>
            </w:r>
          </w:p>
        </w:tc>
        <w:tc>
          <w:tcPr>
            <w:tcW w:w="578" w:type="dxa"/>
            <w:vMerge w:val="continue"/>
            <w:tcBorders>
              <w:top w:val="nil"/>
              <w:left w:val="single" w:color="auto" w:sz="8" w:space="0"/>
              <w:bottom w:val="single" w:color="000000" w:sz="8" w:space="0"/>
              <w:right w:val="single" w:color="auto" w:sz="8" w:space="0"/>
            </w:tcBorders>
            <w:vAlign w:val="center"/>
          </w:tcPr>
          <w:p w14:paraId="3E994020">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9EEBAE7">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3E38BAB6">
            <w:pPr>
              <w:widowControl/>
              <w:rPr>
                <w:rFonts w:hint="eastAsia" w:ascii="宋体" w:hAnsi="宋体" w:cs="宋体"/>
                <w:color w:val="auto"/>
                <w:kern w:val="0"/>
                <w:sz w:val="18"/>
                <w:szCs w:val="18"/>
              </w:rPr>
            </w:pPr>
            <w:r>
              <w:rPr>
                <w:rFonts w:hint="eastAsia" w:ascii="宋体" w:hAnsi="宋体" w:cs="宋体"/>
                <w:color w:val="auto"/>
                <w:kern w:val="0"/>
                <w:sz w:val="18"/>
                <w:szCs w:val="18"/>
              </w:rPr>
              <w:t>绿化养护严格按作业标准作业，不得使用消防设施。</w:t>
            </w:r>
          </w:p>
        </w:tc>
        <w:tc>
          <w:tcPr>
            <w:tcW w:w="5337" w:type="dxa"/>
            <w:tcBorders>
              <w:top w:val="nil"/>
              <w:left w:val="nil"/>
              <w:bottom w:val="single" w:color="auto" w:sz="8" w:space="0"/>
              <w:right w:val="single" w:color="auto" w:sz="8" w:space="0"/>
            </w:tcBorders>
            <w:shd w:val="clear" w:color="000000" w:fill="FFFFFF"/>
            <w:vAlign w:val="center"/>
          </w:tcPr>
          <w:p w14:paraId="26177E5D">
            <w:pPr>
              <w:widowControl/>
              <w:rPr>
                <w:rFonts w:hint="eastAsia" w:ascii="宋体" w:hAnsi="宋体" w:cs="宋体"/>
                <w:color w:val="auto"/>
                <w:kern w:val="0"/>
                <w:sz w:val="18"/>
                <w:szCs w:val="18"/>
              </w:rPr>
            </w:pPr>
            <w:r>
              <w:rPr>
                <w:rFonts w:hint="eastAsia" w:ascii="宋体" w:hAnsi="宋体" w:cs="宋体"/>
                <w:color w:val="auto"/>
                <w:kern w:val="0"/>
                <w:sz w:val="18"/>
                <w:szCs w:val="18"/>
              </w:rPr>
              <w:t>5、养护作业违规操作，按严重程度发现一次扣0.5-2分，并给予相应经济处罚（如使用消防设施的，按用水量的双倍予以罚款）。</w:t>
            </w:r>
          </w:p>
        </w:tc>
        <w:tc>
          <w:tcPr>
            <w:tcW w:w="709" w:type="dxa"/>
            <w:vMerge w:val="continue"/>
            <w:tcBorders>
              <w:top w:val="nil"/>
              <w:left w:val="single" w:color="auto" w:sz="8" w:space="0"/>
              <w:bottom w:val="single" w:color="000000" w:sz="8" w:space="0"/>
              <w:right w:val="single" w:color="auto" w:sz="8" w:space="0"/>
            </w:tcBorders>
            <w:vAlign w:val="center"/>
          </w:tcPr>
          <w:p w14:paraId="0EF39BAD">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43350365">
            <w:pPr>
              <w:widowControl/>
              <w:jc w:val="left"/>
              <w:rPr>
                <w:rFonts w:eastAsia="等线"/>
                <w:color w:val="auto"/>
                <w:kern w:val="0"/>
                <w:sz w:val="18"/>
                <w:szCs w:val="18"/>
              </w:rPr>
            </w:pPr>
          </w:p>
        </w:tc>
      </w:tr>
      <w:tr w14:paraId="28DAB004">
        <w:tblPrEx>
          <w:tblCellMar>
            <w:top w:w="0" w:type="dxa"/>
            <w:left w:w="108" w:type="dxa"/>
            <w:bottom w:w="0" w:type="dxa"/>
            <w:right w:w="108" w:type="dxa"/>
          </w:tblCellMar>
        </w:tblPrEx>
        <w:trPr>
          <w:trHeight w:val="1350" w:hRule="atLeast"/>
        </w:trPr>
        <w:tc>
          <w:tcPr>
            <w:tcW w:w="493" w:type="dxa"/>
            <w:vMerge w:val="restart"/>
            <w:tcBorders>
              <w:top w:val="nil"/>
              <w:left w:val="single" w:color="auto" w:sz="8" w:space="0"/>
              <w:bottom w:val="single" w:color="000000" w:sz="8" w:space="0"/>
              <w:right w:val="single" w:color="auto" w:sz="8" w:space="0"/>
            </w:tcBorders>
            <w:shd w:val="clear" w:color="000000" w:fill="FFFFFF"/>
            <w:vAlign w:val="center"/>
          </w:tcPr>
          <w:p w14:paraId="7EA60FC4">
            <w:pPr>
              <w:widowControl/>
              <w:jc w:val="center"/>
              <w:rPr>
                <w:rFonts w:eastAsia="等线"/>
                <w:b/>
                <w:bCs/>
                <w:color w:val="auto"/>
                <w:kern w:val="0"/>
                <w:sz w:val="18"/>
                <w:szCs w:val="18"/>
              </w:rPr>
            </w:pPr>
            <w:r>
              <w:rPr>
                <w:rFonts w:eastAsia="等线"/>
                <w:b/>
                <w:bCs/>
                <w:color w:val="auto"/>
                <w:kern w:val="0"/>
                <w:sz w:val="18"/>
                <w:szCs w:val="18"/>
              </w:rPr>
              <w:t>20</w:t>
            </w:r>
          </w:p>
        </w:tc>
        <w:tc>
          <w:tcPr>
            <w:tcW w:w="578" w:type="dxa"/>
            <w:vMerge w:val="continue"/>
            <w:tcBorders>
              <w:top w:val="nil"/>
              <w:left w:val="single" w:color="auto" w:sz="8" w:space="0"/>
              <w:bottom w:val="single" w:color="000000" w:sz="8" w:space="0"/>
              <w:right w:val="single" w:color="auto" w:sz="8" w:space="0"/>
            </w:tcBorders>
            <w:vAlign w:val="center"/>
          </w:tcPr>
          <w:p w14:paraId="396647FE">
            <w:pPr>
              <w:widowControl/>
              <w:jc w:val="left"/>
              <w:rPr>
                <w:rFonts w:hint="eastAsia" w:ascii="宋体" w:hAnsi="宋体" w:cs="宋体"/>
                <w:b/>
                <w:bCs/>
                <w:color w:val="auto"/>
                <w:kern w:val="0"/>
                <w:sz w:val="18"/>
                <w:szCs w:val="18"/>
              </w:rPr>
            </w:pP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3ADB14CB">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零星维修</w:t>
            </w:r>
          </w:p>
        </w:tc>
        <w:tc>
          <w:tcPr>
            <w:tcW w:w="5478" w:type="dxa"/>
            <w:tcBorders>
              <w:top w:val="nil"/>
              <w:left w:val="nil"/>
              <w:bottom w:val="nil"/>
              <w:right w:val="single" w:color="auto" w:sz="8" w:space="0"/>
            </w:tcBorders>
            <w:shd w:val="clear" w:color="000000" w:fill="FFFFFF"/>
            <w:vAlign w:val="center"/>
          </w:tcPr>
          <w:p w14:paraId="15D40924">
            <w:pPr>
              <w:widowControl/>
              <w:rPr>
                <w:rFonts w:hint="eastAsia" w:ascii="宋体" w:hAnsi="宋体" w:cs="宋体"/>
                <w:b/>
                <w:bCs/>
                <w:color w:val="auto"/>
                <w:kern w:val="0"/>
                <w:sz w:val="18"/>
                <w:szCs w:val="18"/>
              </w:rPr>
            </w:pPr>
            <w:r>
              <w:rPr>
                <w:rFonts w:hint="eastAsia" w:ascii="宋体" w:hAnsi="宋体" w:cs="宋体"/>
                <w:b/>
                <w:bCs/>
                <w:color w:val="auto"/>
                <w:kern w:val="0"/>
                <w:sz w:val="18"/>
                <w:szCs w:val="18"/>
              </w:rPr>
              <w:t>小型维修服务：</w:t>
            </w:r>
          </w:p>
        </w:tc>
        <w:tc>
          <w:tcPr>
            <w:tcW w:w="5337" w:type="dxa"/>
            <w:tcBorders>
              <w:top w:val="nil"/>
              <w:left w:val="nil"/>
              <w:bottom w:val="nil"/>
              <w:right w:val="single" w:color="auto" w:sz="8" w:space="0"/>
            </w:tcBorders>
            <w:shd w:val="clear" w:color="000000" w:fill="FFFFFF"/>
            <w:vAlign w:val="center"/>
          </w:tcPr>
          <w:p w14:paraId="7EF6061E">
            <w:pPr>
              <w:widowControl/>
              <w:rPr>
                <w:rFonts w:hint="eastAsia" w:ascii="宋体" w:hAnsi="宋体" w:cs="宋体"/>
                <w:color w:val="auto"/>
                <w:kern w:val="0"/>
                <w:sz w:val="18"/>
                <w:szCs w:val="18"/>
              </w:rPr>
            </w:pPr>
            <w:r>
              <w:rPr>
                <w:rFonts w:hint="eastAsia" w:ascii="宋体" w:hAnsi="宋体" w:cs="宋体"/>
                <w:color w:val="auto"/>
                <w:kern w:val="0"/>
                <w:sz w:val="18"/>
                <w:szCs w:val="18"/>
              </w:rPr>
              <w:t>总包质保期内：物业履行监督职责，监督总包完成的进度以及完成情况，设置监督台账，及时追踪总包的进度，并反馈给校方相关负责人，视事件的严重程度，如有监督不到位的情况一次扣0.5-1分，监督记录不完整不及时，扣0.5分，维修现场未及时清理，一次扣0.5分；</w:t>
            </w:r>
          </w:p>
        </w:tc>
        <w:tc>
          <w:tcPr>
            <w:tcW w:w="709" w:type="dxa"/>
            <w:vMerge w:val="restart"/>
            <w:tcBorders>
              <w:top w:val="nil"/>
              <w:left w:val="single" w:color="auto" w:sz="8" w:space="0"/>
              <w:bottom w:val="single" w:color="000000" w:sz="8" w:space="0"/>
              <w:right w:val="single" w:color="auto" w:sz="8" w:space="0"/>
            </w:tcBorders>
            <w:shd w:val="clear" w:color="auto" w:fill="auto"/>
            <w:vAlign w:val="center"/>
          </w:tcPr>
          <w:p w14:paraId="0C3B1F95">
            <w:pPr>
              <w:widowControl/>
              <w:jc w:val="center"/>
              <w:rPr>
                <w:rFonts w:eastAsia="等线"/>
                <w:color w:val="auto"/>
                <w:kern w:val="0"/>
                <w:sz w:val="18"/>
                <w:szCs w:val="18"/>
              </w:rPr>
            </w:pPr>
            <w:r>
              <w:rPr>
                <w:rFonts w:eastAsia="等线"/>
                <w:color w:val="auto"/>
                <w:kern w:val="0"/>
                <w:sz w:val="18"/>
                <w:szCs w:val="18"/>
              </w:rPr>
              <w:t>8</w:t>
            </w:r>
          </w:p>
        </w:tc>
        <w:tc>
          <w:tcPr>
            <w:tcW w:w="709" w:type="dxa"/>
            <w:vMerge w:val="restart"/>
            <w:tcBorders>
              <w:top w:val="nil"/>
              <w:left w:val="single" w:color="auto" w:sz="8" w:space="0"/>
              <w:bottom w:val="single" w:color="000000" w:sz="8" w:space="0"/>
              <w:right w:val="single" w:color="auto" w:sz="8" w:space="0"/>
            </w:tcBorders>
            <w:shd w:val="clear" w:color="auto" w:fill="auto"/>
            <w:vAlign w:val="center"/>
          </w:tcPr>
          <w:p w14:paraId="317AE43C">
            <w:pPr>
              <w:widowControl/>
              <w:rPr>
                <w:rFonts w:eastAsia="等线"/>
                <w:color w:val="auto"/>
                <w:kern w:val="0"/>
                <w:sz w:val="18"/>
                <w:szCs w:val="18"/>
              </w:rPr>
            </w:pPr>
            <w:r>
              <w:rPr>
                <w:rFonts w:eastAsia="等线"/>
                <w:color w:val="auto"/>
                <w:kern w:val="0"/>
                <w:sz w:val="18"/>
                <w:szCs w:val="18"/>
              </w:rPr>
              <w:t>　</w:t>
            </w:r>
          </w:p>
        </w:tc>
      </w:tr>
      <w:tr w14:paraId="270E4BC3">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2E57D1E6">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5079600C">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03F49B8">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4450A7E2">
            <w:pPr>
              <w:widowControl/>
              <w:rPr>
                <w:rFonts w:hint="eastAsia" w:ascii="宋体" w:hAnsi="宋体" w:cs="宋体"/>
                <w:color w:val="auto"/>
                <w:kern w:val="0"/>
                <w:sz w:val="18"/>
                <w:szCs w:val="18"/>
              </w:rPr>
            </w:pPr>
            <w:r>
              <w:rPr>
                <w:rFonts w:hint="eastAsia" w:ascii="宋体" w:hAnsi="宋体" w:cs="宋体"/>
                <w:color w:val="auto"/>
                <w:kern w:val="0"/>
                <w:sz w:val="18"/>
                <w:szCs w:val="18"/>
              </w:rPr>
              <w:t>1.小修按要求及时到场并完成，维修记录及时、规范，可追溯，</w:t>
            </w:r>
            <w:r>
              <w:rPr>
                <w:rFonts w:hint="eastAsia" w:ascii="宋体" w:hAnsi="宋体" w:cs="宋体"/>
                <w:b/>
                <w:bCs/>
                <w:color w:val="auto"/>
                <w:kern w:val="0"/>
                <w:sz w:val="18"/>
                <w:szCs w:val="18"/>
              </w:rPr>
              <w:t>无返修</w:t>
            </w:r>
            <w:r>
              <w:rPr>
                <w:rFonts w:hint="eastAsia" w:ascii="宋体" w:hAnsi="宋体" w:cs="宋体"/>
                <w:color w:val="auto"/>
                <w:kern w:val="0"/>
                <w:sz w:val="18"/>
                <w:szCs w:val="18"/>
              </w:rPr>
              <w:t>。</w:t>
            </w:r>
          </w:p>
        </w:tc>
        <w:tc>
          <w:tcPr>
            <w:tcW w:w="5337" w:type="dxa"/>
            <w:tcBorders>
              <w:top w:val="nil"/>
              <w:left w:val="nil"/>
              <w:bottom w:val="nil"/>
              <w:right w:val="single" w:color="auto" w:sz="8" w:space="0"/>
            </w:tcBorders>
            <w:shd w:val="clear" w:color="000000" w:fill="FFFFFF"/>
            <w:vAlign w:val="center"/>
          </w:tcPr>
          <w:p w14:paraId="09362AB8">
            <w:pPr>
              <w:widowControl/>
              <w:rPr>
                <w:rFonts w:hint="eastAsia" w:ascii="宋体" w:hAnsi="宋体" w:cs="宋体"/>
                <w:color w:val="auto"/>
                <w:kern w:val="0"/>
                <w:sz w:val="18"/>
                <w:szCs w:val="18"/>
              </w:rPr>
            </w:pPr>
            <w:r>
              <w:rPr>
                <w:rFonts w:hint="eastAsia" w:ascii="宋体" w:hAnsi="宋体" w:cs="宋体"/>
                <w:color w:val="auto"/>
                <w:kern w:val="0"/>
                <w:sz w:val="18"/>
                <w:szCs w:val="18"/>
              </w:rPr>
              <w:t>总包质保期外：</w:t>
            </w:r>
          </w:p>
        </w:tc>
        <w:tc>
          <w:tcPr>
            <w:tcW w:w="709" w:type="dxa"/>
            <w:vMerge w:val="continue"/>
            <w:tcBorders>
              <w:top w:val="nil"/>
              <w:left w:val="single" w:color="auto" w:sz="8" w:space="0"/>
              <w:bottom w:val="single" w:color="000000" w:sz="8" w:space="0"/>
              <w:right w:val="single" w:color="auto" w:sz="8" w:space="0"/>
            </w:tcBorders>
            <w:vAlign w:val="center"/>
          </w:tcPr>
          <w:p w14:paraId="1B6E0D2D">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5CA9BD0E">
            <w:pPr>
              <w:widowControl/>
              <w:jc w:val="left"/>
              <w:rPr>
                <w:rFonts w:eastAsia="等线"/>
                <w:color w:val="auto"/>
                <w:kern w:val="0"/>
                <w:sz w:val="18"/>
                <w:szCs w:val="18"/>
              </w:rPr>
            </w:pPr>
          </w:p>
        </w:tc>
      </w:tr>
      <w:tr w14:paraId="61516E83">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15EC8828">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0B13C6F">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65C8194A">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7FBDAF7D">
            <w:pPr>
              <w:widowControl/>
              <w:rPr>
                <w:rFonts w:hint="eastAsia" w:ascii="宋体" w:hAnsi="宋体" w:cs="宋体"/>
                <w:color w:val="auto"/>
                <w:kern w:val="0"/>
                <w:sz w:val="18"/>
                <w:szCs w:val="18"/>
              </w:rPr>
            </w:pPr>
            <w:r>
              <w:rPr>
                <w:rFonts w:hint="eastAsia" w:ascii="宋体" w:hAnsi="宋体" w:cs="宋体"/>
                <w:color w:val="auto"/>
                <w:kern w:val="0"/>
                <w:sz w:val="18"/>
                <w:szCs w:val="18"/>
              </w:rPr>
              <w:t>2.维修现场及时清理，恢复整洁卫生。</w:t>
            </w:r>
          </w:p>
        </w:tc>
        <w:tc>
          <w:tcPr>
            <w:tcW w:w="5337" w:type="dxa"/>
            <w:tcBorders>
              <w:top w:val="nil"/>
              <w:left w:val="nil"/>
              <w:bottom w:val="nil"/>
              <w:right w:val="single" w:color="auto" w:sz="8" w:space="0"/>
            </w:tcBorders>
            <w:shd w:val="clear" w:color="000000" w:fill="FFFFFF"/>
            <w:vAlign w:val="center"/>
          </w:tcPr>
          <w:p w14:paraId="3582C5D7">
            <w:pPr>
              <w:widowControl/>
              <w:rPr>
                <w:rFonts w:hint="eastAsia" w:ascii="宋体" w:hAnsi="宋体" w:cs="宋体"/>
                <w:color w:val="auto"/>
                <w:kern w:val="0"/>
                <w:sz w:val="18"/>
                <w:szCs w:val="18"/>
              </w:rPr>
            </w:pPr>
            <w:r>
              <w:rPr>
                <w:rFonts w:hint="eastAsia" w:ascii="宋体" w:hAnsi="宋体" w:cs="宋体"/>
                <w:color w:val="auto"/>
                <w:kern w:val="0"/>
                <w:sz w:val="18"/>
                <w:szCs w:val="18"/>
              </w:rPr>
              <w:t>1.非因不可抗力未在指定时间内修复的，一次扣1分。</w:t>
            </w:r>
          </w:p>
        </w:tc>
        <w:tc>
          <w:tcPr>
            <w:tcW w:w="709" w:type="dxa"/>
            <w:vMerge w:val="continue"/>
            <w:tcBorders>
              <w:top w:val="nil"/>
              <w:left w:val="single" w:color="auto" w:sz="8" w:space="0"/>
              <w:bottom w:val="single" w:color="000000" w:sz="8" w:space="0"/>
              <w:right w:val="single" w:color="auto" w:sz="8" w:space="0"/>
            </w:tcBorders>
            <w:vAlign w:val="center"/>
          </w:tcPr>
          <w:p w14:paraId="0DFD5C9B">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6A70FB04">
            <w:pPr>
              <w:widowControl/>
              <w:jc w:val="left"/>
              <w:rPr>
                <w:rFonts w:eastAsia="等线"/>
                <w:color w:val="auto"/>
                <w:kern w:val="0"/>
                <w:sz w:val="18"/>
                <w:szCs w:val="18"/>
              </w:rPr>
            </w:pPr>
          </w:p>
        </w:tc>
      </w:tr>
      <w:tr w14:paraId="50D5E4D4">
        <w:tblPrEx>
          <w:tblCellMar>
            <w:top w:w="0" w:type="dxa"/>
            <w:left w:w="108" w:type="dxa"/>
            <w:bottom w:w="0" w:type="dxa"/>
            <w:right w:w="108" w:type="dxa"/>
          </w:tblCellMar>
        </w:tblPrEx>
        <w:trPr>
          <w:trHeight w:val="285" w:hRule="atLeast"/>
        </w:trPr>
        <w:tc>
          <w:tcPr>
            <w:tcW w:w="493" w:type="dxa"/>
            <w:vMerge w:val="continue"/>
            <w:tcBorders>
              <w:top w:val="nil"/>
              <w:left w:val="single" w:color="auto" w:sz="8" w:space="0"/>
              <w:bottom w:val="single" w:color="000000" w:sz="8" w:space="0"/>
              <w:right w:val="single" w:color="auto" w:sz="8" w:space="0"/>
            </w:tcBorders>
            <w:vAlign w:val="center"/>
          </w:tcPr>
          <w:p w14:paraId="203B6DB6">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355A3D3">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63705662">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3F2291D3">
            <w:pPr>
              <w:widowControl/>
              <w:rPr>
                <w:rFonts w:hint="eastAsia" w:ascii="宋体" w:hAnsi="宋体" w:cs="宋体"/>
                <w:color w:val="auto"/>
                <w:kern w:val="0"/>
                <w:sz w:val="18"/>
                <w:szCs w:val="18"/>
              </w:rPr>
            </w:pPr>
            <w:r>
              <w:rPr>
                <w:rFonts w:hint="eastAsia" w:ascii="宋体" w:hAnsi="宋体" w:cs="宋体"/>
                <w:color w:val="auto"/>
                <w:kern w:val="0"/>
                <w:sz w:val="18"/>
                <w:szCs w:val="18"/>
              </w:rPr>
              <w:t>3.无因配件不合格或维修人员疏忽、失误等造成的返修情况。</w:t>
            </w:r>
          </w:p>
        </w:tc>
        <w:tc>
          <w:tcPr>
            <w:tcW w:w="5337" w:type="dxa"/>
            <w:tcBorders>
              <w:top w:val="nil"/>
              <w:left w:val="nil"/>
              <w:bottom w:val="nil"/>
              <w:right w:val="single" w:color="auto" w:sz="8" w:space="0"/>
            </w:tcBorders>
            <w:shd w:val="clear" w:color="000000" w:fill="FFFFFF"/>
            <w:vAlign w:val="center"/>
          </w:tcPr>
          <w:p w14:paraId="1644C6E9">
            <w:pPr>
              <w:widowControl/>
              <w:rPr>
                <w:rFonts w:hint="eastAsia" w:ascii="宋体" w:hAnsi="宋体" w:cs="宋体"/>
                <w:color w:val="auto"/>
                <w:kern w:val="0"/>
                <w:sz w:val="18"/>
                <w:szCs w:val="18"/>
              </w:rPr>
            </w:pPr>
            <w:r>
              <w:rPr>
                <w:rFonts w:hint="eastAsia" w:ascii="宋体" w:hAnsi="宋体" w:cs="宋体"/>
                <w:color w:val="auto"/>
                <w:kern w:val="0"/>
                <w:sz w:val="18"/>
                <w:szCs w:val="18"/>
              </w:rPr>
              <w:t>2.维修结束后现场未及时清理，一次扣0.5分。</w:t>
            </w:r>
          </w:p>
        </w:tc>
        <w:tc>
          <w:tcPr>
            <w:tcW w:w="709" w:type="dxa"/>
            <w:vMerge w:val="continue"/>
            <w:tcBorders>
              <w:top w:val="nil"/>
              <w:left w:val="single" w:color="auto" w:sz="8" w:space="0"/>
              <w:bottom w:val="single" w:color="000000" w:sz="8" w:space="0"/>
              <w:right w:val="single" w:color="auto" w:sz="8" w:space="0"/>
            </w:tcBorders>
            <w:vAlign w:val="center"/>
          </w:tcPr>
          <w:p w14:paraId="49B9FCE2">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411238D0">
            <w:pPr>
              <w:widowControl/>
              <w:jc w:val="left"/>
              <w:rPr>
                <w:rFonts w:eastAsia="等线"/>
                <w:color w:val="auto"/>
                <w:kern w:val="0"/>
                <w:sz w:val="18"/>
                <w:szCs w:val="18"/>
              </w:rPr>
            </w:pPr>
          </w:p>
        </w:tc>
      </w:tr>
      <w:tr w14:paraId="725CFE25">
        <w:tblPrEx>
          <w:tblCellMar>
            <w:top w:w="0" w:type="dxa"/>
            <w:left w:w="108" w:type="dxa"/>
            <w:bottom w:w="0" w:type="dxa"/>
            <w:right w:w="108" w:type="dxa"/>
          </w:tblCellMar>
        </w:tblPrEx>
        <w:trPr>
          <w:trHeight w:val="465" w:hRule="atLeast"/>
        </w:trPr>
        <w:tc>
          <w:tcPr>
            <w:tcW w:w="493" w:type="dxa"/>
            <w:vMerge w:val="continue"/>
            <w:tcBorders>
              <w:top w:val="nil"/>
              <w:left w:val="single" w:color="auto" w:sz="8" w:space="0"/>
              <w:bottom w:val="single" w:color="000000" w:sz="8" w:space="0"/>
              <w:right w:val="single" w:color="auto" w:sz="8" w:space="0"/>
            </w:tcBorders>
            <w:vAlign w:val="center"/>
          </w:tcPr>
          <w:p w14:paraId="4838BD13">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0216BEE">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F0CACFD">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256C9CD8">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5337" w:type="dxa"/>
            <w:tcBorders>
              <w:top w:val="nil"/>
              <w:left w:val="nil"/>
              <w:bottom w:val="single" w:color="auto" w:sz="8" w:space="0"/>
              <w:right w:val="single" w:color="auto" w:sz="8" w:space="0"/>
            </w:tcBorders>
            <w:shd w:val="clear" w:color="000000" w:fill="FFFFFF"/>
            <w:vAlign w:val="center"/>
          </w:tcPr>
          <w:p w14:paraId="2CA2832A">
            <w:pPr>
              <w:widowControl/>
              <w:rPr>
                <w:rFonts w:hint="eastAsia" w:ascii="宋体" w:hAnsi="宋体" w:cs="宋体"/>
                <w:color w:val="auto"/>
                <w:kern w:val="0"/>
                <w:sz w:val="18"/>
                <w:szCs w:val="18"/>
              </w:rPr>
            </w:pPr>
            <w:r>
              <w:rPr>
                <w:rFonts w:hint="eastAsia" w:ascii="宋体" w:hAnsi="宋体" w:cs="宋体"/>
                <w:color w:val="auto"/>
                <w:kern w:val="0"/>
                <w:sz w:val="18"/>
                <w:szCs w:val="18"/>
              </w:rPr>
              <w:t>3.因维修方人为原因造成返修，一次扣1分，一个月内返修达3次及以上直接扣5分。</w:t>
            </w:r>
          </w:p>
        </w:tc>
        <w:tc>
          <w:tcPr>
            <w:tcW w:w="709" w:type="dxa"/>
            <w:vMerge w:val="continue"/>
            <w:tcBorders>
              <w:top w:val="nil"/>
              <w:left w:val="single" w:color="auto" w:sz="8" w:space="0"/>
              <w:bottom w:val="single" w:color="000000" w:sz="8" w:space="0"/>
              <w:right w:val="single" w:color="auto" w:sz="8" w:space="0"/>
            </w:tcBorders>
            <w:vAlign w:val="center"/>
          </w:tcPr>
          <w:p w14:paraId="25EE8D30">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24783F34">
            <w:pPr>
              <w:widowControl/>
              <w:jc w:val="left"/>
              <w:rPr>
                <w:rFonts w:eastAsia="等线"/>
                <w:color w:val="auto"/>
                <w:kern w:val="0"/>
                <w:sz w:val="18"/>
                <w:szCs w:val="18"/>
              </w:rPr>
            </w:pPr>
          </w:p>
        </w:tc>
      </w:tr>
      <w:tr w14:paraId="0D02D757">
        <w:tblPrEx>
          <w:tblCellMar>
            <w:top w:w="0" w:type="dxa"/>
            <w:left w:w="108" w:type="dxa"/>
            <w:bottom w:w="0" w:type="dxa"/>
            <w:right w:w="108" w:type="dxa"/>
          </w:tblCellMar>
        </w:tblPrEx>
        <w:trPr>
          <w:trHeight w:val="915"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5FBBDB20">
            <w:pPr>
              <w:widowControl/>
              <w:jc w:val="center"/>
              <w:rPr>
                <w:rFonts w:eastAsia="等线"/>
                <w:b/>
                <w:bCs/>
                <w:color w:val="auto"/>
                <w:kern w:val="0"/>
                <w:sz w:val="18"/>
                <w:szCs w:val="18"/>
              </w:rPr>
            </w:pPr>
            <w:r>
              <w:rPr>
                <w:rFonts w:eastAsia="等线"/>
                <w:b/>
                <w:bCs/>
                <w:color w:val="auto"/>
                <w:kern w:val="0"/>
                <w:sz w:val="18"/>
                <w:szCs w:val="18"/>
              </w:rPr>
              <w:t>21</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6F5A70F4">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日常服务</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3B2F0E83">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宿管服务</w:t>
            </w:r>
          </w:p>
        </w:tc>
        <w:tc>
          <w:tcPr>
            <w:tcW w:w="5478" w:type="dxa"/>
            <w:tcBorders>
              <w:top w:val="nil"/>
              <w:left w:val="nil"/>
              <w:bottom w:val="single" w:color="auto" w:sz="8" w:space="0"/>
              <w:right w:val="single" w:color="auto" w:sz="8" w:space="0"/>
            </w:tcBorders>
            <w:shd w:val="clear" w:color="000000" w:fill="FFFFFF"/>
            <w:vAlign w:val="center"/>
          </w:tcPr>
          <w:p w14:paraId="329611D7">
            <w:pPr>
              <w:widowControl/>
              <w:rPr>
                <w:rFonts w:hint="eastAsia" w:ascii="宋体" w:hAnsi="宋体" w:cs="宋体"/>
                <w:color w:val="auto"/>
                <w:kern w:val="0"/>
                <w:sz w:val="18"/>
                <w:szCs w:val="18"/>
              </w:rPr>
            </w:pPr>
            <w:r>
              <w:rPr>
                <w:rFonts w:hint="eastAsia" w:ascii="宋体" w:hAnsi="宋体" w:cs="宋体"/>
                <w:color w:val="auto"/>
                <w:kern w:val="0"/>
                <w:sz w:val="18"/>
                <w:szCs w:val="18"/>
              </w:rPr>
              <w:t>严格执行公寓管理办法，各类管理台账、记录完整齐全。</w:t>
            </w:r>
          </w:p>
        </w:tc>
        <w:tc>
          <w:tcPr>
            <w:tcW w:w="5337" w:type="dxa"/>
            <w:tcBorders>
              <w:top w:val="nil"/>
              <w:left w:val="nil"/>
              <w:bottom w:val="single" w:color="auto" w:sz="8" w:space="0"/>
              <w:right w:val="single" w:color="auto" w:sz="8" w:space="0"/>
            </w:tcBorders>
            <w:shd w:val="clear" w:color="000000" w:fill="FFFFFF"/>
            <w:vAlign w:val="center"/>
          </w:tcPr>
          <w:p w14:paraId="298F6967">
            <w:pPr>
              <w:widowControl/>
              <w:rPr>
                <w:rFonts w:hint="eastAsia" w:ascii="宋体" w:hAnsi="宋体" w:cs="宋体"/>
                <w:color w:val="auto"/>
                <w:kern w:val="0"/>
                <w:sz w:val="18"/>
                <w:szCs w:val="18"/>
              </w:rPr>
            </w:pPr>
            <w:r>
              <w:rPr>
                <w:rFonts w:hint="eastAsia" w:ascii="宋体" w:hAnsi="宋体" w:cs="宋体"/>
                <w:color w:val="auto"/>
                <w:kern w:val="0"/>
                <w:sz w:val="18"/>
                <w:szCs w:val="18"/>
              </w:rPr>
              <w:t>未执行公寓管理办法一次扣2分，管理台账、记录缺失，每类台账、记录为一处，每处扣3分，管理台账、记录不完整，每份台账、记录为一处，每处扣0.5分。</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4BFD7915">
            <w:pPr>
              <w:widowControl/>
              <w:jc w:val="center"/>
              <w:rPr>
                <w:rFonts w:eastAsia="等线"/>
                <w:color w:val="auto"/>
                <w:kern w:val="0"/>
                <w:sz w:val="18"/>
                <w:szCs w:val="18"/>
              </w:rPr>
            </w:pPr>
            <w:r>
              <w:rPr>
                <w:rFonts w:eastAsia="等线"/>
                <w:color w:val="auto"/>
                <w:kern w:val="0"/>
                <w:sz w:val="18"/>
                <w:szCs w:val="18"/>
              </w:rPr>
              <w:t>20</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1152F46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14:paraId="31CE2EC5">
        <w:tblPrEx>
          <w:tblCellMar>
            <w:top w:w="0" w:type="dxa"/>
            <w:left w:w="108" w:type="dxa"/>
            <w:bottom w:w="0" w:type="dxa"/>
            <w:right w:w="108" w:type="dxa"/>
          </w:tblCellMar>
        </w:tblPrEx>
        <w:trPr>
          <w:trHeight w:val="465"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377FA95F">
            <w:pPr>
              <w:widowControl/>
              <w:rPr>
                <w:rFonts w:eastAsia="等线"/>
                <w:b/>
                <w:bCs/>
                <w:color w:val="auto"/>
                <w:kern w:val="0"/>
                <w:sz w:val="18"/>
                <w:szCs w:val="18"/>
              </w:rPr>
            </w:pPr>
            <w:r>
              <w:rPr>
                <w:rFonts w:eastAsia="等线"/>
                <w:b/>
                <w:bCs/>
                <w:color w:val="auto"/>
                <w:kern w:val="0"/>
                <w:sz w:val="18"/>
                <w:szCs w:val="18"/>
              </w:rPr>
              <w:t>22</w:t>
            </w:r>
          </w:p>
        </w:tc>
        <w:tc>
          <w:tcPr>
            <w:tcW w:w="578" w:type="dxa"/>
            <w:vMerge w:val="continue"/>
            <w:tcBorders>
              <w:top w:val="nil"/>
              <w:left w:val="single" w:color="auto" w:sz="8" w:space="0"/>
              <w:bottom w:val="single" w:color="000000" w:sz="8" w:space="0"/>
              <w:right w:val="single" w:color="auto" w:sz="8" w:space="0"/>
            </w:tcBorders>
            <w:vAlign w:val="center"/>
          </w:tcPr>
          <w:p w14:paraId="1AF37CEA">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55DBB705">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706D849B">
            <w:pPr>
              <w:widowControl/>
              <w:rPr>
                <w:rFonts w:hint="eastAsia" w:ascii="宋体" w:hAnsi="宋体" w:cs="宋体"/>
                <w:color w:val="auto"/>
                <w:kern w:val="0"/>
                <w:sz w:val="18"/>
                <w:szCs w:val="18"/>
              </w:rPr>
            </w:pPr>
            <w:r>
              <w:rPr>
                <w:rFonts w:hint="eastAsia" w:ascii="宋体" w:hAnsi="宋体" w:cs="宋体"/>
                <w:color w:val="auto"/>
                <w:kern w:val="0"/>
                <w:sz w:val="18"/>
                <w:szCs w:val="18"/>
              </w:rPr>
              <w:t>学生住宿信息准确（包括电子数据及纸质台账），数据更新及时，相关住宿办理流程规范。</w:t>
            </w:r>
          </w:p>
        </w:tc>
        <w:tc>
          <w:tcPr>
            <w:tcW w:w="5337" w:type="dxa"/>
            <w:tcBorders>
              <w:top w:val="nil"/>
              <w:left w:val="nil"/>
              <w:bottom w:val="single" w:color="auto" w:sz="8" w:space="0"/>
              <w:right w:val="single" w:color="auto" w:sz="8" w:space="0"/>
            </w:tcBorders>
            <w:shd w:val="clear" w:color="000000" w:fill="FFFFFF"/>
            <w:vAlign w:val="center"/>
          </w:tcPr>
          <w:p w14:paraId="081EAAE1">
            <w:pPr>
              <w:widowControl/>
              <w:rPr>
                <w:rFonts w:hint="eastAsia" w:ascii="宋体" w:hAnsi="宋体" w:cs="宋体"/>
                <w:color w:val="auto"/>
                <w:kern w:val="0"/>
                <w:sz w:val="18"/>
                <w:szCs w:val="18"/>
              </w:rPr>
            </w:pPr>
            <w:r>
              <w:rPr>
                <w:rFonts w:hint="eastAsia" w:ascii="宋体" w:hAnsi="宋体" w:cs="宋体"/>
                <w:color w:val="auto"/>
                <w:kern w:val="0"/>
                <w:sz w:val="18"/>
                <w:szCs w:val="18"/>
              </w:rPr>
              <w:t>学生住宿信息不准确或更新不及时，每发现一处扣1分，住宿办理流程不规范，每发现一次扣2分。</w:t>
            </w:r>
          </w:p>
        </w:tc>
        <w:tc>
          <w:tcPr>
            <w:tcW w:w="709" w:type="dxa"/>
            <w:vMerge w:val="continue"/>
            <w:tcBorders>
              <w:top w:val="nil"/>
              <w:left w:val="single" w:color="auto" w:sz="8" w:space="0"/>
              <w:bottom w:val="single" w:color="000000" w:sz="8" w:space="0"/>
              <w:right w:val="single" w:color="auto" w:sz="8" w:space="0"/>
            </w:tcBorders>
            <w:vAlign w:val="center"/>
          </w:tcPr>
          <w:p w14:paraId="20AE89ED">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3990E079">
            <w:pPr>
              <w:widowControl/>
              <w:jc w:val="left"/>
              <w:rPr>
                <w:rFonts w:hint="eastAsia" w:ascii="宋体" w:hAnsi="宋体" w:cs="宋体"/>
                <w:color w:val="auto"/>
                <w:kern w:val="0"/>
                <w:sz w:val="18"/>
                <w:szCs w:val="18"/>
              </w:rPr>
            </w:pPr>
          </w:p>
        </w:tc>
      </w:tr>
      <w:tr w14:paraId="6FA42046">
        <w:tblPrEx>
          <w:tblCellMar>
            <w:top w:w="0" w:type="dxa"/>
            <w:left w:w="108" w:type="dxa"/>
            <w:bottom w:w="0" w:type="dxa"/>
            <w:right w:w="108" w:type="dxa"/>
          </w:tblCellMar>
        </w:tblPrEx>
        <w:trPr>
          <w:trHeight w:val="465"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5BB2C5E0">
            <w:pPr>
              <w:widowControl/>
              <w:rPr>
                <w:rFonts w:eastAsia="等线"/>
                <w:b/>
                <w:bCs/>
                <w:color w:val="auto"/>
                <w:kern w:val="0"/>
                <w:sz w:val="18"/>
                <w:szCs w:val="18"/>
              </w:rPr>
            </w:pPr>
            <w:r>
              <w:rPr>
                <w:rFonts w:eastAsia="等线"/>
                <w:b/>
                <w:bCs/>
                <w:color w:val="auto"/>
                <w:kern w:val="0"/>
                <w:sz w:val="18"/>
                <w:szCs w:val="18"/>
              </w:rPr>
              <w:t>23</w:t>
            </w:r>
          </w:p>
        </w:tc>
        <w:tc>
          <w:tcPr>
            <w:tcW w:w="578" w:type="dxa"/>
            <w:vMerge w:val="continue"/>
            <w:tcBorders>
              <w:top w:val="nil"/>
              <w:left w:val="single" w:color="auto" w:sz="8" w:space="0"/>
              <w:bottom w:val="single" w:color="000000" w:sz="8" w:space="0"/>
              <w:right w:val="single" w:color="auto" w:sz="8" w:space="0"/>
            </w:tcBorders>
            <w:vAlign w:val="center"/>
          </w:tcPr>
          <w:p w14:paraId="726E352E">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699BF71F">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73DEEC7C">
            <w:pPr>
              <w:widowControl/>
              <w:rPr>
                <w:rFonts w:hint="eastAsia" w:ascii="宋体" w:hAnsi="宋体" w:cs="宋体"/>
                <w:color w:val="auto"/>
                <w:kern w:val="0"/>
                <w:sz w:val="18"/>
                <w:szCs w:val="18"/>
              </w:rPr>
            </w:pPr>
            <w:r>
              <w:rPr>
                <w:rFonts w:hint="eastAsia" w:ascii="宋体" w:hAnsi="宋体" w:cs="宋体"/>
                <w:color w:val="auto"/>
                <w:kern w:val="0"/>
                <w:sz w:val="18"/>
                <w:szCs w:val="18"/>
              </w:rPr>
              <w:t>严格执行门岗管理制度，对门岗管理员制定合理的学生识别标准并进行考核，确保门岗管理员学生识别能力达标，做好外来人员或访客管理。</w:t>
            </w:r>
          </w:p>
        </w:tc>
        <w:tc>
          <w:tcPr>
            <w:tcW w:w="5337" w:type="dxa"/>
            <w:tcBorders>
              <w:top w:val="nil"/>
              <w:left w:val="nil"/>
              <w:bottom w:val="single" w:color="auto" w:sz="8" w:space="0"/>
              <w:right w:val="single" w:color="auto" w:sz="8" w:space="0"/>
            </w:tcBorders>
            <w:shd w:val="clear" w:color="000000" w:fill="FFFFFF"/>
            <w:vAlign w:val="center"/>
          </w:tcPr>
          <w:p w14:paraId="5B1629B0">
            <w:pPr>
              <w:widowControl/>
              <w:rPr>
                <w:rFonts w:hint="eastAsia" w:ascii="宋体" w:hAnsi="宋体" w:cs="宋体"/>
                <w:color w:val="auto"/>
                <w:kern w:val="0"/>
                <w:sz w:val="18"/>
                <w:szCs w:val="18"/>
              </w:rPr>
            </w:pPr>
            <w:r>
              <w:rPr>
                <w:rFonts w:hint="eastAsia" w:ascii="宋体" w:hAnsi="宋体" w:cs="宋体"/>
                <w:color w:val="auto"/>
                <w:kern w:val="0"/>
                <w:sz w:val="18"/>
                <w:szCs w:val="18"/>
              </w:rPr>
              <w:t>根据要求未开展学生识别考核扣3分，外来人员私自进楼每一例扣2分。</w:t>
            </w:r>
          </w:p>
        </w:tc>
        <w:tc>
          <w:tcPr>
            <w:tcW w:w="709" w:type="dxa"/>
            <w:vMerge w:val="continue"/>
            <w:tcBorders>
              <w:top w:val="nil"/>
              <w:left w:val="single" w:color="auto" w:sz="8" w:space="0"/>
              <w:bottom w:val="single" w:color="000000" w:sz="8" w:space="0"/>
              <w:right w:val="single" w:color="auto" w:sz="8" w:space="0"/>
            </w:tcBorders>
            <w:vAlign w:val="center"/>
          </w:tcPr>
          <w:p w14:paraId="681E9367">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451F89FA">
            <w:pPr>
              <w:widowControl/>
              <w:jc w:val="left"/>
              <w:rPr>
                <w:rFonts w:hint="eastAsia" w:ascii="宋体" w:hAnsi="宋体" w:cs="宋体"/>
                <w:color w:val="auto"/>
                <w:kern w:val="0"/>
                <w:sz w:val="18"/>
                <w:szCs w:val="18"/>
              </w:rPr>
            </w:pPr>
          </w:p>
        </w:tc>
      </w:tr>
      <w:tr w14:paraId="2F79CCA1">
        <w:tblPrEx>
          <w:tblCellMar>
            <w:top w:w="0" w:type="dxa"/>
            <w:left w:w="108" w:type="dxa"/>
            <w:bottom w:w="0" w:type="dxa"/>
            <w:right w:w="108" w:type="dxa"/>
          </w:tblCellMar>
        </w:tblPrEx>
        <w:trPr>
          <w:trHeight w:val="690"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50941C4A">
            <w:pPr>
              <w:widowControl/>
              <w:rPr>
                <w:rFonts w:eastAsia="等线"/>
                <w:b/>
                <w:bCs/>
                <w:color w:val="auto"/>
                <w:kern w:val="0"/>
                <w:sz w:val="18"/>
                <w:szCs w:val="18"/>
              </w:rPr>
            </w:pPr>
            <w:r>
              <w:rPr>
                <w:rFonts w:eastAsia="等线"/>
                <w:b/>
                <w:bCs/>
                <w:color w:val="auto"/>
                <w:kern w:val="0"/>
                <w:sz w:val="18"/>
                <w:szCs w:val="18"/>
              </w:rPr>
              <w:t>24</w:t>
            </w:r>
          </w:p>
        </w:tc>
        <w:tc>
          <w:tcPr>
            <w:tcW w:w="578" w:type="dxa"/>
            <w:vMerge w:val="continue"/>
            <w:tcBorders>
              <w:top w:val="nil"/>
              <w:left w:val="single" w:color="auto" w:sz="8" w:space="0"/>
              <w:bottom w:val="single" w:color="000000" w:sz="8" w:space="0"/>
              <w:right w:val="single" w:color="auto" w:sz="8" w:space="0"/>
            </w:tcBorders>
            <w:vAlign w:val="center"/>
          </w:tcPr>
          <w:p w14:paraId="072E7521">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9BF11FD">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auto" w:fill="auto"/>
            <w:vAlign w:val="center"/>
          </w:tcPr>
          <w:p w14:paraId="229AB539">
            <w:pPr>
              <w:widowControl/>
              <w:rPr>
                <w:rFonts w:hint="eastAsia" w:ascii="宋体" w:hAnsi="宋体" w:cs="宋体"/>
                <w:color w:val="auto"/>
                <w:kern w:val="0"/>
                <w:sz w:val="18"/>
                <w:szCs w:val="18"/>
              </w:rPr>
            </w:pPr>
            <w:r>
              <w:rPr>
                <w:rFonts w:hint="eastAsia" w:ascii="宋体" w:hAnsi="宋体" w:cs="宋体"/>
                <w:color w:val="auto"/>
                <w:kern w:val="0"/>
                <w:sz w:val="18"/>
                <w:szCs w:val="18"/>
              </w:rPr>
              <w:t>根据学校文明寝室建设要求，按时完成文明寝室检查和录入工作，做好违禁电器等安全隐患排查。</w:t>
            </w:r>
          </w:p>
        </w:tc>
        <w:tc>
          <w:tcPr>
            <w:tcW w:w="5337" w:type="dxa"/>
            <w:tcBorders>
              <w:top w:val="nil"/>
              <w:left w:val="nil"/>
              <w:bottom w:val="single" w:color="auto" w:sz="8" w:space="0"/>
              <w:right w:val="single" w:color="auto" w:sz="8" w:space="0"/>
            </w:tcBorders>
            <w:shd w:val="clear" w:color="000000" w:fill="FFFFFF"/>
            <w:vAlign w:val="center"/>
          </w:tcPr>
          <w:p w14:paraId="69D6D359">
            <w:pPr>
              <w:widowControl/>
              <w:rPr>
                <w:rFonts w:hint="eastAsia" w:ascii="宋体" w:hAnsi="宋体" w:cs="宋体"/>
                <w:color w:val="auto"/>
                <w:kern w:val="0"/>
                <w:sz w:val="18"/>
                <w:szCs w:val="18"/>
              </w:rPr>
            </w:pPr>
            <w:r>
              <w:rPr>
                <w:rFonts w:hint="eastAsia" w:ascii="宋体" w:hAnsi="宋体" w:cs="宋体"/>
                <w:color w:val="auto"/>
                <w:kern w:val="0"/>
                <w:sz w:val="18"/>
                <w:szCs w:val="18"/>
              </w:rPr>
              <w:t>以楼为单位，逾期开展文明寝室检查或录入工作，每次扣2分，未按文明寝室标准执行检查工作的，每一例扣1分。</w:t>
            </w:r>
          </w:p>
        </w:tc>
        <w:tc>
          <w:tcPr>
            <w:tcW w:w="709" w:type="dxa"/>
            <w:vMerge w:val="continue"/>
            <w:tcBorders>
              <w:top w:val="nil"/>
              <w:left w:val="single" w:color="auto" w:sz="8" w:space="0"/>
              <w:bottom w:val="single" w:color="000000" w:sz="8" w:space="0"/>
              <w:right w:val="single" w:color="auto" w:sz="8" w:space="0"/>
            </w:tcBorders>
            <w:vAlign w:val="center"/>
          </w:tcPr>
          <w:p w14:paraId="19324009">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17B5CB97">
            <w:pPr>
              <w:widowControl/>
              <w:jc w:val="left"/>
              <w:rPr>
                <w:rFonts w:hint="eastAsia" w:ascii="宋体" w:hAnsi="宋体" w:cs="宋体"/>
                <w:color w:val="auto"/>
                <w:kern w:val="0"/>
                <w:sz w:val="18"/>
                <w:szCs w:val="18"/>
              </w:rPr>
            </w:pPr>
          </w:p>
        </w:tc>
      </w:tr>
      <w:tr w14:paraId="4C89EF9A">
        <w:tblPrEx>
          <w:tblCellMar>
            <w:top w:w="0" w:type="dxa"/>
            <w:left w:w="108" w:type="dxa"/>
            <w:bottom w:w="0" w:type="dxa"/>
            <w:right w:w="108" w:type="dxa"/>
          </w:tblCellMar>
        </w:tblPrEx>
        <w:trPr>
          <w:trHeight w:val="690"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66B37408">
            <w:pPr>
              <w:widowControl/>
              <w:rPr>
                <w:rFonts w:eastAsia="等线"/>
                <w:b/>
                <w:bCs/>
                <w:color w:val="auto"/>
                <w:kern w:val="0"/>
                <w:sz w:val="18"/>
                <w:szCs w:val="18"/>
              </w:rPr>
            </w:pPr>
            <w:r>
              <w:rPr>
                <w:rFonts w:eastAsia="等线"/>
                <w:b/>
                <w:bCs/>
                <w:color w:val="auto"/>
                <w:kern w:val="0"/>
                <w:sz w:val="18"/>
                <w:szCs w:val="18"/>
              </w:rPr>
              <w:t>25</w:t>
            </w:r>
          </w:p>
        </w:tc>
        <w:tc>
          <w:tcPr>
            <w:tcW w:w="578" w:type="dxa"/>
            <w:vMerge w:val="continue"/>
            <w:tcBorders>
              <w:top w:val="nil"/>
              <w:left w:val="single" w:color="auto" w:sz="8" w:space="0"/>
              <w:bottom w:val="single" w:color="000000" w:sz="8" w:space="0"/>
              <w:right w:val="single" w:color="auto" w:sz="8" w:space="0"/>
            </w:tcBorders>
            <w:vAlign w:val="center"/>
          </w:tcPr>
          <w:p w14:paraId="502028AF">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EFFEC4B">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5A66DDC9">
            <w:pPr>
              <w:widowControl/>
              <w:rPr>
                <w:rFonts w:hint="eastAsia" w:ascii="宋体" w:hAnsi="宋体" w:cs="宋体"/>
                <w:color w:val="auto"/>
                <w:kern w:val="0"/>
                <w:sz w:val="18"/>
                <w:szCs w:val="18"/>
              </w:rPr>
            </w:pPr>
            <w:r>
              <w:rPr>
                <w:rFonts w:hint="eastAsia" w:ascii="宋体" w:hAnsi="宋体" w:cs="宋体"/>
                <w:color w:val="auto"/>
                <w:kern w:val="0"/>
                <w:sz w:val="18"/>
                <w:szCs w:val="18"/>
              </w:rPr>
              <w:t>加强学生沟通，了解学生日常思想动态，发现问题及时与学院沟通并协助处理。</w:t>
            </w:r>
          </w:p>
        </w:tc>
        <w:tc>
          <w:tcPr>
            <w:tcW w:w="5337" w:type="dxa"/>
            <w:tcBorders>
              <w:top w:val="nil"/>
              <w:left w:val="nil"/>
              <w:bottom w:val="single" w:color="auto" w:sz="8" w:space="0"/>
              <w:right w:val="single" w:color="auto" w:sz="8" w:space="0"/>
            </w:tcBorders>
            <w:shd w:val="clear" w:color="000000" w:fill="FFFFFF"/>
            <w:vAlign w:val="center"/>
          </w:tcPr>
          <w:p w14:paraId="746AA0C4">
            <w:pPr>
              <w:widowControl/>
              <w:rPr>
                <w:rFonts w:hint="eastAsia" w:ascii="宋体" w:hAnsi="宋体" w:cs="宋体"/>
                <w:color w:val="auto"/>
                <w:kern w:val="0"/>
                <w:sz w:val="18"/>
                <w:szCs w:val="18"/>
              </w:rPr>
            </w:pPr>
            <w:r>
              <w:rPr>
                <w:rFonts w:hint="eastAsia" w:ascii="宋体" w:hAnsi="宋体" w:cs="宋体"/>
                <w:color w:val="auto"/>
                <w:kern w:val="0"/>
                <w:sz w:val="18"/>
                <w:szCs w:val="18"/>
              </w:rPr>
              <w:t>未掌握学生日常思想动态，存在明显工作失误的，每次扣1-2分，发现问题不积极处理或处理不当的，每次扣2分；</w:t>
            </w:r>
          </w:p>
        </w:tc>
        <w:tc>
          <w:tcPr>
            <w:tcW w:w="709" w:type="dxa"/>
            <w:vMerge w:val="continue"/>
            <w:tcBorders>
              <w:top w:val="nil"/>
              <w:left w:val="single" w:color="auto" w:sz="8" w:space="0"/>
              <w:bottom w:val="single" w:color="000000" w:sz="8" w:space="0"/>
              <w:right w:val="single" w:color="auto" w:sz="8" w:space="0"/>
            </w:tcBorders>
            <w:vAlign w:val="center"/>
          </w:tcPr>
          <w:p w14:paraId="1FC9EC58">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5644A0CA">
            <w:pPr>
              <w:widowControl/>
              <w:jc w:val="left"/>
              <w:rPr>
                <w:rFonts w:hint="eastAsia" w:ascii="宋体" w:hAnsi="宋体" w:cs="宋体"/>
                <w:color w:val="auto"/>
                <w:kern w:val="0"/>
                <w:sz w:val="18"/>
                <w:szCs w:val="18"/>
              </w:rPr>
            </w:pPr>
          </w:p>
        </w:tc>
      </w:tr>
      <w:tr w14:paraId="66A37A5D">
        <w:tblPrEx>
          <w:tblCellMar>
            <w:top w:w="0" w:type="dxa"/>
            <w:left w:w="108" w:type="dxa"/>
            <w:bottom w:w="0" w:type="dxa"/>
            <w:right w:w="108" w:type="dxa"/>
          </w:tblCellMar>
        </w:tblPrEx>
        <w:trPr>
          <w:trHeight w:val="465"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447BA717">
            <w:pPr>
              <w:widowControl/>
              <w:rPr>
                <w:rFonts w:eastAsia="等线"/>
                <w:b/>
                <w:bCs/>
                <w:color w:val="auto"/>
                <w:kern w:val="0"/>
                <w:sz w:val="18"/>
                <w:szCs w:val="18"/>
              </w:rPr>
            </w:pPr>
            <w:r>
              <w:rPr>
                <w:rFonts w:eastAsia="等线"/>
                <w:b/>
                <w:bCs/>
                <w:color w:val="auto"/>
                <w:kern w:val="0"/>
                <w:sz w:val="18"/>
                <w:szCs w:val="18"/>
              </w:rPr>
              <w:t>26</w:t>
            </w:r>
          </w:p>
        </w:tc>
        <w:tc>
          <w:tcPr>
            <w:tcW w:w="578" w:type="dxa"/>
            <w:vMerge w:val="continue"/>
            <w:tcBorders>
              <w:top w:val="nil"/>
              <w:left w:val="single" w:color="auto" w:sz="8" w:space="0"/>
              <w:bottom w:val="single" w:color="000000" w:sz="8" w:space="0"/>
              <w:right w:val="single" w:color="auto" w:sz="8" w:space="0"/>
            </w:tcBorders>
            <w:vAlign w:val="center"/>
          </w:tcPr>
          <w:p w14:paraId="54F0DD64">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3C0C6696">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5B5BB0C4">
            <w:pPr>
              <w:widowControl/>
              <w:rPr>
                <w:rFonts w:hint="eastAsia" w:ascii="宋体" w:hAnsi="宋体" w:cs="宋体"/>
                <w:color w:val="auto"/>
                <w:kern w:val="0"/>
                <w:sz w:val="18"/>
                <w:szCs w:val="18"/>
              </w:rPr>
            </w:pPr>
            <w:r>
              <w:rPr>
                <w:rFonts w:hint="eastAsia" w:ascii="宋体" w:hAnsi="宋体" w:cs="宋体"/>
                <w:color w:val="auto"/>
                <w:kern w:val="0"/>
                <w:sz w:val="18"/>
                <w:szCs w:val="18"/>
              </w:rPr>
              <w:t>负责公寓家具、消防等各类设施日常检查维护，及时发现问题及时处理，做好协调、反馈和跟踪工作。</w:t>
            </w:r>
          </w:p>
        </w:tc>
        <w:tc>
          <w:tcPr>
            <w:tcW w:w="5337" w:type="dxa"/>
            <w:tcBorders>
              <w:top w:val="nil"/>
              <w:left w:val="nil"/>
              <w:bottom w:val="single" w:color="auto" w:sz="8" w:space="0"/>
              <w:right w:val="single" w:color="auto" w:sz="8" w:space="0"/>
            </w:tcBorders>
            <w:shd w:val="clear" w:color="000000" w:fill="FFFFFF"/>
            <w:vAlign w:val="center"/>
          </w:tcPr>
          <w:p w14:paraId="37ABACC4">
            <w:pPr>
              <w:widowControl/>
              <w:rPr>
                <w:rFonts w:hint="eastAsia" w:ascii="宋体" w:hAnsi="宋体" w:cs="宋体"/>
                <w:color w:val="auto"/>
                <w:kern w:val="0"/>
                <w:sz w:val="18"/>
                <w:szCs w:val="18"/>
              </w:rPr>
            </w:pPr>
            <w:r>
              <w:rPr>
                <w:rFonts w:hint="eastAsia" w:ascii="宋体" w:hAnsi="宋体" w:cs="宋体"/>
                <w:color w:val="auto"/>
                <w:kern w:val="0"/>
                <w:sz w:val="18"/>
                <w:szCs w:val="18"/>
              </w:rPr>
              <w:t>设施问题未及时发现，每次扣1分，因协调、反馈延误导致处理不及时或投诉的，每次扣2分；</w:t>
            </w:r>
          </w:p>
        </w:tc>
        <w:tc>
          <w:tcPr>
            <w:tcW w:w="709" w:type="dxa"/>
            <w:vMerge w:val="continue"/>
            <w:tcBorders>
              <w:top w:val="nil"/>
              <w:left w:val="single" w:color="auto" w:sz="8" w:space="0"/>
              <w:bottom w:val="single" w:color="000000" w:sz="8" w:space="0"/>
              <w:right w:val="single" w:color="auto" w:sz="8" w:space="0"/>
            </w:tcBorders>
            <w:vAlign w:val="center"/>
          </w:tcPr>
          <w:p w14:paraId="253281F2">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7D10267D">
            <w:pPr>
              <w:widowControl/>
              <w:jc w:val="left"/>
              <w:rPr>
                <w:rFonts w:hint="eastAsia" w:ascii="宋体" w:hAnsi="宋体" w:cs="宋体"/>
                <w:color w:val="auto"/>
                <w:kern w:val="0"/>
                <w:sz w:val="18"/>
                <w:szCs w:val="18"/>
              </w:rPr>
            </w:pPr>
          </w:p>
        </w:tc>
      </w:tr>
      <w:tr w14:paraId="5C021940">
        <w:tblPrEx>
          <w:tblCellMar>
            <w:top w:w="0" w:type="dxa"/>
            <w:left w:w="108" w:type="dxa"/>
            <w:bottom w:w="0" w:type="dxa"/>
            <w:right w:w="108" w:type="dxa"/>
          </w:tblCellMar>
        </w:tblPrEx>
        <w:trPr>
          <w:trHeight w:val="915"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69F23B86">
            <w:pPr>
              <w:widowControl/>
              <w:rPr>
                <w:rFonts w:eastAsia="等线"/>
                <w:b/>
                <w:bCs/>
                <w:color w:val="auto"/>
                <w:kern w:val="0"/>
                <w:sz w:val="18"/>
                <w:szCs w:val="18"/>
              </w:rPr>
            </w:pPr>
            <w:r>
              <w:rPr>
                <w:rFonts w:eastAsia="等线"/>
                <w:b/>
                <w:bCs/>
                <w:color w:val="auto"/>
                <w:kern w:val="0"/>
                <w:sz w:val="18"/>
                <w:szCs w:val="18"/>
              </w:rPr>
              <w:t>27</w:t>
            </w:r>
          </w:p>
        </w:tc>
        <w:tc>
          <w:tcPr>
            <w:tcW w:w="578" w:type="dxa"/>
            <w:vMerge w:val="continue"/>
            <w:tcBorders>
              <w:top w:val="nil"/>
              <w:left w:val="single" w:color="auto" w:sz="8" w:space="0"/>
              <w:bottom w:val="single" w:color="000000" w:sz="8" w:space="0"/>
              <w:right w:val="single" w:color="auto" w:sz="8" w:space="0"/>
            </w:tcBorders>
            <w:vAlign w:val="center"/>
          </w:tcPr>
          <w:p w14:paraId="55579B6F">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5579705">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454CC5EF">
            <w:pPr>
              <w:widowControl/>
              <w:rPr>
                <w:rFonts w:hint="eastAsia" w:ascii="宋体" w:hAnsi="宋体" w:cs="宋体"/>
                <w:color w:val="auto"/>
                <w:kern w:val="0"/>
                <w:sz w:val="18"/>
                <w:szCs w:val="18"/>
              </w:rPr>
            </w:pPr>
            <w:r>
              <w:rPr>
                <w:rFonts w:hint="eastAsia" w:ascii="宋体" w:hAnsi="宋体" w:cs="宋体"/>
                <w:color w:val="auto"/>
                <w:kern w:val="0"/>
                <w:sz w:val="18"/>
                <w:szCs w:val="18"/>
              </w:rPr>
              <w:t>开展各类日常巡查，确保消防通道、屋面、楼道通畅，无杂物堆放，电梯、墙面、门窗等无涂鸦、违规张贴物。</w:t>
            </w:r>
          </w:p>
        </w:tc>
        <w:tc>
          <w:tcPr>
            <w:tcW w:w="5337" w:type="dxa"/>
            <w:tcBorders>
              <w:top w:val="nil"/>
              <w:left w:val="nil"/>
              <w:bottom w:val="single" w:color="auto" w:sz="8" w:space="0"/>
              <w:right w:val="single" w:color="auto" w:sz="8" w:space="0"/>
            </w:tcBorders>
            <w:shd w:val="clear" w:color="000000" w:fill="FFFFFF"/>
            <w:vAlign w:val="center"/>
          </w:tcPr>
          <w:p w14:paraId="2D7DE798">
            <w:pPr>
              <w:widowControl/>
              <w:rPr>
                <w:rFonts w:hint="eastAsia" w:ascii="宋体" w:hAnsi="宋体" w:cs="宋体"/>
                <w:color w:val="auto"/>
                <w:kern w:val="0"/>
                <w:sz w:val="18"/>
                <w:szCs w:val="18"/>
              </w:rPr>
            </w:pPr>
            <w:r>
              <w:rPr>
                <w:rFonts w:hint="eastAsia" w:ascii="宋体" w:hAnsi="宋体" w:cs="宋体"/>
                <w:color w:val="auto"/>
                <w:kern w:val="0"/>
                <w:sz w:val="18"/>
                <w:szCs w:val="18"/>
              </w:rPr>
              <w:t>未按要求开展日常巡查，每次扣1分，消防通道、屋面、楼道等区域有杂物堆放的，每处扣1分，电梯、墙面、门窗等区域有涂鸦、违规张贴物的，每处扣0.5分。</w:t>
            </w:r>
          </w:p>
        </w:tc>
        <w:tc>
          <w:tcPr>
            <w:tcW w:w="709" w:type="dxa"/>
            <w:vMerge w:val="continue"/>
            <w:tcBorders>
              <w:top w:val="nil"/>
              <w:left w:val="single" w:color="auto" w:sz="8" w:space="0"/>
              <w:bottom w:val="single" w:color="000000" w:sz="8" w:space="0"/>
              <w:right w:val="single" w:color="auto" w:sz="8" w:space="0"/>
            </w:tcBorders>
            <w:vAlign w:val="center"/>
          </w:tcPr>
          <w:p w14:paraId="3F781317">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5AF249F6">
            <w:pPr>
              <w:widowControl/>
              <w:jc w:val="left"/>
              <w:rPr>
                <w:rFonts w:hint="eastAsia" w:ascii="宋体" w:hAnsi="宋体" w:cs="宋体"/>
                <w:color w:val="auto"/>
                <w:kern w:val="0"/>
                <w:sz w:val="18"/>
                <w:szCs w:val="18"/>
              </w:rPr>
            </w:pPr>
          </w:p>
        </w:tc>
      </w:tr>
      <w:tr w14:paraId="2D286C99">
        <w:tblPrEx>
          <w:tblCellMar>
            <w:top w:w="0" w:type="dxa"/>
            <w:left w:w="108" w:type="dxa"/>
            <w:bottom w:w="0" w:type="dxa"/>
            <w:right w:w="108" w:type="dxa"/>
          </w:tblCellMar>
        </w:tblPrEx>
        <w:trPr>
          <w:trHeight w:val="465"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65DC339B">
            <w:pPr>
              <w:widowControl/>
              <w:rPr>
                <w:rFonts w:eastAsia="等线"/>
                <w:b/>
                <w:bCs/>
                <w:color w:val="auto"/>
                <w:kern w:val="0"/>
                <w:sz w:val="18"/>
                <w:szCs w:val="18"/>
              </w:rPr>
            </w:pPr>
            <w:r>
              <w:rPr>
                <w:rFonts w:eastAsia="等线"/>
                <w:b/>
                <w:bCs/>
                <w:color w:val="auto"/>
                <w:kern w:val="0"/>
                <w:sz w:val="18"/>
                <w:szCs w:val="18"/>
              </w:rPr>
              <w:t>28</w:t>
            </w:r>
          </w:p>
        </w:tc>
        <w:tc>
          <w:tcPr>
            <w:tcW w:w="578" w:type="dxa"/>
            <w:vMerge w:val="continue"/>
            <w:tcBorders>
              <w:top w:val="nil"/>
              <w:left w:val="single" w:color="auto" w:sz="8" w:space="0"/>
              <w:bottom w:val="single" w:color="000000" w:sz="8" w:space="0"/>
              <w:right w:val="single" w:color="auto" w:sz="8" w:space="0"/>
            </w:tcBorders>
            <w:vAlign w:val="center"/>
          </w:tcPr>
          <w:p w14:paraId="408A8E49">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3E480431">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auto" w:fill="auto"/>
            <w:vAlign w:val="center"/>
          </w:tcPr>
          <w:p w14:paraId="1C68EE69">
            <w:pPr>
              <w:widowControl/>
              <w:rPr>
                <w:rFonts w:hint="eastAsia" w:ascii="宋体" w:hAnsi="宋体" w:cs="宋体"/>
                <w:color w:val="auto"/>
                <w:kern w:val="0"/>
                <w:sz w:val="18"/>
                <w:szCs w:val="18"/>
              </w:rPr>
            </w:pPr>
            <w:r>
              <w:rPr>
                <w:rFonts w:hint="eastAsia" w:ascii="宋体" w:hAnsi="宋体" w:cs="宋体"/>
                <w:color w:val="auto"/>
                <w:kern w:val="0"/>
                <w:sz w:val="18"/>
                <w:szCs w:val="18"/>
              </w:rPr>
              <w:t>积极开展公寓文化建设活动，结合校庆、安全教育、迎新等工作开展宣传活动。</w:t>
            </w:r>
          </w:p>
        </w:tc>
        <w:tc>
          <w:tcPr>
            <w:tcW w:w="5337" w:type="dxa"/>
            <w:tcBorders>
              <w:top w:val="nil"/>
              <w:left w:val="nil"/>
              <w:bottom w:val="single" w:color="auto" w:sz="8" w:space="0"/>
              <w:right w:val="single" w:color="auto" w:sz="8" w:space="0"/>
            </w:tcBorders>
            <w:shd w:val="clear" w:color="000000" w:fill="FFFFFF"/>
            <w:vAlign w:val="center"/>
          </w:tcPr>
          <w:p w14:paraId="74EE0484">
            <w:pPr>
              <w:widowControl/>
              <w:rPr>
                <w:rFonts w:hint="eastAsia" w:ascii="宋体" w:hAnsi="宋体" w:cs="宋体"/>
                <w:color w:val="auto"/>
                <w:kern w:val="0"/>
                <w:sz w:val="18"/>
                <w:szCs w:val="18"/>
              </w:rPr>
            </w:pPr>
            <w:r>
              <w:rPr>
                <w:rFonts w:hint="eastAsia" w:ascii="宋体" w:hAnsi="宋体" w:cs="宋体"/>
                <w:color w:val="auto"/>
                <w:kern w:val="0"/>
                <w:sz w:val="18"/>
                <w:szCs w:val="18"/>
              </w:rPr>
              <w:t>未按要求开展公寓宣传活动的，一次扣2分。</w:t>
            </w:r>
          </w:p>
        </w:tc>
        <w:tc>
          <w:tcPr>
            <w:tcW w:w="709" w:type="dxa"/>
            <w:vMerge w:val="continue"/>
            <w:tcBorders>
              <w:top w:val="nil"/>
              <w:left w:val="single" w:color="auto" w:sz="8" w:space="0"/>
              <w:bottom w:val="single" w:color="000000" w:sz="8" w:space="0"/>
              <w:right w:val="single" w:color="auto" w:sz="8" w:space="0"/>
            </w:tcBorders>
            <w:vAlign w:val="center"/>
          </w:tcPr>
          <w:p w14:paraId="04E772A5">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01283D2A">
            <w:pPr>
              <w:widowControl/>
              <w:jc w:val="left"/>
              <w:rPr>
                <w:rFonts w:hint="eastAsia" w:ascii="宋体" w:hAnsi="宋体" w:cs="宋体"/>
                <w:color w:val="auto"/>
                <w:kern w:val="0"/>
                <w:sz w:val="18"/>
                <w:szCs w:val="18"/>
              </w:rPr>
            </w:pPr>
          </w:p>
        </w:tc>
      </w:tr>
      <w:tr w14:paraId="1DB9F4AC">
        <w:tblPrEx>
          <w:tblCellMar>
            <w:top w:w="0" w:type="dxa"/>
            <w:left w:w="108" w:type="dxa"/>
            <w:bottom w:w="0" w:type="dxa"/>
            <w:right w:w="108" w:type="dxa"/>
          </w:tblCellMar>
        </w:tblPrEx>
        <w:trPr>
          <w:trHeight w:val="690"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5AE222E0">
            <w:pPr>
              <w:widowControl/>
              <w:rPr>
                <w:rFonts w:eastAsia="等线"/>
                <w:b/>
                <w:bCs/>
                <w:color w:val="auto"/>
                <w:kern w:val="0"/>
                <w:sz w:val="18"/>
                <w:szCs w:val="18"/>
              </w:rPr>
            </w:pPr>
            <w:r>
              <w:rPr>
                <w:rFonts w:eastAsia="等线"/>
                <w:b/>
                <w:bCs/>
                <w:color w:val="auto"/>
                <w:kern w:val="0"/>
                <w:sz w:val="18"/>
                <w:szCs w:val="18"/>
              </w:rPr>
              <w:t>29</w:t>
            </w:r>
          </w:p>
        </w:tc>
        <w:tc>
          <w:tcPr>
            <w:tcW w:w="578" w:type="dxa"/>
            <w:vMerge w:val="continue"/>
            <w:tcBorders>
              <w:top w:val="nil"/>
              <w:left w:val="single" w:color="auto" w:sz="8" w:space="0"/>
              <w:bottom w:val="single" w:color="000000" w:sz="8" w:space="0"/>
              <w:right w:val="single" w:color="auto" w:sz="8" w:space="0"/>
            </w:tcBorders>
            <w:vAlign w:val="center"/>
          </w:tcPr>
          <w:p w14:paraId="52A8F1A4">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3725152F">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2E40768E">
            <w:pPr>
              <w:widowControl/>
              <w:rPr>
                <w:rFonts w:hint="eastAsia" w:ascii="宋体" w:hAnsi="宋体" w:cs="宋体"/>
                <w:color w:val="auto"/>
                <w:kern w:val="0"/>
                <w:sz w:val="18"/>
                <w:szCs w:val="18"/>
              </w:rPr>
            </w:pPr>
            <w:r>
              <w:rPr>
                <w:rFonts w:hint="eastAsia" w:ascii="宋体" w:hAnsi="宋体" w:cs="宋体"/>
                <w:color w:val="auto"/>
                <w:kern w:val="0"/>
                <w:sz w:val="18"/>
                <w:szCs w:val="18"/>
              </w:rPr>
              <w:t>做好合作单位服务性项目的日常管理，协助处理设备故障、投诉处理等。</w:t>
            </w:r>
          </w:p>
        </w:tc>
        <w:tc>
          <w:tcPr>
            <w:tcW w:w="5337" w:type="dxa"/>
            <w:tcBorders>
              <w:top w:val="nil"/>
              <w:left w:val="nil"/>
              <w:bottom w:val="single" w:color="auto" w:sz="8" w:space="0"/>
              <w:right w:val="single" w:color="auto" w:sz="8" w:space="0"/>
            </w:tcBorders>
            <w:shd w:val="clear" w:color="000000" w:fill="FFFFFF"/>
            <w:vAlign w:val="center"/>
          </w:tcPr>
          <w:p w14:paraId="4E11860D">
            <w:pPr>
              <w:widowControl/>
              <w:rPr>
                <w:rFonts w:hint="eastAsia" w:ascii="宋体" w:hAnsi="宋体" w:cs="宋体"/>
                <w:color w:val="auto"/>
                <w:kern w:val="0"/>
                <w:sz w:val="18"/>
                <w:szCs w:val="18"/>
              </w:rPr>
            </w:pPr>
            <w:r>
              <w:rPr>
                <w:rFonts w:hint="eastAsia" w:ascii="宋体" w:hAnsi="宋体" w:cs="宋体"/>
                <w:color w:val="auto"/>
                <w:kern w:val="0"/>
                <w:sz w:val="18"/>
                <w:szCs w:val="18"/>
              </w:rPr>
              <w:t>未按要求开展服务性项目的日常管理，每次扣1分，设备故障处理不及时、投诉处理不当的，每次扣1分。</w:t>
            </w:r>
          </w:p>
        </w:tc>
        <w:tc>
          <w:tcPr>
            <w:tcW w:w="709" w:type="dxa"/>
            <w:vMerge w:val="continue"/>
            <w:tcBorders>
              <w:top w:val="nil"/>
              <w:left w:val="single" w:color="auto" w:sz="8" w:space="0"/>
              <w:bottom w:val="single" w:color="000000" w:sz="8" w:space="0"/>
              <w:right w:val="single" w:color="auto" w:sz="8" w:space="0"/>
            </w:tcBorders>
            <w:vAlign w:val="center"/>
          </w:tcPr>
          <w:p w14:paraId="4223BA14">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35F5C0C6">
            <w:pPr>
              <w:widowControl/>
              <w:jc w:val="left"/>
              <w:rPr>
                <w:rFonts w:hint="eastAsia" w:ascii="宋体" w:hAnsi="宋体" w:cs="宋体"/>
                <w:color w:val="auto"/>
                <w:kern w:val="0"/>
                <w:sz w:val="18"/>
                <w:szCs w:val="18"/>
              </w:rPr>
            </w:pPr>
          </w:p>
        </w:tc>
      </w:tr>
      <w:tr w14:paraId="476F066F">
        <w:tblPrEx>
          <w:tblCellMar>
            <w:top w:w="0" w:type="dxa"/>
            <w:left w:w="108" w:type="dxa"/>
            <w:bottom w:w="0" w:type="dxa"/>
            <w:right w:w="108" w:type="dxa"/>
          </w:tblCellMar>
        </w:tblPrEx>
        <w:trPr>
          <w:trHeight w:val="1365"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2AF1E641">
            <w:pPr>
              <w:widowControl/>
              <w:jc w:val="center"/>
              <w:rPr>
                <w:rFonts w:eastAsia="等线"/>
                <w:b/>
                <w:bCs/>
                <w:color w:val="auto"/>
                <w:kern w:val="0"/>
                <w:sz w:val="18"/>
                <w:szCs w:val="18"/>
              </w:rPr>
            </w:pPr>
            <w:r>
              <w:rPr>
                <w:rFonts w:eastAsia="等线"/>
                <w:b/>
                <w:bCs/>
                <w:color w:val="auto"/>
                <w:kern w:val="0"/>
                <w:sz w:val="18"/>
                <w:szCs w:val="18"/>
              </w:rPr>
              <w:t>3</w:t>
            </w:r>
            <w:r>
              <w:rPr>
                <w:rFonts w:hint="eastAsia" w:eastAsia="等线"/>
                <w:b/>
                <w:bCs/>
                <w:color w:val="auto"/>
                <w:kern w:val="0"/>
                <w:sz w:val="18"/>
                <w:szCs w:val="18"/>
              </w:rPr>
              <w:t>0</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3C3EA6A1">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日常服务</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158A3625">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设施管理</w:t>
            </w:r>
          </w:p>
        </w:tc>
        <w:tc>
          <w:tcPr>
            <w:tcW w:w="5478" w:type="dxa"/>
            <w:tcBorders>
              <w:top w:val="nil"/>
              <w:left w:val="nil"/>
              <w:bottom w:val="single" w:color="auto" w:sz="8" w:space="0"/>
              <w:right w:val="single" w:color="auto" w:sz="8" w:space="0"/>
            </w:tcBorders>
            <w:shd w:val="clear" w:color="000000" w:fill="FFFFFF"/>
            <w:vAlign w:val="center"/>
          </w:tcPr>
          <w:p w14:paraId="65104960">
            <w:pPr>
              <w:widowControl/>
              <w:rPr>
                <w:rFonts w:hint="eastAsia" w:ascii="宋体" w:hAnsi="宋体" w:cs="宋体"/>
                <w:color w:val="auto"/>
                <w:kern w:val="0"/>
                <w:sz w:val="18"/>
                <w:szCs w:val="18"/>
              </w:rPr>
            </w:pPr>
            <w:r>
              <w:rPr>
                <w:rFonts w:hint="eastAsia" w:ascii="宋体" w:hAnsi="宋体" w:cs="宋体"/>
                <w:color w:val="auto"/>
                <w:kern w:val="0"/>
                <w:sz w:val="18"/>
                <w:szCs w:val="18"/>
              </w:rPr>
              <w:t>电气设备系统、弱电设备系统、给排水系统设备、电梯等特种设备、消防设施设备、空调、空气源及其他共用设施（如公共照明等）正常无故障运行（如有故障及时处理，做好记录），无因维护不当造成的锈蚀、污渍、跑冒漏滴现象，存放和运行环境（如泵站、配电房等）符合行业要求。</w:t>
            </w:r>
          </w:p>
        </w:tc>
        <w:tc>
          <w:tcPr>
            <w:tcW w:w="5337" w:type="dxa"/>
            <w:tcBorders>
              <w:top w:val="nil"/>
              <w:left w:val="nil"/>
              <w:bottom w:val="single" w:color="auto" w:sz="8" w:space="0"/>
              <w:right w:val="single" w:color="auto" w:sz="8" w:space="0"/>
            </w:tcBorders>
            <w:shd w:val="clear" w:color="000000" w:fill="FFFFFF"/>
            <w:vAlign w:val="center"/>
          </w:tcPr>
          <w:p w14:paraId="39333CD8">
            <w:pPr>
              <w:widowControl/>
              <w:rPr>
                <w:rFonts w:hint="eastAsia" w:ascii="宋体" w:hAnsi="宋体" w:cs="宋体"/>
                <w:color w:val="auto"/>
                <w:kern w:val="0"/>
                <w:sz w:val="18"/>
                <w:szCs w:val="18"/>
              </w:rPr>
            </w:pPr>
            <w:r>
              <w:rPr>
                <w:rFonts w:hint="eastAsia" w:ascii="宋体" w:hAnsi="宋体" w:cs="宋体"/>
                <w:color w:val="auto"/>
                <w:kern w:val="0"/>
                <w:sz w:val="18"/>
                <w:szCs w:val="18"/>
              </w:rPr>
              <w:t>以单个设备为单位，发现运行故障且未及时处理的，或有锈蚀、污渍、跑冒漏滴现象，经了解确系因维护不当造成的，多处问题计一处；以及存放和运行环境有不符合行业标准的，以单个空间环境为单位，多处问题计一处。以上每处按严重程度扣0.5-2分。</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455A1489">
            <w:pPr>
              <w:widowControl/>
              <w:jc w:val="center"/>
              <w:rPr>
                <w:rFonts w:eastAsia="等线"/>
                <w:color w:val="auto"/>
                <w:kern w:val="0"/>
                <w:sz w:val="18"/>
                <w:szCs w:val="18"/>
              </w:rPr>
            </w:pPr>
            <w:r>
              <w:rPr>
                <w:rFonts w:eastAsia="等线"/>
                <w:color w:val="auto"/>
                <w:kern w:val="0"/>
                <w:sz w:val="18"/>
                <w:szCs w:val="18"/>
              </w:rPr>
              <w:t>20</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57873A7D">
            <w:pPr>
              <w:widowControl/>
              <w:jc w:val="center"/>
              <w:rPr>
                <w:rFonts w:eastAsia="等线"/>
                <w:color w:val="auto"/>
                <w:kern w:val="0"/>
                <w:sz w:val="18"/>
                <w:szCs w:val="18"/>
              </w:rPr>
            </w:pPr>
            <w:r>
              <w:rPr>
                <w:rFonts w:eastAsia="等线"/>
                <w:color w:val="auto"/>
                <w:kern w:val="0"/>
                <w:sz w:val="18"/>
                <w:szCs w:val="18"/>
              </w:rPr>
              <w:t>　</w:t>
            </w:r>
          </w:p>
        </w:tc>
      </w:tr>
      <w:tr w14:paraId="5C6B65C7">
        <w:tblPrEx>
          <w:tblCellMar>
            <w:top w:w="0" w:type="dxa"/>
            <w:left w:w="108" w:type="dxa"/>
            <w:bottom w:w="0" w:type="dxa"/>
            <w:right w:w="108" w:type="dxa"/>
          </w:tblCellMar>
        </w:tblPrEx>
        <w:trPr>
          <w:trHeight w:val="2040"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7823C7C0">
            <w:pPr>
              <w:widowControl/>
              <w:jc w:val="center"/>
              <w:rPr>
                <w:rFonts w:eastAsia="等线"/>
                <w:b/>
                <w:bCs/>
                <w:color w:val="auto"/>
                <w:kern w:val="0"/>
                <w:sz w:val="18"/>
                <w:szCs w:val="18"/>
              </w:rPr>
            </w:pPr>
            <w:r>
              <w:rPr>
                <w:rFonts w:eastAsia="等线"/>
                <w:b/>
                <w:bCs/>
                <w:color w:val="auto"/>
                <w:kern w:val="0"/>
                <w:sz w:val="18"/>
                <w:szCs w:val="18"/>
              </w:rPr>
              <w:t>3</w:t>
            </w:r>
            <w:r>
              <w:rPr>
                <w:rFonts w:hint="eastAsia" w:eastAsia="等线"/>
                <w:b/>
                <w:bCs/>
                <w:color w:val="auto"/>
                <w:kern w:val="0"/>
                <w:sz w:val="18"/>
                <w:szCs w:val="18"/>
              </w:rPr>
              <w:t>1</w:t>
            </w:r>
          </w:p>
        </w:tc>
        <w:tc>
          <w:tcPr>
            <w:tcW w:w="578" w:type="dxa"/>
            <w:vMerge w:val="continue"/>
            <w:tcBorders>
              <w:top w:val="nil"/>
              <w:left w:val="single" w:color="auto" w:sz="8" w:space="0"/>
              <w:bottom w:val="single" w:color="000000" w:sz="8" w:space="0"/>
              <w:right w:val="single" w:color="auto" w:sz="8" w:space="0"/>
            </w:tcBorders>
            <w:vAlign w:val="center"/>
          </w:tcPr>
          <w:p w14:paraId="68484AE6">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589953E">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60928FAA">
            <w:pPr>
              <w:widowControl/>
              <w:rPr>
                <w:rFonts w:hint="eastAsia" w:ascii="宋体" w:hAnsi="宋体" w:cs="宋体"/>
                <w:color w:val="auto"/>
                <w:kern w:val="0"/>
                <w:sz w:val="18"/>
                <w:szCs w:val="18"/>
              </w:rPr>
            </w:pPr>
            <w:r>
              <w:rPr>
                <w:rFonts w:hint="eastAsia" w:ascii="宋体" w:hAnsi="宋体" w:cs="宋体"/>
                <w:color w:val="auto"/>
                <w:kern w:val="0"/>
                <w:sz w:val="18"/>
                <w:szCs w:val="18"/>
              </w:rPr>
              <w:t>对各类设施设备建立清单，有定期检查及必要的维护保养计划并落实执行（其中需要第三方维保单位进行维保的，应跟踪监督全过程并做好索证；配合高压水泵等设备每月保养检修1次，水箱每半年清洗消毒一次，化验水质1次；负责编制高低压设备，变压器的定期维护保养计划，提前两月报告；建立空调一机一档，做好定期维保；建立电梯一机一档，做好定期维保维修记录，实现维保记录电子化，要求统一使用电梯维保信息化管理系统；负责监督空气源水系统厂家的定期保养和接报修落实情况，对厂家维修及时率与质量进行跟踪并落实；相关台账记录及时、规范，可追溯。</w:t>
            </w:r>
          </w:p>
        </w:tc>
        <w:tc>
          <w:tcPr>
            <w:tcW w:w="5337" w:type="dxa"/>
            <w:tcBorders>
              <w:top w:val="nil"/>
              <w:left w:val="nil"/>
              <w:bottom w:val="single" w:color="auto" w:sz="8" w:space="0"/>
              <w:right w:val="single" w:color="auto" w:sz="8" w:space="0"/>
            </w:tcBorders>
            <w:shd w:val="clear" w:color="000000" w:fill="FFFFFF"/>
            <w:vAlign w:val="center"/>
          </w:tcPr>
          <w:p w14:paraId="7CA1C0D6">
            <w:pPr>
              <w:widowControl/>
              <w:rPr>
                <w:rFonts w:hint="eastAsia" w:ascii="宋体" w:hAnsi="宋体" w:cs="宋体"/>
                <w:color w:val="auto"/>
                <w:kern w:val="0"/>
                <w:sz w:val="18"/>
                <w:szCs w:val="18"/>
              </w:rPr>
            </w:pPr>
            <w:r>
              <w:rPr>
                <w:rFonts w:hint="eastAsia" w:ascii="宋体" w:hAnsi="宋体" w:cs="宋体"/>
                <w:color w:val="auto"/>
                <w:kern w:val="0"/>
                <w:sz w:val="18"/>
                <w:szCs w:val="18"/>
              </w:rPr>
              <w:t>没有按时做好维保，记录及索证材料不及时、不规范或有缺失的，一处扣0.5分。</w:t>
            </w:r>
          </w:p>
        </w:tc>
        <w:tc>
          <w:tcPr>
            <w:tcW w:w="709" w:type="dxa"/>
            <w:vMerge w:val="continue"/>
            <w:tcBorders>
              <w:top w:val="nil"/>
              <w:left w:val="single" w:color="auto" w:sz="8" w:space="0"/>
              <w:bottom w:val="single" w:color="000000" w:sz="8" w:space="0"/>
              <w:right w:val="single" w:color="auto" w:sz="8" w:space="0"/>
            </w:tcBorders>
            <w:vAlign w:val="center"/>
          </w:tcPr>
          <w:p w14:paraId="7B11437C">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0F8319E4">
            <w:pPr>
              <w:widowControl/>
              <w:jc w:val="left"/>
              <w:rPr>
                <w:rFonts w:eastAsia="等线"/>
                <w:color w:val="auto"/>
                <w:kern w:val="0"/>
                <w:sz w:val="18"/>
                <w:szCs w:val="18"/>
              </w:rPr>
            </w:pPr>
          </w:p>
        </w:tc>
      </w:tr>
      <w:tr w14:paraId="2B685E6F">
        <w:tblPrEx>
          <w:tblCellMar>
            <w:top w:w="0" w:type="dxa"/>
            <w:left w:w="108" w:type="dxa"/>
            <w:bottom w:w="0" w:type="dxa"/>
            <w:right w:w="108" w:type="dxa"/>
          </w:tblCellMar>
        </w:tblPrEx>
        <w:trPr>
          <w:trHeight w:val="1815"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1352E29D">
            <w:pPr>
              <w:widowControl/>
              <w:jc w:val="center"/>
              <w:rPr>
                <w:rFonts w:eastAsia="等线"/>
                <w:b/>
                <w:bCs/>
                <w:color w:val="auto"/>
                <w:kern w:val="0"/>
                <w:sz w:val="18"/>
                <w:szCs w:val="18"/>
              </w:rPr>
            </w:pPr>
            <w:r>
              <w:rPr>
                <w:rFonts w:eastAsia="等线"/>
                <w:b/>
                <w:bCs/>
                <w:color w:val="auto"/>
                <w:kern w:val="0"/>
                <w:sz w:val="18"/>
                <w:szCs w:val="18"/>
              </w:rPr>
              <w:t>3</w:t>
            </w:r>
            <w:r>
              <w:rPr>
                <w:rFonts w:hint="eastAsia" w:eastAsia="等线"/>
                <w:b/>
                <w:bCs/>
                <w:color w:val="auto"/>
                <w:kern w:val="0"/>
                <w:sz w:val="18"/>
                <w:szCs w:val="18"/>
              </w:rPr>
              <w:t>2</w:t>
            </w:r>
          </w:p>
        </w:tc>
        <w:tc>
          <w:tcPr>
            <w:tcW w:w="578" w:type="dxa"/>
            <w:vMerge w:val="continue"/>
            <w:tcBorders>
              <w:top w:val="nil"/>
              <w:left w:val="single" w:color="auto" w:sz="8" w:space="0"/>
              <w:bottom w:val="single" w:color="000000" w:sz="8" w:space="0"/>
              <w:right w:val="single" w:color="auto" w:sz="8" w:space="0"/>
            </w:tcBorders>
            <w:vAlign w:val="center"/>
          </w:tcPr>
          <w:p w14:paraId="38CED27C">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3CF7E4E9">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415FDC23">
            <w:pPr>
              <w:widowControl/>
              <w:rPr>
                <w:rFonts w:hint="eastAsia" w:ascii="宋体" w:hAnsi="宋体" w:cs="宋体"/>
                <w:color w:val="auto"/>
                <w:kern w:val="0"/>
                <w:sz w:val="18"/>
                <w:szCs w:val="18"/>
              </w:rPr>
            </w:pPr>
            <w:r>
              <w:rPr>
                <w:rFonts w:hint="eastAsia" w:ascii="宋体" w:hAnsi="宋体" w:cs="宋体"/>
                <w:color w:val="auto"/>
                <w:kern w:val="0"/>
                <w:sz w:val="18"/>
                <w:szCs w:val="18"/>
              </w:rPr>
              <w:t>水泵房每四小时巡查一次，管线及地下室集水井排水设备每天巡查一次；对变配电间内做24小时值班服务（每班至少2人，并配有专门维修电话）和设备定期巡视（每天早中晚3次，）每月呈交设备运行状况统计表；不定时检查空调机组运行情况，做好检查记录，根据校方对空调使用要求保障空调节能的温度；配置电梯安全管理员2名，做好每天不少于一次的巡查工作，并记录运行状况；保障空气源热水系统的水电供应，将空气源热水系统保修服务接入校园保修网络，跟踪管理记录维修情况，做好以上相关台账</w:t>
            </w:r>
          </w:p>
        </w:tc>
        <w:tc>
          <w:tcPr>
            <w:tcW w:w="5337" w:type="dxa"/>
            <w:tcBorders>
              <w:top w:val="nil"/>
              <w:left w:val="nil"/>
              <w:bottom w:val="single" w:color="auto" w:sz="8" w:space="0"/>
              <w:right w:val="single" w:color="auto" w:sz="8" w:space="0"/>
            </w:tcBorders>
            <w:shd w:val="clear" w:color="000000" w:fill="FFFFFF"/>
            <w:vAlign w:val="center"/>
          </w:tcPr>
          <w:p w14:paraId="2D92E83C">
            <w:pPr>
              <w:widowControl/>
              <w:rPr>
                <w:rFonts w:hint="eastAsia" w:ascii="宋体" w:hAnsi="宋体" w:cs="宋体"/>
                <w:color w:val="auto"/>
                <w:kern w:val="0"/>
                <w:sz w:val="18"/>
                <w:szCs w:val="18"/>
              </w:rPr>
            </w:pPr>
            <w:r>
              <w:rPr>
                <w:rFonts w:hint="eastAsia" w:ascii="宋体" w:hAnsi="宋体" w:cs="宋体"/>
                <w:color w:val="auto"/>
                <w:kern w:val="0"/>
                <w:sz w:val="18"/>
                <w:szCs w:val="18"/>
              </w:rPr>
              <w:t>因未及时巡查，没有做好记录，没有做好设备房的卫生环境清洁，人数没有配备到位等情况，一处扣0.5分。</w:t>
            </w:r>
          </w:p>
        </w:tc>
        <w:tc>
          <w:tcPr>
            <w:tcW w:w="709" w:type="dxa"/>
            <w:vMerge w:val="continue"/>
            <w:tcBorders>
              <w:top w:val="nil"/>
              <w:left w:val="single" w:color="auto" w:sz="8" w:space="0"/>
              <w:bottom w:val="single" w:color="000000" w:sz="8" w:space="0"/>
              <w:right w:val="single" w:color="auto" w:sz="8" w:space="0"/>
            </w:tcBorders>
            <w:vAlign w:val="center"/>
          </w:tcPr>
          <w:p w14:paraId="03363DEB">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09E19AAD">
            <w:pPr>
              <w:widowControl/>
              <w:jc w:val="left"/>
              <w:rPr>
                <w:rFonts w:eastAsia="等线"/>
                <w:color w:val="auto"/>
                <w:kern w:val="0"/>
                <w:sz w:val="18"/>
                <w:szCs w:val="18"/>
              </w:rPr>
            </w:pPr>
          </w:p>
        </w:tc>
      </w:tr>
      <w:tr w14:paraId="3A5FCD86">
        <w:tblPrEx>
          <w:tblCellMar>
            <w:top w:w="0" w:type="dxa"/>
            <w:left w:w="108" w:type="dxa"/>
            <w:bottom w:w="0" w:type="dxa"/>
            <w:right w:w="108" w:type="dxa"/>
          </w:tblCellMar>
        </w:tblPrEx>
        <w:trPr>
          <w:trHeight w:val="465"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5AD1206C">
            <w:pPr>
              <w:widowControl/>
              <w:jc w:val="center"/>
              <w:rPr>
                <w:rFonts w:eastAsia="等线"/>
                <w:b/>
                <w:bCs/>
                <w:color w:val="auto"/>
                <w:kern w:val="0"/>
                <w:sz w:val="18"/>
                <w:szCs w:val="18"/>
              </w:rPr>
            </w:pPr>
            <w:r>
              <w:rPr>
                <w:rFonts w:eastAsia="等线"/>
                <w:b/>
                <w:bCs/>
                <w:color w:val="auto"/>
                <w:kern w:val="0"/>
                <w:sz w:val="18"/>
                <w:szCs w:val="18"/>
              </w:rPr>
              <w:t>3</w:t>
            </w:r>
            <w:r>
              <w:rPr>
                <w:rFonts w:hint="eastAsia" w:eastAsia="等线"/>
                <w:b/>
                <w:bCs/>
                <w:color w:val="auto"/>
                <w:kern w:val="0"/>
                <w:sz w:val="18"/>
                <w:szCs w:val="18"/>
              </w:rPr>
              <w:t>3</w:t>
            </w:r>
          </w:p>
        </w:tc>
        <w:tc>
          <w:tcPr>
            <w:tcW w:w="578" w:type="dxa"/>
            <w:vMerge w:val="continue"/>
            <w:tcBorders>
              <w:top w:val="nil"/>
              <w:left w:val="single" w:color="auto" w:sz="8" w:space="0"/>
              <w:bottom w:val="single" w:color="000000" w:sz="8" w:space="0"/>
              <w:right w:val="single" w:color="auto" w:sz="8" w:space="0"/>
            </w:tcBorders>
            <w:vAlign w:val="center"/>
          </w:tcPr>
          <w:p w14:paraId="0A4119FC">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A0BBCC6">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14D69D35">
            <w:pPr>
              <w:widowControl/>
              <w:rPr>
                <w:rFonts w:hint="eastAsia" w:ascii="宋体" w:hAnsi="宋体" w:cs="宋体"/>
                <w:color w:val="auto"/>
                <w:kern w:val="0"/>
                <w:sz w:val="18"/>
                <w:szCs w:val="18"/>
              </w:rPr>
            </w:pPr>
            <w:r>
              <w:rPr>
                <w:rFonts w:hint="eastAsia" w:ascii="宋体" w:hAnsi="宋体" w:cs="宋体"/>
                <w:color w:val="auto"/>
                <w:kern w:val="0"/>
                <w:sz w:val="18"/>
                <w:szCs w:val="18"/>
              </w:rPr>
              <w:t>每周进行一次水泵房、排水设施、集水井环境卫生保洁；每周对配电房进行一次设备表面及环境卫生保洁等</w:t>
            </w:r>
          </w:p>
        </w:tc>
        <w:tc>
          <w:tcPr>
            <w:tcW w:w="5337" w:type="dxa"/>
            <w:tcBorders>
              <w:top w:val="nil"/>
              <w:left w:val="nil"/>
              <w:bottom w:val="single" w:color="auto" w:sz="8" w:space="0"/>
              <w:right w:val="single" w:color="auto" w:sz="8" w:space="0"/>
            </w:tcBorders>
            <w:shd w:val="clear" w:color="000000" w:fill="FFFFFF"/>
            <w:vAlign w:val="center"/>
          </w:tcPr>
          <w:p w14:paraId="76040981">
            <w:pPr>
              <w:widowControl/>
              <w:rPr>
                <w:rFonts w:hint="eastAsia" w:ascii="宋体" w:hAnsi="宋体" w:cs="宋体"/>
                <w:color w:val="auto"/>
                <w:kern w:val="0"/>
                <w:sz w:val="18"/>
                <w:szCs w:val="18"/>
              </w:rPr>
            </w:pPr>
            <w:r>
              <w:rPr>
                <w:rFonts w:hint="eastAsia" w:ascii="宋体" w:hAnsi="宋体" w:cs="宋体"/>
                <w:color w:val="auto"/>
                <w:kern w:val="0"/>
                <w:sz w:val="18"/>
                <w:szCs w:val="18"/>
              </w:rPr>
              <w:t>不及时处理设备卫生，每处扣0.5。</w:t>
            </w:r>
          </w:p>
        </w:tc>
        <w:tc>
          <w:tcPr>
            <w:tcW w:w="709" w:type="dxa"/>
            <w:vMerge w:val="continue"/>
            <w:tcBorders>
              <w:top w:val="nil"/>
              <w:left w:val="single" w:color="auto" w:sz="8" w:space="0"/>
              <w:bottom w:val="single" w:color="000000" w:sz="8" w:space="0"/>
              <w:right w:val="single" w:color="auto" w:sz="8" w:space="0"/>
            </w:tcBorders>
            <w:vAlign w:val="center"/>
          </w:tcPr>
          <w:p w14:paraId="5A75D607">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31E57084">
            <w:pPr>
              <w:widowControl/>
              <w:jc w:val="left"/>
              <w:rPr>
                <w:rFonts w:eastAsia="等线"/>
                <w:color w:val="auto"/>
                <w:kern w:val="0"/>
                <w:sz w:val="18"/>
                <w:szCs w:val="18"/>
              </w:rPr>
            </w:pPr>
          </w:p>
        </w:tc>
      </w:tr>
      <w:tr w14:paraId="3978C01E">
        <w:tblPrEx>
          <w:tblCellMar>
            <w:top w:w="0" w:type="dxa"/>
            <w:left w:w="108" w:type="dxa"/>
            <w:bottom w:w="0" w:type="dxa"/>
            <w:right w:w="108" w:type="dxa"/>
          </w:tblCellMar>
        </w:tblPrEx>
        <w:trPr>
          <w:trHeight w:val="465"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41EF9872">
            <w:pPr>
              <w:widowControl/>
              <w:jc w:val="center"/>
              <w:rPr>
                <w:rFonts w:eastAsia="等线"/>
                <w:b/>
                <w:bCs/>
                <w:color w:val="auto"/>
                <w:kern w:val="0"/>
                <w:sz w:val="18"/>
                <w:szCs w:val="18"/>
              </w:rPr>
            </w:pPr>
            <w:r>
              <w:rPr>
                <w:rFonts w:eastAsia="等线"/>
                <w:b/>
                <w:bCs/>
                <w:color w:val="auto"/>
                <w:kern w:val="0"/>
                <w:sz w:val="18"/>
                <w:szCs w:val="18"/>
              </w:rPr>
              <w:t>3</w:t>
            </w:r>
            <w:r>
              <w:rPr>
                <w:rFonts w:hint="eastAsia" w:eastAsia="等线"/>
                <w:b/>
                <w:bCs/>
                <w:color w:val="auto"/>
                <w:kern w:val="0"/>
                <w:sz w:val="18"/>
                <w:szCs w:val="18"/>
              </w:rPr>
              <w:t>4</w:t>
            </w:r>
          </w:p>
        </w:tc>
        <w:tc>
          <w:tcPr>
            <w:tcW w:w="578" w:type="dxa"/>
            <w:vMerge w:val="continue"/>
            <w:tcBorders>
              <w:top w:val="nil"/>
              <w:left w:val="single" w:color="auto" w:sz="8" w:space="0"/>
              <w:bottom w:val="single" w:color="000000" w:sz="8" w:space="0"/>
              <w:right w:val="single" w:color="auto" w:sz="8" w:space="0"/>
            </w:tcBorders>
            <w:vAlign w:val="center"/>
          </w:tcPr>
          <w:p w14:paraId="1830B149">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4D89E063">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4E865E85">
            <w:pPr>
              <w:widowControl/>
              <w:rPr>
                <w:rFonts w:hint="eastAsia" w:ascii="宋体" w:hAnsi="宋体" w:cs="宋体"/>
                <w:color w:val="auto"/>
                <w:kern w:val="0"/>
                <w:sz w:val="18"/>
                <w:szCs w:val="18"/>
              </w:rPr>
            </w:pPr>
            <w:r>
              <w:rPr>
                <w:rFonts w:hint="eastAsia" w:ascii="宋体" w:hAnsi="宋体" w:cs="宋体"/>
                <w:color w:val="auto"/>
                <w:kern w:val="0"/>
                <w:sz w:val="18"/>
                <w:szCs w:val="18"/>
              </w:rPr>
              <w:t>操作、维护上述专业设施设备有资质要求的，相关人员资质证书齐全且在有效期内。</w:t>
            </w:r>
          </w:p>
        </w:tc>
        <w:tc>
          <w:tcPr>
            <w:tcW w:w="5337" w:type="dxa"/>
            <w:tcBorders>
              <w:top w:val="nil"/>
              <w:left w:val="nil"/>
              <w:bottom w:val="single" w:color="auto" w:sz="8" w:space="0"/>
              <w:right w:val="single" w:color="auto" w:sz="8" w:space="0"/>
            </w:tcBorders>
            <w:shd w:val="clear" w:color="000000" w:fill="FFFFFF"/>
            <w:vAlign w:val="center"/>
          </w:tcPr>
          <w:p w14:paraId="7EC432DB">
            <w:pPr>
              <w:widowControl/>
              <w:rPr>
                <w:rFonts w:hint="eastAsia" w:ascii="宋体" w:hAnsi="宋体" w:cs="宋体"/>
                <w:color w:val="auto"/>
                <w:kern w:val="0"/>
                <w:sz w:val="18"/>
                <w:szCs w:val="18"/>
              </w:rPr>
            </w:pPr>
            <w:r>
              <w:rPr>
                <w:rFonts w:hint="eastAsia" w:ascii="宋体" w:hAnsi="宋体" w:cs="宋体"/>
                <w:color w:val="auto"/>
                <w:kern w:val="0"/>
                <w:sz w:val="18"/>
                <w:szCs w:val="18"/>
              </w:rPr>
              <w:t>根据岗位职责要求，特殊岗位上岗人员未具备相关资格证，或资格证不在有效期内的，每人次扣1分。</w:t>
            </w:r>
          </w:p>
        </w:tc>
        <w:tc>
          <w:tcPr>
            <w:tcW w:w="709" w:type="dxa"/>
            <w:vMerge w:val="continue"/>
            <w:tcBorders>
              <w:top w:val="nil"/>
              <w:left w:val="single" w:color="auto" w:sz="8" w:space="0"/>
              <w:bottom w:val="single" w:color="000000" w:sz="8" w:space="0"/>
              <w:right w:val="single" w:color="auto" w:sz="8" w:space="0"/>
            </w:tcBorders>
            <w:vAlign w:val="center"/>
          </w:tcPr>
          <w:p w14:paraId="1BA0561F">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57A8DA2E">
            <w:pPr>
              <w:widowControl/>
              <w:jc w:val="left"/>
              <w:rPr>
                <w:rFonts w:eastAsia="等线"/>
                <w:color w:val="auto"/>
                <w:kern w:val="0"/>
                <w:sz w:val="18"/>
                <w:szCs w:val="18"/>
              </w:rPr>
            </w:pPr>
          </w:p>
        </w:tc>
      </w:tr>
      <w:tr w14:paraId="6436D773">
        <w:tblPrEx>
          <w:tblCellMar>
            <w:top w:w="0" w:type="dxa"/>
            <w:left w:w="108" w:type="dxa"/>
            <w:bottom w:w="0" w:type="dxa"/>
            <w:right w:w="108" w:type="dxa"/>
          </w:tblCellMar>
        </w:tblPrEx>
        <w:trPr>
          <w:trHeight w:val="300"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0791BDD2">
            <w:pPr>
              <w:widowControl/>
              <w:jc w:val="center"/>
              <w:rPr>
                <w:rFonts w:eastAsia="等线"/>
                <w:b/>
                <w:bCs/>
                <w:color w:val="auto"/>
                <w:kern w:val="0"/>
                <w:sz w:val="18"/>
                <w:szCs w:val="18"/>
              </w:rPr>
            </w:pPr>
            <w:r>
              <w:rPr>
                <w:rFonts w:eastAsia="等线"/>
                <w:b/>
                <w:bCs/>
                <w:color w:val="auto"/>
                <w:kern w:val="0"/>
                <w:sz w:val="18"/>
                <w:szCs w:val="18"/>
              </w:rPr>
              <w:t>3</w:t>
            </w:r>
            <w:r>
              <w:rPr>
                <w:rFonts w:hint="eastAsia" w:eastAsia="等线"/>
                <w:b/>
                <w:bCs/>
                <w:color w:val="auto"/>
                <w:kern w:val="0"/>
                <w:sz w:val="18"/>
                <w:szCs w:val="18"/>
              </w:rPr>
              <w:t>5</w:t>
            </w:r>
          </w:p>
        </w:tc>
        <w:tc>
          <w:tcPr>
            <w:tcW w:w="578" w:type="dxa"/>
            <w:vMerge w:val="continue"/>
            <w:tcBorders>
              <w:top w:val="nil"/>
              <w:left w:val="single" w:color="auto" w:sz="8" w:space="0"/>
              <w:bottom w:val="single" w:color="000000" w:sz="8" w:space="0"/>
              <w:right w:val="single" w:color="auto" w:sz="8" w:space="0"/>
            </w:tcBorders>
            <w:vAlign w:val="center"/>
          </w:tcPr>
          <w:p w14:paraId="7FB5D791">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41970132">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422B4DCD">
            <w:pPr>
              <w:widowControl/>
              <w:rPr>
                <w:rFonts w:hint="eastAsia" w:ascii="宋体" w:hAnsi="宋体" w:cs="宋体"/>
                <w:color w:val="auto"/>
                <w:kern w:val="0"/>
                <w:sz w:val="18"/>
                <w:szCs w:val="18"/>
              </w:rPr>
            </w:pPr>
            <w:r>
              <w:rPr>
                <w:rFonts w:hint="eastAsia" w:ascii="宋体" w:hAnsi="宋体" w:cs="宋体"/>
                <w:color w:val="auto"/>
                <w:kern w:val="0"/>
                <w:sz w:val="18"/>
                <w:szCs w:val="18"/>
              </w:rPr>
              <w:t>各类管线埋设合理，无碍观瞻，无架空、裸露、乱铺设的管线。</w:t>
            </w:r>
          </w:p>
        </w:tc>
        <w:tc>
          <w:tcPr>
            <w:tcW w:w="5337" w:type="dxa"/>
            <w:tcBorders>
              <w:top w:val="nil"/>
              <w:left w:val="nil"/>
              <w:bottom w:val="single" w:color="auto" w:sz="8" w:space="0"/>
              <w:right w:val="single" w:color="auto" w:sz="8" w:space="0"/>
            </w:tcBorders>
            <w:shd w:val="clear" w:color="000000" w:fill="FFFFFF"/>
            <w:vAlign w:val="center"/>
          </w:tcPr>
          <w:p w14:paraId="258FC4C6">
            <w:pPr>
              <w:widowControl/>
              <w:rPr>
                <w:rFonts w:hint="eastAsia" w:ascii="宋体" w:hAnsi="宋体" w:cs="宋体"/>
                <w:color w:val="auto"/>
                <w:kern w:val="0"/>
                <w:sz w:val="18"/>
                <w:szCs w:val="18"/>
              </w:rPr>
            </w:pPr>
            <w:r>
              <w:rPr>
                <w:rFonts w:hint="eastAsia" w:ascii="宋体" w:hAnsi="宋体" w:cs="宋体"/>
                <w:color w:val="auto"/>
                <w:kern w:val="0"/>
                <w:sz w:val="18"/>
                <w:szCs w:val="18"/>
              </w:rPr>
              <w:t>发现有架空、裸露、乱铺设的管线，每处扣1分。</w:t>
            </w:r>
          </w:p>
        </w:tc>
        <w:tc>
          <w:tcPr>
            <w:tcW w:w="709" w:type="dxa"/>
            <w:vMerge w:val="continue"/>
            <w:tcBorders>
              <w:top w:val="nil"/>
              <w:left w:val="single" w:color="auto" w:sz="8" w:space="0"/>
              <w:bottom w:val="single" w:color="000000" w:sz="8" w:space="0"/>
              <w:right w:val="single" w:color="auto" w:sz="8" w:space="0"/>
            </w:tcBorders>
            <w:vAlign w:val="center"/>
          </w:tcPr>
          <w:p w14:paraId="5DDC4093">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206F1D1A">
            <w:pPr>
              <w:widowControl/>
              <w:jc w:val="left"/>
              <w:rPr>
                <w:rFonts w:eastAsia="等线"/>
                <w:color w:val="auto"/>
                <w:kern w:val="0"/>
                <w:sz w:val="18"/>
                <w:szCs w:val="18"/>
              </w:rPr>
            </w:pPr>
          </w:p>
        </w:tc>
      </w:tr>
      <w:tr w14:paraId="0301E6EE">
        <w:tblPrEx>
          <w:tblCellMar>
            <w:top w:w="0" w:type="dxa"/>
            <w:left w:w="108" w:type="dxa"/>
            <w:bottom w:w="0" w:type="dxa"/>
            <w:right w:w="108" w:type="dxa"/>
          </w:tblCellMar>
        </w:tblPrEx>
        <w:trPr>
          <w:trHeight w:val="690"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7876C85C">
            <w:pPr>
              <w:widowControl/>
              <w:jc w:val="center"/>
              <w:rPr>
                <w:rFonts w:eastAsia="等线"/>
                <w:b/>
                <w:bCs/>
                <w:color w:val="auto"/>
                <w:kern w:val="0"/>
                <w:sz w:val="18"/>
                <w:szCs w:val="18"/>
              </w:rPr>
            </w:pPr>
            <w:r>
              <w:rPr>
                <w:rFonts w:eastAsia="等线"/>
                <w:b/>
                <w:bCs/>
                <w:color w:val="auto"/>
                <w:kern w:val="0"/>
                <w:sz w:val="18"/>
                <w:szCs w:val="18"/>
              </w:rPr>
              <w:t>3</w:t>
            </w:r>
            <w:r>
              <w:rPr>
                <w:rFonts w:hint="eastAsia" w:eastAsia="等线"/>
                <w:b/>
                <w:bCs/>
                <w:color w:val="auto"/>
                <w:kern w:val="0"/>
                <w:sz w:val="18"/>
                <w:szCs w:val="18"/>
              </w:rPr>
              <w:t>6</w:t>
            </w:r>
          </w:p>
        </w:tc>
        <w:tc>
          <w:tcPr>
            <w:tcW w:w="578" w:type="dxa"/>
            <w:vMerge w:val="continue"/>
            <w:tcBorders>
              <w:top w:val="nil"/>
              <w:left w:val="single" w:color="auto" w:sz="8" w:space="0"/>
              <w:bottom w:val="single" w:color="000000" w:sz="8" w:space="0"/>
              <w:right w:val="single" w:color="auto" w:sz="8" w:space="0"/>
            </w:tcBorders>
            <w:vAlign w:val="center"/>
          </w:tcPr>
          <w:p w14:paraId="47A90900">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90D016C">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14546A65">
            <w:pPr>
              <w:widowControl/>
              <w:rPr>
                <w:rFonts w:hint="eastAsia" w:ascii="宋体" w:hAnsi="宋体" w:cs="宋体"/>
                <w:color w:val="auto"/>
                <w:kern w:val="0"/>
                <w:sz w:val="18"/>
                <w:szCs w:val="18"/>
              </w:rPr>
            </w:pPr>
            <w:r>
              <w:rPr>
                <w:rFonts w:hint="eastAsia" w:ascii="宋体" w:hAnsi="宋体" w:cs="宋体"/>
                <w:color w:val="auto"/>
                <w:kern w:val="0"/>
                <w:sz w:val="18"/>
                <w:szCs w:val="18"/>
              </w:rPr>
              <w:t>按时做好水电表抄录及收支统计工作，清晰准确的填写点表单，按月分析校园内水电实际消耗趋势，负责查找处理水电表数据异常原因，并调整整改，协助学校水电费收缴工作。</w:t>
            </w:r>
          </w:p>
        </w:tc>
        <w:tc>
          <w:tcPr>
            <w:tcW w:w="5337" w:type="dxa"/>
            <w:tcBorders>
              <w:top w:val="nil"/>
              <w:left w:val="nil"/>
              <w:bottom w:val="single" w:color="auto" w:sz="8" w:space="0"/>
              <w:right w:val="single" w:color="auto" w:sz="8" w:space="0"/>
            </w:tcBorders>
            <w:shd w:val="clear" w:color="000000" w:fill="FFFFFF"/>
            <w:vAlign w:val="center"/>
          </w:tcPr>
          <w:p w14:paraId="604413C9">
            <w:pPr>
              <w:widowControl/>
              <w:rPr>
                <w:rFonts w:hint="eastAsia" w:ascii="宋体" w:hAnsi="宋体" w:cs="宋体"/>
                <w:color w:val="auto"/>
                <w:kern w:val="0"/>
                <w:sz w:val="18"/>
                <w:szCs w:val="18"/>
              </w:rPr>
            </w:pPr>
            <w:r>
              <w:rPr>
                <w:rFonts w:hint="eastAsia" w:ascii="宋体" w:hAnsi="宋体" w:cs="宋体"/>
                <w:color w:val="auto"/>
                <w:kern w:val="0"/>
                <w:sz w:val="18"/>
                <w:szCs w:val="18"/>
              </w:rPr>
              <w:t>因未及时做好水电表抄录及收支统计工作，通知到缴费部门、个人，导致水电费拖欠的，未查找异常原因并及时整改的，每处扣1分。</w:t>
            </w:r>
          </w:p>
        </w:tc>
        <w:tc>
          <w:tcPr>
            <w:tcW w:w="709" w:type="dxa"/>
            <w:vMerge w:val="continue"/>
            <w:tcBorders>
              <w:top w:val="nil"/>
              <w:left w:val="single" w:color="auto" w:sz="8" w:space="0"/>
              <w:bottom w:val="single" w:color="000000" w:sz="8" w:space="0"/>
              <w:right w:val="single" w:color="auto" w:sz="8" w:space="0"/>
            </w:tcBorders>
            <w:vAlign w:val="center"/>
          </w:tcPr>
          <w:p w14:paraId="571717A4">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5F5CFA67">
            <w:pPr>
              <w:widowControl/>
              <w:jc w:val="left"/>
              <w:rPr>
                <w:rFonts w:eastAsia="等线"/>
                <w:color w:val="auto"/>
                <w:kern w:val="0"/>
                <w:sz w:val="18"/>
                <w:szCs w:val="18"/>
              </w:rPr>
            </w:pPr>
          </w:p>
        </w:tc>
      </w:tr>
      <w:tr w14:paraId="07EBE3E1">
        <w:tblPrEx>
          <w:tblCellMar>
            <w:top w:w="0" w:type="dxa"/>
            <w:left w:w="108" w:type="dxa"/>
            <w:bottom w:w="0" w:type="dxa"/>
            <w:right w:w="108" w:type="dxa"/>
          </w:tblCellMar>
        </w:tblPrEx>
        <w:trPr>
          <w:trHeight w:val="1125" w:hRule="atLeast"/>
        </w:trPr>
        <w:tc>
          <w:tcPr>
            <w:tcW w:w="493" w:type="dxa"/>
            <w:vMerge w:val="restart"/>
            <w:tcBorders>
              <w:top w:val="nil"/>
              <w:left w:val="single" w:color="auto" w:sz="8" w:space="0"/>
              <w:bottom w:val="single" w:color="000000" w:sz="8" w:space="0"/>
              <w:right w:val="single" w:color="auto" w:sz="8" w:space="0"/>
            </w:tcBorders>
            <w:shd w:val="clear" w:color="000000" w:fill="FFFFFF"/>
            <w:vAlign w:val="center"/>
          </w:tcPr>
          <w:p w14:paraId="7768D62D">
            <w:pPr>
              <w:widowControl/>
              <w:jc w:val="center"/>
              <w:rPr>
                <w:rFonts w:eastAsia="等线"/>
                <w:b/>
                <w:bCs/>
                <w:color w:val="auto"/>
                <w:kern w:val="0"/>
                <w:sz w:val="18"/>
                <w:szCs w:val="18"/>
              </w:rPr>
            </w:pPr>
            <w:r>
              <w:rPr>
                <w:rFonts w:eastAsia="等线"/>
                <w:b/>
                <w:bCs/>
                <w:color w:val="auto"/>
                <w:kern w:val="0"/>
                <w:sz w:val="18"/>
                <w:szCs w:val="18"/>
              </w:rPr>
              <w:t>3</w:t>
            </w:r>
            <w:r>
              <w:rPr>
                <w:rFonts w:hint="eastAsia" w:eastAsia="等线"/>
                <w:b/>
                <w:bCs/>
                <w:color w:val="auto"/>
                <w:kern w:val="0"/>
                <w:sz w:val="18"/>
                <w:szCs w:val="18"/>
              </w:rPr>
              <w:t>7</w:t>
            </w:r>
          </w:p>
        </w:tc>
        <w:tc>
          <w:tcPr>
            <w:tcW w:w="578" w:type="dxa"/>
            <w:vMerge w:val="continue"/>
            <w:tcBorders>
              <w:top w:val="nil"/>
              <w:left w:val="single" w:color="auto" w:sz="8" w:space="0"/>
              <w:bottom w:val="single" w:color="000000" w:sz="8" w:space="0"/>
              <w:right w:val="single" w:color="auto" w:sz="8" w:space="0"/>
            </w:tcBorders>
            <w:vAlign w:val="center"/>
          </w:tcPr>
          <w:p w14:paraId="02734F50">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5C948AA4">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2574B6CC">
            <w:pPr>
              <w:widowControl/>
              <w:rPr>
                <w:rFonts w:hint="eastAsia" w:ascii="宋体" w:hAnsi="宋体" w:cs="宋体"/>
                <w:color w:val="auto"/>
                <w:kern w:val="0"/>
                <w:sz w:val="18"/>
                <w:szCs w:val="18"/>
              </w:rPr>
            </w:pPr>
            <w:r>
              <w:rPr>
                <w:rFonts w:hint="eastAsia" w:ascii="宋体" w:hAnsi="宋体" w:cs="宋体"/>
                <w:color w:val="auto"/>
                <w:kern w:val="0"/>
                <w:sz w:val="18"/>
                <w:szCs w:val="18"/>
              </w:rPr>
              <w:t>完成校方水电管理部门下达的水电指标任务。杜绝长明灯、长流水，做到人走灯灭，人走水停，无跑、冒、滴、漏现象。各楼宇管理员负责巡视检查，发现水电浪费的行为要及时制止，检查情况要记录备案。教室用灯要做到随用随开，并根据在教室学生人数随时调整教室照明度，晚自习下课后楼宇管理员必须在10分钟内关灯。</w:t>
            </w:r>
          </w:p>
        </w:tc>
        <w:tc>
          <w:tcPr>
            <w:tcW w:w="5337" w:type="dxa"/>
            <w:vMerge w:val="restart"/>
            <w:tcBorders>
              <w:top w:val="nil"/>
              <w:left w:val="single" w:color="auto" w:sz="8" w:space="0"/>
              <w:bottom w:val="single" w:color="000000" w:sz="8" w:space="0"/>
              <w:right w:val="single" w:color="auto" w:sz="8" w:space="0"/>
            </w:tcBorders>
            <w:shd w:val="clear" w:color="000000" w:fill="FFFFFF"/>
            <w:vAlign w:val="center"/>
          </w:tcPr>
          <w:p w14:paraId="40B3295D">
            <w:pPr>
              <w:widowControl/>
              <w:rPr>
                <w:rFonts w:hint="eastAsia" w:ascii="宋体" w:hAnsi="宋体" w:cs="宋体"/>
                <w:color w:val="auto"/>
                <w:kern w:val="0"/>
                <w:sz w:val="18"/>
                <w:szCs w:val="18"/>
              </w:rPr>
            </w:pPr>
            <w:r>
              <w:rPr>
                <w:rFonts w:hint="eastAsia" w:ascii="宋体" w:hAnsi="宋体" w:cs="宋体"/>
                <w:color w:val="auto"/>
                <w:kern w:val="0"/>
                <w:sz w:val="18"/>
                <w:szCs w:val="18"/>
              </w:rPr>
              <w:t>因未及时巡查，没有做好记录，灯一直亮着，人数没有配备到位，能耗管理、节能等相关情况，一处扣0.5分。</w:t>
            </w:r>
          </w:p>
        </w:tc>
        <w:tc>
          <w:tcPr>
            <w:tcW w:w="709" w:type="dxa"/>
            <w:vMerge w:val="continue"/>
            <w:tcBorders>
              <w:top w:val="nil"/>
              <w:left w:val="single" w:color="auto" w:sz="8" w:space="0"/>
              <w:bottom w:val="single" w:color="000000" w:sz="8" w:space="0"/>
              <w:right w:val="single" w:color="auto" w:sz="8" w:space="0"/>
            </w:tcBorders>
            <w:vAlign w:val="center"/>
          </w:tcPr>
          <w:p w14:paraId="1CF2EFC8">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634D0961">
            <w:pPr>
              <w:widowControl/>
              <w:jc w:val="left"/>
              <w:rPr>
                <w:rFonts w:eastAsia="等线"/>
                <w:color w:val="auto"/>
                <w:kern w:val="0"/>
                <w:sz w:val="18"/>
                <w:szCs w:val="18"/>
              </w:rPr>
            </w:pPr>
          </w:p>
        </w:tc>
      </w:tr>
      <w:tr w14:paraId="799D7532">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76788CD6">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823B252">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D12A40E">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2A6AF608">
            <w:pPr>
              <w:widowControl/>
              <w:rPr>
                <w:rFonts w:hint="eastAsia" w:ascii="宋体" w:hAnsi="宋体" w:cs="宋体"/>
                <w:color w:val="auto"/>
                <w:kern w:val="0"/>
                <w:sz w:val="18"/>
                <w:szCs w:val="18"/>
              </w:rPr>
            </w:pPr>
            <w:r>
              <w:rPr>
                <w:rFonts w:hint="eastAsia" w:ascii="宋体" w:hAnsi="宋体" w:cs="宋体"/>
                <w:color w:val="auto"/>
                <w:kern w:val="0"/>
                <w:sz w:val="18"/>
                <w:szCs w:val="18"/>
              </w:rPr>
              <w:t>根据学校的实际情况制定节能降耗方案,实施行为节能与技术节能相结合，做好日常水电检查工作，每天需组织人员巡视校园水电，防止水电资源流失，做好巡视记录，每周汇总至校方管理部门。</w:t>
            </w:r>
          </w:p>
        </w:tc>
        <w:tc>
          <w:tcPr>
            <w:tcW w:w="5337" w:type="dxa"/>
            <w:vMerge w:val="continue"/>
            <w:tcBorders>
              <w:top w:val="nil"/>
              <w:left w:val="single" w:color="auto" w:sz="8" w:space="0"/>
              <w:bottom w:val="single" w:color="000000" w:sz="8" w:space="0"/>
              <w:right w:val="single" w:color="auto" w:sz="8" w:space="0"/>
            </w:tcBorders>
            <w:vAlign w:val="center"/>
          </w:tcPr>
          <w:p w14:paraId="675A62DE">
            <w:pPr>
              <w:widowControl/>
              <w:jc w:val="left"/>
              <w:rPr>
                <w:rFonts w:hint="eastAsia" w:ascii="宋体" w:hAnsi="宋体" w:cs="宋体"/>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6EB3EAA7">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657C20C0">
            <w:pPr>
              <w:widowControl/>
              <w:jc w:val="left"/>
              <w:rPr>
                <w:rFonts w:eastAsia="等线"/>
                <w:color w:val="auto"/>
                <w:kern w:val="0"/>
                <w:sz w:val="18"/>
                <w:szCs w:val="18"/>
              </w:rPr>
            </w:pPr>
          </w:p>
        </w:tc>
      </w:tr>
      <w:tr w14:paraId="65E5B776">
        <w:tblPrEx>
          <w:tblCellMar>
            <w:top w:w="0" w:type="dxa"/>
            <w:left w:w="108" w:type="dxa"/>
            <w:bottom w:w="0" w:type="dxa"/>
            <w:right w:w="108" w:type="dxa"/>
          </w:tblCellMar>
        </w:tblPrEx>
        <w:trPr>
          <w:trHeight w:val="675" w:hRule="atLeast"/>
        </w:trPr>
        <w:tc>
          <w:tcPr>
            <w:tcW w:w="493" w:type="dxa"/>
            <w:vMerge w:val="continue"/>
            <w:tcBorders>
              <w:top w:val="nil"/>
              <w:left w:val="single" w:color="auto" w:sz="8" w:space="0"/>
              <w:bottom w:val="single" w:color="000000" w:sz="8" w:space="0"/>
              <w:right w:val="single" w:color="auto" w:sz="8" w:space="0"/>
            </w:tcBorders>
            <w:vAlign w:val="center"/>
          </w:tcPr>
          <w:p w14:paraId="6FE03F9E">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FB9A7C4">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A41408C">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3F9860D8">
            <w:pPr>
              <w:widowControl/>
              <w:rPr>
                <w:rFonts w:hint="eastAsia" w:ascii="宋体" w:hAnsi="宋体" w:cs="宋体"/>
                <w:color w:val="auto"/>
                <w:kern w:val="0"/>
                <w:sz w:val="18"/>
                <w:szCs w:val="18"/>
              </w:rPr>
            </w:pPr>
            <w:r>
              <w:rPr>
                <w:rFonts w:hint="eastAsia" w:ascii="宋体" w:hAnsi="宋体" w:cs="宋体"/>
                <w:color w:val="auto"/>
                <w:kern w:val="0"/>
                <w:sz w:val="18"/>
                <w:szCs w:val="18"/>
              </w:rPr>
              <w:t>按月分析校园内水电实际消耗趋势，及时总结经验，负责查找处理水电抄表数据异常原因，对水电量波动大的用户需了解其用水用电情况及计量装置是否异常，及时调整改善。</w:t>
            </w:r>
          </w:p>
        </w:tc>
        <w:tc>
          <w:tcPr>
            <w:tcW w:w="5337" w:type="dxa"/>
            <w:vMerge w:val="continue"/>
            <w:tcBorders>
              <w:top w:val="nil"/>
              <w:left w:val="single" w:color="auto" w:sz="8" w:space="0"/>
              <w:bottom w:val="single" w:color="000000" w:sz="8" w:space="0"/>
              <w:right w:val="single" w:color="auto" w:sz="8" w:space="0"/>
            </w:tcBorders>
            <w:vAlign w:val="center"/>
          </w:tcPr>
          <w:p w14:paraId="51D8DA58">
            <w:pPr>
              <w:widowControl/>
              <w:jc w:val="left"/>
              <w:rPr>
                <w:rFonts w:hint="eastAsia" w:ascii="宋体" w:hAnsi="宋体" w:cs="宋体"/>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26C51B0D">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0E056F8C">
            <w:pPr>
              <w:widowControl/>
              <w:jc w:val="left"/>
              <w:rPr>
                <w:rFonts w:eastAsia="等线"/>
                <w:color w:val="auto"/>
                <w:kern w:val="0"/>
                <w:sz w:val="18"/>
                <w:szCs w:val="18"/>
              </w:rPr>
            </w:pPr>
          </w:p>
        </w:tc>
      </w:tr>
      <w:tr w14:paraId="7E435C10">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2714D504">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33214E4A">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52797C2B">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005EC649">
            <w:pPr>
              <w:widowControl/>
              <w:rPr>
                <w:rFonts w:hint="eastAsia" w:ascii="宋体" w:hAnsi="宋体" w:cs="宋体"/>
                <w:color w:val="auto"/>
                <w:kern w:val="0"/>
                <w:sz w:val="18"/>
                <w:szCs w:val="18"/>
              </w:rPr>
            </w:pPr>
            <w:r>
              <w:rPr>
                <w:rFonts w:hint="eastAsia" w:ascii="宋体" w:hAnsi="宋体" w:cs="宋体"/>
                <w:color w:val="auto"/>
                <w:kern w:val="0"/>
                <w:sz w:val="18"/>
                <w:szCs w:val="18"/>
              </w:rPr>
              <w:t>积极进行节水节电知识和政策的宣传，提高员工的水电节约意识，勇于纠正制止违章用水用电行为。</w:t>
            </w:r>
          </w:p>
        </w:tc>
        <w:tc>
          <w:tcPr>
            <w:tcW w:w="5337" w:type="dxa"/>
            <w:vMerge w:val="continue"/>
            <w:tcBorders>
              <w:top w:val="nil"/>
              <w:left w:val="single" w:color="auto" w:sz="8" w:space="0"/>
              <w:bottom w:val="single" w:color="000000" w:sz="8" w:space="0"/>
              <w:right w:val="single" w:color="auto" w:sz="8" w:space="0"/>
            </w:tcBorders>
            <w:vAlign w:val="center"/>
          </w:tcPr>
          <w:p w14:paraId="17478D9E">
            <w:pPr>
              <w:widowControl/>
              <w:jc w:val="left"/>
              <w:rPr>
                <w:rFonts w:hint="eastAsia" w:ascii="宋体" w:hAnsi="宋体" w:cs="宋体"/>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638130D5">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7BD43FA0">
            <w:pPr>
              <w:widowControl/>
              <w:jc w:val="left"/>
              <w:rPr>
                <w:rFonts w:eastAsia="等线"/>
                <w:color w:val="auto"/>
                <w:kern w:val="0"/>
                <w:sz w:val="18"/>
                <w:szCs w:val="18"/>
              </w:rPr>
            </w:pPr>
          </w:p>
        </w:tc>
      </w:tr>
      <w:tr w14:paraId="5FAAE8F5">
        <w:tblPrEx>
          <w:tblCellMar>
            <w:top w:w="0" w:type="dxa"/>
            <w:left w:w="108" w:type="dxa"/>
            <w:bottom w:w="0" w:type="dxa"/>
            <w:right w:w="108" w:type="dxa"/>
          </w:tblCellMar>
        </w:tblPrEx>
        <w:trPr>
          <w:trHeight w:val="675" w:hRule="atLeast"/>
        </w:trPr>
        <w:tc>
          <w:tcPr>
            <w:tcW w:w="493" w:type="dxa"/>
            <w:vMerge w:val="continue"/>
            <w:tcBorders>
              <w:top w:val="nil"/>
              <w:left w:val="single" w:color="auto" w:sz="8" w:space="0"/>
              <w:bottom w:val="single" w:color="000000" w:sz="8" w:space="0"/>
              <w:right w:val="single" w:color="auto" w:sz="8" w:space="0"/>
            </w:tcBorders>
            <w:vAlign w:val="center"/>
          </w:tcPr>
          <w:p w14:paraId="252DC322">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E84BA2A">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634C0B1D">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266D7800">
            <w:pPr>
              <w:widowControl/>
              <w:rPr>
                <w:rFonts w:hint="eastAsia" w:ascii="宋体" w:hAnsi="宋体" w:cs="宋体"/>
                <w:color w:val="auto"/>
                <w:kern w:val="0"/>
                <w:sz w:val="18"/>
                <w:szCs w:val="18"/>
              </w:rPr>
            </w:pPr>
            <w:r>
              <w:rPr>
                <w:rFonts w:hint="eastAsia" w:ascii="宋体" w:hAnsi="宋体" w:cs="宋体"/>
                <w:color w:val="auto"/>
                <w:kern w:val="0"/>
                <w:sz w:val="18"/>
                <w:szCs w:val="18"/>
              </w:rPr>
              <w:t>了解掌握水电技术与管理基本知识，熟悉工作流程和工作安全规范；熟悉校园水电供应网线及管道走向，建立相关档案；配合校方进行绿色建筑认证，协助做好创建相关工作。</w:t>
            </w:r>
          </w:p>
        </w:tc>
        <w:tc>
          <w:tcPr>
            <w:tcW w:w="5337" w:type="dxa"/>
            <w:vMerge w:val="continue"/>
            <w:tcBorders>
              <w:top w:val="nil"/>
              <w:left w:val="single" w:color="auto" w:sz="8" w:space="0"/>
              <w:bottom w:val="single" w:color="000000" w:sz="8" w:space="0"/>
              <w:right w:val="single" w:color="auto" w:sz="8" w:space="0"/>
            </w:tcBorders>
            <w:vAlign w:val="center"/>
          </w:tcPr>
          <w:p w14:paraId="33B24CAE">
            <w:pPr>
              <w:widowControl/>
              <w:jc w:val="left"/>
              <w:rPr>
                <w:rFonts w:hint="eastAsia" w:ascii="宋体" w:hAnsi="宋体" w:cs="宋体"/>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2E4F34DF">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66522936">
            <w:pPr>
              <w:widowControl/>
              <w:jc w:val="left"/>
              <w:rPr>
                <w:rFonts w:eastAsia="等线"/>
                <w:color w:val="auto"/>
                <w:kern w:val="0"/>
                <w:sz w:val="18"/>
                <w:szCs w:val="18"/>
              </w:rPr>
            </w:pPr>
          </w:p>
        </w:tc>
      </w:tr>
      <w:tr w14:paraId="419724D1">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5DF19A34">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3A6F2C06">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5E2324E9">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37F830BF">
            <w:pPr>
              <w:widowControl/>
              <w:rPr>
                <w:rFonts w:hint="eastAsia" w:ascii="宋体" w:hAnsi="宋体" w:cs="宋体"/>
                <w:color w:val="auto"/>
                <w:kern w:val="0"/>
                <w:sz w:val="18"/>
                <w:szCs w:val="18"/>
              </w:rPr>
            </w:pPr>
            <w:r>
              <w:rPr>
                <w:rFonts w:hint="eastAsia" w:ascii="宋体" w:hAnsi="宋体" w:cs="宋体"/>
                <w:color w:val="auto"/>
                <w:kern w:val="0"/>
                <w:sz w:val="18"/>
                <w:szCs w:val="18"/>
              </w:rPr>
              <w:t>根据学校年度节能计划，制订所负责能耗范围内的具体指标，制定具体的节能减排工作计划，报节能领导小组办公室;</w:t>
            </w:r>
          </w:p>
        </w:tc>
        <w:tc>
          <w:tcPr>
            <w:tcW w:w="5337" w:type="dxa"/>
            <w:vMerge w:val="continue"/>
            <w:tcBorders>
              <w:top w:val="nil"/>
              <w:left w:val="single" w:color="auto" w:sz="8" w:space="0"/>
              <w:bottom w:val="single" w:color="000000" w:sz="8" w:space="0"/>
              <w:right w:val="single" w:color="auto" w:sz="8" w:space="0"/>
            </w:tcBorders>
            <w:vAlign w:val="center"/>
          </w:tcPr>
          <w:p w14:paraId="62FDD13C">
            <w:pPr>
              <w:widowControl/>
              <w:jc w:val="left"/>
              <w:rPr>
                <w:rFonts w:hint="eastAsia" w:ascii="宋体" w:hAnsi="宋体" w:cs="宋体"/>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5F0FD172">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5D89948E">
            <w:pPr>
              <w:widowControl/>
              <w:jc w:val="left"/>
              <w:rPr>
                <w:rFonts w:eastAsia="等线"/>
                <w:color w:val="auto"/>
                <w:kern w:val="0"/>
                <w:sz w:val="18"/>
                <w:szCs w:val="18"/>
              </w:rPr>
            </w:pPr>
          </w:p>
        </w:tc>
      </w:tr>
      <w:tr w14:paraId="72B35E70">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082AA40C">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B2A5FDF">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18ACFB4">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08E777EF">
            <w:pPr>
              <w:widowControl/>
              <w:rPr>
                <w:rFonts w:hint="eastAsia" w:ascii="宋体" w:hAnsi="宋体" w:cs="宋体"/>
                <w:color w:val="auto"/>
                <w:kern w:val="0"/>
                <w:sz w:val="18"/>
                <w:szCs w:val="18"/>
              </w:rPr>
            </w:pPr>
            <w:r>
              <w:rPr>
                <w:rFonts w:hint="eastAsia" w:ascii="宋体" w:hAnsi="宋体" w:cs="宋体"/>
                <w:color w:val="auto"/>
                <w:kern w:val="0"/>
                <w:sz w:val="18"/>
                <w:szCs w:val="18"/>
              </w:rPr>
              <w:t>对所管理的各种用能设备设施，应保证在安全运行的前提下，进行经济运行管控;</w:t>
            </w:r>
          </w:p>
        </w:tc>
        <w:tc>
          <w:tcPr>
            <w:tcW w:w="5337" w:type="dxa"/>
            <w:vMerge w:val="continue"/>
            <w:tcBorders>
              <w:top w:val="nil"/>
              <w:left w:val="single" w:color="auto" w:sz="8" w:space="0"/>
              <w:bottom w:val="single" w:color="000000" w:sz="8" w:space="0"/>
              <w:right w:val="single" w:color="auto" w:sz="8" w:space="0"/>
            </w:tcBorders>
            <w:vAlign w:val="center"/>
          </w:tcPr>
          <w:p w14:paraId="32730178">
            <w:pPr>
              <w:widowControl/>
              <w:jc w:val="left"/>
              <w:rPr>
                <w:rFonts w:hint="eastAsia" w:ascii="宋体" w:hAnsi="宋体" w:cs="宋体"/>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60024DAD">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08DD69AC">
            <w:pPr>
              <w:widowControl/>
              <w:jc w:val="left"/>
              <w:rPr>
                <w:rFonts w:eastAsia="等线"/>
                <w:color w:val="auto"/>
                <w:kern w:val="0"/>
                <w:sz w:val="18"/>
                <w:szCs w:val="18"/>
              </w:rPr>
            </w:pPr>
          </w:p>
        </w:tc>
      </w:tr>
      <w:tr w14:paraId="62ED3572">
        <w:tblPrEx>
          <w:tblCellMar>
            <w:top w:w="0" w:type="dxa"/>
            <w:left w:w="108" w:type="dxa"/>
            <w:bottom w:w="0" w:type="dxa"/>
            <w:right w:w="108" w:type="dxa"/>
          </w:tblCellMar>
        </w:tblPrEx>
        <w:trPr>
          <w:trHeight w:val="690" w:hRule="atLeast"/>
        </w:trPr>
        <w:tc>
          <w:tcPr>
            <w:tcW w:w="493" w:type="dxa"/>
            <w:vMerge w:val="continue"/>
            <w:tcBorders>
              <w:top w:val="nil"/>
              <w:left w:val="single" w:color="auto" w:sz="8" w:space="0"/>
              <w:bottom w:val="single" w:color="000000" w:sz="8" w:space="0"/>
              <w:right w:val="single" w:color="auto" w:sz="8" w:space="0"/>
            </w:tcBorders>
            <w:vAlign w:val="center"/>
          </w:tcPr>
          <w:p w14:paraId="3E17DF57">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5C59F5AE">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41B04413">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6777F347">
            <w:pPr>
              <w:widowControl/>
              <w:rPr>
                <w:rFonts w:hint="eastAsia" w:ascii="宋体" w:hAnsi="宋体" w:cs="宋体"/>
                <w:color w:val="auto"/>
                <w:kern w:val="0"/>
                <w:sz w:val="18"/>
                <w:szCs w:val="18"/>
              </w:rPr>
            </w:pPr>
            <w:r>
              <w:rPr>
                <w:rFonts w:hint="eastAsia" w:ascii="宋体" w:hAnsi="宋体" w:cs="宋体"/>
                <w:color w:val="auto"/>
                <w:kern w:val="0"/>
                <w:sz w:val="18"/>
                <w:szCs w:val="18"/>
              </w:rPr>
              <w:t>主动提供所负责用能设施设备的技能技改建议、技改计划;对校区内其他设备提供节能建议；落实学校节能领导小组办公室对设备设施的技改要求，乙方需对相关设备进行全面了解，制定相应设备管理方案。</w:t>
            </w:r>
          </w:p>
        </w:tc>
        <w:tc>
          <w:tcPr>
            <w:tcW w:w="5337" w:type="dxa"/>
            <w:vMerge w:val="continue"/>
            <w:tcBorders>
              <w:top w:val="nil"/>
              <w:left w:val="single" w:color="auto" w:sz="8" w:space="0"/>
              <w:bottom w:val="single" w:color="000000" w:sz="8" w:space="0"/>
              <w:right w:val="single" w:color="auto" w:sz="8" w:space="0"/>
            </w:tcBorders>
            <w:vAlign w:val="center"/>
          </w:tcPr>
          <w:p w14:paraId="3357156B">
            <w:pPr>
              <w:widowControl/>
              <w:jc w:val="left"/>
              <w:rPr>
                <w:rFonts w:hint="eastAsia" w:ascii="宋体" w:hAnsi="宋体" w:cs="宋体"/>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162FF347">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27CDBE8E">
            <w:pPr>
              <w:widowControl/>
              <w:jc w:val="left"/>
              <w:rPr>
                <w:rFonts w:eastAsia="等线"/>
                <w:color w:val="auto"/>
                <w:kern w:val="0"/>
                <w:sz w:val="18"/>
                <w:szCs w:val="18"/>
              </w:rPr>
            </w:pPr>
          </w:p>
        </w:tc>
      </w:tr>
      <w:tr w14:paraId="17E18A95">
        <w:tblPrEx>
          <w:tblCellMar>
            <w:top w:w="0" w:type="dxa"/>
            <w:left w:w="108" w:type="dxa"/>
            <w:bottom w:w="0" w:type="dxa"/>
            <w:right w:w="108" w:type="dxa"/>
          </w:tblCellMar>
        </w:tblPrEx>
        <w:trPr>
          <w:trHeight w:val="450" w:hRule="atLeast"/>
        </w:trPr>
        <w:tc>
          <w:tcPr>
            <w:tcW w:w="493" w:type="dxa"/>
            <w:vMerge w:val="restart"/>
            <w:tcBorders>
              <w:top w:val="nil"/>
              <w:left w:val="single" w:color="auto" w:sz="8" w:space="0"/>
              <w:bottom w:val="single" w:color="000000" w:sz="8" w:space="0"/>
              <w:right w:val="single" w:color="auto" w:sz="8" w:space="0"/>
            </w:tcBorders>
            <w:shd w:val="clear" w:color="000000" w:fill="FFFFFF"/>
            <w:vAlign w:val="center"/>
          </w:tcPr>
          <w:p w14:paraId="0CAF8DC0">
            <w:pPr>
              <w:widowControl/>
              <w:jc w:val="center"/>
              <w:rPr>
                <w:rFonts w:eastAsia="等线"/>
                <w:b/>
                <w:bCs/>
                <w:color w:val="auto"/>
                <w:kern w:val="0"/>
                <w:sz w:val="18"/>
                <w:szCs w:val="18"/>
              </w:rPr>
            </w:pPr>
            <w:r>
              <w:rPr>
                <w:rFonts w:eastAsia="等线"/>
                <w:b/>
                <w:bCs/>
                <w:color w:val="auto"/>
                <w:kern w:val="0"/>
                <w:sz w:val="18"/>
                <w:szCs w:val="18"/>
              </w:rPr>
              <w:t>3</w:t>
            </w:r>
            <w:r>
              <w:rPr>
                <w:rFonts w:hint="eastAsia" w:eastAsia="等线"/>
                <w:b/>
                <w:bCs/>
                <w:color w:val="auto"/>
                <w:kern w:val="0"/>
                <w:sz w:val="18"/>
                <w:szCs w:val="18"/>
              </w:rPr>
              <w:t>8</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66A708D1">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项目综合管理</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6F800110">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项目综合管理</w:t>
            </w:r>
          </w:p>
        </w:tc>
        <w:tc>
          <w:tcPr>
            <w:tcW w:w="5478" w:type="dxa"/>
            <w:tcBorders>
              <w:top w:val="nil"/>
              <w:left w:val="nil"/>
              <w:bottom w:val="nil"/>
              <w:right w:val="single" w:color="auto" w:sz="8" w:space="0"/>
            </w:tcBorders>
            <w:shd w:val="clear" w:color="000000" w:fill="FFFFFF"/>
            <w:vAlign w:val="center"/>
          </w:tcPr>
          <w:p w14:paraId="49D2D87A">
            <w:pPr>
              <w:widowControl/>
              <w:rPr>
                <w:rFonts w:hint="eastAsia" w:ascii="宋体" w:hAnsi="宋体" w:cs="宋体"/>
                <w:color w:val="auto"/>
                <w:kern w:val="0"/>
                <w:sz w:val="18"/>
                <w:szCs w:val="18"/>
              </w:rPr>
            </w:pPr>
            <w:r>
              <w:rPr>
                <w:rFonts w:hint="eastAsia" w:ascii="宋体" w:hAnsi="宋体" w:cs="宋体"/>
                <w:color w:val="auto"/>
                <w:kern w:val="0"/>
                <w:sz w:val="18"/>
                <w:szCs w:val="18"/>
              </w:rPr>
              <w:t>1.建立物业管理组织机构、落实各项管理规章制度；</w:t>
            </w:r>
          </w:p>
        </w:tc>
        <w:tc>
          <w:tcPr>
            <w:tcW w:w="5337" w:type="dxa"/>
            <w:tcBorders>
              <w:top w:val="nil"/>
              <w:left w:val="nil"/>
              <w:bottom w:val="nil"/>
              <w:right w:val="single" w:color="auto" w:sz="8" w:space="0"/>
            </w:tcBorders>
            <w:shd w:val="clear" w:color="000000" w:fill="FFFFFF"/>
            <w:vAlign w:val="center"/>
          </w:tcPr>
          <w:p w14:paraId="4510A00F">
            <w:pPr>
              <w:widowControl/>
              <w:rPr>
                <w:rFonts w:hint="eastAsia" w:ascii="宋体" w:hAnsi="宋体" w:cs="宋体"/>
                <w:color w:val="auto"/>
                <w:kern w:val="0"/>
                <w:sz w:val="18"/>
                <w:szCs w:val="18"/>
              </w:rPr>
            </w:pPr>
            <w:r>
              <w:rPr>
                <w:rFonts w:hint="eastAsia" w:ascii="宋体" w:hAnsi="宋体" w:cs="宋体"/>
                <w:color w:val="auto"/>
                <w:kern w:val="0"/>
                <w:sz w:val="18"/>
                <w:szCs w:val="18"/>
              </w:rPr>
              <w:t>1.各类台账记录不规范、有缺失、台账不全的，一处扣0.5分；</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051F7EB3">
            <w:pPr>
              <w:widowControl/>
              <w:jc w:val="center"/>
              <w:rPr>
                <w:rFonts w:eastAsia="等线"/>
                <w:color w:val="auto"/>
                <w:kern w:val="0"/>
                <w:sz w:val="18"/>
                <w:szCs w:val="18"/>
              </w:rPr>
            </w:pPr>
            <w:r>
              <w:rPr>
                <w:rFonts w:eastAsia="等线"/>
                <w:color w:val="auto"/>
                <w:kern w:val="0"/>
                <w:sz w:val="18"/>
                <w:szCs w:val="18"/>
              </w:rPr>
              <w:t>3</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31782692">
            <w:pPr>
              <w:widowControl/>
              <w:rPr>
                <w:rFonts w:eastAsia="等线"/>
                <w:color w:val="auto"/>
                <w:kern w:val="0"/>
                <w:sz w:val="18"/>
                <w:szCs w:val="18"/>
              </w:rPr>
            </w:pPr>
            <w:r>
              <w:rPr>
                <w:rFonts w:eastAsia="等线"/>
                <w:color w:val="auto"/>
                <w:kern w:val="0"/>
                <w:sz w:val="18"/>
                <w:szCs w:val="18"/>
              </w:rPr>
              <w:t>　</w:t>
            </w:r>
          </w:p>
        </w:tc>
      </w:tr>
      <w:tr w14:paraId="0786A919">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38A0B448">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541A9B8">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3EFE267A">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5D6827E5">
            <w:pPr>
              <w:widowControl/>
              <w:rPr>
                <w:rFonts w:hint="eastAsia" w:ascii="宋体" w:hAnsi="宋体" w:cs="宋体"/>
                <w:color w:val="auto"/>
                <w:kern w:val="0"/>
                <w:sz w:val="18"/>
                <w:szCs w:val="18"/>
              </w:rPr>
            </w:pPr>
            <w:r>
              <w:rPr>
                <w:rFonts w:hint="eastAsia" w:ascii="宋体" w:hAnsi="宋体" w:cs="宋体"/>
                <w:color w:val="auto"/>
                <w:kern w:val="0"/>
                <w:sz w:val="18"/>
                <w:szCs w:val="18"/>
              </w:rPr>
              <w:t>2.员工管理、工作计划制定；</w:t>
            </w:r>
          </w:p>
        </w:tc>
        <w:tc>
          <w:tcPr>
            <w:tcW w:w="5337" w:type="dxa"/>
            <w:tcBorders>
              <w:top w:val="nil"/>
              <w:left w:val="nil"/>
              <w:bottom w:val="nil"/>
              <w:right w:val="single" w:color="auto" w:sz="8" w:space="0"/>
            </w:tcBorders>
            <w:shd w:val="clear" w:color="000000" w:fill="FFFFFF"/>
            <w:vAlign w:val="center"/>
          </w:tcPr>
          <w:p w14:paraId="2667D2EF">
            <w:pPr>
              <w:widowControl/>
              <w:rPr>
                <w:rFonts w:hint="eastAsia" w:ascii="宋体" w:hAnsi="宋体" w:cs="宋体"/>
                <w:color w:val="auto"/>
                <w:kern w:val="0"/>
                <w:sz w:val="18"/>
                <w:szCs w:val="18"/>
              </w:rPr>
            </w:pPr>
            <w:r>
              <w:rPr>
                <w:rFonts w:hint="eastAsia" w:ascii="宋体" w:hAnsi="宋体" w:cs="宋体"/>
                <w:color w:val="auto"/>
                <w:kern w:val="0"/>
                <w:sz w:val="18"/>
                <w:szCs w:val="18"/>
              </w:rPr>
              <w:t>2.物业服务手册制定及制作不及时，视情况扣0.5-2分；</w:t>
            </w:r>
          </w:p>
        </w:tc>
        <w:tc>
          <w:tcPr>
            <w:tcW w:w="709" w:type="dxa"/>
            <w:vMerge w:val="continue"/>
            <w:tcBorders>
              <w:top w:val="nil"/>
              <w:left w:val="single" w:color="auto" w:sz="8" w:space="0"/>
              <w:bottom w:val="single" w:color="000000" w:sz="8" w:space="0"/>
              <w:right w:val="single" w:color="auto" w:sz="8" w:space="0"/>
            </w:tcBorders>
            <w:vAlign w:val="center"/>
          </w:tcPr>
          <w:p w14:paraId="708723E3">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046A2CAB">
            <w:pPr>
              <w:widowControl/>
              <w:jc w:val="left"/>
              <w:rPr>
                <w:rFonts w:eastAsia="等线"/>
                <w:color w:val="auto"/>
                <w:kern w:val="0"/>
                <w:sz w:val="18"/>
                <w:szCs w:val="18"/>
              </w:rPr>
            </w:pPr>
          </w:p>
        </w:tc>
      </w:tr>
      <w:tr w14:paraId="4DA53F29">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73F9AE09">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FCE875B">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618F27FD">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62963CB8">
            <w:pPr>
              <w:widowControl/>
              <w:rPr>
                <w:rFonts w:hint="eastAsia" w:ascii="宋体" w:hAnsi="宋体" w:cs="宋体"/>
                <w:color w:val="auto"/>
                <w:kern w:val="0"/>
                <w:sz w:val="18"/>
                <w:szCs w:val="18"/>
              </w:rPr>
            </w:pPr>
            <w:r>
              <w:rPr>
                <w:rFonts w:hint="eastAsia" w:ascii="宋体" w:hAnsi="宋体" w:cs="宋体"/>
                <w:color w:val="auto"/>
                <w:kern w:val="0"/>
                <w:sz w:val="18"/>
                <w:szCs w:val="18"/>
              </w:rPr>
              <w:t>3.各种物业档案资料管理，财产造册及清查，建立完善各项管理服务、行政服务、资源使用等方面的制度并加以落实；</w:t>
            </w:r>
          </w:p>
        </w:tc>
        <w:tc>
          <w:tcPr>
            <w:tcW w:w="5337" w:type="dxa"/>
            <w:tcBorders>
              <w:top w:val="nil"/>
              <w:left w:val="nil"/>
              <w:bottom w:val="nil"/>
              <w:right w:val="single" w:color="auto" w:sz="8" w:space="0"/>
            </w:tcBorders>
            <w:shd w:val="clear" w:color="000000" w:fill="FFFFFF"/>
            <w:vAlign w:val="center"/>
          </w:tcPr>
          <w:p w14:paraId="43A0D2ED">
            <w:pPr>
              <w:widowControl/>
              <w:rPr>
                <w:rFonts w:hint="eastAsia" w:ascii="宋体" w:hAnsi="宋体" w:cs="宋体"/>
                <w:color w:val="auto"/>
                <w:kern w:val="0"/>
                <w:sz w:val="18"/>
                <w:szCs w:val="18"/>
              </w:rPr>
            </w:pPr>
            <w:r>
              <w:rPr>
                <w:rFonts w:hint="eastAsia" w:ascii="宋体" w:hAnsi="宋体" w:cs="宋体"/>
                <w:color w:val="auto"/>
                <w:kern w:val="0"/>
                <w:sz w:val="18"/>
                <w:szCs w:val="18"/>
              </w:rPr>
              <w:t>3.管理制度不完善、存在问题的，视情况扣0.5-2分；</w:t>
            </w:r>
          </w:p>
        </w:tc>
        <w:tc>
          <w:tcPr>
            <w:tcW w:w="709" w:type="dxa"/>
            <w:vMerge w:val="continue"/>
            <w:tcBorders>
              <w:top w:val="nil"/>
              <w:left w:val="single" w:color="auto" w:sz="8" w:space="0"/>
              <w:bottom w:val="single" w:color="000000" w:sz="8" w:space="0"/>
              <w:right w:val="single" w:color="auto" w:sz="8" w:space="0"/>
            </w:tcBorders>
            <w:vAlign w:val="center"/>
          </w:tcPr>
          <w:p w14:paraId="121F2E45">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186334CC">
            <w:pPr>
              <w:widowControl/>
              <w:jc w:val="left"/>
              <w:rPr>
                <w:rFonts w:eastAsia="等线"/>
                <w:color w:val="auto"/>
                <w:kern w:val="0"/>
                <w:sz w:val="18"/>
                <w:szCs w:val="18"/>
              </w:rPr>
            </w:pPr>
          </w:p>
        </w:tc>
      </w:tr>
      <w:tr w14:paraId="57B869AC">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0CADB601">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6E5D8F9D">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5E6A51D1">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0BA6CC7C">
            <w:pPr>
              <w:widowControl/>
              <w:rPr>
                <w:rFonts w:hint="eastAsia" w:ascii="宋体" w:hAnsi="宋体" w:cs="宋体"/>
                <w:color w:val="auto"/>
                <w:kern w:val="0"/>
                <w:sz w:val="18"/>
                <w:szCs w:val="18"/>
              </w:rPr>
            </w:pPr>
            <w:r>
              <w:rPr>
                <w:rFonts w:hint="eastAsia" w:ascii="宋体" w:hAnsi="宋体" w:cs="宋体"/>
                <w:color w:val="auto"/>
                <w:kern w:val="0"/>
                <w:sz w:val="18"/>
                <w:szCs w:val="18"/>
              </w:rPr>
              <w:t>4.党建工作开展；</w:t>
            </w:r>
          </w:p>
        </w:tc>
        <w:tc>
          <w:tcPr>
            <w:tcW w:w="5337" w:type="dxa"/>
            <w:tcBorders>
              <w:top w:val="nil"/>
              <w:left w:val="nil"/>
              <w:bottom w:val="nil"/>
              <w:right w:val="single" w:color="auto" w:sz="8" w:space="0"/>
            </w:tcBorders>
            <w:shd w:val="clear" w:color="000000" w:fill="FFFFFF"/>
            <w:vAlign w:val="center"/>
          </w:tcPr>
          <w:p w14:paraId="70913F65">
            <w:pPr>
              <w:widowControl/>
              <w:rPr>
                <w:rFonts w:hint="eastAsia" w:ascii="宋体" w:hAnsi="宋体" w:cs="宋体"/>
                <w:color w:val="auto"/>
                <w:kern w:val="0"/>
                <w:sz w:val="18"/>
                <w:szCs w:val="18"/>
              </w:rPr>
            </w:pPr>
            <w:r>
              <w:rPr>
                <w:rFonts w:hint="eastAsia" w:ascii="宋体" w:hAnsi="宋体" w:cs="宋体"/>
                <w:color w:val="auto"/>
                <w:kern w:val="0"/>
                <w:sz w:val="18"/>
                <w:szCs w:val="18"/>
              </w:rPr>
              <w:t>4.业务有调整现象而未更新相应管理机制、制度的，按项目每项扣1分；</w:t>
            </w:r>
          </w:p>
        </w:tc>
        <w:tc>
          <w:tcPr>
            <w:tcW w:w="709" w:type="dxa"/>
            <w:vMerge w:val="continue"/>
            <w:tcBorders>
              <w:top w:val="nil"/>
              <w:left w:val="single" w:color="auto" w:sz="8" w:space="0"/>
              <w:bottom w:val="single" w:color="000000" w:sz="8" w:space="0"/>
              <w:right w:val="single" w:color="auto" w:sz="8" w:space="0"/>
            </w:tcBorders>
            <w:vAlign w:val="center"/>
          </w:tcPr>
          <w:p w14:paraId="7AE0458B">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4DDCD9FF">
            <w:pPr>
              <w:widowControl/>
              <w:jc w:val="left"/>
              <w:rPr>
                <w:rFonts w:eastAsia="等线"/>
                <w:color w:val="auto"/>
                <w:kern w:val="0"/>
                <w:sz w:val="18"/>
                <w:szCs w:val="18"/>
              </w:rPr>
            </w:pPr>
          </w:p>
        </w:tc>
      </w:tr>
      <w:tr w14:paraId="4B223A7A">
        <w:tblPrEx>
          <w:tblCellMar>
            <w:top w:w="0" w:type="dxa"/>
            <w:left w:w="108" w:type="dxa"/>
            <w:bottom w:w="0" w:type="dxa"/>
            <w:right w:w="108" w:type="dxa"/>
          </w:tblCellMar>
        </w:tblPrEx>
        <w:trPr>
          <w:trHeight w:val="285" w:hRule="atLeast"/>
        </w:trPr>
        <w:tc>
          <w:tcPr>
            <w:tcW w:w="493" w:type="dxa"/>
            <w:vMerge w:val="continue"/>
            <w:tcBorders>
              <w:top w:val="nil"/>
              <w:left w:val="single" w:color="auto" w:sz="8" w:space="0"/>
              <w:bottom w:val="single" w:color="000000" w:sz="8" w:space="0"/>
              <w:right w:val="single" w:color="auto" w:sz="8" w:space="0"/>
            </w:tcBorders>
            <w:vAlign w:val="center"/>
          </w:tcPr>
          <w:p w14:paraId="3CCBEE87">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2DC1FE2">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320CD5F0">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47C86A14">
            <w:pPr>
              <w:widowControl/>
              <w:rPr>
                <w:rFonts w:hint="eastAsia" w:ascii="宋体" w:hAnsi="宋体" w:cs="宋体"/>
                <w:color w:val="auto"/>
                <w:kern w:val="0"/>
                <w:sz w:val="18"/>
                <w:szCs w:val="18"/>
              </w:rPr>
            </w:pPr>
            <w:r>
              <w:rPr>
                <w:rFonts w:hint="eastAsia" w:ascii="宋体" w:hAnsi="宋体" w:cs="宋体"/>
                <w:color w:val="auto"/>
                <w:kern w:val="0"/>
                <w:sz w:val="18"/>
                <w:szCs w:val="18"/>
              </w:rPr>
              <w:t>5.物业管理创优方案及实施；</w:t>
            </w:r>
          </w:p>
        </w:tc>
        <w:tc>
          <w:tcPr>
            <w:tcW w:w="5337" w:type="dxa"/>
            <w:tcBorders>
              <w:top w:val="nil"/>
              <w:left w:val="nil"/>
              <w:bottom w:val="nil"/>
              <w:right w:val="single" w:color="auto" w:sz="8" w:space="0"/>
            </w:tcBorders>
            <w:shd w:val="clear" w:color="000000" w:fill="FFFFFF"/>
            <w:vAlign w:val="center"/>
          </w:tcPr>
          <w:p w14:paraId="6D1AAFFF">
            <w:pPr>
              <w:widowControl/>
              <w:rPr>
                <w:rFonts w:hint="eastAsia" w:ascii="宋体" w:hAnsi="宋体" w:cs="宋体"/>
                <w:color w:val="auto"/>
                <w:kern w:val="0"/>
                <w:sz w:val="18"/>
                <w:szCs w:val="18"/>
              </w:rPr>
            </w:pPr>
            <w:r>
              <w:rPr>
                <w:rFonts w:hint="eastAsia" w:ascii="宋体" w:hAnsi="宋体" w:cs="宋体"/>
                <w:color w:val="auto"/>
                <w:kern w:val="0"/>
                <w:sz w:val="18"/>
                <w:szCs w:val="18"/>
              </w:rPr>
              <w:t>5.重要管理制度未上墙，按地点每处扣0.5分；</w:t>
            </w:r>
          </w:p>
        </w:tc>
        <w:tc>
          <w:tcPr>
            <w:tcW w:w="709" w:type="dxa"/>
            <w:vMerge w:val="continue"/>
            <w:tcBorders>
              <w:top w:val="nil"/>
              <w:left w:val="single" w:color="auto" w:sz="8" w:space="0"/>
              <w:bottom w:val="single" w:color="000000" w:sz="8" w:space="0"/>
              <w:right w:val="single" w:color="auto" w:sz="8" w:space="0"/>
            </w:tcBorders>
            <w:vAlign w:val="center"/>
          </w:tcPr>
          <w:p w14:paraId="099C98B9">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129ADEDE">
            <w:pPr>
              <w:widowControl/>
              <w:jc w:val="left"/>
              <w:rPr>
                <w:rFonts w:eastAsia="等线"/>
                <w:color w:val="auto"/>
                <w:kern w:val="0"/>
                <w:sz w:val="18"/>
                <w:szCs w:val="18"/>
              </w:rPr>
            </w:pPr>
          </w:p>
        </w:tc>
      </w:tr>
      <w:tr w14:paraId="6B415654">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5F22C11A">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F09FF06">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4BFA4B05">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3BE03D70">
            <w:pPr>
              <w:widowControl/>
              <w:rPr>
                <w:rFonts w:hint="eastAsia" w:ascii="宋体" w:hAnsi="宋体" w:cs="宋体"/>
                <w:color w:val="auto"/>
                <w:kern w:val="0"/>
                <w:sz w:val="18"/>
                <w:szCs w:val="18"/>
              </w:rPr>
            </w:pPr>
            <w:r>
              <w:rPr>
                <w:rFonts w:hint="eastAsia" w:ascii="宋体" w:hAnsi="宋体" w:cs="宋体"/>
                <w:color w:val="auto"/>
                <w:kern w:val="0"/>
                <w:sz w:val="18"/>
                <w:szCs w:val="18"/>
              </w:rPr>
              <w:t>6.后勤文化建设及开展服务育人活动；</w:t>
            </w:r>
          </w:p>
        </w:tc>
        <w:tc>
          <w:tcPr>
            <w:tcW w:w="5337" w:type="dxa"/>
            <w:tcBorders>
              <w:top w:val="nil"/>
              <w:left w:val="nil"/>
              <w:bottom w:val="nil"/>
              <w:right w:val="single" w:color="auto" w:sz="8" w:space="0"/>
            </w:tcBorders>
            <w:shd w:val="clear" w:color="000000" w:fill="FFFFFF"/>
            <w:vAlign w:val="center"/>
          </w:tcPr>
          <w:p w14:paraId="18C3651C">
            <w:pPr>
              <w:widowControl/>
              <w:rPr>
                <w:rFonts w:hint="eastAsia" w:ascii="宋体" w:hAnsi="宋体" w:cs="宋体"/>
                <w:color w:val="auto"/>
                <w:kern w:val="0"/>
                <w:sz w:val="18"/>
                <w:szCs w:val="18"/>
              </w:rPr>
            </w:pPr>
            <w:r>
              <w:rPr>
                <w:rFonts w:hint="eastAsia" w:ascii="宋体" w:hAnsi="宋体" w:cs="宋体"/>
                <w:color w:val="auto"/>
                <w:kern w:val="0"/>
                <w:sz w:val="18"/>
                <w:szCs w:val="18"/>
              </w:rPr>
              <w:t>6.校方合作供应商监管不到位的，一处扣0.5分；</w:t>
            </w:r>
          </w:p>
        </w:tc>
        <w:tc>
          <w:tcPr>
            <w:tcW w:w="709" w:type="dxa"/>
            <w:vMerge w:val="continue"/>
            <w:tcBorders>
              <w:top w:val="nil"/>
              <w:left w:val="single" w:color="auto" w:sz="8" w:space="0"/>
              <w:bottom w:val="single" w:color="000000" w:sz="8" w:space="0"/>
              <w:right w:val="single" w:color="auto" w:sz="8" w:space="0"/>
            </w:tcBorders>
            <w:vAlign w:val="center"/>
          </w:tcPr>
          <w:p w14:paraId="1FB73E24">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0EECA5FF">
            <w:pPr>
              <w:widowControl/>
              <w:jc w:val="left"/>
              <w:rPr>
                <w:rFonts w:eastAsia="等线"/>
                <w:color w:val="auto"/>
                <w:kern w:val="0"/>
                <w:sz w:val="18"/>
                <w:szCs w:val="18"/>
              </w:rPr>
            </w:pPr>
          </w:p>
        </w:tc>
      </w:tr>
      <w:tr w14:paraId="2375F31E">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151784BA">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11A9265">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5A1BC689">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45673F47">
            <w:pPr>
              <w:widowControl/>
              <w:rPr>
                <w:rFonts w:hint="eastAsia" w:ascii="宋体" w:hAnsi="宋体" w:cs="宋体"/>
                <w:color w:val="auto"/>
                <w:kern w:val="0"/>
                <w:sz w:val="18"/>
                <w:szCs w:val="18"/>
              </w:rPr>
            </w:pPr>
            <w:r>
              <w:rPr>
                <w:rFonts w:hint="eastAsia" w:ascii="宋体" w:hAnsi="宋体" w:cs="宋体"/>
                <w:color w:val="auto"/>
                <w:kern w:val="0"/>
                <w:sz w:val="18"/>
                <w:szCs w:val="18"/>
              </w:rPr>
              <w:t>7.服务手册制定；</w:t>
            </w:r>
          </w:p>
        </w:tc>
        <w:tc>
          <w:tcPr>
            <w:tcW w:w="5337" w:type="dxa"/>
            <w:tcBorders>
              <w:top w:val="nil"/>
              <w:left w:val="nil"/>
              <w:bottom w:val="nil"/>
              <w:right w:val="single" w:color="auto" w:sz="8" w:space="0"/>
            </w:tcBorders>
            <w:shd w:val="clear" w:color="000000" w:fill="FFFFFF"/>
            <w:vAlign w:val="center"/>
          </w:tcPr>
          <w:p w14:paraId="035BDF95">
            <w:pPr>
              <w:widowControl/>
              <w:rPr>
                <w:rFonts w:hint="eastAsia" w:ascii="宋体" w:hAnsi="宋体" w:cs="宋体"/>
                <w:color w:val="auto"/>
                <w:kern w:val="0"/>
                <w:sz w:val="18"/>
                <w:szCs w:val="18"/>
              </w:rPr>
            </w:pPr>
            <w:r>
              <w:rPr>
                <w:rFonts w:hint="eastAsia" w:ascii="宋体" w:hAnsi="宋体" w:cs="宋体"/>
                <w:color w:val="auto"/>
                <w:kern w:val="0"/>
                <w:sz w:val="18"/>
                <w:szCs w:val="18"/>
              </w:rPr>
              <w:t>7、党建工作、管理优化、文化建设不到位，一处扣0.5分。</w:t>
            </w:r>
          </w:p>
        </w:tc>
        <w:tc>
          <w:tcPr>
            <w:tcW w:w="709" w:type="dxa"/>
            <w:vMerge w:val="continue"/>
            <w:tcBorders>
              <w:top w:val="nil"/>
              <w:left w:val="single" w:color="auto" w:sz="8" w:space="0"/>
              <w:bottom w:val="single" w:color="000000" w:sz="8" w:space="0"/>
              <w:right w:val="single" w:color="auto" w:sz="8" w:space="0"/>
            </w:tcBorders>
            <w:vAlign w:val="center"/>
          </w:tcPr>
          <w:p w14:paraId="021A6766">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41E15CCC">
            <w:pPr>
              <w:widowControl/>
              <w:jc w:val="left"/>
              <w:rPr>
                <w:rFonts w:eastAsia="等线"/>
                <w:color w:val="auto"/>
                <w:kern w:val="0"/>
                <w:sz w:val="18"/>
                <w:szCs w:val="18"/>
              </w:rPr>
            </w:pPr>
          </w:p>
        </w:tc>
      </w:tr>
      <w:tr w14:paraId="3AD2E1CA">
        <w:tblPrEx>
          <w:tblCellMar>
            <w:top w:w="0" w:type="dxa"/>
            <w:left w:w="108" w:type="dxa"/>
            <w:bottom w:w="0" w:type="dxa"/>
            <w:right w:w="108" w:type="dxa"/>
          </w:tblCellMar>
        </w:tblPrEx>
        <w:trPr>
          <w:trHeight w:val="285" w:hRule="atLeast"/>
        </w:trPr>
        <w:tc>
          <w:tcPr>
            <w:tcW w:w="493" w:type="dxa"/>
            <w:vMerge w:val="continue"/>
            <w:tcBorders>
              <w:top w:val="nil"/>
              <w:left w:val="single" w:color="auto" w:sz="8" w:space="0"/>
              <w:bottom w:val="single" w:color="000000" w:sz="8" w:space="0"/>
              <w:right w:val="single" w:color="auto" w:sz="8" w:space="0"/>
            </w:tcBorders>
            <w:vAlign w:val="center"/>
          </w:tcPr>
          <w:p w14:paraId="0975D99E">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BB1D8B7">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FAAF72C">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57AFBFA9">
            <w:pPr>
              <w:widowControl/>
              <w:rPr>
                <w:rFonts w:hint="eastAsia" w:ascii="宋体" w:hAnsi="宋体" w:cs="宋体"/>
                <w:color w:val="auto"/>
                <w:kern w:val="0"/>
                <w:sz w:val="18"/>
                <w:szCs w:val="18"/>
              </w:rPr>
            </w:pPr>
            <w:r>
              <w:rPr>
                <w:rFonts w:hint="eastAsia" w:ascii="宋体" w:hAnsi="宋体" w:cs="宋体"/>
                <w:color w:val="auto"/>
                <w:kern w:val="0"/>
                <w:sz w:val="18"/>
                <w:szCs w:val="18"/>
              </w:rPr>
              <w:t>8.应急事件处理；</w:t>
            </w:r>
          </w:p>
        </w:tc>
        <w:tc>
          <w:tcPr>
            <w:tcW w:w="5337" w:type="dxa"/>
            <w:tcBorders>
              <w:top w:val="nil"/>
              <w:left w:val="nil"/>
              <w:bottom w:val="nil"/>
              <w:right w:val="single" w:color="auto" w:sz="8" w:space="0"/>
            </w:tcBorders>
            <w:shd w:val="clear" w:color="000000" w:fill="FFFFFF"/>
            <w:vAlign w:val="center"/>
          </w:tcPr>
          <w:p w14:paraId="7B377C1C">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32B9B365">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3244ECFE">
            <w:pPr>
              <w:widowControl/>
              <w:jc w:val="left"/>
              <w:rPr>
                <w:rFonts w:eastAsia="等线"/>
                <w:color w:val="auto"/>
                <w:kern w:val="0"/>
                <w:sz w:val="18"/>
                <w:szCs w:val="18"/>
              </w:rPr>
            </w:pPr>
          </w:p>
        </w:tc>
      </w:tr>
      <w:tr w14:paraId="03B87371">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0EC61E94">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7B56F04">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36D7BE2C">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4E795E18">
            <w:pPr>
              <w:widowControl/>
              <w:rPr>
                <w:rFonts w:hint="eastAsia" w:ascii="宋体" w:hAnsi="宋体" w:cs="宋体"/>
                <w:color w:val="auto"/>
                <w:kern w:val="0"/>
                <w:sz w:val="18"/>
                <w:szCs w:val="18"/>
              </w:rPr>
            </w:pPr>
            <w:r>
              <w:rPr>
                <w:rFonts w:hint="eastAsia" w:ascii="宋体" w:hAnsi="宋体" w:cs="宋体"/>
                <w:color w:val="auto"/>
                <w:kern w:val="0"/>
                <w:sz w:val="18"/>
                <w:szCs w:val="18"/>
              </w:rPr>
              <w:t>9.宣传管理；</w:t>
            </w:r>
          </w:p>
        </w:tc>
        <w:tc>
          <w:tcPr>
            <w:tcW w:w="5337" w:type="dxa"/>
            <w:tcBorders>
              <w:top w:val="nil"/>
              <w:left w:val="nil"/>
              <w:bottom w:val="nil"/>
              <w:right w:val="single" w:color="auto" w:sz="8" w:space="0"/>
            </w:tcBorders>
            <w:shd w:val="clear" w:color="000000" w:fill="FFFFFF"/>
            <w:vAlign w:val="center"/>
          </w:tcPr>
          <w:p w14:paraId="63169642">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2AD4232C">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5798890C">
            <w:pPr>
              <w:widowControl/>
              <w:jc w:val="left"/>
              <w:rPr>
                <w:rFonts w:eastAsia="等线"/>
                <w:color w:val="auto"/>
                <w:kern w:val="0"/>
                <w:sz w:val="18"/>
                <w:szCs w:val="18"/>
              </w:rPr>
            </w:pPr>
          </w:p>
        </w:tc>
      </w:tr>
      <w:tr w14:paraId="2C699907">
        <w:tblPrEx>
          <w:tblCellMar>
            <w:top w:w="0" w:type="dxa"/>
            <w:left w:w="108" w:type="dxa"/>
            <w:bottom w:w="0" w:type="dxa"/>
            <w:right w:w="108" w:type="dxa"/>
          </w:tblCellMar>
        </w:tblPrEx>
        <w:trPr>
          <w:trHeight w:val="285" w:hRule="atLeast"/>
        </w:trPr>
        <w:tc>
          <w:tcPr>
            <w:tcW w:w="493" w:type="dxa"/>
            <w:vMerge w:val="continue"/>
            <w:tcBorders>
              <w:top w:val="nil"/>
              <w:left w:val="single" w:color="auto" w:sz="8" w:space="0"/>
              <w:bottom w:val="single" w:color="000000" w:sz="8" w:space="0"/>
              <w:right w:val="single" w:color="auto" w:sz="8" w:space="0"/>
            </w:tcBorders>
            <w:vAlign w:val="center"/>
          </w:tcPr>
          <w:p w14:paraId="6EE1CD4D">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7D11AFB">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3CD9A973">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5710D2E7">
            <w:pPr>
              <w:widowControl/>
              <w:rPr>
                <w:rFonts w:hint="eastAsia" w:ascii="宋体" w:hAnsi="宋体" w:cs="宋体"/>
                <w:color w:val="auto"/>
                <w:kern w:val="0"/>
                <w:sz w:val="18"/>
                <w:szCs w:val="18"/>
              </w:rPr>
            </w:pPr>
            <w:r>
              <w:rPr>
                <w:rFonts w:hint="eastAsia" w:ascii="宋体" w:hAnsi="宋体" w:cs="宋体"/>
                <w:color w:val="auto"/>
                <w:kern w:val="0"/>
                <w:sz w:val="18"/>
                <w:szCs w:val="18"/>
              </w:rPr>
              <w:t>10.仓库管理；</w:t>
            </w:r>
          </w:p>
        </w:tc>
        <w:tc>
          <w:tcPr>
            <w:tcW w:w="5337" w:type="dxa"/>
            <w:tcBorders>
              <w:top w:val="nil"/>
              <w:left w:val="nil"/>
              <w:bottom w:val="nil"/>
              <w:right w:val="single" w:color="auto" w:sz="8" w:space="0"/>
            </w:tcBorders>
            <w:shd w:val="clear" w:color="000000" w:fill="FFFFFF"/>
            <w:vAlign w:val="center"/>
          </w:tcPr>
          <w:p w14:paraId="7F81D65C">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58A3DB7B">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6A6241ED">
            <w:pPr>
              <w:widowControl/>
              <w:jc w:val="left"/>
              <w:rPr>
                <w:rFonts w:eastAsia="等线"/>
                <w:color w:val="auto"/>
                <w:kern w:val="0"/>
                <w:sz w:val="18"/>
                <w:szCs w:val="18"/>
              </w:rPr>
            </w:pPr>
          </w:p>
        </w:tc>
      </w:tr>
      <w:tr w14:paraId="07AEA5B3">
        <w:tblPrEx>
          <w:tblCellMar>
            <w:top w:w="0" w:type="dxa"/>
            <w:left w:w="108" w:type="dxa"/>
            <w:bottom w:w="0" w:type="dxa"/>
            <w:right w:w="108" w:type="dxa"/>
          </w:tblCellMar>
        </w:tblPrEx>
        <w:trPr>
          <w:trHeight w:val="285" w:hRule="atLeast"/>
        </w:trPr>
        <w:tc>
          <w:tcPr>
            <w:tcW w:w="493" w:type="dxa"/>
            <w:vMerge w:val="continue"/>
            <w:tcBorders>
              <w:top w:val="nil"/>
              <w:left w:val="single" w:color="auto" w:sz="8" w:space="0"/>
              <w:bottom w:val="single" w:color="000000" w:sz="8" w:space="0"/>
              <w:right w:val="single" w:color="auto" w:sz="8" w:space="0"/>
            </w:tcBorders>
            <w:vAlign w:val="center"/>
          </w:tcPr>
          <w:p w14:paraId="77E42419">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8F0E411">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67113C96">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628D43A1">
            <w:pPr>
              <w:widowControl/>
              <w:rPr>
                <w:rFonts w:hint="eastAsia" w:ascii="宋体" w:hAnsi="宋体" w:cs="宋体"/>
                <w:color w:val="auto"/>
                <w:kern w:val="0"/>
                <w:sz w:val="18"/>
                <w:szCs w:val="18"/>
              </w:rPr>
            </w:pPr>
            <w:r>
              <w:rPr>
                <w:rFonts w:hint="eastAsia" w:ascii="宋体" w:hAnsi="宋体" w:cs="宋体"/>
                <w:color w:val="auto"/>
                <w:kern w:val="0"/>
                <w:sz w:val="18"/>
                <w:szCs w:val="18"/>
              </w:rPr>
              <w:t>11.对所有校方合作供应商的监管（除食堂外）；</w:t>
            </w:r>
          </w:p>
        </w:tc>
        <w:tc>
          <w:tcPr>
            <w:tcW w:w="5337" w:type="dxa"/>
            <w:tcBorders>
              <w:top w:val="nil"/>
              <w:left w:val="nil"/>
              <w:bottom w:val="nil"/>
              <w:right w:val="single" w:color="auto" w:sz="8" w:space="0"/>
            </w:tcBorders>
            <w:shd w:val="clear" w:color="000000" w:fill="FFFFFF"/>
            <w:vAlign w:val="center"/>
          </w:tcPr>
          <w:p w14:paraId="4945CBD6">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6DDDAD9D">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7EF0E48E">
            <w:pPr>
              <w:widowControl/>
              <w:jc w:val="left"/>
              <w:rPr>
                <w:rFonts w:eastAsia="等线"/>
                <w:color w:val="auto"/>
                <w:kern w:val="0"/>
                <w:sz w:val="18"/>
                <w:szCs w:val="18"/>
              </w:rPr>
            </w:pPr>
          </w:p>
        </w:tc>
      </w:tr>
      <w:tr w14:paraId="57ADF6FA">
        <w:tblPrEx>
          <w:tblCellMar>
            <w:top w:w="0" w:type="dxa"/>
            <w:left w:w="108" w:type="dxa"/>
            <w:bottom w:w="0" w:type="dxa"/>
            <w:right w:w="108" w:type="dxa"/>
          </w:tblCellMar>
        </w:tblPrEx>
        <w:trPr>
          <w:trHeight w:val="285" w:hRule="atLeast"/>
        </w:trPr>
        <w:tc>
          <w:tcPr>
            <w:tcW w:w="493" w:type="dxa"/>
            <w:vMerge w:val="continue"/>
            <w:tcBorders>
              <w:top w:val="nil"/>
              <w:left w:val="single" w:color="auto" w:sz="8" w:space="0"/>
              <w:bottom w:val="single" w:color="000000" w:sz="8" w:space="0"/>
              <w:right w:val="single" w:color="auto" w:sz="8" w:space="0"/>
            </w:tcBorders>
            <w:vAlign w:val="center"/>
          </w:tcPr>
          <w:p w14:paraId="6AAF38DD">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21B350B">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4E08519">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043718FC">
            <w:pPr>
              <w:widowControl/>
              <w:rPr>
                <w:rFonts w:hint="eastAsia" w:ascii="宋体" w:hAnsi="宋体" w:cs="宋体"/>
                <w:color w:val="auto"/>
                <w:kern w:val="0"/>
                <w:sz w:val="18"/>
                <w:szCs w:val="18"/>
              </w:rPr>
            </w:pPr>
            <w:r>
              <w:rPr>
                <w:rFonts w:hint="eastAsia" w:ascii="宋体" w:hAnsi="宋体" w:cs="宋体"/>
                <w:color w:val="auto"/>
                <w:kern w:val="0"/>
                <w:sz w:val="18"/>
                <w:szCs w:val="18"/>
              </w:rPr>
              <w:t>12.满意度测评等其他综合管理服务。</w:t>
            </w:r>
          </w:p>
        </w:tc>
        <w:tc>
          <w:tcPr>
            <w:tcW w:w="5337" w:type="dxa"/>
            <w:tcBorders>
              <w:top w:val="nil"/>
              <w:left w:val="nil"/>
              <w:bottom w:val="single" w:color="auto" w:sz="8" w:space="0"/>
              <w:right w:val="single" w:color="auto" w:sz="8" w:space="0"/>
            </w:tcBorders>
            <w:shd w:val="clear" w:color="000000" w:fill="FFFFFF"/>
            <w:vAlign w:val="center"/>
          </w:tcPr>
          <w:p w14:paraId="737932C1">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05D844A9">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7C4F9FC3">
            <w:pPr>
              <w:widowControl/>
              <w:jc w:val="left"/>
              <w:rPr>
                <w:rFonts w:eastAsia="等线"/>
                <w:color w:val="auto"/>
                <w:kern w:val="0"/>
                <w:sz w:val="18"/>
                <w:szCs w:val="18"/>
              </w:rPr>
            </w:pPr>
          </w:p>
        </w:tc>
      </w:tr>
      <w:tr w14:paraId="14DAABF8">
        <w:tblPrEx>
          <w:tblCellMar>
            <w:top w:w="0" w:type="dxa"/>
            <w:left w:w="108" w:type="dxa"/>
            <w:bottom w:w="0" w:type="dxa"/>
            <w:right w:w="108" w:type="dxa"/>
          </w:tblCellMar>
        </w:tblPrEx>
        <w:trPr>
          <w:trHeight w:val="450" w:hRule="atLeast"/>
        </w:trPr>
        <w:tc>
          <w:tcPr>
            <w:tcW w:w="493" w:type="dxa"/>
            <w:vMerge w:val="restart"/>
            <w:tcBorders>
              <w:top w:val="nil"/>
              <w:left w:val="single" w:color="auto" w:sz="8" w:space="0"/>
              <w:bottom w:val="single" w:color="000000" w:sz="8" w:space="0"/>
              <w:right w:val="single" w:color="auto" w:sz="8" w:space="0"/>
            </w:tcBorders>
            <w:shd w:val="clear" w:color="000000" w:fill="FFFFFF"/>
            <w:vAlign w:val="center"/>
          </w:tcPr>
          <w:p w14:paraId="5BF67EEA">
            <w:pPr>
              <w:widowControl/>
              <w:jc w:val="center"/>
              <w:rPr>
                <w:rFonts w:eastAsia="等线"/>
                <w:b/>
                <w:bCs/>
                <w:color w:val="auto"/>
                <w:kern w:val="0"/>
                <w:sz w:val="18"/>
                <w:szCs w:val="18"/>
              </w:rPr>
            </w:pPr>
            <w:r>
              <w:rPr>
                <w:rFonts w:hint="eastAsia" w:eastAsia="等线"/>
                <w:b/>
                <w:bCs/>
                <w:color w:val="auto"/>
                <w:kern w:val="0"/>
                <w:sz w:val="18"/>
                <w:szCs w:val="18"/>
              </w:rPr>
              <w:t>39</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727D4CAF">
            <w:pPr>
              <w:widowControl/>
              <w:rPr>
                <w:rFonts w:hint="eastAsia" w:ascii="宋体" w:hAnsi="宋体" w:cs="宋体"/>
                <w:b/>
                <w:bCs/>
                <w:color w:val="auto"/>
                <w:kern w:val="0"/>
                <w:sz w:val="18"/>
                <w:szCs w:val="18"/>
              </w:rPr>
            </w:pPr>
            <w:r>
              <w:rPr>
                <w:rFonts w:hint="eastAsia" w:ascii="宋体" w:hAnsi="宋体" w:cs="宋体"/>
                <w:b/>
                <w:bCs/>
                <w:color w:val="auto"/>
                <w:kern w:val="0"/>
                <w:sz w:val="18"/>
                <w:szCs w:val="18"/>
              </w:rPr>
              <w:t>一站式服务</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37093C9E">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总体服务要求</w:t>
            </w:r>
          </w:p>
        </w:tc>
        <w:tc>
          <w:tcPr>
            <w:tcW w:w="5478" w:type="dxa"/>
            <w:tcBorders>
              <w:top w:val="nil"/>
              <w:left w:val="nil"/>
              <w:bottom w:val="nil"/>
              <w:right w:val="single" w:color="auto" w:sz="8" w:space="0"/>
            </w:tcBorders>
            <w:shd w:val="clear" w:color="000000" w:fill="FFFFFF"/>
            <w:vAlign w:val="center"/>
          </w:tcPr>
          <w:p w14:paraId="6738FD22">
            <w:pPr>
              <w:widowControl/>
              <w:rPr>
                <w:rFonts w:hint="eastAsia" w:ascii="宋体" w:hAnsi="宋体" w:cs="宋体"/>
                <w:color w:val="auto"/>
                <w:kern w:val="0"/>
                <w:sz w:val="18"/>
                <w:szCs w:val="18"/>
              </w:rPr>
            </w:pPr>
            <w:r>
              <w:rPr>
                <w:rFonts w:hint="eastAsia" w:ascii="宋体" w:hAnsi="宋体" w:cs="宋体"/>
                <w:color w:val="auto"/>
                <w:kern w:val="0"/>
                <w:sz w:val="18"/>
                <w:szCs w:val="18"/>
              </w:rPr>
              <w:t>1.一站式服务中心为师生提供双语服务咨询、维修报修、校园卡、校园参观导览、门禁服务等任何与校园支撑相关的服务；</w:t>
            </w:r>
          </w:p>
        </w:tc>
        <w:tc>
          <w:tcPr>
            <w:tcW w:w="5337" w:type="dxa"/>
            <w:tcBorders>
              <w:top w:val="nil"/>
              <w:left w:val="nil"/>
              <w:bottom w:val="nil"/>
              <w:right w:val="single" w:color="auto" w:sz="8" w:space="0"/>
            </w:tcBorders>
            <w:shd w:val="clear" w:color="000000" w:fill="FFFFFF"/>
            <w:vAlign w:val="center"/>
          </w:tcPr>
          <w:p w14:paraId="7F7FE9E7">
            <w:pPr>
              <w:widowControl/>
              <w:rPr>
                <w:rFonts w:hint="eastAsia" w:ascii="宋体" w:hAnsi="宋体" w:cs="宋体"/>
                <w:color w:val="auto"/>
                <w:kern w:val="0"/>
                <w:sz w:val="18"/>
                <w:szCs w:val="18"/>
              </w:rPr>
            </w:pPr>
            <w:r>
              <w:rPr>
                <w:rFonts w:hint="eastAsia" w:ascii="宋体" w:hAnsi="宋体" w:cs="宋体"/>
                <w:color w:val="auto"/>
                <w:kern w:val="0"/>
                <w:sz w:val="18"/>
                <w:szCs w:val="18"/>
              </w:rPr>
              <w:t>1.服务中心物业窗口未在规定时间内开启使用，视情况扣0.5-2分；</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30F0B635">
            <w:pPr>
              <w:widowControl/>
              <w:jc w:val="center"/>
              <w:rPr>
                <w:rFonts w:eastAsia="等线"/>
                <w:color w:val="auto"/>
                <w:kern w:val="0"/>
                <w:sz w:val="18"/>
                <w:szCs w:val="18"/>
              </w:rPr>
            </w:pPr>
            <w:r>
              <w:rPr>
                <w:rFonts w:eastAsia="等线"/>
                <w:color w:val="auto"/>
                <w:kern w:val="0"/>
                <w:sz w:val="18"/>
                <w:szCs w:val="18"/>
              </w:rPr>
              <w:t>3</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39476A45">
            <w:pPr>
              <w:widowControl/>
              <w:rPr>
                <w:rFonts w:eastAsia="等线"/>
                <w:color w:val="auto"/>
                <w:kern w:val="0"/>
                <w:sz w:val="18"/>
                <w:szCs w:val="18"/>
              </w:rPr>
            </w:pPr>
            <w:r>
              <w:rPr>
                <w:rFonts w:eastAsia="等线"/>
                <w:color w:val="auto"/>
                <w:kern w:val="0"/>
                <w:sz w:val="18"/>
                <w:szCs w:val="18"/>
              </w:rPr>
              <w:t>　</w:t>
            </w:r>
          </w:p>
        </w:tc>
      </w:tr>
      <w:tr w14:paraId="64219A23">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497BBD7F">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EB54FC1">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60669476">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17E19CA6">
            <w:pPr>
              <w:widowControl/>
              <w:rPr>
                <w:rFonts w:hint="eastAsia" w:ascii="宋体" w:hAnsi="宋体" w:cs="宋体"/>
                <w:color w:val="auto"/>
                <w:kern w:val="0"/>
                <w:sz w:val="18"/>
                <w:szCs w:val="18"/>
              </w:rPr>
            </w:pPr>
            <w:r>
              <w:rPr>
                <w:rFonts w:hint="eastAsia" w:ascii="宋体" w:hAnsi="宋体" w:cs="宋体"/>
                <w:color w:val="auto"/>
                <w:kern w:val="0"/>
                <w:sz w:val="18"/>
                <w:szCs w:val="18"/>
              </w:rPr>
              <w:t>校园一号呼叫服务，设专人接听服务统一电话，要求24小时365天常开，接听人可进行流利中英双语对话，并及时办理师生服务需求。</w:t>
            </w:r>
          </w:p>
        </w:tc>
        <w:tc>
          <w:tcPr>
            <w:tcW w:w="5337" w:type="dxa"/>
            <w:tcBorders>
              <w:top w:val="nil"/>
              <w:left w:val="nil"/>
              <w:bottom w:val="nil"/>
              <w:right w:val="single" w:color="auto" w:sz="8" w:space="0"/>
            </w:tcBorders>
            <w:shd w:val="clear" w:color="000000" w:fill="FFFFFF"/>
            <w:vAlign w:val="center"/>
          </w:tcPr>
          <w:p w14:paraId="5A50CEF7">
            <w:pPr>
              <w:widowControl/>
              <w:rPr>
                <w:rFonts w:hint="eastAsia" w:ascii="宋体" w:hAnsi="宋体" w:cs="宋体"/>
                <w:color w:val="auto"/>
                <w:kern w:val="0"/>
                <w:sz w:val="18"/>
                <w:szCs w:val="18"/>
              </w:rPr>
            </w:pPr>
            <w:r>
              <w:rPr>
                <w:rFonts w:hint="eastAsia" w:ascii="宋体" w:hAnsi="宋体" w:cs="宋体"/>
                <w:color w:val="auto"/>
                <w:kern w:val="0"/>
                <w:sz w:val="18"/>
                <w:szCs w:val="18"/>
              </w:rPr>
              <w:t>2.服务中心大厅因管理不善造成秩序混乱，一次扣1分；</w:t>
            </w:r>
          </w:p>
        </w:tc>
        <w:tc>
          <w:tcPr>
            <w:tcW w:w="709" w:type="dxa"/>
            <w:vMerge w:val="continue"/>
            <w:tcBorders>
              <w:top w:val="nil"/>
              <w:left w:val="single" w:color="auto" w:sz="8" w:space="0"/>
              <w:bottom w:val="single" w:color="000000" w:sz="8" w:space="0"/>
              <w:right w:val="single" w:color="auto" w:sz="8" w:space="0"/>
            </w:tcBorders>
            <w:vAlign w:val="center"/>
          </w:tcPr>
          <w:p w14:paraId="7A5982F8">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4A4C5B3C">
            <w:pPr>
              <w:widowControl/>
              <w:jc w:val="left"/>
              <w:rPr>
                <w:rFonts w:eastAsia="等线"/>
                <w:color w:val="auto"/>
                <w:kern w:val="0"/>
                <w:sz w:val="18"/>
                <w:szCs w:val="18"/>
              </w:rPr>
            </w:pPr>
          </w:p>
        </w:tc>
      </w:tr>
      <w:tr w14:paraId="692ECA14">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50DC94A6">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341F49EC">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57A0ED8E">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459E197B">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5337" w:type="dxa"/>
            <w:tcBorders>
              <w:top w:val="nil"/>
              <w:left w:val="nil"/>
              <w:bottom w:val="single" w:color="auto" w:sz="8" w:space="0"/>
              <w:right w:val="single" w:color="auto" w:sz="8" w:space="0"/>
            </w:tcBorders>
            <w:shd w:val="clear" w:color="000000" w:fill="FFFFFF"/>
            <w:vAlign w:val="center"/>
          </w:tcPr>
          <w:p w14:paraId="52442079">
            <w:pPr>
              <w:widowControl/>
              <w:rPr>
                <w:rFonts w:hint="eastAsia" w:ascii="宋体" w:hAnsi="宋体" w:cs="宋体"/>
                <w:color w:val="auto"/>
                <w:kern w:val="0"/>
                <w:sz w:val="18"/>
                <w:szCs w:val="18"/>
              </w:rPr>
            </w:pPr>
            <w:r>
              <w:rPr>
                <w:rFonts w:hint="eastAsia" w:ascii="宋体" w:hAnsi="宋体" w:cs="宋体"/>
                <w:color w:val="auto"/>
                <w:kern w:val="0"/>
                <w:sz w:val="18"/>
                <w:szCs w:val="18"/>
              </w:rPr>
              <w:t>3.因服务不到位造成师生不便并投诉的，以服务项目为单位，每项扣1分。</w:t>
            </w:r>
          </w:p>
        </w:tc>
        <w:tc>
          <w:tcPr>
            <w:tcW w:w="709" w:type="dxa"/>
            <w:vMerge w:val="continue"/>
            <w:tcBorders>
              <w:top w:val="nil"/>
              <w:left w:val="single" w:color="auto" w:sz="8" w:space="0"/>
              <w:bottom w:val="single" w:color="000000" w:sz="8" w:space="0"/>
              <w:right w:val="single" w:color="auto" w:sz="8" w:space="0"/>
            </w:tcBorders>
            <w:vAlign w:val="center"/>
          </w:tcPr>
          <w:p w14:paraId="382847E9">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21C958BE">
            <w:pPr>
              <w:widowControl/>
              <w:jc w:val="left"/>
              <w:rPr>
                <w:rFonts w:eastAsia="等线"/>
                <w:color w:val="auto"/>
                <w:kern w:val="0"/>
                <w:sz w:val="18"/>
                <w:szCs w:val="18"/>
              </w:rPr>
            </w:pPr>
          </w:p>
        </w:tc>
      </w:tr>
      <w:tr w14:paraId="48D2A2D1">
        <w:tblPrEx>
          <w:tblCellMar>
            <w:top w:w="0" w:type="dxa"/>
            <w:left w:w="108" w:type="dxa"/>
            <w:bottom w:w="0" w:type="dxa"/>
            <w:right w:w="108" w:type="dxa"/>
          </w:tblCellMar>
        </w:tblPrEx>
        <w:trPr>
          <w:trHeight w:val="450" w:hRule="atLeast"/>
        </w:trPr>
        <w:tc>
          <w:tcPr>
            <w:tcW w:w="493" w:type="dxa"/>
            <w:vMerge w:val="restart"/>
            <w:tcBorders>
              <w:top w:val="nil"/>
              <w:left w:val="single" w:color="auto" w:sz="8" w:space="0"/>
              <w:bottom w:val="single" w:color="000000" w:sz="8" w:space="0"/>
              <w:right w:val="single" w:color="auto" w:sz="8" w:space="0"/>
            </w:tcBorders>
            <w:shd w:val="clear" w:color="000000" w:fill="FFFFFF"/>
            <w:vAlign w:val="center"/>
          </w:tcPr>
          <w:p w14:paraId="70FD2EF8">
            <w:pPr>
              <w:widowControl/>
              <w:jc w:val="center"/>
              <w:rPr>
                <w:rFonts w:eastAsia="等线"/>
                <w:b/>
                <w:bCs/>
                <w:color w:val="auto"/>
                <w:kern w:val="0"/>
                <w:sz w:val="18"/>
                <w:szCs w:val="18"/>
              </w:rPr>
            </w:pPr>
            <w:r>
              <w:rPr>
                <w:rFonts w:eastAsia="等线"/>
                <w:b/>
                <w:bCs/>
                <w:color w:val="auto"/>
                <w:kern w:val="0"/>
                <w:sz w:val="18"/>
                <w:szCs w:val="18"/>
              </w:rPr>
              <w:t>4</w:t>
            </w:r>
            <w:r>
              <w:rPr>
                <w:rFonts w:hint="eastAsia" w:eastAsia="等线"/>
                <w:b/>
                <w:bCs/>
                <w:color w:val="auto"/>
                <w:kern w:val="0"/>
                <w:sz w:val="18"/>
                <w:szCs w:val="18"/>
              </w:rPr>
              <w:t>0</w:t>
            </w:r>
          </w:p>
        </w:tc>
        <w:tc>
          <w:tcPr>
            <w:tcW w:w="578" w:type="dxa"/>
            <w:vMerge w:val="continue"/>
            <w:tcBorders>
              <w:top w:val="nil"/>
              <w:left w:val="single" w:color="auto" w:sz="8" w:space="0"/>
              <w:bottom w:val="single" w:color="000000" w:sz="8" w:space="0"/>
              <w:right w:val="single" w:color="auto" w:sz="8" w:space="0"/>
            </w:tcBorders>
            <w:vAlign w:val="center"/>
          </w:tcPr>
          <w:p w14:paraId="1B75C5AF">
            <w:pPr>
              <w:widowControl/>
              <w:jc w:val="left"/>
              <w:rPr>
                <w:rFonts w:hint="eastAsia" w:ascii="宋体" w:hAnsi="宋体" w:cs="宋体"/>
                <w:b/>
                <w:bCs/>
                <w:color w:val="auto"/>
                <w:kern w:val="0"/>
                <w:sz w:val="18"/>
                <w:szCs w:val="18"/>
              </w:rPr>
            </w:pP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4C175657">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综合性服务</w:t>
            </w:r>
          </w:p>
        </w:tc>
        <w:tc>
          <w:tcPr>
            <w:tcW w:w="5478" w:type="dxa"/>
            <w:tcBorders>
              <w:top w:val="nil"/>
              <w:left w:val="nil"/>
              <w:bottom w:val="nil"/>
              <w:right w:val="single" w:color="auto" w:sz="8" w:space="0"/>
            </w:tcBorders>
            <w:shd w:val="clear" w:color="000000" w:fill="FFFFFF"/>
            <w:vAlign w:val="center"/>
          </w:tcPr>
          <w:p w14:paraId="7658271E">
            <w:pPr>
              <w:widowControl/>
              <w:rPr>
                <w:rFonts w:hint="eastAsia" w:ascii="宋体" w:hAnsi="宋体" w:cs="宋体"/>
                <w:color w:val="auto"/>
                <w:kern w:val="0"/>
                <w:sz w:val="18"/>
                <w:szCs w:val="18"/>
              </w:rPr>
            </w:pPr>
            <w:r>
              <w:rPr>
                <w:rFonts w:hint="eastAsia" w:ascii="宋体" w:hAnsi="宋体" w:cs="宋体"/>
                <w:color w:val="auto"/>
                <w:kern w:val="0"/>
                <w:sz w:val="18"/>
                <w:szCs w:val="18"/>
              </w:rPr>
              <w:t>1.提供新生报到、毕业及校园组织的大型活动的各类活动支持；</w:t>
            </w:r>
          </w:p>
        </w:tc>
        <w:tc>
          <w:tcPr>
            <w:tcW w:w="5337" w:type="dxa"/>
            <w:tcBorders>
              <w:top w:val="nil"/>
              <w:left w:val="nil"/>
              <w:bottom w:val="nil"/>
              <w:right w:val="single" w:color="auto" w:sz="8" w:space="0"/>
            </w:tcBorders>
            <w:shd w:val="clear" w:color="000000" w:fill="FFFFFF"/>
            <w:vAlign w:val="center"/>
          </w:tcPr>
          <w:p w14:paraId="5B3EF061">
            <w:pPr>
              <w:widowControl/>
              <w:rPr>
                <w:rFonts w:hint="eastAsia" w:ascii="宋体" w:hAnsi="宋体" w:cs="宋体"/>
                <w:color w:val="auto"/>
                <w:kern w:val="0"/>
                <w:sz w:val="18"/>
                <w:szCs w:val="18"/>
              </w:rPr>
            </w:pPr>
            <w:r>
              <w:rPr>
                <w:rFonts w:hint="eastAsia" w:ascii="宋体" w:hAnsi="宋体" w:cs="宋体"/>
                <w:color w:val="auto"/>
                <w:kern w:val="0"/>
                <w:sz w:val="18"/>
                <w:szCs w:val="18"/>
              </w:rPr>
              <w:t>1.各类活动支持人员不到位或者人员不积极响应的，一次扣2分；</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074E5E58">
            <w:pPr>
              <w:widowControl/>
              <w:jc w:val="center"/>
              <w:rPr>
                <w:rFonts w:eastAsia="等线"/>
                <w:color w:val="auto"/>
                <w:kern w:val="0"/>
                <w:sz w:val="18"/>
                <w:szCs w:val="18"/>
              </w:rPr>
            </w:pPr>
            <w:r>
              <w:rPr>
                <w:rFonts w:eastAsia="等线"/>
                <w:color w:val="auto"/>
                <w:kern w:val="0"/>
                <w:sz w:val="18"/>
                <w:szCs w:val="18"/>
              </w:rPr>
              <w:t>3</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16A04156">
            <w:pPr>
              <w:widowControl/>
              <w:rPr>
                <w:rFonts w:eastAsia="等线"/>
                <w:color w:val="auto"/>
                <w:kern w:val="0"/>
                <w:sz w:val="18"/>
                <w:szCs w:val="18"/>
              </w:rPr>
            </w:pPr>
            <w:r>
              <w:rPr>
                <w:rFonts w:eastAsia="等线"/>
                <w:color w:val="auto"/>
                <w:kern w:val="0"/>
                <w:sz w:val="18"/>
                <w:szCs w:val="18"/>
              </w:rPr>
              <w:t>　</w:t>
            </w:r>
          </w:p>
        </w:tc>
      </w:tr>
      <w:tr w14:paraId="7F5D9F40">
        <w:tblPrEx>
          <w:tblCellMar>
            <w:top w:w="0" w:type="dxa"/>
            <w:left w:w="108" w:type="dxa"/>
            <w:bottom w:w="0" w:type="dxa"/>
            <w:right w:w="108" w:type="dxa"/>
          </w:tblCellMar>
        </w:tblPrEx>
        <w:trPr>
          <w:trHeight w:val="675" w:hRule="atLeast"/>
        </w:trPr>
        <w:tc>
          <w:tcPr>
            <w:tcW w:w="493" w:type="dxa"/>
            <w:vMerge w:val="continue"/>
            <w:tcBorders>
              <w:top w:val="nil"/>
              <w:left w:val="single" w:color="auto" w:sz="8" w:space="0"/>
              <w:bottom w:val="single" w:color="000000" w:sz="8" w:space="0"/>
              <w:right w:val="single" w:color="auto" w:sz="8" w:space="0"/>
            </w:tcBorders>
            <w:vAlign w:val="center"/>
          </w:tcPr>
          <w:p w14:paraId="62D73C63">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604C7D2">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64701FEB">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5695AEEA">
            <w:pPr>
              <w:widowControl/>
              <w:rPr>
                <w:rFonts w:hint="eastAsia" w:ascii="宋体" w:hAnsi="宋体" w:cs="宋体"/>
                <w:color w:val="auto"/>
                <w:kern w:val="0"/>
                <w:sz w:val="18"/>
                <w:szCs w:val="18"/>
              </w:rPr>
            </w:pPr>
            <w:r>
              <w:rPr>
                <w:rFonts w:hint="eastAsia" w:ascii="宋体" w:hAnsi="宋体" w:cs="宋体"/>
                <w:color w:val="auto"/>
                <w:kern w:val="0"/>
                <w:sz w:val="18"/>
                <w:szCs w:val="18"/>
              </w:rPr>
              <w:t>2.按要求负责双语服务规范、流程等起草、翻译和公开发布；</w:t>
            </w:r>
          </w:p>
        </w:tc>
        <w:tc>
          <w:tcPr>
            <w:tcW w:w="5337" w:type="dxa"/>
            <w:tcBorders>
              <w:top w:val="nil"/>
              <w:left w:val="nil"/>
              <w:bottom w:val="nil"/>
              <w:right w:val="single" w:color="auto" w:sz="8" w:space="0"/>
            </w:tcBorders>
            <w:shd w:val="clear" w:color="000000" w:fill="FFFFFF"/>
            <w:vAlign w:val="center"/>
          </w:tcPr>
          <w:p w14:paraId="179C007B">
            <w:pPr>
              <w:widowControl/>
              <w:rPr>
                <w:rFonts w:hint="eastAsia" w:ascii="宋体" w:hAnsi="宋体" w:cs="宋体"/>
                <w:color w:val="auto"/>
                <w:kern w:val="0"/>
                <w:sz w:val="18"/>
                <w:szCs w:val="18"/>
              </w:rPr>
            </w:pPr>
            <w:r>
              <w:rPr>
                <w:rFonts w:hint="eastAsia" w:ascii="宋体" w:hAnsi="宋体" w:cs="宋体"/>
                <w:color w:val="auto"/>
                <w:kern w:val="0"/>
                <w:sz w:val="18"/>
                <w:szCs w:val="18"/>
              </w:rPr>
              <w:t>2.双语服务未及时导致通知或者事宜延后进度，或者张贴物未审核张贴等造成不良后果的，每次扣1分；</w:t>
            </w:r>
          </w:p>
        </w:tc>
        <w:tc>
          <w:tcPr>
            <w:tcW w:w="709" w:type="dxa"/>
            <w:vMerge w:val="continue"/>
            <w:tcBorders>
              <w:top w:val="nil"/>
              <w:left w:val="single" w:color="auto" w:sz="8" w:space="0"/>
              <w:bottom w:val="single" w:color="000000" w:sz="8" w:space="0"/>
              <w:right w:val="single" w:color="auto" w:sz="8" w:space="0"/>
            </w:tcBorders>
            <w:vAlign w:val="center"/>
          </w:tcPr>
          <w:p w14:paraId="4D3AD711">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2192D17D">
            <w:pPr>
              <w:widowControl/>
              <w:jc w:val="left"/>
              <w:rPr>
                <w:rFonts w:eastAsia="等线"/>
                <w:color w:val="auto"/>
                <w:kern w:val="0"/>
                <w:sz w:val="18"/>
                <w:szCs w:val="18"/>
              </w:rPr>
            </w:pPr>
          </w:p>
        </w:tc>
      </w:tr>
      <w:tr w14:paraId="32AD16F2">
        <w:tblPrEx>
          <w:tblCellMar>
            <w:top w:w="0" w:type="dxa"/>
            <w:left w:w="108" w:type="dxa"/>
            <w:bottom w:w="0" w:type="dxa"/>
            <w:right w:w="108" w:type="dxa"/>
          </w:tblCellMar>
        </w:tblPrEx>
        <w:trPr>
          <w:trHeight w:val="900" w:hRule="atLeast"/>
        </w:trPr>
        <w:tc>
          <w:tcPr>
            <w:tcW w:w="493" w:type="dxa"/>
            <w:vMerge w:val="continue"/>
            <w:tcBorders>
              <w:top w:val="nil"/>
              <w:left w:val="single" w:color="auto" w:sz="8" w:space="0"/>
              <w:bottom w:val="single" w:color="000000" w:sz="8" w:space="0"/>
              <w:right w:val="single" w:color="auto" w:sz="8" w:space="0"/>
            </w:tcBorders>
            <w:vAlign w:val="center"/>
          </w:tcPr>
          <w:p w14:paraId="0F2428B0">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6814B83">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43D6ABFA">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1C736126">
            <w:pPr>
              <w:widowControl/>
              <w:rPr>
                <w:rFonts w:hint="eastAsia" w:ascii="宋体" w:hAnsi="宋体" w:cs="宋体"/>
                <w:color w:val="auto"/>
                <w:kern w:val="0"/>
                <w:sz w:val="18"/>
                <w:szCs w:val="18"/>
              </w:rPr>
            </w:pPr>
            <w:r>
              <w:rPr>
                <w:rFonts w:hint="eastAsia" w:ascii="宋体" w:hAnsi="宋体" w:cs="宋体"/>
                <w:color w:val="auto"/>
                <w:kern w:val="0"/>
                <w:sz w:val="18"/>
                <w:szCs w:val="18"/>
              </w:rPr>
              <w:t>3.与校园服务相关的通知、海报设计与双语发布，张贴物应统一形式；</w:t>
            </w:r>
          </w:p>
        </w:tc>
        <w:tc>
          <w:tcPr>
            <w:tcW w:w="5337" w:type="dxa"/>
            <w:tcBorders>
              <w:top w:val="nil"/>
              <w:left w:val="nil"/>
              <w:bottom w:val="nil"/>
              <w:right w:val="single" w:color="auto" w:sz="8" w:space="0"/>
            </w:tcBorders>
            <w:shd w:val="clear" w:color="000000" w:fill="FFFFFF"/>
            <w:vAlign w:val="center"/>
          </w:tcPr>
          <w:p w14:paraId="10316709">
            <w:pPr>
              <w:widowControl/>
              <w:rPr>
                <w:rFonts w:hint="eastAsia" w:ascii="宋体" w:hAnsi="宋体" w:cs="宋体"/>
                <w:color w:val="auto"/>
                <w:kern w:val="0"/>
                <w:sz w:val="18"/>
                <w:szCs w:val="18"/>
              </w:rPr>
            </w:pPr>
            <w:r>
              <w:rPr>
                <w:rFonts w:hint="eastAsia" w:ascii="宋体" w:hAnsi="宋体" w:cs="宋体"/>
                <w:color w:val="auto"/>
                <w:kern w:val="0"/>
                <w:sz w:val="18"/>
                <w:szCs w:val="18"/>
              </w:rPr>
              <w:t>3.为访客提供各类帮助与服务以及为师生提供便民服务、护送服务、观光车服务、共享雨具服务等不到位造成师生投诉的，以服务项目为单位，每项扣1分。</w:t>
            </w:r>
          </w:p>
        </w:tc>
        <w:tc>
          <w:tcPr>
            <w:tcW w:w="709" w:type="dxa"/>
            <w:vMerge w:val="continue"/>
            <w:tcBorders>
              <w:top w:val="nil"/>
              <w:left w:val="single" w:color="auto" w:sz="8" w:space="0"/>
              <w:bottom w:val="single" w:color="000000" w:sz="8" w:space="0"/>
              <w:right w:val="single" w:color="auto" w:sz="8" w:space="0"/>
            </w:tcBorders>
            <w:vAlign w:val="center"/>
          </w:tcPr>
          <w:p w14:paraId="58197DF0">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0C835A89">
            <w:pPr>
              <w:widowControl/>
              <w:jc w:val="left"/>
              <w:rPr>
                <w:rFonts w:eastAsia="等线"/>
                <w:color w:val="auto"/>
                <w:kern w:val="0"/>
                <w:sz w:val="18"/>
                <w:szCs w:val="18"/>
              </w:rPr>
            </w:pPr>
          </w:p>
        </w:tc>
      </w:tr>
      <w:tr w14:paraId="73C67F25">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1DB23D65">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42B4F8EC">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46AB4C96">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31413986">
            <w:pPr>
              <w:widowControl/>
              <w:rPr>
                <w:rFonts w:hint="eastAsia" w:ascii="宋体" w:hAnsi="宋体" w:cs="宋体"/>
                <w:color w:val="auto"/>
                <w:kern w:val="0"/>
                <w:sz w:val="18"/>
                <w:szCs w:val="18"/>
              </w:rPr>
            </w:pPr>
            <w:r>
              <w:rPr>
                <w:rFonts w:hint="eastAsia" w:ascii="宋体" w:hAnsi="宋体" w:cs="宋体"/>
                <w:color w:val="auto"/>
                <w:kern w:val="0"/>
                <w:sz w:val="18"/>
                <w:szCs w:val="18"/>
              </w:rPr>
              <w:t>4.为访客参观提供校园导游介绍服务，为师生、家长、访客提供各类咨询及可能的帮助与服务；</w:t>
            </w:r>
          </w:p>
        </w:tc>
        <w:tc>
          <w:tcPr>
            <w:tcW w:w="5337" w:type="dxa"/>
            <w:tcBorders>
              <w:top w:val="nil"/>
              <w:left w:val="nil"/>
              <w:bottom w:val="nil"/>
              <w:right w:val="single" w:color="auto" w:sz="8" w:space="0"/>
            </w:tcBorders>
            <w:shd w:val="clear" w:color="000000" w:fill="FFFFFF"/>
            <w:vAlign w:val="center"/>
          </w:tcPr>
          <w:p w14:paraId="1A22B891">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5F9791DD">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5C10D182">
            <w:pPr>
              <w:widowControl/>
              <w:jc w:val="left"/>
              <w:rPr>
                <w:rFonts w:eastAsia="等线"/>
                <w:color w:val="auto"/>
                <w:kern w:val="0"/>
                <w:sz w:val="18"/>
                <w:szCs w:val="18"/>
              </w:rPr>
            </w:pPr>
          </w:p>
        </w:tc>
      </w:tr>
      <w:tr w14:paraId="5CE71F1C">
        <w:tblPrEx>
          <w:tblCellMar>
            <w:top w:w="0" w:type="dxa"/>
            <w:left w:w="108" w:type="dxa"/>
            <w:bottom w:w="0" w:type="dxa"/>
            <w:right w:w="108" w:type="dxa"/>
          </w:tblCellMar>
        </w:tblPrEx>
        <w:trPr>
          <w:trHeight w:val="285" w:hRule="atLeast"/>
        </w:trPr>
        <w:tc>
          <w:tcPr>
            <w:tcW w:w="493" w:type="dxa"/>
            <w:vMerge w:val="continue"/>
            <w:tcBorders>
              <w:top w:val="nil"/>
              <w:left w:val="single" w:color="auto" w:sz="8" w:space="0"/>
              <w:bottom w:val="single" w:color="000000" w:sz="8" w:space="0"/>
              <w:right w:val="single" w:color="auto" w:sz="8" w:space="0"/>
            </w:tcBorders>
            <w:vAlign w:val="center"/>
          </w:tcPr>
          <w:p w14:paraId="4FC02132">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3413CAC">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6D2F3E09">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30113A15">
            <w:pPr>
              <w:widowControl/>
              <w:rPr>
                <w:rFonts w:hint="eastAsia" w:ascii="宋体" w:hAnsi="宋体" w:cs="宋体"/>
                <w:color w:val="auto"/>
                <w:kern w:val="0"/>
                <w:sz w:val="18"/>
                <w:szCs w:val="18"/>
              </w:rPr>
            </w:pPr>
            <w:r>
              <w:rPr>
                <w:rFonts w:hint="eastAsia" w:ascii="宋体" w:hAnsi="宋体" w:cs="宋体"/>
                <w:color w:val="auto"/>
                <w:kern w:val="0"/>
                <w:sz w:val="18"/>
                <w:szCs w:val="18"/>
              </w:rPr>
              <w:t>5.提供失物招领等便民服务；</w:t>
            </w:r>
          </w:p>
        </w:tc>
        <w:tc>
          <w:tcPr>
            <w:tcW w:w="5337" w:type="dxa"/>
            <w:tcBorders>
              <w:top w:val="nil"/>
              <w:left w:val="nil"/>
              <w:bottom w:val="nil"/>
              <w:right w:val="single" w:color="auto" w:sz="8" w:space="0"/>
            </w:tcBorders>
            <w:shd w:val="clear" w:color="000000" w:fill="FFFFFF"/>
            <w:vAlign w:val="center"/>
          </w:tcPr>
          <w:p w14:paraId="6ACBEFE4">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650364B8">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52D039F8">
            <w:pPr>
              <w:widowControl/>
              <w:jc w:val="left"/>
              <w:rPr>
                <w:rFonts w:eastAsia="等线"/>
                <w:color w:val="auto"/>
                <w:kern w:val="0"/>
                <w:sz w:val="18"/>
                <w:szCs w:val="18"/>
              </w:rPr>
            </w:pPr>
          </w:p>
        </w:tc>
      </w:tr>
      <w:tr w14:paraId="5F8DDF2E">
        <w:tblPrEx>
          <w:tblCellMar>
            <w:top w:w="0" w:type="dxa"/>
            <w:left w:w="108" w:type="dxa"/>
            <w:bottom w:w="0" w:type="dxa"/>
            <w:right w:w="108" w:type="dxa"/>
          </w:tblCellMar>
        </w:tblPrEx>
        <w:trPr>
          <w:trHeight w:val="285" w:hRule="atLeast"/>
        </w:trPr>
        <w:tc>
          <w:tcPr>
            <w:tcW w:w="493" w:type="dxa"/>
            <w:vMerge w:val="continue"/>
            <w:tcBorders>
              <w:top w:val="nil"/>
              <w:left w:val="single" w:color="auto" w:sz="8" w:space="0"/>
              <w:bottom w:val="single" w:color="000000" w:sz="8" w:space="0"/>
              <w:right w:val="single" w:color="auto" w:sz="8" w:space="0"/>
            </w:tcBorders>
            <w:vAlign w:val="center"/>
          </w:tcPr>
          <w:p w14:paraId="26586FE2">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1B5DB71">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51CA71A">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1613AF7E">
            <w:pPr>
              <w:widowControl/>
              <w:rPr>
                <w:rFonts w:hint="eastAsia" w:ascii="宋体" w:hAnsi="宋体" w:cs="宋体"/>
                <w:color w:val="auto"/>
                <w:kern w:val="0"/>
                <w:sz w:val="18"/>
                <w:szCs w:val="18"/>
              </w:rPr>
            </w:pPr>
            <w:r>
              <w:rPr>
                <w:rFonts w:hint="eastAsia" w:ascii="宋体" w:hAnsi="宋体" w:cs="宋体"/>
                <w:color w:val="auto"/>
                <w:kern w:val="0"/>
                <w:sz w:val="18"/>
                <w:szCs w:val="18"/>
              </w:rPr>
              <w:t>6.为学生提供校区内夜间护送服务；</w:t>
            </w:r>
          </w:p>
        </w:tc>
        <w:tc>
          <w:tcPr>
            <w:tcW w:w="5337" w:type="dxa"/>
            <w:tcBorders>
              <w:top w:val="nil"/>
              <w:left w:val="nil"/>
              <w:bottom w:val="nil"/>
              <w:right w:val="single" w:color="auto" w:sz="8" w:space="0"/>
            </w:tcBorders>
            <w:shd w:val="clear" w:color="000000" w:fill="FFFFFF"/>
            <w:vAlign w:val="center"/>
          </w:tcPr>
          <w:p w14:paraId="7C468E1C">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0AE18051">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205542F2">
            <w:pPr>
              <w:widowControl/>
              <w:jc w:val="left"/>
              <w:rPr>
                <w:rFonts w:eastAsia="等线"/>
                <w:color w:val="auto"/>
                <w:kern w:val="0"/>
                <w:sz w:val="18"/>
                <w:szCs w:val="18"/>
              </w:rPr>
            </w:pPr>
          </w:p>
        </w:tc>
      </w:tr>
      <w:tr w14:paraId="3B9FFA66">
        <w:tblPrEx>
          <w:tblCellMar>
            <w:top w:w="0" w:type="dxa"/>
            <w:left w:w="108" w:type="dxa"/>
            <w:bottom w:w="0" w:type="dxa"/>
            <w:right w:w="108" w:type="dxa"/>
          </w:tblCellMar>
        </w:tblPrEx>
        <w:trPr>
          <w:trHeight w:val="285" w:hRule="atLeast"/>
        </w:trPr>
        <w:tc>
          <w:tcPr>
            <w:tcW w:w="493" w:type="dxa"/>
            <w:vMerge w:val="continue"/>
            <w:tcBorders>
              <w:top w:val="nil"/>
              <w:left w:val="single" w:color="auto" w:sz="8" w:space="0"/>
              <w:bottom w:val="single" w:color="000000" w:sz="8" w:space="0"/>
              <w:right w:val="single" w:color="auto" w:sz="8" w:space="0"/>
            </w:tcBorders>
            <w:vAlign w:val="center"/>
          </w:tcPr>
          <w:p w14:paraId="1C6AC68A">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64CF6B0C">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5DB7817">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1ADD01D9">
            <w:pPr>
              <w:widowControl/>
              <w:rPr>
                <w:rFonts w:hint="eastAsia" w:ascii="宋体" w:hAnsi="宋体" w:cs="宋体"/>
                <w:color w:val="auto"/>
                <w:kern w:val="0"/>
                <w:sz w:val="18"/>
                <w:szCs w:val="18"/>
              </w:rPr>
            </w:pPr>
            <w:r>
              <w:rPr>
                <w:rFonts w:hint="eastAsia" w:ascii="宋体" w:hAnsi="宋体" w:cs="宋体"/>
                <w:color w:val="auto"/>
                <w:kern w:val="0"/>
                <w:sz w:val="18"/>
                <w:szCs w:val="18"/>
              </w:rPr>
              <w:t>7.负责校区观光车管理、维护与驾驶服务；</w:t>
            </w:r>
          </w:p>
        </w:tc>
        <w:tc>
          <w:tcPr>
            <w:tcW w:w="5337" w:type="dxa"/>
            <w:tcBorders>
              <w:top w:val="nil"/>
              <w:left w:val="nil"/>
              <w:bottom w:val="nil"/>
              <w:right w:val="single" w:color="auto" w:sz="8" w:space="0"/>
            </w:tcBorders>
            <w:shd w:val="clear" w:color="000000" w:fill="FFFFFF"/>
            <w:vAlign w:val="center"/>
          </w:tcPr>
          <w:p w14:paraId="688A036A">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26785F3A">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782F3771">
            <w:pPr>
              <w:widowControl/>
              <w:jc w:val="left"/>
              <w:rPr>
                <w:rFonts w:eastAsia="等线"/>
                <w:color w:val="auto"/>
                <w:kern w:val="0"/>
                <w:sz w:val="18"/>
                <w:szCs w:val="18"/>
              </w:rPr>
            </w:pPr>
          </w:p>
        </w:tc>
      </w:tr>
      <w:tr w14:paraId="67E2530A">
        <w:tblPrEx>
          <w:tblCellMar>
            <w:top w:w="0" w:type="dxa"/>
            <w:left w:w="108" w:type="dxa"/>
            <w:bottom w:w="0" w:type="dxa"/>
            <w:right w:w="108" w:type="dxa"/>
          </w:tblCellMar>
        </w:tblPrEx>
        <w:trPr>
          <w:trHeight w:val="285" w:hRule="atLeast"/>
        </w:trPr>
        <w:tc>
          <w:tcPr>
            <w:tcW w:w="493" w:type="dxa"/>
            <w:vMerge w:val="continue"/>
            <w:tcBorders>
              <w:top w:val="nil"/>
              <w:left w:val="single" w:color="auto" w:sz="8" w:space="0"/>
              <w:bottom w:val="single" w:color="000000" w:sz="8" w:space="0"/>
              <w:right w:val="single" w:color="auto" w:sz="8" w:space="0"/>
            </w:tcBorders>
            <w:vAlign w:val="center"/>
          </w:tcPr>
          <w:p w14:paraId="178AC4E0">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63885456">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5A4F099F">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262643F6">
            <w:pPr>
              <w:widowControl/>
              <w:rPr>
                <w:rFonts w:hint="eastAsia" w:ascii="宋体" w:hAnsi="宋体" w:cs="宋体"/>
                <w:color w:val="auto"/>
                <w:kern w:val="0"/>
                <w:sz w:val="18"/>
                <w:szCs w:val="18"/>
              </w:rPr>
            </w:pPr>
            <w:r>
              <w:rPr>
                <w:rFonts w:hint="eastAsia" w:ascii="宋体" w:hAnsi="宋体" w:cs="宋体"/>
                <w:color w:val="auto"/>
                <w:kern w:val="0"/>
                <w:sz w:val="18"/>
                <w:szCs w:val="18"/>
              </w:rPr>
              <w:t>8.配置各门厅共享雨具并负责管理，包括雨伞架、雨伞袋等。</w:t>
            </w:r>
          </w:p>
        </w:tc>
        <w:tc>
          <w:tcPr>
            <w:tcW w:w="5337" w:type="dxa"/>
            <w:tcBorders>
              <w:top w:val="nil"/>
              <w:left w:val="nil"/>
              <w:bottom w:val="single" w:color="auto" w:sz="8" w:space="0"/>
              <w:right w:val="single" w:color="auto" w:sz="8" w:space="0"/>
            </w:tcBorders>
            <w:shd w:val="clear" w:color="000000" w:fill="FFFFFF"/>
            <w:vAlign w:val="center"/>
          </w:tcPr>
          <w:p w14:paraId="1704879B">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1FED64BA">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23C1A708">
            <w:pPr>
              <w:widowControl/>
              <w:jc w:val="left"/>
              <w:rPr>
                <w:rFonts w:eastAsia="等线"/>
                <w:color w:val="auto"/>
                <w:kern w:val="0"/>
                <w:sz w:val="18"/>
                <w:szCs w:val="18"/>
              </w:rPr>
            </w:pPr>
          </w:p>
        </w:tc>
      </w:tr>
      <w:tr w14:paraId="1A115611">
        <w:tblPrEx>
          <w:tblCellMar>
            <w:top w:w="0" w:type="dxa"/>
            <w:left w:w="108" w:type="dxa"/>
            <w:bottom w:w="0" w:type="dxa"/>
            <w:right w:w="108" w:type="dxa"/>
          </w:tblCellMar>
        </w:tblPrEx>
        <w:trPr>
          <w:trHeight w:val="675"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07F7C34E">
            <w:pPr>
              <w:widowControl/>
              <w:jc w:val="center"/>
              <w:rPr>
                <w:rFonts w:eastAsia="等线"/>
                <w:b/>
                <w:bCs/>
                <w:color w:val="auto"/>
                <w:kern w:val="0"/>
                <w:sz w:val="18"/>
                <w:szCs w:val="18"/>
              </w:rPr>
            </w:pPr>
            <w:r>
              <w:rPr>
                <w:rFonts w:eastAsia="等线"/>
                <w:b/>
                <w:bCs/>
                <w:color w:val="auto"/>
                <w:kern w:val="0"/>
                <w:sz w:val="18"/>
                <w:szCs w:val="18"/>
              </w:rPr>
              <w:t>4</w:t>
            </w:r>
            <w:r>
              <w:rPr>
                <w:rFonts w:hint="eastAsia" w:eastAsia="等线"/>
                <w:b/>
                <w:bCs/>
                <w:color w:val="auto"/>
                <w:kern w:val="0"/>
                <w:sz w:val="18"/>
                <w:szCs w:val="18"/>
              </w:rPr>
              <w:t>1</w:t>
            </w:r>
          </w:p>
        </w:tc>
        <w:tc>
          <w:tcPr>
            <w:tcW w:w="578" w:type="dxa"/>
            <w:tcBorders>
              <w:top w:val="nil"/>
              <w:left w:val="nil"/>
              <w:bottom w:val="single" w:color="auto" w:sz="8" w:space="0"/>
              <w:right w:val="single" w:color="auto" w:sz="8" w:space="0"/>
            </w:tcBorders>
            <w:shd w:val="clear" w:color="000000" w:fill="FFFFFF"/>
            <w:vAlign w:val="center"/>
          </w:tcPr>
          <w:p w14:paraId="7978B23C">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校园文化布置</w:t>
            </w:r>
          </w:p>
        </w:tc>
        <w:tc>
          <w:tcPr>
            <w:tcW w:w="578" w:type="dxa"/>
            <w:tcBorders>
              <w:top w:val="nil"/>
              <w:left w:val="nil"/>
              <w:bottom w:val="single" w:color="auto" w:sz="8" w:space="0"/>
              <w:right w:val="single" w:color="auto" w:sz="8" w:space="0"/>
            </w:tcBorders>
            <w:shd w:val="clear" w:color="000000" w:fill="FFFFFF"/>
            <w:vAlign w:val="center"/>
          </w:tcPr>
          <w:p w14:paraId="08780D4C">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校园文化布置</w:t>
            </w:r>
          </w:p>
        </w:tc>
        <w:tc>
          <w:tcPr>
            <w:tcW w:w="5478" w:type="dxa"/>
            <w:tcBorders>
              <w:top w:val="nil"/>
              <w:left w:val="nil"/>
              <w:bottom w:val="single" w:color="auto" w:sz="8" w:space="0"/>
              <w:right w:val="single" w:color="auto" w:sz="8" w:space="0"/>
            </w:tcBorders>
            <w:shd w:val="clear" w:color="000000" w:fill="FFFFFF"/>
            <w:vAlign w:val="center"/>
          </w:tcPr>
          <w:p w14:paraId="2A33D24F">
            <w:pPr>
              <w:widowControl/>
              <w:rPr>
                <w:rFonts w:hint="eastAsia" w:ascii="宋体" w:hAnsi="宋体" w:cs="宋体"/>
                <w:color w:val="auto"/>
                <w:kern w:val="0"/>
                <w:sz w:val="18"/>
                <w:szCs w:val="18"/>
              </w:rPr>
            </w:pPr>
            <w:r>
              <w:rPr>
                <w:rFonts w:hint="eastAsia" w:ascii="宋体" w:hAnsi="宋体" w:cs="宋体"/>
                <w:color w:val="auto"/>
                <w:kern w:val="0"/>
                <w:sz w:val="18"/>
                <w:szCs w:val="18"/>
              </w:rPr>
              <w:t>落实校园及楼宇文化氛围营造、布置和宣传工作，包活节假日（春节、元旦节、国庆节）、迎新和毕业典礼、重大活动等文化氛围（如横幅挂制、海报张贴等），负责垃圾分类、绿色校园建设等培训及专题讲座。</w:t>
            </w:r>
          </w:p>
        </w:tc>
        <w:tc>
          <w:tcPr>
            <w:tcW w:w="5337" w:type="dxa"/>
            <w:tcBorders>
              <w:top w:val="nil"/>
              <w:left w:val="nil"/>
              <w:bottom w:val="single" w:color="auto" w:sz="8" w:space="0"/>
              <w:right w:val="single" w:color="auto" w:sz="8" w:space="0"/>
            </w:tcBorders>
            <w:shd w:val="clear" w:color="000000" w:fill="FFFFFF"/>
            <w:vAlign w:val="center"/>
          </w:tcPr>
          <w:p w14:paraId="6D0A2342">
            <w:pPr>
              <w:widowControl/>
              <w:rPr>
                <w:rFonts w:hint="eastAsia" w:ascii="宋体" w:hAnsi="宋体" w:cs="宋体"/>
                <w:color w:val="auto"/>
                <w:kern w:val="0"/>
                <w:sz w:val="18"/>
                <w:szCs w:val="18"/>
              </w:rPr>
            </w:pPr>
            <w:r>
              <w:rPr>
                <w:rFonts w:hint="eastAsia" w:ascii="宋体" w:hAnsi="宋体" w:cs="宋体"/>
                <w:color w:val="auto"/>
                <w:kern w:val="0"/>
                <w:sz w:val="18"/>
                <w:szCs w:val="18"/>
              </w:rPr>
              <w:t>1.未落实、敷衍落实或滞后落实节假日、迎新、毕业典礼文化氛围营造、布置和宣传工作的，每次扣1分。</w:t>
            </w:r>
          </w:p>
        </w:tc>
        <w:tc>
          <w:tcPr>
            <w:tcW w:w="709" w:type="dxa"/>
            <w:tcBorders>
              <w:top w:val="nil"/>
              <w:left w:val="nil"/>
              <w:bottom w:val="single" w:color="auto" w:sz="8" w:space="0"/>
              <w:right w:val="single" w:color="auto" w:sz="8" w:space="0"/>
            </w:tcBorders>
            <w:shd w:val="clear" w:color="000000" w:fill="FFFFFF"/>
            <w:vAlign w:val="center"/>
          </w:tcPr>
          <w:p w14:paraId="686FD1CE">
            <w:pPr>
              <w:widowControl/>
              <w:jc w:val="center"/>
              <w:rPr>
                <w:rFonts w:eastAsia="等线"/>
                <w:color w:val="auto"/>
                <w:kern w:val="0"/>
                <w:sz w:val="18"/>
                <w:szCs w:val="18"/>
              </w:rPr>
            </w:pPr>
            <w:r>
              <w:rPr>
                <w:rFonts w:eastAsia="等线"/>
                <w:color w:val="auto"/>
                <w:kern w:val="0"/>
                <w:sz w:val="18"/>
                <w:szCs w:val="18"/>
              </w:rPr>
              <w:t>3</w:t>
            </w:r>
          </w:p>
        </w:tc>
        <w:tc>
          <w:tcPr>
            <w:tcW w:w="709" w:type="dxa"/>
            <w:tcBorders>
              <w:top w:val="nil"/>
              <w:left w:val="nil"/>
              <w:bottom w:val="single" w:color="auto" w:sz="8" w:space="0"/>
              <w:right w:val="single" w:color="auto" w:sz="8" w:space="0"/>
            </w:tcBorders>
            <w:shd w:val="clear" w:color="000000" w:fill="FFFFFF"/>
            <w:vAlign w:val="center"/>
          </w:tcPr>
          <w:p w14:paraId="65DE25CA">
            <w:pPr>
              <w:widowControl/>
              <w:rPr>
                <w:rFonts w:eastAsia="等线"/>
                <w:color w:val="auto"/>
                <w:kern w:val="0"/>
                <w:sz w:val="18"/>
                <w:szCs w:val="18"/>
              </w:rPr>
            </w:pPr>
            <w:r>
              <w:rPr>
                <w:rFonts w:eastAsia="等线"/>
                <w:color w:val="auto"/>
                <w:kern w:val="0"/>
                <w:sz w:val="18"/>
                <w:szCs w:val="18"/>
              </w:rPr>
              <w:t>　</w:t>
            </w:r>
          </w:p>
        </w:tc>
      </w:tr>
      <w:tr w14:paraId="15438248">
        <w:tblPrEx>
          <w:tblCellMar>
            <w:top w:w="0" w:type="dxa"/>
            <w:left w:w="108" w:type="dxa"/>
            <w:bottom w:w="0" w:type="dxa"/>
            <w:right w:w="108" w:type="dxa"/>
          </w:tblCellMar>
        </w:tblPrEx>
        <w:trPr>
          <w:trHeight w:val="675" w:hRule="atLeast"/>
        </w:trPr>
        <w:tc>
          <w:tcPr>
            <w:tcW w:w="493" w:type="dxa"/>
            <w:vMerge w:val="restart"/>
            <w:tcBorders>
              <w:top w:val="nil"/>
              <w:left w:val="single" w:color="auto" w:sz="8" w:space="0"/>
              <w:bottom w:val="single" w:color="000000" w:sz="8" w:space="0"/>
              <w:right w:val="single" w:color="auto" w:sz="8" w:space="0"/>
            </w:tcBorders>
            <w:shd w:val="clear" w:color="000000" w:fill="FFFFFF"/>
            <w:vAlign w:val="center"/>
          </w:tcPr>
          <w:p w14:paraId="5B3D037B">
            <w:pPr>
              <w:widowControl/>
              <w:jc w:val="center"/>
              <w:rPr>
                <w:rFonts w:eastAsia="等线"/>
                <w:b/>
                <w:bCs/>
                <w:color w:val="auto"/>
                <w:kern w:val="0"/>
                <w:sz w:val="18"/>
                <w:szCs w:val="18"/>
              </w:rPr>
            </w:pPr>
            <w:r>
              <w:rPr>
                <w:rFonts w:eastAsia="等线"/>
                <w:b/>
                <w:bCs/>
                <w:color w:val="auto"/>
                <w:kern w:val="0"/>
                <w:sz w:val="18"/>
                <w:szCs w:val="18"/>
              </w:rPr>
              <w:t>4</w:t>
            </w:r>
            <w:r>
              <w:rPr>
                <w:rFonts w:hint="eastAsia" w:eastAsia="等线"/>
                <w:b/>
                <w:bCs/>
                <w:color w:val="auto"/>
                <w:kern w:val="0"/>
                <w:sz w:val="18"/>
                <w:szCs w:val="18"/>
              </w:rPr>
              <w:t>2</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144E0753">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楼宇综合管理</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7673C344">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总体服务要求</w:t>
            </w:r>
          </w:p>
        </w:tc>
        <w:tc>
          <w:tcPr>
            <w:tcW w:w="5478" w:type="dxa"/>
            <w:tcBorders>
              <w:top w:val="nil"/>
              <w:left w:val="nil"/>
              <w:bottom w:val="nil"/>
              <w:right w:val="single" w:color="auto" w:sz="8" w:space="0"/>
            </w:tcBorders>
            <w:shd w:val="clear" w:color="000000" w:fill="FFFFFF"/>
            <w:vAlign w:val="center"/>
          </w:tcPr>
          <w:p w14:paraId="6A511F79">
            <w:pPr>
              <w:widowControl/>
              <w:rPr>
                <w:rFonts w:hint="eastAsia" w:ascii="宋体" w:hAnsi="宋体" w:cs="宋体"/>
                <w:color w:val="auto"/>
                <w:kern w:val="0"/>
                <w:sz w:val="18"/>
                <w:szCs w:val="18"/>
              </w:rPr>
            </w:pPr>
            <w:r>
              <w:rPr>
                <w:rFonts w:hint="eastAsia" w:ascii="宋体" w:hAnsi="宋体" w:cs="宋体"/>
                <w:color w:val="auto"/>
                <w:kern w:val="0"/>
                <w:sz w:val="18"/>
                <w:szCs w:val="18"/>
              </w:rPr>
              <w:t>1.根据不同楼宇，分别提供不同功能需求的楼宇综合物业服务，并由乙方按楼宇提供服务手册，确保师生清楚了解每个楼宇或场所的服务内容和服务流程。</w:t>
            </w:r>
          </w:p>
        </w:tc>
        <w:tc>
          <w:tcPr>
            <w:tcW w:w="5337" w:type="dxa"/>
            <w:tcBorders>
              <w:top w:val="nil"/>
              <w:left w:val="nil"/>
              <w:bottom w:val="nil"/>
              <w:right w:val="single" w:color="auto" w:sz="8" w:space="0"/>
            </w:tcBorders>
            <w:shd w:val="clear" w:color="000000" w:fill="FFFFFF"/>
            <w:vAlign w:val="center"/>
          </w:tcPr>
          <w:p w14:paraId="17760D90">
            <w:pPr>
              <w:widowControl/>
              <w:rPr>
                <w:rFonts w:hint="eastAsia" w:ascii="宋体" w:hAnsi="宋体" w:cs="宋体"/>
                <w:color w:val="auto"/>
                <w:kern w:val="0"/>
                <w:sz w:val="18"/>
                <w:szCs w:val="18"/>
              </w:rPr>
            </w:pPr>
            <w:r>
              <w:rPr>
                <w:rFonts w:hint="eastAsia" w:ascii="宋体" w:hAnsi="宋体" w:cs="宋体"/>
                <w:color w:val="auto"/>
                <w:kern w:val="0"/>
                <w:sz w:val="18"/>
                <w:szCs w:val="18"/>
              </w:rPr>
              <w:t>1.因工作态度恶劣造成师生不满投诉的，一次扣1分。</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39D4F14B">
            <w:pPr>
              <w:widowControl/>
              <w:jc w:val="center"/>
              <w:rPr>
                <w:rFonts w:eastAsia="等线"/>
                <w:color w:val="auto"/>
                <w:kern w:val="0"/>
                <w:sz w:val="18"/>
                <w:szCs w:val="18"/>
              </w:rPr>
            </w:pPr>
            <w:r>
              <w:rPr>
                <w:rFonts w:eastAsia="等线"/>
                <w:color w:val="auto"/>
                <w:kern w:val="0"/>
                <w:sz w:val="18"/>
                <w:szCs w:val="18"/>
              </w:rPr>
              <w:t>15</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73EB7780">
            <w:pPr>
              <w:widowControl/>
              <w:rPr>
                <w:rFonts w:eastAsia="等线"/>
                <w:color w:val="auto"/>
                <w:kern w:val="0"/>
                <w:sz w:val="18"/>
                <w:szCs w:val="18"/>
              </w:rPr>
            </w:pPr>
            <w:r>
              <w:rPr>
                <w:rFonts w:eastAsia="等线"/>
                <w:color w:val="auto"/>
                <w:kern w:val="0"/>
                <w:sz w:val="18"/>
                <w:szCs w:val="18"/>
              </w:rPr>
              <w:t>　</w:t>
            </w:r>
          </w:p>
        </w:tc>
      </w:tr>
      <w:tr w14:paraId="5DA11A8B">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61C0791B">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6A56C2C8">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03569E1">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06AEC198">
            <w:pPr>
              <w:widowControl/>
              <w:rPr>
                <w:rFonts w:hint="eastAsia" w:ascii="宋体" w:hAnsi="宋体" w:cs="宋体"/>
                <w:color w:val="auto"/>
                <w:kern w:val="0"/>
                <w:sz w:val="18"/>
                <w:szCs w:val="18"/>
              </w:rPr>
            </w:pPr>
            <w:r>
              <w:rPr>
                <w:rFonts w:hint="eastAsia" w:ascii="宋体" w:hAnsi="宋体" w:cs="宋体"/>
                <w:color w:val="auto"/>
                <w:kern w:val="0"/>
                <w:sz w:val="18"/>
                <w:szCs w:val="18"/>
              </w:rPr>
              <w:t>2.使用文明用语，做到微笑服务，协调楼内各项事宜，服务整改合格率100%；</w:t>
            </w:r>
          </w:p>
        </w:tc>
        <w:tc>
          <w:tcPr>
            <w:tcW w:w="5337" w:type="dxa"/>
            <w:tcBorders>
              <w:top w:val="nil"/>
              <w:left w:val="nil"/>
              <w:bottom w:val="nil"/>
              <w:right w:val="single" w:color="auto" w:sz="8" w:space="0"/>
            </w:tcBorders>
            <w:shd w:val="clear" w:color="000000" w:fill="FFFFFF"/>
            <w:vAlign w:val="center"/>
          </w:tcPr>
          <w:p w14:paraId="456AA217">
            <w:pPr>
              <w:widowControl/>
              <w:rPr>
                <w:rFonts w:hint="eastAsia" w:ascii="宋体" w:hAnsi="宋体" w:cs="宋体"/>
                <w:color w:val="auto"/>
                <w:kern w:val="0"/>
                <w:sz w:val="18"/>
                <w:szCs w:val="18"/>
              </w:rPr>
            </w:pPr>
            <w:r>
              <w:rPr>
                <w:rFonts w:hint="eastAsia" w:ascii="宋体" w:hAnsi="宋体" w:cs="宋体"/>
                <w:color w:val="auto"/>
                <w:kern w:val="0"/>
                <w:sz w:val="18"/>
                <w:szCs w:val="18"/>
              </w:rPr>
              <w:t>2.因未及时检查安全、卫生及设备造成影响正常教学运行的情况发生而造成投诉的，一处扣1分；</w:t>
            </w:r>
          </w:p>
        </w:tc>
        <w:tc>
          <w:tcPr>
            <w:tcW w:w="709" w:type="dxa"/>
            <w:vMerge w:val="continue"/>
            <w:tcBorders>
              <w:top w:val="nil"/>
              <w:left w:val="single" w:color="auto" w:sz="8" w:space="0"/>
              <w:bottom w:val="single" w:color="000000" w:sz="8" w:space="0"/>
              <w:right w:val="single" w:color="auto" w:sz="8" w:space="0"/>
            </w:tcBorders>
            <w:vAlign w:val="center"/>
          </w:tcPr>
          <w:p w14:paraId="1DE7EA0A">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645ADBB4">
            <w:pPr>
              <w:widowControl/>
              <w:jc w:val="left"/>
              <w:rPr>
                <w:rFonts w:eastAsia="等线"/>
                <w:color w:val="auto"/>
                <w:kern w:val="0"/>
                <w:sz w:val="18"/>
                <w:szCs w:val="18"/>
              </w:rPr>
            </w:pPr>
          </w:p>
        </w:tc>
      </w:tr>
      <w:tr w14:paraId="7E6DC501">
        <w:tblPrEx>
          <w:tblCellMar>
            <w:top w:w="0" w:type="dxa"/>
            <w:left w:w="108" w:type="dxa"/>
            <w:bottom w:w="0" w:type="dxa"/>
            <w:right w:w="108" w:type="dxa"/>
          </w:tblCellMar>
        </w:tblPrEx>
        <w:trPr>
          <w:trHeight w:val="675" w:hRule="atLeast"/>
        </w:trPr>
        <w:tc>
          <w:tcPr>
            <w:tcW w:w="493" w:type="dxa"/>
            <w:vMerge w:val="continue"/>
            <w:tcBorders>
              <w:top w:val="nil"/>
              <w:left w:val="single" w:color="auto" w:sz="8" w:space="0"/>
              <w:bottom w:val="single" w:color="000000" w:sz="8" w:space="0"/>
              <w:right w:val="single" w:color="auto" w:sz="8" w:space="0"/>
            </w:tcBorders>
            <w:vAlign w:val="center"/>
          </w:tcPr>
          <w:p w14:paraId="291EECEE">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E573509">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7A6B109">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029EB8CD">
            <w:pPr>
              <w:widowControl/>
              <w:rPr>
                <w:rFonts w:hint="eastAsia" w:ascii="宋体" w:hAnsi="宋体" w:cs="宋体"/>
                <w:color w:val="auto"/>
                <w:kern w:val="0"/>
                <w:sz w:val="18"/>
                <w:szCs w:val="18"/>
              </w:rPr>
            </w:pPr>
            <w:r>
              <w:rPr>
                <w:rFonts w:hint="eastAsia" w:ascii="宋体" w:hAnsi="宋体" w:cs="宋体"/>
                <w:color w:val="auto"/>
                <w:kern w:val="0"/>
                <w:sz w:val="18"/>
                <w:szCs w:val="18"/>
              </w:rPr>
              <w:t>3.定期检查安全、卫生及设备完好状况，合格率95%以上，发现问题及时报修，并做好记录，杜绝影响正常教学运行的情况发生；</w:t>
            </w:r>
          </w:p>
        </w:tc>
        <w:tc>
          <w:tcPr>
            <w:tcW w:w="5337" w:type="dxa"/>
            <w:tcBorders>
              <w:top w:val="nil"/>
              <w:left w:val="nil"/>
              <w:bottom w:val="nil"/>
              <w:right w:val="single" w:color="auto" w:sz="8" w:space="0"/>
            </w:tcBorders>
            <w:shd w:val="clear" w:color="000000" w:fill="FFFFFF"/>
            <w:vAlign w:val="center"/>
          </w:tcPr>
          <w:p w14:paraId="078472E0">
            <w:pPr>
              <w:widowControl/>
              <w:rPr>
                <w:rFonts w:hint="eastAsia" w:ascii="宋体" w:hAnsi="宋体" w:cs="宋体"/>
                <w:color w:val="auto"/>
                <w:kern w:val="0"/>
                <w:sz w:val="18"/>
                <w:szCs w:val="18"/>
              </w:rPr>
            </w:pPr>
            <w:r>
              <w:rPr>
                <w:rFonts w:hint="eastAsia" w:ascii="宋体" w:hAnsi="宋体" w:cs="宋体"/>
                <w:color w:val="auto"/>
                <w:kern w:val="0"/>
                <w:sz w:val="18"/>
                <w:szCs w:val="18"/>
              </w:rPr>
              <w:t>3.人为原因造成信件收发、失物认领出错，能挽回的一次扣0.5分，不可挽回的按严重程度一次扣1-5分；</w:t>
            </w:r>
          </w:p>
        </w:tc>
        <w:tc>
          <w:tcPr>
            <w:tcW w:w="709" w:type="dxa"/>
            <w:vMerge w:val="continue"/>
            <w:tcBorders>
              <w:top w:val="nil"/>
              <w:left w:val="single" w:color="auto" w:sz="8" w:space="0"/>
              <w:bottom w:val="single" w:color="000000" w:sz="8" w:space="0"/>
              <w:right w:val="single" w:color="auto" w:sz="8" w:space="0"/>
            </w:tcBorders>
            <w:vAlign w:val="center"/>
          </w:tcPr>
          <w:p w14:paraId="24512CA3">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1E7AE781">
            <w:pPr>
              <w:widowControl/>
              <w:jc w:val="left"/>
              <w:rPr>
                <w:rFonts w:eastAsia="等线"/>
                <w:color w:val="auto"/>
                <w:kern w:val="0"/>
                <w:sz w:val="18"/>
                <w:szCs w:val="18"/>
              </w:rPr>
            </w:pPr>
          </w:p>
        </w:tc>
      </w:tr>
      <w:tr w14:paraId="147FB25A">
        <w:tblPrEx>
          <w:tblCellMar>
            <w:top w:w="0" w:type="dxa"/>
            <w:left w:w="108" w:type="dxa"/>
            <w:bottom w:w="0" w:type="dxa"/>
            <w:right w:w="108" w:type="dxa"/>
          </w:tblCellMar>
        </w:tblPrEx>
        <w:trPr>
          <w:trHeight w:val="675" w:hRule="atLeast"/>
        </w:trPr>
        <w:tc>
          <w:tcPr>
            <w:tcW w:w="493" w:type="dxa"/>
            <w:vMerge w:val="continue"/>
            <w:tcBorders>
              <w:top w:val="nil"/>
              <w:left w:val="single" w:color="auto" w:sz="8" w:space="0"/>
              <w:bottom w:val="single" w:color="000000" w:sz="8" w:space="0"/>
              <w:right w:val="single" w:color="auto" w:sz="8" w:space="0"/>
            </w:tcBorders>
            <w:vAlign w:val="center"/>
          </w:tcPr>
          <w:p w14:paraId="34038E96">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4F376174">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D322496">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63A3E50C">
            <w:pPr>
              <w:widowControl/>
              <w:rPr>
                <w:rFonts w:hint="eastAsia" w:ascii="宋体" w:hAnsi="宋体" w:cs="宋体"/>
                <w:color w:val="auto"/>
                <w:kern w:val="0"/>
                <w:sz w:val="18"/>
                <w:szCs w:val="18"/>
              </w:rPr>
            </w:pPr>
            <w:r>
              <w:rPr>
                <w:rFonts w:hint="eastAsia" w:ascii="宋体" w:hAnsi="宋体" w:cs="宋体"/>
                <w:color w:val="auto"/>
                <w:kern w:val="0"/>
                <w:sz w:val="18"/>
                <w:szCs w:val="18"/>
              </w:rPr>
              <w:t>4.挂牌服务，礼貌待客；向导咨询，有求必应；例行安检出勤率100%；不得谩骂、殴打学生，不得与师生发生任何冲突，如有纠纷及时向乙方管理部门反映；</w:t>
            </w:r>
          </w:p>
        </w:tc>
        <w:tc>
          <w:tcPr>
            <w:tcW w:w="5337" w:type="dxa"/>
            <w:tcBorders>
              <w:top w:val="nil"/>
              <w:left w:val="nil"/>
              <w:bottom w:val="nil"/>
              <w:right w:val="single" w:color="auto" w:sz="8" w:space="0"/>
            </w:tcBorders>
            <w:shd w:val="clear" w:color="000000" w:fill="FFFFFF"/>
            <w:vAlign w:val="center"/>
          </w:tcPr>
          <w:p w14:paraId="51314426">
            <w:pPr>
              <w:widowControl/>
              <w:rPr>
                <w:rFonts w:hint="eastAsia" w:ascii="宋体" w:hAnsi="宋体" w:cs="宋体"/>
                <w:color w:val="auto"/>
                <w:kern w:val="0"/>
                <w:sz w:val="18"/>
                <w:szCs w:val="18"/>
              </w:rPr>
            </w:pPr>
            <w:r>
              <w:rPr>
                <w:rFonts w:hint="eastAsia" w:ascii="宋体" w:hAnsi="宋体" w:cs="宋体"/>
                <w:color w:val="auto"/>
                <w:kern w:val="0"/>
                <w:sz w:val="18"/>
                <w:szCs w:val="18"/>
              </w:rPr>
              <w:t>4.因未提前做相应的准备工作，造成影响师生考试或课程安排而造成投诉的，一次扣1分；</w:t>
            </w:r>
          </w:p>
        </w:tc>
        <w:tc>
          <w:tcPr>
            <w:tcW w:w="709" w:type="dxa"/>
            <w:vMerge w:val="continue"/>
            <w:tcBorders>
              <w:top w:val="nil"/>
              <w:left w:val="single" w:color="auto" w:sz="8" w:space="0"/>
              <w:bottom w:val="single" w:color="000000" w:sz="8" w:space="0"/>
              <w:right w:val="single" w:color="auto" w:sz="8" w:space="0"/>
            </w:tcBorders>
            <w:vAlign w:val="center"/>
          </w:tcPr>
          <w:p w14:paraId="46D2F04A">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5A90B2AC">
            <w:pPr>
              <w:widowControl/>
              <w:jc w:val="left"/>
              <w:rPr>
                <w:rFonts w:eastAsia="等线"/>
                <w:color w:val="auto"/>
                <w:kern w:val="0"/>
                <w:sz w:val="18"/>
                <w:szCs w:val="18"/>
              </w:rPr>
            </w:pPr>
          </w:p>
        </w:tc>
      </w:tr>
      <w:tr w14:paraId="52514362">
        <w:tblPrEx>
          <w:tblCellMar>
            <w:top w:w="0" w:type="dxa"/>
            <w:left w:w="108" w:type="dxa"/>
            <w:bottom w:w="0" w:type="dxa"/>
            <w:right w:w="108" w:type="dxa"/>
          </w:tblCellMar>
        </w:tblPrEx>
        <w:trPr>
          <w:trHeight w:val="675" w:hRule="atLeast"/>
        </w:trPr>
        <w:tc>
          <w:tcPr>
            <w:tcW w:w="493" w:type="dxa"/>
            <w:vMerge w:val="continue"/>
            <w:tcBorders>
              <w:top w:val="nil"/>
              <w:left w:val="single" w:color="auto" w:sz="8" w:space="0"/>
              <w:bottom w:val="single" w:color="000000" w:sz="8" w:space="0"/>
              <w:right w:val="single" w:color="auto" w:sz="8" w:space="0"/>
            </w:tcBorders>
            <w:vAlign w:val="center"/>
          </w:tcPr>
          <w:p w14:paraId="16630E7A">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342E4093">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BAC9399">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562BEDCE">
            <w:pPr>
              <w:widowControl/>
              <w:rPr>
                <w:rFonts w:hint="eastAsia" w:ascii="宋体" w:hAnsi="宋体" w:cs="宋体"/>
                <w:color w:val="auto"/>
                <w:kern w:val="0"/>
                <w:sz w:val="18"/>
                <w:szCs w:val="18"/>
              </w:rPr>
            </w:pPr>
            <w:r>
              <w:rPr>
                <w:rFonts w:hint="eastAsia" w:ascii="宋体" w:hAnsi="宋体" w:cs="宋体"/>
                <w:color w:val="auto"/>
                <w:kern w:val="0"/>
                <w:sz w:val="18"/>
                <w:szCs w:val="18"/>
              </w:rPr>
              <w:t>5.定期对员工进行培训；</w:t>
            </w:r>
          </w:p>
        </w:tc>
        <w:tc>
          <w:tcPr>
            <w:tcW w:w="5337" w:type="dxa"/>
            <w:tcBorders>
              <w:top w:val="nil"/>
              <w:left w:val="nil"/>
              <w:bottom w:val="nil"/>
              <w:right w:val="single" w:color="auto" w:sz="8" w:space="0"/>
            </w:tcBorders>
            <w:shd w:val="clear" w:color="000000" w:fill="FFFFFF"/>
            <w:vAlign w:val="center"/>
          </w:tcPr>
          <w:p w14:paraId="07F7DDDA">
            <w:pPr>
              <w:widowControl/>
              <w:rPr>
                <w:rFonts w:hint="eastAsia" w:ascii="宋体" w:hAnsi="宋体" w:cs="宋体"/>
                <w:color w:val="auto"/>
                <w:kern w:val="0"/>
                <w:sz w:val="18"/>
                <w:szCs w:val="18"/>
              </w:rPr>
            </w:pPr>
            <w:r>
              <w:rPr>
                <w:rFonts w:hint="eastAsia" w:ascii="宋体" w:hAnsi="宋体" w:cs="宋体"/>
                <w:color w:val="auto"/>
                <w:kern w:val="0"/>
                <w:sz w:val="18"/>
                <w:szCs w:val="18"/>
              </w:rPr>
              <w:t>5.因钥匙保管不当或者钥匙借用未登记等造成教室内物件损坏、遗失或泄露保密信息的，按严重程度一次扣1-5分；</w:t>
            </w:r>
          </w:p>
        </w:tc>
        <w:tc>
          <w:tcPr>
            <w:tcW w:w="709" w:type="dxa"/>
            <w:vMerge w:val="continue"/>
            <w:tcBorders>
              <w:top w:val="nil"/>
              <w:left w:val="single" w:color="auto" w:sz="8" w:space="0"/>
              <w:bottom w:val="single" w:color="000000" w:sz="8" w:space="0"/>
              <w:right w:val="single" w:color="auto" w:sz="8" w:space="0"/>
            </w:tcBorders>
            <w:vAlign w:val="center"/>
          </w:tcPr>
          <w:p w14:paraId="568E6319">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49EB24D8">
            <w:pPr>
              <w:widowControl/>
              <w:jc w:val="left"/>
              <w:rPr>
                <w:rFonts w:eastAsia="等线"/>
                <w:color w:val="auto"/>
                <w:kern w:val="0"/>
                <w:sz w:val="18"/>
                <w:szCs w:val="18"/>
              </w:rPr>
            </w:pPr>
          </w:p>
        </w:tc>
      </w:tr>
      <w:tr w14:paraId="33CE7FE3">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27F8AACB">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0AF6314">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8AD2788">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48EC3616">
            <w:pPr>
              <w:widowControl/>
              <w:rPr>
                <w:rFonts w:hint="eastAsia" w:ascii="宋体" w:hAnsi="宋体" w:cs="宋体"/>
                <w:color w:val="auto"/>
                <w:kern w:val="0"/>
                <w:sz w:val="18"/>
                <w:szCs w:val="18"/>
              </w:rPr>
            </w:pPr>
            <w:r>
              <w:rPr>
                <w:rFonts w:hint="eastAsia" w:ascii="宋体" w:hAnsi="宋体" w:cs="宋体"/>
                <w:color w:val="auto"/>
                <w:kern w:val="0"/>
                <w:sz w:val="18"/>
                <w:szCs w:val="18"/>
              </w:rPr>
              <w:t>6.做好报刊、杂志等收发管理工作；</w:t>
            </w:r>
          </w:p>
        </w:tc>
        <w:tc>
          <w:tcPr>
            <w:tcW w:w="5337" w:type="dxa"/>
            <w:tcBorders>
              <w:top w:val="nil"/>
              <w:left w:val="nil"/>
              <w:bottom w:val="nil"/>
              <w:right w:val="single" w:color="auto" w:sz="8" w:space="0"/>
            </w:tcBorders>
            <w:shd w:val="clear" w:color="000000" w:fill="FFFFFF"/>
            <w:vAlign w:val="center"/>
          </w:tcPr>
          <w:p w14:paraId="41E847D5">
            <w:pPr>
              <w:widowControl/>
              <w:rPr>
                <w:rFonts w:hint="eastAsia" w:ascii="宋体" w:hAnsi="宋体" w:cs="宋体"/>
                <w:color w:val="auto"/>
                <w:kern w:val="0"/>
                <w:sz w:val="18"/>
                <w:szCs w:val="18"/>
              </w:rPr>
            </w:pPr>
            <w:r>
              <w:rPr>
                <w:rFonts w:hint="eastAsia" w:ascii="宋体" w:hAnsi="宋体" w:cs="宋体"/>
                <w:color w:val="auto"/>
                <w:kern w:val="0"/>
                <w:sz w:val="18"/>
                <w:szCs w:val="18"/>
              </w:rPr>
              <w:t>6.因未及时维修教学设施，造成影响正常教学而造成投诉的，一次扣1分；</w:t>
            </w:r>
          </w:p>
        </w:tc>
        <w:tc>
          <w:tcPr>
            <w:tcW w:w="709" w:type="dxa"/>
            <w:vMerge w:val="continue"/>
            <w:tcBorders>
              <w:top w:val="nil"/>
              <w:left w:val="single" w:color="auto" w:sz="8" w:space="0"/>
              <w:bottom w:val="single" w:color="000000" w:sz="8" w:space="0"/>
              <w:right w:val="single" w:color="auto" w:sz="8" w:space="0"/>
            </w:tcBorders>
            <w:vAlign w:val="center"/>
          </w:tcPr>
          <w:p w14:paraId="7D2BDF9A">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61590D54">
            <w:pPr>
              <w:widowControl/>
              <w:jc w:val="left"/>
              <w:rPr>
                <w:rFonts w:eastAsia="等线"/>
                <w:color w:val="auto"/>
                <w:kern w:val="0"/>
                <w:sz w:val="18"/>
                <w:szCs w:val="18"/>
              </w:rPr>
            </w:pPr>
          </w:p>
        </w:tc>
      </w:tr>
      <w:tr w14:paraId="0D2669D0">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4D6E61BA">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7DCBED3">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5CC634CC">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5AABB660">
            <w:pPr>
              <w:widowControl/>
              <w:rPr>
                <w:rFonts w:hint="eastAsia" w:ascii="宋体" w:hAnsi="宋体" w:cs="宋体"/>
                <w:color w:val="auto"/>
                <w:kern w:val="0"/>
                <w:sz w:val="18"/>
                <w:szCs w:val="18"/>
              </w:rPr>
            </w:pPr>
            <w:r>
              <w:rPr>
                <w:rFonts w:hint="eastAsia" w:ascii="宋体" w:hAnsi="宋体" w:cs="宋体"/>
                <w:color w:val="auto"/>
                <w:kern w:val="0"/>
                <w:sz w:val="18"/>
                <w:szCs w:val="18"/>
              </w:rPr>
              <w:t>7.根据校方教学管理部门的课程安排及教室使用安排（如考试安排等），提前做好相应的准备工作，为师生提供方便、舒适的环境；</w:t>
            </w:r>
          </w:p>
        </w:tc>
        <w:tc>
          <w:tcPr>
            <w:tcW w:w="5337" w:type="dxa"/>
            <w:tcBorders>
              <w:top w:val="nil"/>
              <w:left w:val="nil"/>
              <w:bottom w:val="nil"/>
              <w:right w:val="single" w:color="auto" w:sz="8" w:space="0"/>
            </w:tcBorders>
            <w:shd w:val="clear" w:color="000000" w:fill="FFFFFF"/>
            <w:vAlign w:val="center"/>
          </w:tcPr>
          <w:p w14:paraId="3BA9E400">
            <w:pPr>
              <w:widowControl/>
              <w:rPr>
                <w:rFonts w:hint="eastAsia" w:ascii="宋体" w:hAnsi="宋体" w:cs="宋体"/>
                <w:color w:val="auto"/>
                <w:kern w:val="0"/>
                <w:sz w:val="18"/>
                <w:szCs w:val="18"/>
              </w:rPr>
            </w:pPr>
            <w:r>
              <w:rPr>
                <w:rFonts w:hint="eastAsia" w:ascii="宋体" w:hAnsi="宋体" w:cs="宋体"/>
                <w:color w:val="auto"/>
                <w:kern w:val="0"/>
                <w:sz w:val="18"/>
                <w:szCs w:val="18"/>
              </w:rPr>
              <w:t>7.因未做好教室休息室环境服务等而造成投诉的，一次扣1分；</w:t>
            </w:r>
          </w:p>
        </w:tc>
        <w:tc>
          <w:tcPr>
            <w:tcW w:w="709" w:type="dxa"/>
            <w:vMerge w:val="continue"/>
            <w:tcBorders>
              <w:top w:val="nil"/>
              <w:left w:val="single" w:color="auto" w:sz="8" w:space="0"/>
              <w:bottom w:val="single" w:color="000000" w:sz="8" w:space="0"/>
              <w:right w:val="single" w:color="auto" w:sz="8" w:space="0"/>
            </w:tcBorders>
            <w:vAlign w:val="center"/>
          </w:tcPr>
          <w:p w14:paraId="153818E5">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366A5631">
            <w:pPr>
              <w:widowControl/>
              <w:jc w:val="left"/>
              <w:rPr>
                <w:rFonts w:eastAsia="等线"/>
                <w:color w:val="auto"/>
                <w:kern w:val="0"/>
                <w:sz w:val="18"/>
                <w:szCs w:val="18"/>
              </w:rPr>
            </w:pPr>
          </w:p>
        </w:tc>
      </w:tr>
      <w:tr w14:paraId="4752C7D5">
        <w:tblPrEx>
          <w:tblCellMar>
            <w:top w:w="0" w:type="dxa"/>
            <w:left w:w="108" w:type="dxa"/>
            <w:bottom w:w="0" w:type="dxa"/>
            <w:right w:w="108" w:type="dxa"/>
          </w:tblCellMar>
        </w:tblPrEx>
        <w:trPr>
          <w:trHeight w:val="900" w:hRule="atLeast"/>
        </w:trPr>
        <w:tc>
          <w:tcPr>
            <w:tcW w:w="493" w:type="dxa"/>
            <w:vMerge w:val="continue"/>
            <w:tcBorders>
              <w:top w:val="nil"/>
              <w:left w:val="single" w:color="auto" w:sz="8" w:space="0"/>
              <w:bottom w:val="single" w:color="000000" w:sz="8" w:space="0"/>
              <w:right w:val="single" w:color="auto" w:sz="8" w:space="0"/>
            </w:tcBorders>
            <w:vAlign w:val="center"/>
          </w:tcPr>
          <w:p w14:paraId="5D34DA6D">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4818B48B">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DB26B30">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1F1CF94C">
            <w:pPr>
              <w:widowControl/>
              <w:rPr>
                <w:rFonts w:hint="eastAsia" w:ascii="宋体" w:hAnsi="宋体" w:cs="宋体"/>
                <w:color w:val="auto"/>
                <w:kern w:val="0"/>
                <w:sz w:val="18"/>
                <w:szCs w:val="18"/>
              </w:rPr>
            </w:pPr>
            <w:r>
              <w:rPr>
                <w:rFonts w:hint="eastAsia" w:ascii="宋体" w:hAnsi="宋体" w:cs="宋体"/>
                <w:color w:val="auto"/>
                <w:kern w:val="0"/>
                <w:sz w:val="18"/>
                <w:szCs w:val="18"/>
              </w:rPr>
              <w:t>8.负责建筑物内所有房间的钥匙管理，做好钥匙借用登记。按照校方的作息时间和相关部门要求开关入口门及相关教室、实验室、场馆等房间门，按要求准时切送照明及有关设施电源，确保教学、实验等的正常进行；</w:t>
            </w:r>
          </w:p>
        </w:tc>
        <w:tc>
          <w:tcPr>
            <w:tcW w:w="5337" w:type="dxa"/>
            <w:tcBorders>
              <w:top w:val="nil"/>
              <w:left w:val="nil"/>
              <w:bottom w:val="nil"/>
              <w:right w:val="single" w:color="auto" w:sz="8" w:space="0"/>
            </w:tcBorders>
            <w:shd w:val="clear" w:color="000000" w:fill="FFFFFF"/>
            <w:vAlign w:val="center"/>
          </w:tcPr>
          <w:p w14:paraId="7A53C8D9">
            <w:pPr>
              <w:widowControl/>
              <w:rPr>
                <w:rFonts w:hint="eastAsia" w:ascii="宋体" w:hAnsi="宋体" w:cs="宋体"/>
                <w:color w:val="auto"/>
                <w:kern w:val="0"/>
                <w:sz w:val="18"/>
                <w:szCs w:val="18"/>
              </w:rPr>
            </w:pPr>
            <w:r>
              <w:rPr>
                <w:rFonts w:hint="eastAsia" w:ascii="宋体" w:hAnsi="宋体" w:cs="宋体"/>
                <w:color w:val="auto"/>
                <w:kern w:val="0"/>
                <w:sz w:val="18"/>
                <w:szCs w:val="18"/>
              </w:rPr>
              <w:t>8.因未按校方要求在晚自习后及时清楼设备检查和卫生保洁导致物件丢失或者师生投诉的，一次扣1分；</w:t>
            </w:r>
          </w:p>
        </w:tc>
        <w:tc>
          <w:tcPr>
            <w:tcW w:w="709" w:type="dxa"/>
            <w:vMerge w:val="continue"/>
            <w:tcBorders>
              <w:top w:val="nil"/>
              <w:left w:val="single" w:color="auto" w:sz="8" w:space="0"/>
              <w:bottom w:val="single" w:color="000000" w:sz="8" w:space="0"/>
              <w:right w:val="single" w:color="auto" w:sz="8" w:space="0"/>
            </w:tcBorders>
            <w:vAlign w:val="center"/>
          </w:tcPr>
          <w:p w14:paraId="3B1F76D0">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191CD651">
            <w:pPr>
              <w:widowControl/>
              <w:jc w:val="left"/>
              <w:rPr>
                <w:rFonts w:eastAsia="等线"/>
                <w:color w:val="auto"/>
                <w:kern w:val="0"/>
                <w:sz w:val="18"/>
                <w:szCs w:val="18"/>
              </w:rPr>
            </w:pPr>
          </w:p>
        </w:tc>
      </w:tr>
      <w:tr w14:paraId="00636195">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309C6660">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6D710828">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30F4E9AE">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4D9DC765">
            <w:pPr>
              <w:widowControl/>
              <w:rPr>
                <w:rFonts w:hint="eastAsia" w:ascii="宋体" w:hAnsi="宋体" w:cs="宋体"/>
                <w:color w:val="auto"/>
                <w:kern w:val="0"/>
                <w:sz w:val="18"/>
                <w:szCs w:val="18"/>
              </w:rPr>
            </w:pPr>
            <w:r>
              <w:rPr>
                <w:rFonts w:hint="eastAsia" w:ascii="宋体" w:hAnsi="宋体" w:cs="宋体"/>
                <w:color w:val="auto"/>
                <w:kern w:val="0"/>
                <w:sz w:val="18"/>
                <w:szCs w:val="18"/>
              </w:rPr>
              <w:t>9、确保各种教学设施正常工作，黑板升降顺畅，升降过程无异响。多媒体教室遮光窗帘完备、卫生；</w:t>
            </w:r>
          </w:p>
        </w:tc>
        <w:tc>
          <w:tcPr>
            <w:tcW w:w="5337" w:type="dxa"/>
            <w:tcBorders>
              <w:top w:val="nil"/>
              <w:left w:val="nil"/>
              <w:bottom w:val="nil"/>
              <w:right w:val="single" w:color="auto" w:sz="8" w:space="0"/>
            </w:tcBorders>
            <w:shd w:val="clear" w:color="000000" w:fill="FFFFFF"/>
            <w:vAlign w:val="center"/>
          </w:tcPr>
          <w:p w14:paraId="577D9F42">
            <w:pPr>
              <w:widowControl/>
              <w:rPr>
                <w:rFonts w:hint="eastAsia" w:ascii="宋体" w:hAnsi="宋体" w:cs="宋体"/>
                <w:color w:val="auto"/>
                <w:kern w:val="0"/>
                <w:sz w:val="18"/>
                <w:szCs w:val="18"/>
              </w:rPr>
            </w:pPr>
            <w:r>
              <w:rPr>
                <w:rFonts w:hint="eastAsia" w:ascii="宋体" w:hAnsi="宋体" w:cs="宋体"/>
                <w:color w:val="auto"/>
                <w:kern w:val="0"/>
                <w:sz w:val="18"/>
                <w:szCs w:val="18"/>
              </w:rPr>
              <w:t>9.未做好建筑物内外设备设施底数登记清查，按楼宇每栋扣1分；</w:t>
            </w:r>
          </w:p>
        </w:tc>
        <w:tc>
          <w:tcPr>
            <w:tcW w:w="709" w:type="dxa"/>
            <w:vMerge w:val="continue"/>
            <w:tcBorders>
              <w:top w:val="nil"/>
              <w:left w:val="single" w:color="auto" w:sz="8" w:space="0"/>
              <w:bottom w:val="single" w:color="000000" w:sz="8" w:space="0"/>
              <w:right w:val="single" w:color="auto" w:sz="8" w:space="0"/>
            </w:tcBorders>
            <w:vAlign w:val="center"/>
          </w:tcPr>
          <w:p w14:paraId="1251C89A">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77D37CC6">
            <w:pPr>
              <w:widowControl/>
              <w:jc w:val="left"/>
              <w:rPr>
                <w:rFonts w:eastAsia="等线"/>
                <w:color w:val="auto"/>
                <w:kern w:val="0"/>
                <w:sz w:val="18"/>
                <w:szCs w:val="18"/>
              </w:rPr>
            </w:pPr>
          </w:p>
        </w:tc>
      </w:tr>
      <w:tr w14:paraId="0334217C">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09DA6EA7">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7DA948E">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F8AEF82">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7D205690">
            <w:pPr>
              <w:widowControl/>
              <w:rPr>
                <w:rFonts w:hint="eastAsia" w:ascii="宋体" w:hAnsi="宋体" w:cs="宋体"/>
                <w:color w:val="auto"/>
                <w:kern w:val="0"/>
                <w:sz w:val="18"/>
                <w:szCs w:val="18"/>
              </w:rPr>
            </w:pPr>
            <w:r>
              <w:rPr>
                <w:rFonts w:hint="eastAsia" w:ascii="宋体" w:hAnsi="宋体" w:cs="宋体"/>
                <w:color w:val="auto"/>
                <w:kern w:val="0"/>
                <w:sz w:val="18"/>
                <w:szCs w:val="18"/>
              </w:rPr>
              <w:t>10.做好教师休息室的秩序和物品管理，配置绿色植物、意见本、保障开水供应和卫生环境，不得私白占用；</w:t>
            </w:r>
          </w:p>
        </w:tc>
        <w:tc>
          <w:tcPr>
            <w:tcW w:w="5337" w:type="dxa"/>
            <w:tcBorders>
              <w:top w:val="nil"/>
              <w:left w:val="nil"/>
              <w:bottom w:val="nil"/>
              <w:right w:val="single" w:color="auto" w:sz="8" w:space="0"/>
            </w:tcBorders>
            <w:shd w:val="clear" w:color="000000" w:fill="FFFFFF"/>
            <w:vAlign w:val="center"/>
          </w:tcPr>
          <w:p w14:paraId="7947E37C">
            <w:pPr>
              <w:widowControl/>
              <w:rPr>
                <w:rFonts w:hint="eastAsia" w:ascii="宋体" w:hAnsi="宋体" w:cs="宋体"/>
                <w:color w:val="auto"/>
                <w:kern w:val="0"/>
                <w:sz w:val="18"/>
                <w:szCs w:val="18"/>
              </w:rPr>
            </w:pPr>
            <w:r>
              <w:rPr>
                <w:rFonts w:hint="eastAsia" w:ascii="宋体" w:hAnsi="宋体" w:cs="宋体"/>
                <w:color w:val="auto"/>
                <w:kern w:val="0"/>
                <w:sz w:val="18"/>
                <w:szCs w:val="18"/>
              </w:rPr>
              <w:t>10.因未妥善管理校方建筑物内宣传品而造成师生投诉的，一次扣1分；</w:t>
            </w:r>
          </w:p>
        </w:tc>
        <w:tc>
          <w:tcPr>
            <w:tcW w:w="709" w:type="dxa"/>
            <w:vMerge w:val="continue"/>
            <w:tcBorders>
              <w:top w:val="nil"/>
              <w:left w:val="single" w:color="auto" w:sz="8" w:space="0"/>
              <w:bottom w:val="single" w:color="000000" w:sz="8" w:space="0"/>
              <w:right w:val="single" w:color="auto" w:sz="8" w:space="0"/>
            </w:tcBorders>
            <w:vAlign w:val="center"/>
          </w:tcPr>
          <w:p w14:paraId="61F3E43C">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1D133728">
            <w:pPr>
              <w:widowControl/>
              <w:jc w:val="left"/>
              <w:rPr>
                <w:rFonts w:eastAsia="等线"/>
                <w:color w:val="auto"/>
                <w:kern w:val="0"/>
                <w:sz w:val="18"/>
                <w:szCs w:val="18"/>
              </w:rPr>
            </w:pPr>
          </w:p>
        </w:tc>
      </w:tr>
      <w:tr w14:paraId="713C71BB">
        <w:tblPrEx>
          <w:tblCellMar>
            <w:top w:w="0" w:type="dxa"/>
            <w:left w:w="108" w:type="dxa"/>
            <w:bottom w:w="0" w:type="dxa"/>
            <w:right w:w="108" w:type="dxa"/>
          </w:tblCellMar>
        </w:tblPrEx>
        <w:trPr>
          <w:trHeight w:val="675" w:hRule="atLeast"/>
        </w:trPr>
        <w:tc>
          <w:tcPr>
            <w:tcW w:w="493" w:type="dxa"/>
            <w:vMerge w:val="continue"/>
            <w:tcBorders>
              <w:top w:val="nil"/>
              <w:left w:val="single" w:color="auto" w:sz="8" w:space="0"/>
              <w:bottom w:val="single" w:color="000000" w:sz="8" w:space="0"/>
              <w:right w:val="single" w:color="auto" w:sz="8" w:space="0"/>
            </w:tcBorders>
            <w:vAlign w:val="center"/>
          </w:tcPr>
          <w:p w14:paraId="4F16E0D8">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E8D4563">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E0E0DCD">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33C6488E">
            <w:pPr>
              <w:widowControl/>
              <w:rPr>
                <w:rFonts w:hint="eastAsia" w:ascii="宋体" w:hAnsi="宋体" w:cs="宋体"/>
                <w:color w:val="auto"/>
                <w:kern w:val="0"/>
                <w:sz w:val="18"/>
                <w:szCs w:val="18"/>
              </w:rPr>
            </w:pPr>
            <w:r>
              <w:rPr>
                <w:rFonts w:hint="eastAsia" w:ascii="宋体" w:hAnsi="宋体" w:cs="宋体"/>
                <w:color w:val="auto"/>
                <w:kern w:val="0"/>
                <w:sz w:val="18"/>
                <w:szCs w:val="18"/>
              </w:rPr>
              <w:t>11.按校方要求检查教室开放关闭情况，晚自习后，组织员工做好清楼设备检查及卫生保洁工作；负责晚问建筑物关闭后的全楼巡视，关闭门窗、检查水电有无异常情况并确定无闲杂人员滞留;；</w:t>
            </w:r>
          </w:p>
        </w:tc>
        <w:tc>
          <w:tcPr>
            <w:tcW w:w="5337" w:type="dxa"/>
            <w:tcBorders>
              <w:top w:val="nil"/>
              <w:left w:val="nil"/>
              <w:bottom w:val="nil"/>
              <w:right w:val="single" w:color="auto" w:sz="8" w:space="0"/>
            </w:tcBorders>
            <w:shd w:val="clear" w:color="000000" w:fill="FFFFFF"/>
            <w:vAlign w:val="center"/>
          </w:tcPr>
          <w:p w14:paraId="40B0067E">
            <w:pPr>
              <w:widowControl/>
              <w:rPr>
                <w:rFonts w:hint="eastAsia" w:ascii="宋体" w:hAnsi="宋体" w:cs="宋体"/>
                <w:color w:val="auto"/>
                <w:kern w:val="0"/>
                <w:sz w:val="18"/>
                <w:szCs w:val="18"/>
              </w:rPr>
            </w:pPr>
            <w:r>
              <w:rPr>
                <w:rFonts w:hint="eastAsia" w:ascii="宋体" w:hAnsi="宋体" w:cs="宋体"/>
                <w:color w:val="auto"/>
                <w:kern w:val="0"/>
                <w:sz w:val="18"/>
                <w:szCs w:val="18"/>
              </w:rPr>
              <w:t>11.遇突发事件未及时制定应急处置预案的，视情况扣1-5分；</w:t>
            </w:r>
          </w:p>
        </w:tc>
        <w:tc>
          <w:tcPr>
            <w:tcW w:w="709" w:type="dxa"/>
            <w:vMerge w:val="continue"/>
            <w:tcBorders>
              <w:top w:val="nil"/>
              <w:left w:val="single" w:color="auto" w:sz="8" w:space="0"/>
              <w:bottom w:val="single" w:color="000000" w:sz="8" w:space="0"/>
              <w:right w:val="single" w:color="auto" w:sz="8" w:space="0"/>
            </w:tcBorders>
            <w:vAlign w:val="center"/>
          </w:tcPr>
          <w:p w14:paraId="497A962B">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2B437FDB">
            <w:pPr>
              <w:widowControl/>
              <w:jc w:val="left"/>
              <w:rPr>
                <w:rFonts w:eastAsia="等线"/>
                <w:color w:val="auto"/>
                <w:kern w:val="0"/>
                <w:sz w:val="18"/>
                <w:szCs w:val="18"/>
              </w:rPr>
            </w:pPr>
          </w:p>
        </w:tc>
      </w:tr>
      <w:tr w14:paraId="73D0F6CC">
        <w:tblPrEx>
          <w:tblCellMar>
            <w:top w:w="0" w:type="dxa"/>
            <w:left w:w="108" w:type="dxa"/>
            <w:bottom w:w="0" w:type="dxa"/>
            <w:right w:w="108" w:type="dxa"/>
          </w:tblCellMar>
        </w:tblPrEx>
        <w:trPr>
          <w:trHeight w:val="1125" w:hRule="atLeast"/>
        </w:trPr>
        <w:tc>
          <w:tcPr>
            <w:tcW w:w="493" w:type="dxa"/>
            <w:vMerge w:val="continue"/>
            <w:tcBorders>
              <w:top w:val="nil"/>
              <w:left w:val="single" w:color="auto" w:sz="8" w:space="0"/>
              <w:bottom w:val="single" w:color="000000" w:sz="8" w:space="0"/>
              <w:right w:val="single" w:color="auto" w:sz="8" w:space="0"/>
            </w:tcBorders>
            <w:vAlign w:val="center"/>
          </w:tcPr>
          <w:p w14:paraId="480AD617">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41546D22">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45013890">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3EAF51CD">
            <w:pPr>
              <w:widowControl/>
              <w:rPr>
                <w:rFonts w:hint="eastAsia" w:ascii="宋体" w:hAnsi="宋体" w:cs="宋体"/>
                <w:color w:val="auto"/>
                <w:kern w:val="0"/>
                <w:sz w:val="18"/>
                <w:szCs w:val="18"/>
              </w:rPr>
            </w:pPr>
            <w:r>
              <w:rPr>
                <w:rFonts w:hint="eastAsia" w:ascii="宋体" w:hAnsi="宋体" w:cs="宋体"/>
                <w:color w:val="auto"/>
                <w:kern w:val="0"/>
                <w:sz w:val="18"/>
                <w:szCs w:val="18"/>
              </w:rPr>
              <w:t>12.了解建筑物内外设备设施底数并做好登记清查，定期检查安全、卫生及设备完好状况，发现问题及时处理，并做好记录。熟悉本楼宇一切情况，包括但不限于：教室、实验室、场馆、座位、卫生间数量、位置，公共区域面积，上课老师的特征及其教学安排等；保持楼宇内的正常秩序，具备处理应急突发事件的能力；</w:t>
            </w:r>
          </w:p>
        </w:tc>
        <w:tc>
          <w:tcPr>
            <w:tcW w:w="5337" w:type="dxa"/>
            <w:tcBorders>
              <w:top w:val="nil"/>
              <w:left w:val="nil"/>
              <w:bottom w:val="nil"/>
              <w:right w:val="single" w:color="auto" w:sz="8" w:space="0"/>
            </w:tcBorders>
            <w:shd w:val="clear" w:color="000000" w:fill="FFFFFF"/>
            <w:vAlign w:val="center"/>
          </w:tcPr>
          <w:p w14:paraId="2A16079A">
            <w:pPr>
              <w:widowControl/>
              <w:rPr>
                <w:rFonts w:hint="eastAsia" w:ascii="宋体" w:hAnsi="宋体" w:cs="宋体"/>
                <w:color w:val="auto"/>
                <w:kern w:val="0"/>
                <w:sz w:val="18"/>
                <w:szCs w:val="18"/>
              </w:rPr>
            </w:pPr>
            <w:r>
              <w:rPr>
                <w:rFonts w:hint="eastAsia" w:ascii="宋体" w:hAnsi="宋体" w:cs="宋体"/>
                <w:color w:val="auto"/>
                <w:kern w:val="0"/>
                <w:sz w:val="18"/>
                <w:szCs w:val="18"/>
              </w:rPr>
              <w:t>12.因出入建筑物高峰期未做好人员的疏导或者遇到紧急情况未能迅速将人员从馆内疏散而造成师生投诉或者人身伤害的，视情况扣1-5分；</w:t>
            </w:r>
          </w:p>
        </w:tc>
        <w:tc>
          <w:tcPr>
            <w:tcW w:w="709" w:type="dxa"/>
            <w:vMerge w:val="continue"/>
            <w:tcBorders>
              <w:top w:val="nil"/>
              <w:left w:val="single" w:color="auto" w:sz="8" w:space="0"/>
              <w:bottom w:val="single" w:color="000000" w:sz="8" w:space="0"/>
              <w:right w:val="single" w:color="auto" w:sz="8" w:space="0"/>
            </w:tcBorders>
            <w:vAlign w:val="center"/>
          </w:tcPr>
          <w:p w14:paraId="7303EECD">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3FC03797">
            <w:pPr>
              <w:widowControl/>
              <w:jc w:val="left"/>
              <w:rPr>
                <w:rFonts w:eastAsia="等线"/>
                <w:color w:val="auto"/>
                <w:kern w:val="0"/>
                <w:sz w:val="18"/>
                <w:szCs w:val="18"/>
              </w:rPr>
            </w:pPr>
          </w:p>
        </w:tc>
      </w:tr>
      <w:tr w14:paraId="6784D935">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7C09C443">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49A591AF">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DBC9378">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3D06F7C4">
            <w:pPr>
              <w:widowControl/>
              <w:rPr>
                <w:rFonts w:hint="eastAsia" w:ascii="宋体" w:hAnsi="宋体" w:cs="宋体"/>
                <w:color w:val="auto"/>
                <w:kern w:val="0"/>
                <w:sz w:val="18"/>
                <w:szCs w:val="18"/>
              </w:rPr>
            </w:pPr>
            <w:r>
              <w:rPr>
                <w:rFonts w:hint="eastAsia" w:ascii="宋体" w:hAnsi="宋体" w:cs="宋体"/>
                <w:color w:val="auto"/>
                <w:kern w:val="0"/>
                <w:sz w:val="18"/>
                <w:szCs w:val="18"/>
              </w:rPr>
              <w:t>13.配合校方在重大活动、节庆期间做出相应的工作调整，并负责校方审批的建筑物内宣传品的管理；</w:t>
            </w:r>
          </w:p>
        </w:tc>
        <w:tc>
          <w:tcPr>
            <w:tcW w:w="5337" w:type="dxa"/>
            <w:tcBorders>
              <w:top w:val="nil"/>
              <w:left w:val="nil"/>
              <w:bottom w:val="nil"/>
              <w:right w:val="single" w:color="auto" w:sz="8" w:space="0"/>
            </w:tcBorders>
            <w:shd w:val="clear" w:color="000000" w:fill="FFFFFF"/>
            <w:vAlign w:val="center"/>
          </w:tcPr>
          <w:p w14:paraId="7BAE2833">
            <w:pPr>
              <w:widowControl/>
              <w:rPr>
                <w:rFonts w:hint="eastAsia" w:ascii="宋体" w:hAnsi="宋体" w:cs="宋体"/>
                <w:color w:val="auto"/>
                <w:kern w:val="0"/>
                <w:sz w:val="18"/>
                <w:szCs w:val="18"/>
              </w:rPr>
            </w:pPr>
            <w:r>
              <w:rPr>
                <w:rFonts w:hint="eastAsia" w:ascii="宋体" w:hAnsi="宋体" w:cs="宋体"/>
                <w:color w:val="auto"/>
                <w:kern w:val="0"/>
                <w:sz w:val="18"/>
                <w:szCs w:val="18"/>
              </w:rPr>
              <w:t>13.未在建筑物内设置失物招领处或者未妥善保管师生遗留物品的，一次扣1分；</w:t>
            </w:r>
          </w:p>
        </w:tc>
        <w:tc>
          <w:tcPr>
            <w:tcW w:w="709" w:type="dxa"/>
            <w:vMerge w:val="continue"/>
            <w:tcBorders>
              <w:top w:val="nil"/>
              <w:left w:val="single" w:color="auto" w:sz="8" w:space="0"/>
              <w:bottom w:val="single" w:color="000000" w:sz="8" w:space="0"/>
              <w:right w:val="single" w:color="auto" w:sz="8" w:space="0"/>
            </w:tcBorders>
            <w:vAlign w:val="center"/>
          </w:tcPr>
          <w:p w14:paraId="7BA9A7CD">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645EC94F">
            <w:pPr>
              <w:widowControl/>
              <w:jc w:val="left"/>
              <w:rPr>
                <w:rFonts w:eastAsia="等线"/>
                <w:color w:val="auto"/>
                <w:kern w:val="0"/>
                <w:sz w:val="18"/>
                <w:szCs w:val="18"/>
              </w:rPr>
            </w:pPr>
          </w:p>
        </w:tc>
      </w:tr>
      <w:tr w14:paraId="78BA39D7">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15245AC3">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62916A1B">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4F345789">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13BFD5FC">
            <w:pPr>
              <w:widowControl/>
              <w:rPr>
                <w:rFonts w:hint="eastAsia" w:ascii="宋体" w:hAnsi="宋体" w:cs="宋体"/>
                <w:color w:val="auto"/>
                <w:kern w:val="0"/>
                <w:sz w:val="18"/>
                <w:szCs w:val="18"/>
              </w:rPr>
            </w:pPr>
            <w:r>
              <w:rPr>
                <w:rFonts w:hint="eastAsia" w:ascii="宋体" w:hAnsi="宋体" w:cs="宋体"/>
                <w:color w:val="auto"/>
                <w:kern w:val="0"/>
                <w:sz w:val="18"/>
                <w:szCs w:val="18"/>
              </w:rPr>
              <w:t>14.^针对火灾、治安、公共卫生等突发事件制定应急处置预案，并落实到位，及时报告，协助相关部门采取相应措施；</w:t>
            </w:r>
          </w:p>
        </w:tc>
        <w:tc>
          <w:tcPr>
            <w:tcW w:w="5337" w:type="dxa"/>
            <w:tcBorders>
              <w:top w:val="nil"/>
              <w:left w:val="nil"/>
              <w:bottom w:val="nil"/>
              <w:right w:val="single" w:color="auto" w:sz="8" w:space="0"/>
            </w:tcBorders>
            <w:shd w:val="clear" w:color="000000" w:fill="FFFFFF"/>
            <w:vAlign w:val="center"/>
          </w:tcPr>
          <w:p w14:paraId="05FEAC10">
            <w:pPr>
              <w:widowControl/>
              <w:rPr>
                <w:rFonts w:hint="eastAsia" w:ascii="宋体" w:hAnsi="宋体" w:cs="宋体"/>
                <w:color w:val="auto"/>
                <w:kern w:val="0"/>
                <w:sz w:val="18"/>
                <w:szCs w:val="18"/>
              </w:rPr>
            </w:pPr>
            <w:r>
              <w:rPr>
                <w:rFonts w:hint="eastAsia" w:ascii="宋体" w:hAnsi="宋体" w:cs="宋体"/>
                <w:color w:val="auto"/>
                <w:kern w:val="0"/>
                <w:sz w:val="18"/>
                <w:szCs w:val="18"/>
              </w:rPr>
              <w:t>14.未做好建筑物周围非机动车引导及摆放导致师生投诉的，一次扣1分；</w:t>
            </w:r>
          </w:p>
        </w:tc>
        <w:tc>
          <w:tcPr>
            <w:tcW w:w="709" w:type="dxa"/>
            <w:vMerge w:val="continue"/>
            <w:tcBorders>
              <w:top w:val="nil"/>
              <w:left w:val="single" w:color="auto" w:sz="8" w:space="0"/>
              <w:bottom w:val="single" w:color="000000" w:sz="8" w:space="0"/>
              <w:right w:val="single" w:color="auto" w:sz="8" w:space="0"/>
            </w:tcBorders>
            <w:vAlign w:val="center"/>
          </w:tcPr>
          <w:p w14:paraId="4DFE5ADE">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149C2A96">
            <w:pPr>
              <w:widowControl/>
              <w:jc w:val="left"/>
              <w:rPr>
                <w:rFonts w:eastAsia="等线"/>
                <w:color w:val="auto"/>
                <w:kern w:val="0"/>
                <w:sz w:val="18"/>
                <w:szCs w:val="18"/>
              </w:rPr>
            </w:pPr>
          </w:p>
        </w:tc>
      </w:tr>
      <w:tr w14:paraId="69F8A6A7">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4EE16808">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358D7C3">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5DE1B43B">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6DB7FFB1">
            <w:pPr>
              <w:widowControl/>
              <w:rPr>
                <w:rFonts w:hint="eastAsia" w:ascii="宋体" w:hAnsi="宋体" w:cs="宋体"/>
                <w:color w:val="auto"/>
                <w:kern w:val="0"/>
                <w:sz w:val="18"/>
                <w:szCs w:val="18"/>
              </w:rPr>
            </w:pPr>
            <w:r>
              <w:rPr>
                <w:rFonts w:hint="eastAsia" w:ascii="宋体" w:hAnsi="宋体" w:cs="宋体"/>
                <w:color w:val="auto"/>
                <w:kern w:val="0"/>
                <w:sz w:val="18"/>
                <w:szCs w:val="18"/>
              </w:rPr>
              <w:t>15.出入建筑物高峰期要注意做好人员的疏导工作，确保各个出入口通畅，遇到紧急情况，能迅速将人员从馆内疏散;</w:t>
            </w:r>
          </w:p>
        </w:tc>
        <w:tc>
          <w:tcPr>
            <w:tcW w:w="5337" w:type="dxa"/>
            <w:tcBorders>
              <w:top w:val="nil"/>
              <w:left w:val="nil"/>
              <w:bottom w:val="nil"/>
              <w:right w:val="single" w:color="auto" w:sz="8" w:space="0"/>
            </w:tcBorders>
            <w:shd w:val="clear" w:color="000000" w:fill="FFFFFF"/>
            <w:vAlign w:val="center"/>
          </w:tcPr>
          <w:p w14:paraId="7A81216F">
            <w:pPr>
              <w:widowControl/>
              <w:rPr>
                <w:rFonts w:hint="eastAsia" w:ascii="宋体" w:hAnsi="宋体" w:cs="宋体"/>
                <w:color w:val="auto"/>
                <w:kern w:val="0"/>
                <w:sz w:val="18"/>
                <w:szCs w:val="18"/>
              </w:rPr>
            </w:pPr>
            <w:r>
              <w:rPr>
                <w:rFonts w:hint="eastAsia" w:ascii="宋体" w:hAnsi="宋体" w:cs="宋体"/>
                <w:color w:val="auto"/>
                <w:kern w:val="0"/>
                <w:sz w:val="18"/>
                <w:szCs w:val="18"/>
              </w:rPr>
              <w:t>15.值班期问发现有不符合合同约定事宜或者值班记录不详尽的，一次扣1分；</w:t>
            </w:r>
          </w:p>
        </w:tc>
        <w:tc>
          <w:tcPr>
            <w:tcW w:w="709" w:type="dxa"/>
            <w:vMerge w:val="continue"/>
            <w:tcBorders>
              <w:top w:val="nil"/>
              <w:left w:val="single" w:color="auto" w:sz="8" w:space="0"/>
              <w:bottom w:val="single" w:color="000000" w:sz="8" w:space="0"/>
              <w:right w:val="single" w:color="auto" w:sz="8" w:space="0"/>
            </w:tcBorders>
            <w:vAlign w:val="center"/>
          </w:tcPr>
          <w:p w14:paraId="21E0346E">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6304A406">
            <w:pPr>
              <w:widowControl/>
              <w:jc w:val="left"/>
              <w:rPr>
                <w:rFonts w:eastAsia="等线"/>
                <w:color w:val="auto"/>
                <w:kern w:val="0"/>
                <w:sz w:val="18"/>
                <w:szCs w:val="18"/>
              </w:rPr>
            </w:pPr>
          </w:p>
        </w:tc>
      </w:tr>
      <w:tr w14:paraId="169344BF">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514FF25D">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5F8175B1">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4A8A682D">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110B4582">
            <w:pPr>
              <w:widowControl/>
              <w:rPr>
                <w:rFonts w:hint="eastAsia" w:ascii="宋体" w:hAnsi="宋体" w:cs="宋体"/>
                <w:color w:val="auto"/>
                <w:kern w:val="0"/>
                <w:sz w:val="18"/>
                <w:szCs w:val="18"/>
              </w:rPr>
            </w:pPr>
            <w:r>
              <w:rPr>
                <w:rFonts w:hint="eastAsia" w:ascii="宋体" w:hAnsi="宋体" w:cs="宋体"/>
                <w:color w:val="auto"/>
                <w:kern w:val="0"/>
                <w:sz w:val="18"/>
                <w:szCs w:val="18"/>
              </w:rPr>
              <w:t>16.在建筑物内设置失物招领处，妥善保管师生的遗留物品，并做好领取登记;</w:t>
            </w:r>
          </w:p>
        </w:tc>
        <w:tc>
          <w:tcPr>
            <w:tcW w:w="5337" w:type="dxa"/>
            <w:tcBorders>
              <w:top w:val="nil"/>
              <w:left w:val="nil"/>
              <w:bottom w:val="nil"/>
              <w:right w:val="single" w:color="auto" w:sz="8" w:space="0"/>
            </w:tcBorders>
            <w:shd w:val="clear" w:color="000000" w:fill="FFFFFF"/>
            <w:vAlign w:val="center"/>
          </w:tcPr>
          <w:p w14:paraId="4B5AE38F">
            <w:pPr>
              <w:widowControl/>
              <w:rPr>
                <w:rFonts w:hint="eastAsia" w:ascii="宋体" w:hAnsi="宋体" w:cs="宋体"/>
                <w:color w:val="auto"/>
                <w:kern w:val="0"/>
                <w:sz w:val="18"/>
                <w:szCs w:val="18"/>
              </w:rPr>
            </w:pPr>
            <w:r>
              <w:rPr>
                <w:rFonts w:hint="eastAsia" w:ascii="宋体" w:hAnsi="宋体" w:cs="宋体"/>
                <w:color w:val="auto"/>
                <w:kern w:val="0"/>
                <w:sz w:val="18"/>
                <w:szCs w:val="18"/>
              </w:rPr>
              <w:t>16.严禁私自出借教室用于未经校方批准的培训、讲座、报告、活动等，发现一次扣1分。</w:t>
            </w:r>
          </w:p>
        </w:tc>
        <w:tc>
          <w:tcPr>
            <w:tcW w:w="709" w:type="dxa"/>
            <w:vMerge w:val="continue"/>
            <w:tcBorders>
              <w:top w:val="nil"/>
              <w:left w:val="single" w:color="auto" w:sz="8" w:space="0"/>
              <w:bottom w:val="single" w:color="000000" w:sz="8" w:space="0"/>
              <w:right w:val="single" w:color="auto" w:sz="8" w:space="0"/>
            </w:tcBorders>
            <w:vAlign w:val="center"/>
          </w:tcPr>
          <w:p w14:paraId="5005860A">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779AFE51">
            <w:pPr>
              <w:widowControl/>
              <w:jc w:val="left"/>
              <w:rPr>
                <w:rFonts w:eastAsia="等线"/>
                <w:color w:val="auto"/>
                <w:kern w:val="0"/>
                <w:sz w:val="18"/>
                <w:szCs w:val="18"/>
              </w:rPr>
            </w:pPr>
          </w:p>
        </w:tc>
      </w:tr>
      <w:tr w14:paraId="5C42CF82">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3D691140">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6F641D20">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640A0FD">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661136A2">
            <w:pPr>
              <w:widowControl/>
              <w:rPr>
                <w:rFonts w:hint="eastAsia" w:ascii="宋体" w:hAnsi="宋体" w:cs="宋体"/>
                <w:color w:val="auto"/>
                <w:kern w:val="0"/>
                <w:sz w:val="18"/>
                <w:szCs w:val="18"/>
              </w:rPr>
            </w:pPr>
            <w:r>
              <w:rPr>
                <w:rFonts w:hint="eastAsia" w:ascii="宋体" w:hAnsi="宋体" w:cs="宋体"/>
                <w:color w:val="auto"/>
                <w:kern w:val="0"/>
                <w:sz w:val="18"/>
                <w:szCs w:val="18"/>
              </w:rPr>
              <w:t>17.配合做好建筑物周围非机动车的引导及摆放；</w:t>
            </w:r>
          </w:p>
        </w:tc>
        <w:tc>
          <w:tcPr>
            <w:tcW w:w="5337" w:type="dxa"/>
            <w:tcBorders>
              <w:top w:val="nil"/>
              <w:left w:val="nil"/>
              <w:bottom w:val="nil"/>
              <w:right w:val="single" w:color="auto" w:sz="8" w:space="0"/>
            </w:tcBorders>
            <w:shd w:val="clear" w:color="000000" w:fill="FFFFFF"/>
            <w:vAlign w:val="center"/>
          </w:tcPr>
          <w:p w14:paraId="28818963">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0F35CCB0">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7772DA1F">
            <w:pPr>
              <w:widowControl/>
              <w:jc w:val="left"/>
              <w:rPr>
                <w:rFonts w:eastAsia="等线"/>
                <w:color w:val="auto"/>
                <w:kern w:val="0"/>
                <w:sz w:val="18"/>
                <w:szCs w:val="18"/>
              </w:rPr>
            </w:pPr>
          </w:p>
        </w:tc>
      </w:tr>
      <w:tr w14:paraId="0F996C48">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7400553B">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8506CBB">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3496F521">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1D922D8F">
            <w:pPr>
              <w:widowControl/>
              <w:rPr>
                <w:rFonts w:hint="eastAsia" w:ascii="宋体" w:hAnsi="宋体" w:cs="宋体"/>
                <w:color w:val="auto"/>
                <w:kern w:val="0"/>
                <w:sz w:val="18"/>
                <w:szCs w:val="18"/>
              </w:rPr>
            </w:pPr>
            <w:r>
              <w:rPr>
                <w:rFonts w:hint="eastAsia" w:ascii="宋体" w:hAnsi="宋体" w:cs="宋体"/>
                <w:color w:val="auto"/>
                <w:kern w:val="0"/>
                <w:sz w:val="18"/>
                <w:szCs w:val="18"/>
              </w:rPr>
              <w:t>18.值班期问不得做与工作无关的事情，值班室内不得烹饪、煮饭等，做好岗位值班记录，记录要完整、详尽，相关记录有管理员签阅意见;</w:t>
            </w:r>
          </w:p>
        </w:tc>
        <w:tc>
          <w:tcPr>
            <w:tcW w:w="5337" w:type="dxa"/>
            <w:tcBorders>
              <w:top w:val="nil"/>
              <w:left w:val="nil"/>
              <w:bottom w:val="nil"/>
              <w:right w:val="single" w:color="auto" w:sz="8" w:space="0"/>
            </w:tcBorders>
            <w:shd w:val="clear" w:color="000000" w:fill="FFFFFF"/>
            <w:vAlign w:val="center"/>
          </w:tcPr>
          <w:p w14:paraId="054A046F">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00635577">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3921E39F">
            <w:pPr>
              <w:widowControl/>
              <w:jc w:val="left"/>
              <w:rPr>
                <w:rFonts w:eastAsia="等线"/>
                <w:color w:val="auto"/>
                <w:kern w:val="0"/>
                <w:sz w:val="18"/>
                <w:szCs w:val="18"/>
              </w:rPr>
            </w:pPr>
          </w:p>
        </w:tc>
      </w:tr>
      <w:tr w14:paraId="345F2303">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3C50627B">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48252BD">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B54DDF5">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0A9B700A">
            <w:pPr>
              <w:widowControl/>
              <w:rPr>
                <w:rFonts w:hint="eastAsia" w:ascii="宋体" w:hAnsi="宋体" w:cs="宋体"/>
                <w:color w:val="auto"/>
                <w:kern w:val="0"/>
                <w:sz w:val="18"/>
                <w:szCs w:val="18"/>
              </w:rPr>
            </w:pPr>
            <w:r>
              <w:rPr>
                <w:rFonts w:hint="eastAsia" w:ascii="宋体" w:hAnsi="宋体" w:cs="宋体"/>
                <w:color w:val="auto"/>
                <w:kern w:val="0"/>
                <w:sz w:val="18"/>
                <w:szCs w:val="18"/>
              </w:rPr>
              <w:t>19.严禁使用高浓度草酸、盐酸等清刷卫生间、盥洗室、电梯轿厢等区域;</w:t>
            </w:r>
          </w:p>
        </w:tc>
        <w:tc>
          <w:tcPr>
            <w:tcW w:w="5337" w:type="dxa"/>
            <w:tcBorders>
              <w:top w:val="nil"/>
              <w:left w:val="nil"/>
              <w:bottom w:val="nil"/>
              <w:right w:val="single" w:color="auto" w:sz="8" w:space="0"/>
            </w:tcBorders>
            <w:shd w:val="clear" w:color="000000" w:fill="FFFFFF"/>
            <w:vAlign w:val="center"/>
          </w:tcPr>
          <w:p w14:paraId="41455F57">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0B65EF9E">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5749A022">
            <w:pPr>
              <w:widowControl/>
              <w:jc w:val="left"/>
              <w:rPr>
                <w:rFonts w:eastAsia="等线"/>
                <w:color w:val="auto"/>
                <w:kern w:val="0"/>
                <w:sz w:val="18"/>
                <w:szCs w:val="18"/>
              </w:rPr>
            </w:pPr>
          </w:p>
        </w:tc>
      </w:tr>
      <w:tr w14:paraId="2A612790">
        <w:tblPrEx>
          <w:tblCellMar>
            <w:top w:w="0" w:type="dxa"/>
            <w:left w:w="108" w:type="dxa"/>
            <w:bottom w:w="0" w:type="dxa"/>
            <w:right w:w="108" w:type="dxa"/>
          </w:tblCellMar>
        </w:tblPrEx>
        <w:trPr>
          <w:trHeight w:val="285" w:hRule="atLeast"/>
        </w:trPr>
        <w:tc>
          <w:tcPr>
            <w:tcW w:w="493" w:type="dxa"/>
            <w:vMerge w:val="continue"/>
            <w:tcBorders>
              <w:top w:val="nil"/>
              <w:left w:val="single" w:color="auto" w:sz="8" w:space="0"/>
              <w:bottom w:val="single" w:color="000000" w:sz="8" w:space="0"/>
              <w:right w:val="single" w:color="auto" w:sz="8" w:space="0"/>
            </w:tcBorders>
            <w:vAlign w:val="center"/>
          </w:tcPr>
          <w:p w14:paraId="50409BE2">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2D406A1">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626A1FE3">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75913F90">
            <w:pPr>
              <w:widowControl/>
              <w:rPr>
                <w:rFonts w:hint="eastAsia" w:ascii="宋体" w:hAnsi="宋体" w:cs="宋体"/>
                <w:color w:val="auto"/>
                <w:kern w:val="0"/>
                <w:sz w:val="18"/>
                <w:szCs w:val="18"/>
              </w:rPr>
            </w:pPr>
            <w:r>
              <w:rPr>
                <w:rFonts w:hint="eastAsia" w:ascii="宋体" w:hAnsi="宋体" w:cs="宋体"/>
                <w:color w:val="auto"/>
                <w:kern w:val="0"/>
                <w:sz w:val="18"/>
                <w:szCs w:val="18"/>
              </w:rPr>
              <w:t>20.根据校方相关部门要求，配合做好各类考试的后勤保障工作；</w:t>
            </w:r>
          </w:p>
        </w:tc>
        <w:tc>
          <w:tcPr>
            <w:tcW w:w="5337" w:type="dxa"/>
            <w:tcBorders>
              <w:top w:val="nil"/>
              <w:left w:val="nil"/>
              <w:bottom w:val="nil"/>
              <w:right w:val="single" w:color="auto" w:sz="8" w:space="0"/>
            </w:tcBorders>
            <w:shd w:val="clear" w:color="000000" w:fill="FFFFFF"/>
            <w:vAlign w:val="center"/>
          </w:tcPr>
          <w:p w14:paraId="3458F729">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1084F925">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006B885D">
            <w:pPr>
              <w:widowControl/>
              <w:jc w:val="left"/>
              <w:rPr>
                <w:rFonts w:eastAsia="等线"/>
                <w:color w:val="auto"/>
                <w:kern w:val="0"/>
                <w:sz w:val="18"/>
                <w:szCs w:val="18"/>
              </w:rPr>
            </w:pPr>
          </w:p>
        </w:tc>
      </w:tr>
      <w:tr w14:paraId="5D9D8A3A">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0B15F1F1">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353B71F9">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4C2AF59E">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1BC94B9C">
            <w:pPr>
              <w:widowControl/>
              <w:rPr>
                <w:rFonts w:hint="eastAsia" w:ascii="宋体" w:hAnsi="宋体" w:cs="宋体"/>
                <w:color w:val="auto"/>
                <w:kern w:val="0"/>
                <w:sz w:val="18"/>
                <w:szCs w:val="18"/>
              </w:rPr>
            </w:pPr>
            <w:r>
              <w:rPr>
                <w:rFonts w:hint="eastAsia" w:ascii="宋体" w:hAnsi="宋体" w:cs="宋体"/>
                <w:color w:val="auto"/>
                <w:kern w:val="0"/>
                <w:sz w:val="18"/>
                <w:szCs w:val="18"/>
              </w:rPr>
              <w:t>21.根据校方要求负责校区内日常宣传展板、桌椅等零星物资的搬运工作；</w:t>
            </w:r>
          </w:p>
        </w:tc>
        <w:tc>
          <w:tcPr>
            <w:tcW w:w="5337" w:type="dxa"/>
            <w:tcBorders>
              <w:top w:val="nil"/>
              <w:left w:val="nil"/>
              <w:bottom w:val="nil"/>
              <w:right w:val="single" w:color="auto" w:sz="8" w:space="0"/>
            </w:tcBorders>
            <w:shd w:val="clear" w:color="000000" w:fill="FFFFFF"/>
            <w:vAlign w:val="center"/>
          </w:tcPr>
          <w:p w14:paraId="109CB6E1">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6FC2A86B">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7530CF75">
            <w:pPr>
              <w:widowControl/>
              <w:jc w:val="left"/>
              <w:rPr>
                <w:rFonts w:eastAsia="等线"/>
                <w:color w:val="auto"/>
                <w:kern w:val="0"/>
                <w:sz w:val="18"/>
                <w:szCs w:val="18"/>
              </w:rPr>
            </w:pPr>
          </w:p>
        </w:tc>
      </w:tr>
      <w:tr w14:paraId="798C2627">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5D73C3EC">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6DF507F">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421C10C">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2FBF29DD">
            <w:pPr>
              <w:widowControl/>
              <w:rPr>
                <w:rFonts w:hint="eastAsia" w:ascii="宋体" w:hAnsi="宋体" w:cs="宋体"/>
                <w:color w:val="auto"/>
                <w:kern w:val="0"/>
                <w:sz w:val="18"/>
                <w:szCs w:val="18"/>
              </w:rPr>
            </w:pPr>
            <w:r>
              <w:rPr>
                <w:rFonts w:hint="eastAsia" w:ascii="宋体" w:hAnsi="宋体" w:cs="宋体"/>
                <w:color w:val="auto"/>
                <w:kern w:val="0"/>
                <w:sz w:val="18"/>
                <w:szCs w:val="18"/>
              </w:rPr>
              <w:t>22.教室的借用，严格按照规定执行，严禁私自出借教室用于未经校方批准的培训、讲座、报告、活动等;</w:t>
            </w:r>
          </w:p>
        </w:tc>
        <w:tc>
          <w:tcPr>
            <w:tcW w:w="5337" w:type="dxa"/>
            <w:tcBorders>
              <w:top w:val="nil"/>
              <w:left w:val="nil"/>
              <w:bottom w:val="nil"/>
              <w:right w:val="single" w:color="auto" w:sz="8" w:space="0"/>
            </w:tcBorders>
            <w:shd w:val="clear" w:color="000000" w:fill="FFFFFF"/>
            <w:vAlign w:val="center"/>
          </w:tcPr>
          <w:p w14:paraId="7794B8D7">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4A956A5C">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183CD8B6">
            <w:pPr>
              <w:widowControl/>
              <w:jc w:val="left"/>
              <w:rPr>
                <w:rFonts w:eastAsia="等线"/>
                <w:color w:val="auto"/>
                <w:kern w:val="0"/>
                <w:sz w:val="18"/>
                <w:szCs w:val="18"/>
              </w:rPr>
            </w:pPr>
          </w:p>
        </w:tc>
      </w:tr>
      <w:tr w14:paraId="3821F99C">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4B96CB18">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3A42CBF3">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5E0E834A">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662B5289">
            <w:pPr>
              <w:widowControl/>
              <w:rPr>
                <w:rFonts w:hint="eastAsia" w:ascii="宋体" w:hAnsi="宋体" w:cs="宋体"/>
                <w:color w:val="auto"/>
                <w:kern w:val="0"/>
                <w:sz w:val="18"/>
                <w:szCs w:val="18"/>
              </w:rPr>
            </w:pPr>
            <w:r>
              <w:rPr>
                <w:rFonts w:hint="eastAsia" w:ascii="宋体" w:hAnsi="宋体" w:cs="宋体"/>
                <w:color w:val="auto"/>
                <w:kern w:val="0"/>
                <w:sz w:val="18"/>
                <w:szCs w:val="18"/>
              </w:rPr>
              <w:t>23.做好晚间、周末、节假日楼宇使用的综合管理工作《晚自习、实验、会议、活动等)；</w:t>
            </w:r>
          </w:p>
        </w:tc>
        <w:tc>
          <w:tcPr>
            <w:tcW w:w="5337" w:type="dxa"/>
            <w:tcBorders>
              <w:top w:val="nil"/>
              <w:left w:val="nil"/>
              <w:bottom w:val="single" w:color="auto" w:sz="8" w:space="0"/>
              <w:right w:val="single" w:color="auto" w:sz="8" w:space="0"/>
            </w:tcBorders>
            <w:shd w:val="clear" w:color="000000" w:fill="FFFFFF"/>
            <w:vAlign w:val="center"/>
          </w:tcPr>
          <w:p w14:paraId="333CA006">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71507DC4">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1F40F14D">
            <w:pPr>
              <w:widowControl/>
              <w:jc w:val="left"/>
              <w:rPr>
                <w:rFonts w:eastAsia="等线"/>
                <w:color w:val="auto"/>
                <w:kern w:val="0"/>
                <w:sz w:val="18"/>
                <w:szCs w:val="18"/>
              </w:rPr>
            </w:pPr>
          </w:p>
        </w:tc>
      </w:tr>
      <w:tr w14:paraId="3FECFCE1">
        <w:tblPrEx>
          <w:tblCellMar>
            <w:top w:w="0" w:type="dxa"/>
            <w:left w:w="108" w:type="dxa"/>
            <w:bottom w:w="0" w:type="dxa"/>
            <w:right w:w="108" w:type="dxa"/>
          </w:tblCellMar>
        </w:tblPrEx>
        <w:trPr>
          <w:trHeight w:val="450" w:hRule="atLeast"/>
        </w:trPr>
        <w:tc>
          <w:tcPr>
            <w:tcW w:w="493" w:type="dxa"/>
            <w:vMerge w:val="restart"/>
            <w:tcBorders>
              <w:top w:val="nil"/>
              <w:left w:val="single" w:color="auto" w:sz="8" w:space="0"/>
              <w:bottom w:val="single" w:color="000000" w:sz="8" w:space="0"/>
              <w:right w:val="single" w:color="auto" w:sz="8" w:space="0"/>
            </w:tcBorders>
            <w:shd w:val="clear" w:color="000000" w:fill="FFFFFF"/>
            <w:vAlign w:val="center"/>
          </w:tcPr>
          <w:p w14:paraId="74AC9BAC">
            <w:pPr>
              <w:widowControl/>
              <w:jc w:val="center"/>
              <w:rPr>
                <w:rFonts w:eastAsia="等线"/>
                <w:b/>
                <w:bCs/>
                <w:color w:val="auto"/>
                <w:kern w:val="0"/>
                <w:sz w:val="18"/>
                <w:szCs w:val="18"/>
              </w:rPr>
            </w:pPr>
            <w:r>
              <w:rPr>
                <w:rFonts w:eastAsia="等线"/>
                <w:b/>
                <w:bCs/>
                <w:color w:val="auto"/>
                <w:kern w:val="0"/>
                <w:sz w:val="18"/>
                <w:szCs w:val="18"/>
              </w:rPr>
              <w:t>4</w:t>
            </w:r>
            <w:r>
              <w:rPr>
                <w:rFonts w:hint="eastAsia" w:eastAsia="等线"/>
                <w:b/>
                <w:bCs/>
                <w:color w:val="auto"/>
                <w:kern w:val="0"/>
                <w:sz w:val="18"/>
                <w:szCs w:val="18"/>
              </w:rPr>
              <w:t>3</w:t>
            </w:r>
          </w:p>
        </w:tc>
        <w:tc>
          <w:tcPr>
            <w:tcW w:w="578" w:type="dxa"/>
            <w:vMerge w:val="continue"/>
            <w:tcBorders>
              <w:top w:val="nil"/>
              <w:left w:val="single" w:color="auto" w:sz="8" w:space="0"/>
              <w:bottom w:val="single" w:color="000000" w:sz="8" w:space="0"/>
              <w:right w:val="single" w:color="auto" w:sz="8" w:space="0"/>
            </w:tcBorders>
            <w:vAlign w:val="center"/>
          </w:tcPr>
          <w:p w14:paraId="261078B2">
            <w:pPr>
              <w:widowControl/>
              <w:jc w:val="left"/>
              <w:rPr>
                <w:rFonts w:hint="eastAsia" w:ascii="宋体" w:hAnsi="宋体" w:cs="宋体"/>
                <w:b/>
                <w:bCs/>
                <w:color w:val="auto"/>
                <w:kern w:val="0"/>
                <w:sz w:val="18"/>
                <w:szCs w:val="18"/>
              </w:rPr>
            </w:pP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1F993784">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场馆类日常管理服务</w:t>
            </w:r>
          </w:p>
        </w:tc>
        <w:tc>
          <w:tcPr>
            <w:tcW w:w="5478" w:type="dxa"/>
            <w:tcBorders>
              <w:top w:val="nil"/>
              <w:left w:val="nil"/>
              <w:bottom w:val="nil"/>
              <w:right w:val="single" w:color="auto" w:sz="8" w:space="0"/>
            </w:tcBorders>
            <w:shd w:val="clear" w:color="000000" w:fill="FFFFFF"/>
            <w:vAlign w:val="center"/>
          </w:tcPr>
          <w:p w14:paraId="20678C1F">
            <w:pPr>
              <w:widowControl/>
              <w:rPr>
                <w:rFonts w:hint="eastAsia" w:ascii="宋体" w:hAnsi="宋体" w:cs="宋体"/>
                <w:color w:val="auto"/>
                <w:kern w:val="0"/>
                <w:sz w:val="18"/>
                <w:szCs w:val="18"/>
              </w:rPr>
            </w:pPr>
            <w:r>
              <w:rPr>
                <w:rFonts w:hint="eastAsia" w:ascii="宋体" w:hAnsi="宋体" w:cs="宋体"/>
                <w:color w:val="auto"/>
                <w:kern w:val="0"/>
                <w:sz w:val="18"/>
                <w:szCs w:val="18"/>
              </w:rPr>
              <w:t>1.严格执行场馆门禁出入有关规章制度，确认门禁出入系统各项设备正常运转。</w:t>
            </w:r>
          </w:p>
        </w:tc>
        <w:tc>
          <w:tcPr>
            <w:tcW w:w="5337" w:type="dxa"/>
            <w:tcBorders>
              <w:top w:val="nil"/>
              <w:left w:val="nil"/>
              <w:bottom w:val="nil"/>
              <w:right w:val="single" w:color="auto" w:sz="8" w:space="0"/>
            </w:tcBorders>
            <w:shd w:val="clear" w:color="auto" w:fill="auto"/>
            <w:vAlign w:val="center"/>
          </w:tcPr>
          <w:p w14:paraId="2D51AA1C">
            <w:pPr>
              <w:widowControl/>
              <w:rPr>
                <w:rFonts w:hint="eastAsia" w:ascii="宋体" w:hAnsi="宋体" w:cs="宋体"/>
                <w:color w:val="auto"/>
                <w:kern w:val="0"/>
                <w:sz w:val="18"/>
                <w:szCs w:val="18"/>
              </w:rPr>
            </w:pPr>
            <w:r>
              <w:rPr>
                <w:rFonts w:hint="eastAsia" w:ascii="宋体" w:hAnsi="宋体" w:cs="宋体"/>
                <w:color w:val="auto"/>
                <w:kern w:val="0"/>
                <w:sz w:val="18"/>
                <w:szCs w:val="18"/>
              </w:rPr>
              <w:t>1.未遵循场馆门禁出入有关规章制度的，导致有安全事故或者物品丢失，视情况一处扣1-3分。</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5B730430">
            <w:pPr>
              <w:widowControl/>
              <w:jc w:val="center"/>
              <w:rPr>
                <w:rFonts w:eastAsia="等线"/>
                <w:color w:val="auto"/>
                <w:kern w:val="0"/>
                <w:sz w:val="18"/>
                <w:szCs w:val="18"/>
              </w:rPr>
            </w:pPr>
            <w:r>
              <w:rPr>
                <w:rFonts w:eastAsia="等线"/>
                <w:color w:val="auto"/>
                <w:kern w:val="0"/>
                <w:sz w:val="18"/>
                <w:szCs w:val="18"/>
              </w:rPr>
              <w:t>3</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10873737">
            <w:pPr>
              <w:widowControl/>
              <w:rPr>
                <w:rFonts w:eastAsia="等线"/>
                <w:color w:val="auto"/>
                <w:kern w:val="0"/>
                <w:sz w:val="18"/>
                <w:szCs w:val="18"/>
              </w:rPr>
            </w:pPr>
            <w:r>
              <w:rPr>
                <w:rFonts w:eastAsia="等线"/>
                <w:color w:val="auto"/>
                <w:kern w:val="0"/>
                <w:sz w:val="18"/>
                <w:szCs w:val="18"/>
              </w:rPr>
              <w:t>　</w:t>
            </w:r>
          </w:p>
        </w:tc>
      </w:tr>
      <w:tr w14:paraId="38808729">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206DC59B">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4FAF5A46">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39ED130">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00983091">
            <w:pPr>
              <w:widowControl/>
              <w:rPr>
                <w:rFonts w:hint="eastAsia" w:ascii="宋体" w:hAnsi="宋体" w:cs="宋体"/>
                <w:color w:val="auto"/>
                <w:kern w:val="0"/>
                <w:sz w:val="18"/>
                <w:szCs w:val="18"/>
              </w:rPr>
            </w:pPr>
            <w:r>
              <w:rPr>
                <w:rFonts w:hint="eastAsia" w:ascii="宋体" w:hAnsi="宋体" w:cs="宋体"/>
                <w:color w:val="auto"/>
                <w:kern w:val="0"/>
                <w:sz w:val="18"/>
                <w:szCs w:val="18"/>
              </w:rPr>
              <w:t>2.严格执行馆内禁烟条例，发现有人吸烟及时劝阻，按相关规定处理，做好书面记录并及时上报。</w:t>
            </w:r>
          </w:p>
        </w:tc>
        <w:tc>
          <w:tcPr>
            <w:tcW w:w="5337" w:type="dxa"/>
            <w:tcBorders>
              <w:top w:val="nil"/>
              <w:left w:val="nil"/>
              <w:bottom w:val="nil"/>
              <w:right w:val="single" w:color="auto" w:sz="8" w:space="0"/>
            </w:tcBorders>
            <w:shd w:val="clear" w:color="000000" w:fill="FFFFFF"/>
            <w:vAlign w:val="center"/>
          </w:tcPr>
          <w:p w14:paraId="0F1E696D">
            <w:pPr>
              <w:widowControl/>
              <w:rPr>
                <w:rFonts w:hint="eastAsia" w:ascii="宋体" w:hAnsi="宋体" w:cs="宋体"/>
                <w:color w:val="auto"/>
                <w:kern w:val="0"/>
                <w:sz w:val="18"/>
                <w:szCs w:val="18"/>
              </w:rPr>
            </w:pPr>
            <w:r>
              <w:rPr>
                <w:rFonts w:hint="eastAsia" w:ascii="宋体" w:hAnsi="宋体" w:cs="宋体"/>
                <w:color w:val="auto"/>
                <w:kern w:val="0"/>
                <w:sz w:val="18"/>
                <w:szCs w:val="18"/>
              </w:rPr>
              <w:t>2.未做好合同约定安防工作而造成设备运转不正常或者存在安全隐患的，视情况一处扣1-3分。</w:t>
            </w:r>
          </w:p>
        </w:tc>
        <w:tc>
          <w:tcPr>
            <w:tcW w:w="709" w:type="dxa"/>
            <w:vMerge w:val="continue"/>
            <w:tcBorders>
              <w:top w:val="nil"/>
              <w:left w:val="single" w:color="auto" w:sz="8" w:space="0"/>
              <w:bottom w:val="single" w:color="000000" w:sz="8" w:space="0"/>
              <w:right w:val="single" w:color="auto" w:sz="8" w:space="0"/>
            </w:tcBorders>
            <w:vAlign w:val="center"/>
          </w:tcPr>
          <w:p w14:paraId="7D5BE31F">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1B070C60">
            <w:pPr>
              <w:widowControl/>
              <w:jc w:val="left"/>
              <w:rPr>
                <w:rFonts w:eastAsia="等线"/>
                <w:color w:val="auto"/>
                <w:kern w:val="0"/>
                <w:sz w:val="18"/>
                <w:szCs w:val="18"/>
              </w:rPr>
            </w:pPr>
          </w:p>
        </w:tc>
      </w:tr>
      <w:tr w14:paraId="38051180">
        <w:tblPrEx>
          <w:tblCellMar>
            <w:top w:w="0" w:type="dxa"/>
            <w:left w:w="108" w:type="dxa"/>
            <w:bottom w:w="0" w:type="dxa"/>
            <w:right w:w="108" w:type="dxa"/>
          </w:tblCellMar>
        </w:tblPrEx>
        <w:trPr>
          <w:trHeight w:val="675" w:hRule="atLeast"/>
        </w:trPr>
        <w:tc>
          <w:tcPr>
            <w:tcW w:w="493" w:type="dxa"/>
            <w:vMerge w:val="continue"/>
            <w:tcBorders>
              <w:top w:val="nil"/>
              <w:left w:val="single" w:color="auto" w:sz="8" w:space="0"/>
              <w:bottom w:val="single" w:color="000000" w:sz="8" w:space="0"/>
              <w:right w:val="single" w:color="auto" w:sz="8" w:space="0"/>
            </w:tcBorders>
            <w:vAlign w:val="center"/>
          </w:tcPr>
          <w:p w14:paraId="40D4EC83">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6876EFB3">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CBD266F">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3B95562B">
            <w:pPr>
              <w:widowControl/>
              <w:rPr>
                <w:rFonts w:hint="eastAsia" w:ascii="宋体" w:hAnsi="宋体" w:cs="宋体"/>
                <w:color w:val="auto"/>
                <w:kern w:val="0"/>
                <w:sz w:val="18"/>
                <w:szCs w:val="18"/>
              </w:rPr>
            </w:pPr>
            <w:r>
              <w:rPr>
                <w:rFonts w:hint="eastAsia" w:ascii="宋体" w:hAnsi="宋体" w:cs="宋体"/>
                <w:color w:val="auto"/>
                <w:kern w:val="0"/>
                <w:sz w:val="18"/>
                <w:szCs w:val="18"/>
              </w:rPr>
              <w:t>3.每天巡视馆内、周边及安防设备，发现有可疑人员，应及时通知相关人员赶到现场进行处理，必要时报校保卫部门和场馆管理部门，事后做好书面记录并及时上报。</w:t>
            </w:r>
          </w:p>
        </w:tc>
        <w:tc>
          <w:tcPr>
            <w:tcW w:w="5337" w:type="dxa"/>
            <w:tcBorders>
              <w:top w:val="nil"/>
              <w:left w:val="nil"/>
              <w:bottom w:val="nil"/>
              <w:right w:val="single" w:color="auto" w:sz="8" w:space="0"/>
            </w:tcBorders>
            <w:shd w:val="clear" w:color="000000" w:fill="FFFFFF"/>
            <w:vAlign w:val="center"/>
          </w:tcPr>
          <w:p w14:paraId="5C53D8A4">
            <w:pPr>
              <w:widowControl/>
              <w:rPr>
                <w:rFonts w:hint="eastAsia" w:ascii="宋体" w:hAnsi="宋体" w:cs="宋体"/>
                <w:color w:val="auto"/>
                <w:kern w:val="0"/>
                <w:sz w:val="18"/>
                <w:szCs w:val="18"/>
              </w:rPr>
            </w:pPr>
            <w:r>
              <w:rPr>
                <w:rFonts w:hint="eastAsia" w:ascii="宋体" w:hAnsi="宋体" w:cs="宋体"/>
                <w:color w:val="auto"/>
                <w:kern w:val="0"/>
                <w:sz w:val="18"/>
                <w:szCs w:val="18"/>
              </w:rPr>
              <w:t>3.未做好各项设施定期检查，有异常情况和突发时间未及时处理上报的，视情况扣1-3分。</w:t>
            </w:r>
          </w:p>
        </w:tc>
        <w:tc>
          <w:tcPr>
            <w:tcW w:w="709" w:type="dxa"/>
            <w:vMerge w:val="continue"/>
            <w:tcBorders>
              <w:top w:val="nil"/>
              <w:left w:val="single" w:color="auto" w:sz="8" w:space="0"/>
              <w:bottom w:val="single" w:color="000000" w:sz="8" w:space="0"/>
              <w:right w:val="single" w:color="auto" w:sz="8" w:space="0"/>
            </w:tcBorders>
            <w:vAlign w:val="center"/>
          </w:tcPr>
          <w:p w14:paraId="1B0750BA">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7A393EA2">
            <w:pPr>
              <w:widowControl/>
              <w:jc w:val="left"/>
              <w:rPr>
                <w:rFonts w:eastAsia="等线"/>
                <w:color w:val="auto"/>
                <w:kern w:val="0"/>
                <w:sz w:val="18"/>
                <w:szCs w:val="18"/>
              </w:rPr>
            </w:pPr>
          </w:p>
        </w:tc>
      </w:tr>
      <w:tr w14:paraId="784A5B6D">
        <w:tblPrEx>
          <w:tblCellMar>
            <w:top w:w="0" w:type="dxa"/>
            <w:left w:w="108" w:type="dxa"/>
            <w:bottom w:w="0" w:type="dxa"/>
            <w:right w:w="108" w:type="dxa"/>
          </w:tblCellMar>
        </w:tblPrEx>
        <w:trPr>
          <w:trHeight w:val="285" w:hRule="atLeast"/>
        </w:trPr>
        <w:tc>
          <w:tcPr>
            <w:tcW w:w="493" w:type="dxa"/>
            <w:vMerge w:val="continue"/>
            <w:tcBorders>
              <w:top w:val="nil"/>
              <w:left w:val="single" w:color="auto" w:sz="8" w:space="0"/>
              <w:bottom w:val="single" w:color="000000" w:sz="8" w:space="0"/>
              <w:right w:val="single" w:color="auto" w:sz="8" w:space="0"/>
            </w:tcBorders>
            <w:vAlign w:val="center"/>
          </w:tcPr>
          <w:p w14:paraId="570502B9">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6ED4D22D">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B6BE6DE">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05F9A327">
            <w:pPr>
              <w:widowControl/>
              <w:rPr>
                <w:rFonts w:hint="eastAsia" w:ascii="宋体" w:hAnsi="宋体" w:cs="宋体"/>
                <w:color w:val="auto"/>
                <w:kern w:val="0"/>
                <w:sz w:val="18"/>
                <w:szCs w:val="18"/>
              </w:rPr>
            </w:pPr>
            <w:r>
              <w:rPr>
                <w:rFonts w:hint="eastAsia" w:ascii="宋体" w:hAnsi="宋体" w:cs="宋体"/>
                <w:color w:val="auto"/>
                <w:kern w:val="0"/>
                <w:sz w:val="18"/>
                <w:szCs w:val="18"/>
              </w:rPr>
              <w:t>4.定期检查各项设施，对异常情况和突发事件及时处理并上报</w:t>
            </w:r>
          </w:p>
        </w:tc>
        <w:tc>
          <w:tcPr>
            <w:tcW w:w="5337" w:type="dxa"/>
            <w:tcBorders>
              <w:top w:val="nil"/>
              <w:left w:val="nil"/>
              <w:bottom w:val="nil"/>
              <w:right w:val="single" w:color="auto" w:sz="8" w:space="0"/>
            </w:tcBorders>
            <w:shd w:val="clear" w:color="000000" w:fill="FFFFFF"/>
            <w:vAlign w:val="center"/>
          </w:tcPr>
          <w:p w14:paraId="6FB7D890">
            <w:pPr>
              <w:widowControl/>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709" w:type="dxa"/>
            <w:vMerge w:val="continue"/>
            <w:tcBorders>
              <w:top w:val="nil"/>
              <w:left w:val="single" w:color="auto" w:sz="8" w:space="0"/>
              <w:bottom w:val="single" w:color="000000" w:sz="8" w:space="0"/>
              <w:right w:val="single" w:color="auto" w:sz="8" w:space="0"/>
            </w:tcBorders>
            <w:vAlign w:val="center"/>
          </w:tcPr>
          <w:p w14:paraId="047F4C68">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67954A21">
            <w:pPr>
              <w:widowControl/>
              <w:jc w:val="left"/>
              <w:rPr>
                <w:rFonts w:eastAsia="等线"/>
                <w:color w:val="auto"/>
                <w:kern w:val="0"/>
                <w:sz w:val="18"/>
                <w:szCs w:val="18"/>
              </w:rPr>
            </w:pPr>
          </w:p>
        </w:tc>
      </w:tr>
      <w:tr w14:paraId="488F4788">
        <w:tblPrEx>
          <w:tblCellMar>
            <w:top w:w="0" w:type="dxa"/>
            <w:left w:w="108" w:type="dxa"/>
            <w:bottom w:w="0" w:type="dxa"/>
            <w:right w:w="108" w:type="dxa"/>
          </w:tblCellMar>
        </w:tblPrEx>
        <w:trPr>
          <w:trHeight w:val="675" w:hRule="atLeast"/>
        </w:trPr>
        <w:tc>
          <w:tcPr>
            <w:tcW w:w="493" w:type="dxa"/>
            <w:vMerge w:val="continue"/>
            <w:tcBorders>
              <w:top w:val="nil"/>
              <w:left w:val="single" w:color="auto" w:sz="8" w:space="0"/>
              <w:bottom w:val="single" w:color="000000" w:sz="8" w:space="0"/>
              <w:right w:val="single" w:color="auto" w:sz="8" w:space="0"/>
            </w:tcBorders>
            <w:vAlign w:val="center"/>
          </w:tcPr>
          <w:p w14:paraId="39946A4E">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42543CC">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EB3051D">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54BA658D">
            <w:pPr>
              <w:widowControl/>
              <w:rPr>
                <w:rFonts w:hint="eastAsia" w:ascii="宋体" w:hAnsi="宋体" w:cs="宋体"/>
                <w:color w:val="auto"/>
                <w:kern w:val="0"/>
                <w:sz w:val="18"/>
                <w:szCs w:val="18"/>
              </w:rPr>
            </w:pPr>
            <w:r>
              <w:rPr>
                <w:rFonts w:hint="eastAsia" w:ascii="宋体" w:hAnsi="宋体" w:cs="宋体"/>
                <w:color w:val="auto"/>
                <w:kern w:val="0"/>
                <w:sz w:val="18"/>
                <w:szCs w:val="18"/>
              </w:rPr>
              <w:t>每天闭馆后清理全馆寄包箱，并做好领用登记工作。每晚闭馆前广播通知，闭馆后全馆巡逻检查一遍，确保人员全部房开，灯、门全部关上，并做好巡视记录每天清理公共区域无人看管的水杯及物品。</w:t>
            </w:r>
          </w:p>
        </w:tc>
        <w:tc>
          <w:tcPr>
            <w:tcW w:w="5337" w:type="dxa"/>
            <w:tcBorders>
              <w:top w:val="nil"/>
              <w:left w:val="nil"/>
              <w:bottom w:val="nil"/>
              <w:right w:val="single" w:color="auto" w:sz="8" w:space="0"/>
            </w:tcBorders>
            <w:shd w:val="clear" w:color="000000" w:fill="FFFFFF"/>
            <w:vAlign w:val="center"/>
          </w:tcPr>
          <w:p w14:paraId="0127DFDE">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13DEC52F">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4F03EDED">
            <w:pPr>
              <w:widowControl/>
              <w:jc w:val="left"/>
              <w:rPr>
                <w:rFonts w:eastAsia="等线"/>
                <w:color w:val="auto"/>
                <w:kern w:val="0"/>
                <w:sz w:val="18"/>
                <w:szCs w:val="18"/>
              </w:rPr>
            </w:pPr>
          </w:p>
        </w:tc>
      </w:tr>
      <w:tr w14:paraId="6B8502A9">
        <w:tblPrEx>
          <w:tblCellMar>
            <w:top w:w="0" w:type="dxa"/>
            <w:left w:w="108" w:type="dxa"/>
            <w:bottom w:w="0" w:type="dxa"/>
            <w:right w:w="108" w:type="dxa"/>
          </w:tblCellMar>
        </w:tblPrEx>
        <w:trPr>
          <w:trHeight w:val="285" w:hRule="atLeast"/>
        </w:trPr>
        <w:tc>
          <w:tcPr>
            <w:tcW w:w="493" w:type="dxa"/>
            <w:vMerge w:val="continue"/>
            <w:tcBorders>
              <w:top w:val="nil"/>
              <w:left w:val="single" w:color="auto" w:sz="8" w:space="0"/>
              <w:bottom w:val="single" w:color="000000" w:sz="8" w:space="0"/>
              <w:right w:val="single" w:color="auto" w:sz="8" w:space="0"/>
            </w:tcBorders>
            <w:vAlign w:val="center"/>
          </w:tcPr>
          <w:p w14:paraId="0C39BA62">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54E80AD1">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9383801">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14B94DE2">
            <w:pPr>
              <w:widowControl/>
              <w:rPr>
                <w:rFonts w:hint="eastAsia" w:ascii="宋体" w:hAnsi="宋体" w:cs="宋体"/>
                <w:color w:val="auto"/>
                <w:kern w:val="0"/>
                <w:sz w:val="18"/>
                <w:szCs w:val="18"/>
              </w:rPr>
            </w:pPr>
            <w:r>
              <w:rPr>
                <w:rFonts w:hint="eastAsia" w:ascii="宋体" w:hAnsi="宋体" w:cs="宋体"/>
                <w:color w:val="auto"/>
                <w:kern w:val="0"/>
                <w:sz w:val="18"/>
                <w:szCs w:val="18"/>
              </w:rPr>
              <w:t>5.负责节假日期间日常安全值班。在各项巡视中及时发现各项安全隐患</w:t>
            </w:r>
          </w:p>
        </w:tc>
        <w:tc>
          <w:tcPr>
            <w:tcW w:w="5337" w:type="dxa"/>
            <w:tcBorders>
              <w:top w:val="nil"/>
              <w:left w:val="nil"/>
              <w:bottom w:val="nil"/>
              <w:right w:val="single" w:color="auto" w:sz="8" w:space="0"/>
            </w:tcBorders>
            <w:shd w:val="clear" w:color="000000" w:fill="FFFFFF"/>
            <w:vAlign w:val="center"/>
          </w:tcPr>
          <w:p w14:paraId="0C8D38AB">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645366C5">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5ED59DDD">
            <w:pPr>
              <w:widowControl/>
              <w:jc w:val="left"/>
              <w:rPr>
                <w:rFonts w:eastAsia="等线"/>
                <w:color w:val="auto"/>
                <w:kern w:val="0"/>
                <w:sz w:val="18"/>
                <w:szCs w:val="18"/>
              </w:rPr>
            </w:pPr>
          </w:p>
        </w:tc>
      </w:tr>
      <w:tr w14:paraId="3B1940EB">
        <w:tblPrEx>
          <w:tblCellMar>
            <w:top w:w="0" w:type="dxa"/>
            <w:left w:w="108" w:type="dxa"/>
            <w:bottom w:w="0" w:type="dxa"/>
            <w:right w:w="108" w:type="dxa"/>
          </w:tblCellMar>
        </w:tblPrEx>
        <w:trPr>
          <w:trHeight w:val="285" w:hRule="atLeast"/>
        </w:trPr>
        <w:tc>
          <w:tcPr>
            <w:tcW w:w="493" w:type="dxa"/>
            <w:vMerge w:val="continue"/>
            <w:tcBorders>
              <w:top w:val="nil"/>
              <w:left w:val="single" w:color="auto" w:sz="8" w:space="0"/>
              <w:bottom w:val="single" w:color="000000" w:sz="8" w:space="0"/>
              <w:right w:val="single" w:color="auto" w:sz="8" w:space="0"/>
            </w:tcBorders>
            <w:vAlign w:val="center"/>
          </w:tcPr>
          <w:p w14:paraId="7EC1390D">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533050A0">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48FF7BD3">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3F4DB8CC">
            <w:pPr>
              <w:widowControl/>
              <w:rPr>
                <w:rFonts w:hint="eastAsia" w:ascii="宋体" w:hAnsi="宋体" w:cs="宋体"/>
                <w:color w:val="auto"/>
                <w:kern w:val="0"/>
                <w:sz w:val="18"/>
                <w:szCs w:val="18"/>
              </w:rPr>
            </w:pPr>
            <w:r>
              <w:rPr>
                <w:rFonts w:hint="eastAsia" w:ascii="宋体" w:hAnsi="宋体" w:cs="宋体"/>
                <w:color w:val="auto"/>
                <w:kern w:val="0"/>
                <w:sz w:val="18"/>
                <w:szCs w:val="18"/>
              </w:rPr>
              <w:t>6.完成其他临时交办的安防工作。</w:t>
            </w:r>
          </w:p>
        </w:tc>
        <w:tc>
          <w:tcPr>
            <w:tcW w:w="5337" w:type="dxa"/>
            <w:tcBorders>
              <w:top w:val="nil"/>
              <w:left w:val="nil"/>
              <w:bottom w:val="single" w:color="auto" w:sz="8" w:space="0"/>
              <w:right w:val="single" w:color="auto" w:sz="8" w:space="0"/>
            </w:tcBorders>
            <w:shd w:val="clear" w:color="000000" w:fill="FFFFFF"/>
            <w:vAlign w:val="center"/>
          </w:tcPr>
          <w:p w14:paraId="159091F6">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726D636F">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5DE3B7B0">
            <w:pPr>
              <w:widowControl/>
              <w:jc w:val="left"/>
              <w:rPr>
                <w:rFonts w:eastAsia="等线"/>
                <w:color w:val="auto"/>
                <w:kern w:val="0"/>
                <w:sz w:val="18"/>
                <w:szCs w:val="18"/>
              </w:rPr>
            </w:pPr>
          </w:p>
        </w:tc>
      </w:tr>
      <w:tr w14:paraId="7E59E46B">
        <w:tblPrEx>
          <w:tblCellMar>
            <w:top w:w="0" w:type="dxa"/>
            <w:left w:w="108" w:type="dxa"/>
            <w:bottom w:w="0" w:type="dxa"/>
            <w:right w:w="108" w:type="dxa"/>
          </w:tblCellMar>
        </w:tblPrEx>
        <w:trPr>
          <w:trHeight w:val="1575" w:hRule="atLeast"/>
        </w:trPr>
        <w:tc>
          <w:tcPr>
            <w:tcW w:w="493" w:type="dxa"/>
            <w:vMerge w:val="restart"/>
            <w:tcBorders>
              <w:top w:val="nil"/>
              <w:left w:val="single" w:color="auto" w:sz="8" w:space="0"/>
              <w:bottom w:val="single" w:color="000000" w:sz="8" w:space="0"/>
              <w:right w:val="single" w:color="auto" w:sz="8" w:space="0"/>
            </w:tcBorders>
            <w:shd w:val="clear" w:color="000000" w:fill="FFFFFF"/>
            <w:vAlign w:val="center"/>
          </w:tcPr>
          <w:p w14:paraId="6072833B">
            <w:pPr>
              <w:widowControl/>
              <w:jc w:val="center"/>
              <w:rPr>
                <w:rFonts w:eastAsia="等线"/>
                <w:b/>
                <w:bCs/>
                <w:color w:val="auto"/>
                <w:kern w:val="0"/>
                <w:sz w:val="18"/>
                <w:szCs w:val="18"/>
              </w:rPr>
            </w:pPr>
            <w:r>
              <w:rPr>
                <w:rFonts w:hint="eastAsia" w:eastAsia="等线"/>
                <w:b/>
                <w:bCs/>
                <w:color w:val="auto"/>
                <w:kern w:val="0"/>
                <w:sz w:val="18"/>
                <w:szCs w:val="18"/>
              </w:rPr>
              <w:t>44</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1FD45404">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信息化服务</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6C031CA2">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信息化服务</w:t>
            </w:r>
          </w:p>
        </w:tc>
        <w:tc>
          <w:tcPr>
            <w:tcW w:w="5478" w:type="dxa"/>
            <w:tcBorders>
              <w:top w:val="nil"/>
              <w:left w:val="nil"/>
              <w:bottom w:val="nil"/>
              <w:right w:val="single" w:color="auto" w:sz="8" w:space="0"/>
            </w:tcBorders>
            <w:shd w:val="clear" w:color="000000" w:fill="FFFFFF"/>
            <w:vAlign w:val="center"/>
          </w:tcPr>
          <w:p w14:paraId="14880D8E">
            <w:pPr>
              <w:widowControl/>
              <w:rPr>
                <w:rFonts w:hint="eastAsia" w:ascii="宋体" w:hAnsi="宋体" w:cs="宋体"/>
                <w:color w:val="auto"/>
                <w:kern w:val="0"/>
                <w:sz w:val="18"/>
                <w:szCs w:val="18"/>
              </w:rPr>
            </w:pPr>
            <w:r>
              <w:rPr>
                <w:rFonts w:hint="eastAsia" w:ascii="宋体" w:hAnsi="宋体" w:cs="宋体"/>
                <w:color w:val="auto"/>
                <w:kern w:val="0"/>
                <w:sz w:val="18"/>
                <w:szCs w:val="18"/>
              </w:rPr>
              <w:t>1.乙方应配备与本项目服务需求相关的信息化服务 系统或平台或承诺在中标后具有相关信息化服务系统或平合（主要包括施设备管理系统，报事报修管理系统，巡查巡检系统，能耗监管、物联管理的配套系统，便民服务APP 等），并应无条件向校方管理部门开放后台管理功能，与校方的信息化管理与服务系统对接；配合校方做好校区、校区校园服务门户网站、微信和各类信息化应用系统的维护、运营、升级等工作；并负责与乙方相关的校园服务的业务模块相关的维护、信息发布等。</w:t>
            </w:r>
          </w:p>
        </w:tc>
        <w:tc>
          <w:tcPr>
            <w:tcW w:w="5337" w:type="dxa"/>
            <w:tcBorders>
              <w:top w:val="nil"/>
              <w:left w:val="nil"/>
              <w:bottom w:val="nil"/>
              <w:right w:val="single" w:color="auto" w:sz="8" w:space="0"/>
            </w:tcBorders>
            <w:shd w:val="clear" w:color="000000" w:fill="FFFFFF"/>
            <w:vAlign w:val="center"/>
          </w:tcPr>
          <w:p w14:paraId="1359791A">
            <w:pPr>
              <w:widowControl/>
              <w:rPr>
                <w:rFonts w:eastAsia="等线"/>
                <w:color w:val="auto"/>
                <w:kern w:val="0"/>
                <w:sz w:val="18"/>
                <w:szCs w:val="18"/>
              </w:rPr>
            </w:pPr>
            <w:r>
              <w:rPr>
                <w:rFonts w:eastAsia="等线"/>
                <w:color w:val="auto"/>
                <w:kern w:val="0"/>
                <w:sz w:val="18"/>
                <w:szCs w:val="18"/>
              </w:rPr>
              <w:t>1.</w:t>
            </w:r>
            <w:r>
              <w:rPr>
                <w:rFonts w:hint="eastAsia" w:ascii="宋体" w:hAnsi="宋体"/>
                <w:color w:val="auto"/>
                <w:kern w:val="0"/>
                <w:sz w:val="18"/>
                <w:szCs w:val="18"/>
              </w:rPr>
              <w:t>未进行服务信息化建设，扣</w:t>
            </w:r>
            <w:r>
              <w:rPr>
                <w:rFonts w:eastAsia="等线"/>
                <w:color w:val="auto"/>
                <w:kern w:val="0"/>
                <w:sz w:val="18"/>
                <w:szCs w:val="18"/>
              </w:rPr>
              <w:t>2</w:t>
            </w:r>
            <w:r>
              <w:rPr>
                <w:rFonts w:hint="eastAsia" w:ascii="宋体" w:hAnsi="宋体"/>
                <w:color w:val="auto"/>
                <w:kern w:val="0"/>
                <w:sz w:val="18"/>
                <w:szCs w:val="18"/>
              </w:rPr>
              <w:t>分；</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2369C816">
            <w:pPr>
              <w:widowControl/>
              <w:jc w:val="center"/>
              <w:rPr>
                <w:rFonts w:eastAsia="等线"/>
                <w:color w:val="auto"/>
                <w:kern w:val="0"/>
                <w:sz w:val="18"/>
                <w:szCs w:val="18"/>
              </w:rPr>
            </w:pPr>
            <w:r>
              <w:rPr>
                <w:rFonts w:eastAsia="等线"/>
                <w:color w:val="auto"/>
                <w:kern w:val="0"/>
                <w:sz w:val="18"/>
                <w:szCs w:val="18"/>
              </w:rPr>
              <w:t>3</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005FF31C">
            <w:pPr>
              <w:widowControl/>
              <w:jc w:val="center"/>
              <w:rPr>
                <w:rFonts w:eastAsia="等线"/>
                <w:color w:val="auto"/>
                <w:kern w:val="0"/>
                <w:sz w:val="18"/>
                <w:szCs w:val="18"/>
              </w:rPr>
            </w:pPr>
            <w:r>
              <w:rPr>
                <w:rFonts w:eastAsia="等线"/>
                <w:color w:val="auto"/>
                <w:kern w:val="0"/>
                <w:sz w:val="18"/>
                <w:szCs w:val="18"/>
              </w:rPr>
              <w:t>　</w:t>
            </w:r>
          </w:p>
        </w:tc>
      </w:tr>
      <w:tr w14:paraId="41EF22A9">
        <w:tblPrEx>
          <w:tblCellMar>
            <w:top w:w="0" w:type="dxa"/>
            <w:left w:w="108" w:type="dxa"/>
            <w:bottom w:w="0" w:type="dxa"/>
            <w:right w:w="108" w:type="dxa"/>
          </w:tblCellMar>
        </w:tblPrEx>
        <w:trPr>
          <w:trHeight w:val="480" w:hRule="atLeast"/>
        </w:trPr>
        <w:tc>
          <w:tcPr>
            <w:tcW w:w="493" w:type="dxa"/>
            <w:vMerge w:val="continue"/>
            <w:tcBorders>
              <w:top w:val="nil"/>
              <w:left w:val="single" w:color="auto" w:sz="8" w:space="0"/>
              <w:bottom w:val="single" w:color="000000" w:sz="8" w:space="0"/>
              <w:right w:val="single" w:color="auto" w:sz="8" w:space="0"/>
            </w:tcBorders>
            <w:vAlign w:val="center"/>
          </w:tcPr>
          <w:p w14:paraId="499F1AD0">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5D32F319">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0B60152">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41FA3454">
            <w:pPr>
              <w:widowControl/>
              <w:rPr>
                <w:rFonts w:hint="eastAsia" w:ascii="宋体" w:hAnsi="宋体" w:cs="宋体"/>
                <w:color w:val="auto"/>
                <w:kern w:val="0"/>
                <w:sz w:val="18"/>
                <w:szCs w:val="18"/>
              </w:rPr>
            </w:pPr>
            <w:r>
              <w:rPr>
                <w:rFonts w:hint="eastAsia" w:ascii="宋体" w:hAnsi="宋体" w:cs="宋体"/>
                <w:color w:val="auto"/>
                <w:kern w:val="0"/>
                <w:sz w:val="18"/>
                <w:szCs w:val="18"/>
              </w:rPr>
              <w:t>2.为甲方提供简单、零星的 IT 技术支撑服务，系统无故障。</w:t>
            </w:r>
          </w:p>
        </w:tc>
        <w:tc>
          <w:tcPr>
            <w:tcW w:w="5337" w:type="dxa"/>
            <w:tcBorders>
              <w:top w:val="nil"/>
              <w:left w:val="nil"/>
              <w:bottom w:val="nil"/>
              <w:right w:val="single" w:color="auto" w:sz="8" w:space="0"/>
            </w:tcBorders>
            <w:shd w:val="clear" w:color="000000" w:fill="FFFFFF"/>
            <w:vAlign w:val="center"/>
          </w:tcPr>
          <w:p w14:paraId="03FF118F">
            <w:pPr>
              <w:widowControl/>
              <w:rPr>
                <w:rFonts w:eastAsia="等线"/>
                <w:color w:val="auto"/>
                <w:kern w:val="0"/>
                <w:sz w:val="18"/>
                <w:szCs w:val="18"/>
              </w:rPr>
            </w:pPr>
            <w:r>
              <w:rPr>
                <w:rFonts w:eastAsia="等线"/>
                <w:color w:val="auto"/>
                <w:kern w:val="0"/>
                <w:sz w:val="18"/>
                <w:szCs w:val="18"/>
              </w:rPr>
              <w:t>2.</w:t>
            </w:r>
            <w:r>
              <w:rPr>
                <w:rFonts w:hint="eastAsia" w:ascii="宋体" w:hAnsi="宋体"/>
                <w:color w:val="auto"/>
                <w:kern w:val="0"/>
                <w:sz w:val="18"/>
                <w:szCs w:val="18"/>
              </w:rPr>
              <w:t>系统建立不完善或未按合同要求建立，视情况扣</w:t>
            </w:r>
            <w:r>
              <w:rPr>
                <w:rFonts w:eastAsia="等线"/>
                <w:color w:val="auto"/>
                <w:kern w:val="0"/>
                <w:sz w:val="18"/>
                <w:szCs w:val="18"/>
              </w:rPr>
              <w:t>1-3</w:t>
            </w:r>
            <w:r>
              <w:rPr>
                <w:rFonts w:hint="eastAsia" w:ascii="宋体" w:hAnsi="宋体"/>
                <w:color w:val="auto"/>
                <w:kern w:val="0"/>
                <w:sz w:val="18"/>
                <w:szCs w:val="18"/>
              </w:rPr>
              <w:t>分。</w:t>
            </w:r>
          </w:p>
        </w:tc>
        <w:tc>
          <w:tcPr>
            <w:tcW w:w="709" w:type="dxa"/>
            <w:vMerge w:val="continue"/>
            <w:tcBorders>
              <w:top w:val="nil"/>
              <w:left w:val="single" w:color="auto" w:sz="8" w:space="0"/>
              <w:bottom w:val="single" w:color="000000" w:sz="8" w:space="0"/>
              <w:right w:val="single" w:color="auto" w:sz="8" w:space="0"/>
            </w:tcBorders>
            <w:vAlign w:val="center"/>
          </w:tcPr>
          <w:p w14:paraId="473F8539">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1377E107">
            <w:pPr>
              <w:widowControl/>
              <w:jc w:val="left"/>
              <w:rPr>
                <w:rFonts w:eastAsia="等线"/>
                <w:color w:val="auto"/>
                <w:kern w:val="0"/>
                <w:sz w:val="18"/>
                <w:szCs w:val="18"/>
              </w:rPr>
            </w:pPr>
          </w:p>
        </w:tc>
      </w:tr>
      <w:tr w14:paraId="345C1E13">
        <w:tblPrEx>
          <w:tblCellMar>
            <w:top w:w="0" w:type="dxa"/>
            <w:left w:w="108" w:type="dxa"/>
            <w:bottom w:w="0" w:type="dxa"/>
            <w:right w:w="108" w:type="dxa"/>
          </w:tblCellMar>
        </w:tblPrEx>
        <w:trPr>
          <w:trHeight w:val="1125" w:hRule="atLeast"/>
        </w:trPr>
        <w:tc>
          <w:tcPr>
            <w:tcW w:w="493" w:type="dxa"/>
            <w:vMerge w:val="continue"/>
            <w:tcBorders>
              <w:top w:val="nil"/>
              <w:left w:val="single" w:color="auto" w:sz="8" w:space="0"/>
              <w:bottom w:val="single" w:color="000000" w:sz="8" w:space="0"/>
              <w:right w:val="single" w:color="auto" w:sz="8" w:space="0"/>
            </w:tcBorders>
            <w:vAlign w:val="center"/>
          </w:tcPr>
          <w:p w14:paraId="31BF9DFF">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14071EE">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37BD9A41">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422F88A7">
            <w:pPr>
              <w:widowControl/>
              <w:rPr>
                <w:rFonts w:hint="eastAsia" w:ascii="宋体" w:hAnsi="宋体" w:cs="宋体"/>
                <w:color w:val="auto"/>
                <w:kern w:val="0"/>
                <w:sz w:val="18"/>
                <w:szCs w:val="18"/>
              </w:rPr>
            </w:pPr>
            <w:r>
              <w:rPr>
                <w:rFonts w:hint="eastAsia" w:ascii="宋体" w:hAnsi="宋体" w:cs="宋体"/>
                <w:color w:val="auto"/>
                <w:kern w:val="0"/>
                <w:sz w:val="18"/>
                <w:szCs w:val="18"/>
              </w:rPr>
              <w:t>3.乙方应根据该项目的管理特点尽可能地利用信息化技术手段降低服务成本，提升服务品质，并提供针对本项目的物业管理服务信息化、大数据、数字化、智慧化等技术应用方案。有管理创新举措（如含有物业保值增值管理运营方案、维修调度管理、访客信息管理等功能），充分发挥高科技在管理中的作用，以提高管理效率和管理质量。</w:t>
            </w:r>
          </w:p>
        </w:tc>
        <w:tc>
          <w:tcPr>
            <w:tcW w:w="5337" w:type="dxa"/>
            <w:tcBorders>
              <w:top w:val="nil"/>
              <w:left w:val="nil"/>
              <w:bottom w:val="single" w:color="auto" w:sz="8" w:space="0"/>
              <w:right w:val="single" w:color="auto" w:sz="8" w:space="0"/>
            </w:tcBorders>
            <w:shd w:val="clear" w:color="000000" w:fill="FFFFFF"/>
            <w:vAlign w:val="center"/>
          </w:tcPr>
          <w:p w14:paraId="57A207D2">
            <w:pPr>
              <w:widowControl/>
              <w:rPr>
                <w:rFonts w:eastAsia="等线"/>
                <w:color w:val="auto"/>
                <w:kern w:val="0"/>
                <w:sz w:val="18"/>
                <w:szCs w:val="18"/>
              </w:rPr>
            </w:pPr>
            <w:r>
              <w:rPr>
                <w:rFonts w:eastAsia="等线"/>
                <w:color w:val="auto"/>
                <w:kern w:val="0"/>
                <w:sz w:val="18"/>
                <w:szCs w:val="18"/>
              </w:rPr>
              <w:t>3.</w:t>
            </w:r>
            <w:r>
              <w:rPr>
                <w:rFonts w:hint="eastAsia" w:ascii="宋体" w:hAnsi="宋体"/>
                <w:color w:val="auto"/>
                <w:kern w:val="0"/>
                <w:sz w:val="18"/>
                <w:szCs w:val="18"/>
              </w:rPr>
              <w:t>信息化故障问题导致师生投诉或者严重后果的，视情况扣</w:t>
            </w:r>
            <w:r>
              <w:rPr>
                <w:rFonts w:eastAsia="等线"/>
                <w:color w:val="auto"/>
                <w:kern w:val="0"/>
                <w:sz w:val="18"/>
                <w:szCs w:val="18"/>
              </w:rPr>
              <w:t>1-3</w:t>
            </w:r>
            <w:r>
              <w:rPr>
                <w:rFonts w:hint="eastAsia" w:ascii="宋体" w:hAnsi="宋体"/>
                <w:color w:val="auto"/>
                <w:kern w:val="0"/>
                <w:sz w:val="18"/>
                <w:szCs w:val="18"/>
              </w:rPr>
              <w:t>分。</w:t>
            </w:r>
          </w:p>
        </w:tc>
        <w:tc>
          <w:tcPr>
            <w:tcW w:w="709" w:type="dxa"/>
            <w:vMerge w:val="continue"/>
            <w:tcBorders>
              <w:top w:val="nil"/>
              <w:left w:val="single" w:color="auto" w:sz="8" w:space="0"/>
              <w:bottom w:val="single" w:color="000000" w:sz="8" w:space="0"/>
              <w:right w:val="single" w:color="auto" w:sz="8" w:space="0"/>
            </w:tcBorders>
            <w:vAlign w:val="center"/>
          </w:tcPr>
          <w:p w14:paraId="72D6F60E">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60771B14">
            <w:pPr>
              <w:widowControl/>
              <w:jc w:val="left"/>
              <w:rPr>
                <w:rFonts w:eastAsia="等线"/>
                <w:color w:val="auto"/>
                <w:kern w:val="0"/>
                <w:sz w:val="18"/>
                <w:szCs w:val="18"/>
              </w:rPr>
            </w:pPr>
          </w:p>
        </w:tc>
      </w:tr>
      <w:tr w14:paraId="0097B4C9">
        <w:tblPrEx>
          <w:tblCellMar>
            <w:top w:w="0" w:type="dxa"/>
            <w:left w:w="108" w:type="dxa"/>
            <w:bottom w:w="0" w:type="dxa"/>
            <w:right w:w="108" w:type="dxa"/>
          </w:tblCellMar>
        </w:tblPrEx>
        <w:trPr>
          <w:trHeight w:val="1125" w:hRule="atLeast"/>
        </w:trPr>
        <w:tc>
          <w:tcPr>
            <w:tcW w:w="493" w:type="dxa"/>
            <w:vMerge w:val="restart"/>
            <w:tcBorders>
              <w:top w:val="nil"/>
              <w:left w:val="single" w:color="auto" w:sz="8" w:space="0"/>
              <w:bottom w:val="single" w:color="000000" w:sz="8" w:space="0"/>
              <w:right w:val="single" w:color="auto" w:sz="8" w:space="0"/>
            </w:tcBorders>
            <w:shd w:val="clear" w:color="000000" w:fill="FFFFFF"/>
            <w:vAlign w:val="center"/>
          </w:tcPr>
          <w:p w14:paraId="7DD0D38B">
            <w:pPr>
              <w:widowControl/>
              <w:jc w:val="center"/>
              <w:rPr>
                <w:rFonts w:eastAsia="等线"/>
                <w:b/>
                <w:bCs/>
                <w:color w:val="auto"/>
                <w:kern w:val="0"/>
                <w:sz w:val="18"/>
                <w:szCs w:val="18"/>
              </w:rPr>
            </w:pPr>
            <w:r>
              <w:rPr>
                <w:rFonts w:eastAsia="等线"/>
                <w:b/>
                <w:bCs/>
                <w:color w:val="auto"/>
                <w:kern w:val="0"/>
                <w:sz w:val="18"/>
                <w:szCs w:val="18"/>
              </w:rPr>
              <w:t>4</w:t>
            </w:r>
            <w:r>
              <w:rPr>
                <w:rFonts w:hint="eastAsia" w:eastAsia="等线"/>
                <w:b/>
                <w:bCs/>
                <w:color w:val="auto"/>
                <w:kern w:val="0"/>
                <w:sz w:val="18"/>
                <w:szCs w:val="18"/>
              </w:rPr>
              <w:t>5</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0E540A0D">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档案管理</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7573952C">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档案管理</w:t>
            </w:r>
          </w:p>
        </w:tc>
        <w:tc>
          <w:tcPr>
            <w:tcW w:w="5478" w:type="dxa"/>
            <w:tcBorders>
              <w:top w:val="nil"/>
              <w:left w:val="nil"/>
              <w:bottom w:val="nil"/>
              <w:right w:val="single" w:color="auto" w:sz="8" w:space="0"/>
            </w:tcBorders>
            <w:shd w:val="clear" w:color="000000" w:fill="FFFFFF"/>
            <w:vAlign w:val="center"/>
          </w:tcPr>
          <w:p w14:paraId="56852F90">
            <w:pPr>
              <w:widowControl/>
              <w:rPr>
                <w:rFonts w:hint="eastAsia" w:ascii="宋体" w:hAnsi="宋体" w:cs="宋体"/>
                <w:color w:val="auto"/>
                <w:kern w:val="0"/>
                <w:sz w:val="18"/>
                <w:szCs w:val="18"/>
              </w:rPr>
            </w:pPr>
            <w:r>
              <w:rPr>
                <w:rFonts w:hint="eastAsia" w:ascii="宋体" w:hAnsi="宋体" w:cs="宋体"/>
                <w:color w:val="auto"/>
                <w:kern w:val="0"/>
                <w:sz w:val="18"/>
                <w:szCs w:val="18"/>
              </w:rPr>
              <w:t>建立完整的物业服务人员人事档案和仓库出入库档案，做好各类行政文件、合同的存档工作；建立维修、保洁、车辆等日常运作管理档案；建立物业验收、设备维修、房屋修缮、外购存货、楼宇数据及资产管理档案；所有资料及管理资料分为图、档、卡、册四类，安放于防火、防潮、防蛀之专用档案箱内；代管校</w:t>
            </w:r>
          </w:p>
        </w:tc>
        <w:tc>
          <w:tcPr>
            <w:tcW w:w="5337" w:type="dxa"/>
            <w:tcBorders>
              <w:top w:val="nil"/>
              <w:left w:val="nil"/>
              <w:bottom w:val="nil"/>
              <w:right w:val="single" w:color="auto" w:sz="8" w:space="0"/>
            </w:tcBorders>
            <w:shd w:val="clear" w:color="000000" w:fill="FFFFFF"/>
            <w:vAlign w:val="center"/>
          </w:tcPr>
          <w:p w14:paraId="3EAE8FF6">
            <w:pPr>
              <w:widowControl/>
              <w:rPr>
                <w:rFonts w:hint="eastAsia" w:ascii="宋体" w:hAnsi="宋体" w:cs="宋体"/>
                <w:color w:val="auto"/>
                <w:kern w:val="0"/>
                <w:sz w:val="18"/>
                <w:szCs w:val="18"/>
              </w:rPr>
            </w:pPr>
            <w:r>
              <w:rPr>
                <w:rFonts w:hint="eastAsia" w:ascii="宋体" w:hAnsi="宋体" w:cs="宋体"/>
                <w:color w:val="auto"/>
                <w:kern w:val="0"/>
                <w:sz w:val="18"/>
                <w:szCs w:val="18"/>
              </w:rPr>
              <w:t>1.未建立档案管理机制，扣2分；</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5D2F5721">
            <w:pPr>
              <w:widowControl/>
              <w:jc w:val="center"/>
              <w:rPr>
                <w:rFonts w:eastAsia="等线"/>
                <w:color w:val="auto"/>
                <w:kern w:val="0"/>
                <w:sz w:val="18"/>
                <w:szCs w:val="18"/>
              </w:rPr>
            </w:pPr>
            <w:r>
              <w:rPr>
                <w:rFonts w:eastAsia="等线"/>
                <w:color w:val="auto"/>
                <w:kern w:val="0"/>
                <w:sz w:val="18"/>
                <w:szCs w:val="18"/>
              </w:rPr>
              <w:t>3</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6CA281BA">
            <w:pPr>
              <w:widowControl/>
              <w:jc w:val="center"/>
              <w:rPr>
                <w:rFonts w:eastAsia="等线"/>
                <w:color w:val="auto"/>
                <w:kern w:val="0"/>
                <w:sz w:val="18"/>
                <w:szCs w:val="18"/>
              </w:rPr>
            </w:pPr>
            <w:r>
              <w:rPr>
                <w:rFonts w:eastAsia="等线"/>
                <w:color w:val="auto"/>
                <w:kern w:val="0"/>
                <w:sz w:val="18"/>
                <w:szCs w:val="18"/>
              </w:rPr>
              <w:t>　</w:t>
            </w:r>
          </w:p>
        </w:tc>
      </w:tr>
      <w:tr w14:paraId="04D47804">
        <w:tblPrEx>
          <w:tblCellMar>
            <w:top w:w="0" w:type="dxa"/>
            <w:left w:w="108" w:type="dxa"/>
            <w:bottom w:w="0" w:type="dxa"/>
            <w:right w:w="108" w:type="dxa"/>
          </w:tblCellMar>
        </w:tblPrEx>
        <w:trPr>
          <w:trHeight w:val="900" w:hRule="atLeast"/>
        </w:trPr>
        <w:tc>
          <w:tcPr>
            <w:tcW w:w="493" w:type="dxa"/>
            <w:vMerge w:val="continue"/>
            <w:tcBorders>
              <w:top w:val="nil"/>
              <w:left w:val="single" w:color="auto" w:sz="8" w:space="0"/>
              <w:bottom w:val="single" w:color="000000" w:sz="8" w:space="0"/>
              <w:right w:val="single" w:color="auto" w:sz="8" w:space="0"/>
            </w:tcBorders>
            <w:vAlign w:val="center"/>
          </w:tcPr>
          <w:p w14:paraId="72625D9B">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62CE59E5">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DE24BD6">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7A6DF559">
            <w:pPr>
              <w:widowControl/>
              <w:rPr>
                <w:rFonts w:hint="eastAsia" w:ascii="宋体" w:hAnsi="宋体" w:cs="宋体"/>
                <w:color w:val="auto"/>
                <w:kern w:val="0"/>
                <w:sz w:val="18"/>
                <w:szCs w:val="18"/>
              </w:rPr>
            </w:pPr>
            <w:r>
              <w:rPr>
                <w:rFonts w:hint="eastAsia" w:ascii="宋体" w:hAnsi="宋体" w:cs="宋体"/>
                <w:color w:val="auto"/>
                <w:kern w:val="0"/>
                <w:sz w:val="18"/>
                <w:szCs w:val="18"/>
              </w:rPr>
              <w:t>方规划图、竣工图等建设资料复印件和设备设施技术资料复印件；制定有关人、财、物移交的管理规定，所有管理档案资料符合国家有关标准和密级，必须保证完整、完好、真实，并及时更新，撤离时全部移交校方。</w:t>
            </w:r>
          </w:p>
        </w:tc>
        <w:tc>
          <w:tcPr>
            <w:tcW w:w="5337" w:type="dxa"/>
            <w:tcBorders>
              <w:top w:val="nil"/>
              <w:left w:val="nil"/>
              <w:bottom w:val="nil"/>
              <w:right w:val="single" w:color="auto" w:sz="8" w:space="0"/>
            </w:tcBorders>
            <w:shd w:val="clear" w:color="000000" w:fill="FFFFFF"/>
            <w:vAlign w:val="center"/>
          </w:tcPr>
          <w:p w14:paraId="59938D81">
            <w:pPr>
              <w:widowControl/>
              <w:rPr>
                <w:rFonts w:hint="eastAsia" w:ascii="宋体" w:hAnsi="宋体" w:cs="宋体"/>
                <w:color w:val="auto"/>
                <w:kern w:val="0"/>
                <w:sz w:val="18"/>
                <w:szCs w:val="18"/>
              </w:rPr>
            </w:pPr>
            <w:r>
              <w:rPr>
                <w:rFonts w:hint="eastAsia" w:ascii="宋体" w:hAnsi="宋体" w:cs="宋体"/>
                <w:color w:val="auto"/>
                <w:kern w:val="0"/>
                <w:sz w:val="18"/>
                <w:szCs w:val="18"/>
              </w:rPr>
              <w:t>2.各类资料或者档案不完善、存在问题的，视情况扣1-2分；</w:t>
            </w:r>
          </w:p>
        </w:tc>
        <w:tc>
          <w:tcPr>
            <w:tcW w:w="709" w:type="dxa"/>
            <w:vMerge w:val="continue"/>
            <w:tcBorders>
              <w:top w:val="nil"/>
              <w:left w:val="single" w:color="auto" w:sz="8" w:space="0"/>
              <w:bottom w:val="single" w:color="000000" w:sz="8" w:space="0"/>
              <w:right w:val="single" w:color="auto" w:sz="8" w:space="0"/>
            </w:tcBorders>
            <w:vAlign w:val="center"/>
          </w:tcPr>
          <w:p w14:paraId="313DF332">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5C062A19">
            <w:pPr>
              <w:widowControl/>
              <w:jc w:val="left"/>
              <w:rPr>
                <w:rFonts w:eastAsia="等线"/>
                <w:color w:val="auto"/>
                <w:kern w:val="0"/>
                <w:sz w:val="18"/>
                <w:szCs w:val="18"/>
              </w:rPr>
            </w:pPr>
          </w:p>
        </w:tc>
      </w:tr>
      <w:tr w14:paraId="076A3246">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018DF832">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75C8674">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B598CE1">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5B09097A">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5337" w:type="dxa"/>
            <w:tcBorders>
              <w:top w:val="nil"/>
              <w:left w:val="nil"/>
              <w:bottom w:val="nil"/>
              <w:right w:val="single" w:color="auto" w:sz="8" w:space="0"/>
            </w:tcBorders>
            <w:shd w:val="clear" w:color="000000" w:fill="FFFFFF"/>
            <w:vAlign w:val="center"/>
          </w:tcPr>
          <w:p w14:paraId="18581F44">
            <w:pPr>
              <w:widowControl/>
              <w:rPr>
                <w:rFonts w:hint="eastAsia" w:ascii="宋体" w:hAnsi="宋体" w:cs="宋体"/>
                <w:color w:val="auto"/>
                <w:kern w:val="0"/>
                <w:sz w:val="18"/>
                <w:szCs w:val="18"/>
              </w:rPr>
            </w:pPr>
            <w:r>
              <w:rPr>
                <w:rFonts w:hint="eastAsia" w:ascii="宋体" w:hAnsi="宋体" w:cs="宋体"/>
                <w:color w:val="auto"/>
                <w:kern w:val="0"/>
                <w:sz w:val="18"/>
                <w:szCs w:val="18"/>
              </w:rPr>
              <w:t>3.各类资料或者档案服务索证及台账不全的，一处扣0.5分；</w:t>
            </w:r>
          </w:p>
        </w:tc>
        <w:tc>
          <w:tcPr>
            <w:tcW w:w="709" w:type="dxa"/>
            <w:vMerge w:val="continue"/>
            <w:tcBorders>
              <w:top w:val="nil"/>
              <w:left w:val="single" w:color="auto" w:sz="8" w:space="0"/>
              <w:bottom w:val="single" w:color="000000" w:sz="8" w:space="0"/>
              <w:right w:val="single" w:color="auto" w:sz="8" w:space="0"/>
            </w:tcBorders>
            <w:vAlign w:val="center"/>
          </w:tcPr>
          <w:p w14:paraId="48BDC11E">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1BBCE88D">
            <w:pPr>
              <w:widowControl/>
              <w:jc w:val="left"/>
              <w:rPr>
                <w:rFonts w:eastAsia="等线"/>
                <w:color w:val="auto"/>
                <w:kern w:val="0"/>
                <w:sz w:val="18"/>
                <w:szCs w:val="18"/>
              </w:rPr>
            </w:pPr>
          </w:p>
        </w:tc>
      </w:tr>
      <w:tr w14:paraId="605F273E">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163DB717">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7C541E2">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4B23835">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1517C4B5">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5337" w:type="dxa"/>
            <w:tcBorders>
              <w:top w:val="nil"/>
              <w:left w:val="nil"/>
              <w:bottom w:val="nil"/>
              <w:right w:val="single" w:color="auto" w:sz="8" w:space="0"/>
            </w:tcBorders>
            <w:shd w:val="clear" w:color="000000" w:fill="FFFFFF"/>
            <w:vAlign w:val="center"/>
          </w:tcPr>
          <w:p w14:paraId="6E773A20">
            <w:pPr>
              <w:widowControl/>
              <w:rPr>
                <w:rFonts w:hint="eastAsia" w:ascii="宋体" w:hAnsi="宋体" w:cs="宋体"/>
                <w:color w:val="auto"/>
                <w:kern w:val="0"/>
                <w:sz w:val="18"/>
                <w:szCs w:val="18"/>
              </w:rPr>
            </w:pPr>
            <w:r>
              <w:rPr>
                <w:rFonts w:hint="eastAsia" w:ascii="宋体" w:hAnsi="宋体" w:cs="宋体"/>
                <w:color w:val="auto"/>
                <w:kern w:val="0"/>
                <w:sz w:val="18"/>
                <w:szCs w:val="18"/>
              </w:rPr>
              <w:t>4.特殊岗位上岗人员未具备相关资格证，或资格证不在有效期内的，每人次扣1分。</w:t>
            </w:r>
          </w:p>
        </w:tc>
        <w:tc>
          <w:tcPr>
            <w:tcW w:w="709" w:type="dxa"/>
            <w:vMerge w:val="continue"/>
            <w:tcBorders>
              <w:top w:val="nil"/>
              <w:left w:val="single" w:color="auto" w:sz="8" w:space="0"/>
              <w:bottom w:val="single" w:color="000000" w:sz="8" w:space="0"/>
              <w:right w:val="single" w:color="auto" w:sz="8" w:space="0"/>
            </w:tcBorders>
            <w:vAlign w:val="center"/>
          </w:tcPr>
          <w:p w14:paraId="6CCEB1B7">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571383D7">
            <w:pPr>
              <w:widowControl/>
              <w:jc w:val="left"/>
              <w:rPr>
                <w:rFonts w:eastAsia="等线"/>
                <w:color w:val="auto"/>
                <w:kern w:val="0"/>
                <w:sz w:val="18"/>
                <w:szCs w:val="18"/>
              </w:rPr>
            </w:pPr>
          </w:p>
        </w:tc>
      </w:tr>
      <w:tr w14:paraId="75F4CA4D">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0DF6259E">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C7B3D41">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422F37A5">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3D71502F">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5337" w:type="dxa"/>
            <w:tcBorders>
              <w:top w:val="nil"/>
              <w:left w:val="nil"/>
              <w:bottom w:val="nil"/>
              <w:right w:val="single" w:color="auto" w:sz="8" w:space="0"/>
            </w:tcBorders>
            <w:shd w:val="clear" w:color="000000" w:fill="FFFFFF"/>
            <w:vAlign w:val="center"/>
          </w:tcPr>
          <w:p w14:paraId="27DE4B86">
            <w:pPr>
              <w:widowControl/>
              <w:rPr>
                <w:rFonts w:hint="eastAsia" w:ascii="宋体" w:hAnsi="宋体" w:cs="宋体"/>
                <w:color w:val="auto"/>
                <w:kern w:val="0"/>
                <w:sz w:val="18"/>
                <w:szCs w:val="18"/>
              </w:rPr>
            </w:pPr>
            <w:r>
              <w:rPr>
                <w:rFonts w:hint="eastAsia" w:ascii="宋体" w:hAnsi="宋体" w:cs="宋体"/>
                <w:color w:val="auto"/>
                <w:kern w:val="0"/>
                <w:sz w:val="18"/>
                <w:szCs w:val="18"/>
              </w:rPr>
              <w:t>5.人员流动过于频繁、有违规用工现象，视情节严重程度扣1-3分；</w:t>
            </w:r>
          </w:p>
        </w:tc>
        <w:tc>
          <w:tcPr>
            <w:tcW w:w="709" w:type="dxa"/>
            <w:vMerge w:val="continue"/>
            <w:tcBorders>
              <w:top w:val="nil"/>
              <w:left w:val="single" w:color="auto" w:sz="8" w:space="0"/>
              <w:bottom w:val="single" w:color="000000" w:sz="8" w:space="0"/>
              <w:right w:val="single" w:color="auto" w:sz="8" w:space="0"/>
            </w:tcBorders>
            <w:vAlign w:val="center"/>
          </w:tcPr>
          <w:p w14:paraId="414E85DA">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30CCAACB">
            <w:pPr>
              <w:widowControl/>
              <w:jc w:val="left"/>
              <w:rPr>
                <w:rFonts w:eastAsia="等线"/>
                <w:color w:val="auto"/>
                <w:kern w:val="0"/>
                <w:sz w:val="18"/>
                <w:szCs w:val="18"/>
              </w:rPr>
            </w:pPr>
          </w:p>
        </w:tc>
      </w:tr>
      <w:tr w14:paraId="42D809D5">
        <w:tblPrEx>
          <w:tblCellMar>
            <w:top w:w="0" w:type="dxa"/>
            <w:left w:w="108" w:type="dxa"/>
            <w:bottom w:w="0" w:type="dxa"/>
            <w:right w:w="108" w:type="dxa"/>
          </w:tblCellMar>
        </w:tblPrEx>
        <w:trPr>
          <w:trHeight w:val="675" w:hRule="atLeast"/>
        </w:trPr>
        <w:tc>
          <w:tcPr>
            <w:tcW w:w="493" w:type="dxa"/>
            <w:vMerge w:val="continue"/>
            <w:tcBorders>
              <w:top w:val="nil"/>
              <w:left w:val="single" w:color="auto" w:sz="8" w:space="0"/>
              <w:bottom w:val="single" w:color="000000" w:sz="8" w:space="0"/>
              <w:right w:val="single" w:color="auto" w:sz="8" w:space="0"/>
            </w:tcBorders>
            <w:vAlign w:val="center"/>
          </w:tcPr>
          <w:p w14:paraId="7EB07AD3">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756ED62E">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5CCBA64">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31EAD7F9">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5337" w:type="dxa"/>
            <w:tcBorders>
              <w:top w:val="nil"/>
              <w:left w:val="nil"/>
              <w:bottom w:val="single" w:color="auto" w:sz="8" w:space="0"/>
              <w:right w:val="single" w:color="auto" w:sz="8" w:space="0"/>
            </w:tcBorders>
            <w:shd w:val="clear" w:color="000000" w:fill="FFFFFF"/>
            <w:vAlign w:val="center"/>
          </w:tcPr>
          <w:p w14:paraId="6775441F">
            <w:pPr>
              <w:widowControl/>
              <w:rPr>
                <w:rFonts w:hint="eastAsia" w:ascii="宋体" w:hAnsi="宋体" w:cs="宋体"/>
                <w:color w:val="auto"/>
                <w:kern w:val="0"/>
                <w:sz w:val="18"/>
                <w:szCs w:val="18"/>
              </w:rPr>
            </w:pPr>
            <w:r>
              <w:rPr>
                <w:rFonts w:hint="eastAsia" w:ascii="宋体" w:hAnsi="宋体" w:cs="宋体"/>
                <w:color w:val="auto"/>
                <w:kern w:val="0"/>
                <w:sz w:val="18"/>
                <w:szCs w:val="18"/>
              </w:rPr>
              <w:t>6.员工有违反各类规章制度、校纪校规的，情节一般的每人次扣1分，情节严重的每人次扣2分；员工有违法犯罪行为的，每人次扣4分。</w:t>
            </w:r>
          </w:p>
        </w:tc>
        <w:tc>
          <w:tcPr>
            <w:tcW w:w="709" w:type="dxa"/>
            <w:vMerge w:val="continue"/>
            <w:tcBorders>
              <w:top w:val="nil"/>
              <w:left w:val="single" w:color="auto" w:sz="8" w:space="0"/>
              <w:bottom w:val="single" w:color="000000" w:sz="8" w:space="0"/>
              <w:right w:val="single" w:color="auto" w:sz="8" w:space="0"/>
            </w:tcBorders>
            <w:vAlign w:val="center"/>
          </w:tcPr>
          <w:p w14:paraId="3A4FBD2F">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1AC1B446">
            <w:pPr>
              <w:widowControl/>
              <w:jc w:val="left"/>
              <w:rPr>
                <w:rFonts w:eastAsia="等线"/>
                <w:color w:val="auto"/>
                <w:kern w:val="0"/>
                <w:sz w:val="18"/>
                <w:szCs w:val="18"/>
              </w:rPr>
            </w:pPr>
          </w:p>
        </w:tc>
      </w:tr>
      <w:tr w14:paraId="1AF3FBF1">
        <w:tblPrEx>
          <w:tblCellMar>
            <w:top w:w="0" w:type="dxa"/>
            <w:left w:w="108" w:type="dxa"/>
            <w:bottom w:w="0" w:type="dxa"/>
            <w:right w:w="108" w:type="dxa"/>
          </w:tblCellMar>
        </w:tblPrEx>
        <w:trPr>
          <w:trHeight w:val="900" w:hRule="atLeast"/>
        </w:trPr>
        <w:tc>
          <w:tcPr>
            <w:tcW w:w="493" w:type="dxa"/>
            <w:vMerge w:val="restart"/>
            <w:tcBorders>
              <w:top w:val="nil"/>
              <w:left w:val="single" w:color="auto" w:sz="8" w:space="0"/>
              <w:bottom w:val="single" w:color="000000" w:sz="8" w:space="0"/>
              <w:right w:val="single" w:color="auto" w:sz="8" w:space="0"/>
            </w:tcBorders>
            <w:shd w:val="clear" w:color="000000" w:fill="FFFFFF"/>
            <w:vAlign w:val="center"/>
          </w:tcPr>
          <w:p w14:paraId="112360E8">
            <w:pPr>
              <w:widowControl/>
              <w:jc w:val="center"/>
              <w:rPr>
                <w:rFonts w:eastAsia="等线"/>
                <w:b/>
                <w:bCs/>
                <w:color w:val="auto"/>
                <w:kern w:val="0"/>
                <w:sz w:val="18"/>
                <w:szCs w:val="18"/>
              </w:rPr>
            </w:pPr>
            <w:r>
              <w:rPr>
                <w:rFonts w:eastAsia="等线"/>
                <w:b/>
                <w:bCs/>
                <w:color w:val="auto"/>
                <w:kern w:val="0"/>
                <w:sz w:val="18"/>
                <w:szCs w:val="18"/>
              </w:rPr>
              <w:t>4</w:t>
            </w:r>
            <w:r>
              <w:rPr>
                <w:rFonts w:hint="eastAsia" w:eastAsia="等线"/>
                <w:b/>
                <w:bCs/>
                <w:color w:val="auto"/>
                <w:kern w:val="0"/>
                <w:sz w:val="18"/>
                <w:szCs w:val="18"/>
              </w:rPr>
              <w:t>6</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604DC428">
            <w:pPr>
              <w:widowControl/>
              <w:rPr>
                <w:rFonts w:hint="eastAsia" w:ascii="宋体" w:hAnsi="宋体" w:cs="宋体"/>
                <w:b/>
                <w:bCs/>
                <w:color w:val="auto"/>
                <w:kern w:val="0"/>
                <w:sz w:val="18"/>
                <w:szCs w:val="18"/>
              </w:rPr>
            </w:pPr>
            <w:r>
              <w:rPr>
                <w:rFonts w:hint="eastAsia" w:ascii="宋体" w:hAnsi="宋体" w:cs="宋体"/>
                <w:b/>
                <w:bCs/>
                <w:color w:val="auto"/>
                <w:kern w:val="0"/>
                <w:sz w:val="18"/>
                <w:szCs w:val="18"/>
              </w:rPr>
              <w:t>应急事项处置</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12633529">
            <w:pPr>
              <w:widowControl/>
              <w:rPr>
                <w:rFonts w:hint="eastAsia" w:ascii="宋体" w:hAnsi="宋体" w:cs="宋体"/>
                <w:b/>
                <w:bCs/>
                <w:color w:val="auto"/>
                <w:kern w:val="0"/>
                <w:sz w:val="18"/>
                <w:szCs w:val="18"/>
              </w:rPr>
            </w:pPr>
            <w:r>
              <w:rPr>
                <w:rFonts w:hint="eastAsia" w:ascii="宋体" w:hAnsi="宋体" w:cs="宋体"/>
                <w:b/>
                <w:bCs/>
                <w:color w:val="auto"/>
                <w:kern w:val="0"/>
                <w:sz w:val="18"/>
                <w:szCs w:val="18"/>
              </w:rPr>
              <w:t>应急事项处置</w:t>
            </w:r>
          </w:p>
        </w:tc>
        <w:tc>
          <w:tcPr>
            <w:tcW w:w="5478" w:type="dxa"/>
            <w:tcBorders>
              <w:top w:val="nil"/>
              <w:left w:val="nil"/>
              <w:bottom w:val="nil"/>
              <w:right w:val="single" w:color="auto" w:sz="8" w:space="0"/>
            </w:tcBorders>
            <w:shd w:val="clear" w:color="000000" w:fill="FFFFFF"/>
            <w:vAlign w:val="center"/>
          </w:tcPr>
          <w:p w14:paraId="60191EB7">
            <w:pPr>
              <w:widowControl/>
              <w:rPr>
                <w:rFonts w:hint="eastAsia" w:ascii="宋体" w:hAnsi="宋体" w:cs="宋体"/>
                <w:color w:val="auto"/>
                <w:kern w:val="0"/>
                <w:sz w:val="18"/>
                <w:szCs w:val="18"/>
              </w:rPr>
            </w:pPr>
            <w:r>
              <w:rPr>
                <w:rFonts w:hint="eastAsia" w:ascii="宋体" w:hAnsi="宋体" w:cs="宋体"/>
                <w:color w:val="auto"/>
                <w:kern w:val="0"/>
                <w:sz w:val="18"/>
                <w:szCs w:val="18"/>
              </w:rPr>
              <w:t>1.负责本物业管理服务项目内停电、停水、火灾、渍水、自然灾害、治安刑事案件、聚众闹事、电梯困人，非法集会、燃气泄露、重大人身伤亡事故等情况的应急处置工作，并及时汇报校方相关部门。</w:t>
            </w:r>
          </w:p>
        </w:tc>
        <w:tc>
          <w:tcPr>
            <w:tcW w:w="5337" w:type="dxa"/>
            <w:tcBorders>
              <w:top w:val="nil"/>
              <w:left w:val="nil"/>
              <w:bottom w:val="nil"/>
              <w:right w:val="single" w:color="auto" w:sz="8" w:space="0"/>
            </w:tcBorders>
            <w:shd w:val="clear" w:color="000000" w:fill="FFFFFF"/>
            <w:vAlign w:val="center"/>
          </w:tcPr>
          <w:p w14:paraId="37A2C8D7">
            <w:pPr>
              <w:widowControl/>
              <w:rPr>
                <w:rFonts w:hint="eastAsia" w:ascii="宋体" w:hAnsi="宋体" w:cs="宋体"/>
                <w:color w:val="auto"/>
                <w:kern w:val="0"/>
                <w:sz w:val="18"/>
                <w:szCs w:val="18"/>
              </w:rPr>
            </w:pPr>
            <w:r>
              <w:rPr>
                <w:rFonts w:hint="eastAsia" w:ascii="宋体" w:hAnsi="宋体" w:cs="宋体"/>
                <w:color w:val="auto"/>
                <w:kern w:val="0"/>
                <w:sz w:val="18"/>
                <w:szCs w:val="18"/>
              </w:rPr>
              <w:t>1.对停电、停水、火灾、渍水、自然灾害、治安刑事案件、聚众闹事、电梯困人，非法集会、燃气泄露、重大人身伤亡事故等情况的未及时进行应急处置工作的，视情况一次扣1-3分；</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6A8FB966">
            <w:pPr>
              <w:widowControl/>
              <w:jc w:val="center"/>
              <w:rPr>
                <w:rFonts w:eastAsia="等线"/>
                <w:color w:val="auto"/>
                <w:kern w:val="0"/>
                <w:sz w:val="18"/>
                <w:szCs w:val="18"/>
              </w:rPr>
            </w:pPr>
            <w:r>
              <w:rPr>
                <w:rFonts w:eastAsia="等线"/>
                <w:color w:val="auto"/>
                <w:kern w:val="0"/>
                <w:sz w:val="18"/>
                <w:szCs w:val="18"/>
              </w:rPr>
              <w:t>3</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156A13CE">
            <w:pPr>
              <w:widowControl/>
              <w:jc w:val="center"/>
              <w:rPr>
                <w:rFonts w:eastAsia="等线"/>
                <w:color w:val="auto"/>
                <w:kern w:val="0"/>
                <w:sz w:val="18"/>
                <w:szCs w:val="18"/>
              </w:rPr>
            </w:pPr>
            <w:r>
              <w:rPr>
                <w:rFonts w:eastAsia="等线"/>
                <w:color w:val="auto"/>
                <w:kern w:val="0"/>
                <w:sz w:val="18"/>
                <w:szCs w:val="18"/>
              </w:rPr>
              <w:t>　</w:t>
            </w:r>
          </w:p>
        </w:tc>
      </w:tr>
      <w:tr w14:paraId="45271502">
        <w:tblPrEx>
          <w:tblCellMar>
            <w:top w:w="0" w:type="dxa"/>
            <w:left w:w="108" w:type="dxa"/>
            <w:bottom w:w="0" w:type="dxa"/>
            <w:right w:w="108" w:type="dxa"/>
          </w:tblCellMar>
        </w:tblPrEx>
        <w:trPr>
          <w:trHeight w:val="870" w:hRule="atLeast"/>
        </w:trPr>
        <w:tc>
          <w:tcPr>
            <w:tcW w:w="493" w:type="dxa"/>
            <w:vMerge w:val="continue"/>
            <w:tcBorders>
              <w:top w:val="nil"/>
              <w:left w:val="single" w:color="auto" w:sz="8" w:space="0"/>
              <w:bottom w:val="single" w:color="000000" w:sz="8" w:space="0"/>
              <w:right w:val="single" w:color="auto" w:sz="8" w:space="0"/>
            </w:tcBorders>
            <w:vAlign w:val="center"/>
          </w:tcPr>
          <w:p w14:paraId="04F83D0E">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3CB3B8E">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7337C00">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2354ECDD">
            <w:pPr>
              <w:widowControl/>
              <w:rPr>
                <w:rFonts w:hint="eastAsia" w:ascii="宋体" w:hAnsi="宋体" w:cs="宋体"/>
                <w:color w:val="auto"/>
                <w:kern w:val="0"/>
                <w:sz w:val="18"/>
                <w:szCs w:val="18"/>
              </w:rPr>
            </w:pPr>
            <w:r>
              <w:rPr>
                <w:rFonts w:hint="eastAsia" w:ascii="宋体" w:hAnsi="宋体" w:cs="宋体"/>
                <w:color w:val="auto"/>
                <w:kern w:val="0"/>
                <w:sz w:val="18"/>
                <w:szCs w:val="18"/>
              </w:rPr>
              <w:t>2.机构设置：成立突发事件应急处置工作组，乙方主要负责人为组长、各部门负责人为副组长、部门员工为组员的工作机构;</w:t>
            </w:r>
          </w:p>
        </w:tc>
        <w:tc>
          <w:tcPr>
            <w:tcW w:w="5337" w:type="dxa"/>
            <w:tcBorders>
              <w:top w:val="nil"/>
              <w:left w:val="nil"/>
              <w:bottom w:val="nil"/>
              <w:right w:val="single" w:color="auto" w:sz="8" w:space="0"/>
            </w:tcBorders>
            <w:shd w:val="clear" w:color="000000" w:fill="FFFFFF"/>
            <w:vAlign w:val="center"/>
          </w:tcPr>
          <w:p w14:paraId="72E5F8E8">
            <w:pPr>
              <w:widowControl/>
              <w:rPr>
                <w:rFonts w:hint="eastAsia" w:ascii="宋体" w:hAnsi="宋体" w:cs="宋体"/>
                <w:color w:val="auto"/>
                <w:kern w:val="0"/>
                <w:sz w:val="18"/>
                <w:szCs w:val="18"/>
              </w:rPr>
            </w:pPr>
            <w:r>
              <w:rPr>
                <w:rFonts w:hint="eastAsia" w:ascii="宋体" w:hAnsi="宋体" w:cs="宋体"/>
                <w:color w:val="auto"/>
                <w:kern w:val="0"/>
                <w:sz w:val="18"/>
                <w:szCs w:val="18"/>
              </w:rPr>
              <w:t>2.对应急处置不及时或不力，造成重大财产损失或人身伤害的，依法追究法律责任。视情节严重程度一次扣1-3分。</w:t>
            </w:r>
          </w:p>
        </w:tc>
        <w:tc>
          <w:tcPr>
            <w:tcW w:w="709" w:type="dxa"/>
            <w:vMerge w:val="continue"/>
            <w:tcBorders>
              <w:top w:val="nil"/>
              <w:left w:val="single" w:color="auto" w:sz="8" w:space="0"/>
              <w:bottom w:val="single" w:color="000000" w:sz="8" w:space="0"/>
              <w:right w:val="single" w:color="auto" w:sz="8" w:space="0"/>
            </w:tcBorders>
            <w:vAlign w:val="center"/>
          </w:tcPr>
          <w:p w14:paraId="77E27050">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1ABB4219">
            <w:pPr>
              <w:widowControl/>
              <w:jc w:val="left"/>
              <w:rPr>
                <w:rFonts w:eastAsia="等线"/>
                <w:color w:val="auto"/>
                <w:kern w:val="0"/>
                <w:sz w:val="18"/>
                <w:szCs w:val="18"/>
              </w:rPr>
            </w:pPr>
          </w:p>
        </w:tc>
      </w:tr>
      <w:tr w14:paraId="11E17C1D">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18CEB33C">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324E4148">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30595751">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2EAE5CF0">
            <w:pPr>
              <w:widowControl/>
              <w:rPr>
                <w:rFonts w:hint="eastAsia" w:ascii="宋体" w:hAnsi="宋体" w:cs="宋体"/>
                <w:color w:val="auto"/>
                <w:kern w:val="0"/>
                <w:sz w:val="18"/>
                <w:szCs w:val="18"/>
              </w:rPr>
            </w:pPr>
            <w:r>
              <w:rPr>
                <w:rFonts w:hint="eastAsia" w:ascii="宋体" w:hAnsi="宋体" w:cs="宋体"/>
                <w:color w:val="auto"/>
                <w:kern w:val="0"/>
                <w:sz w:val="18"/>
                <w:szCs w:val="18"/>
              </w:rPr>
              <w:t>3.应急预案：制定切实可行，操作性强的应预案，定期做好各项预案的演练，配备足够的应急物资与工具;</w:t>
            </w:r>
          </w:p>
        </w:tc>
        <w:tc>
          <w:tcPr>
            <w:tcW w:w="5337" w:type="dxa"/>
            <w:tcBorders>
              <w:top w:val="nil"/>
              <w:left w:val="nil"/>
              <w:bottom w:val="nil"/>
              <w:right w:val="single" w:color="auto" w:sz="8" w:space="0"/>
            </w:tcBorders>
            <w:shd w:val="clear" w:color="000000" w:fill="FFFFFF"/>
            <w:vAlign w:val="center"/>
          </w:tcPr>
          <w:p w14:paraId="25528164">
            <w:pPr>
              <w:widowControl/>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709" w:type="dxa"/>
            <w:vMerge w:val="continue"/>
            <w:tcBorders>
              <w:top w:val="nil"/>
              <w:left w:val="single" w:color="auto" w:sz="8" w:space="0"/>
              <w:bottom w:val="single" w:color="000000" w:sz="8" w:space="0"/>
              <w:right w:val="single" w:color="auto" w:sz="8" w:space="0"/>
            </w:tcBorders>
            <w:vAlign w:val="center"/>
          </w:tcPr>
          <w:p w14:paraId="38FB81BC">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1E626EAE">
            <w:pPr>
              <w:widowControl/>
              <w:jc w:val="left"/>
              <w:rPr>
                <w:rFonts w:eastAsia="等线"/>
                <w:color w:val="auto"/>
                <w:kern w:val="0"/>
                <w:sz w:val="18"/>
                <w:szCs w:val="18"/>
              </w:rPr>
            </w:pPr>
          </w:p>
        </w:tc>
      </w:tr>
      <w:tr w14:paraId="4675D112">
        <w:tblPrEx>
          <w:tblCellMar>
            <w:top w:w="0" w:type="dxa"/>
            <w:left w:w="108" w:type="dxa"/>
            <w:bottom w:w="0" w:type="dxa"/>
            <w:right w:w="108" w:type="dxa"/>
          </w:tblCellMar>
        </w:tblPrEx>
        <w:trPr>
          <w:trHeight w:val="285" w:hRule="atLeast"/>
        </w:trPr>
        <w:tc>
          <w:tcPr>
            <w:tcW w:w="493" w:type="dxa"/>
            <w:vMerge w:val="continue"/>
            <w:tcBorders>
              <w:top w:val="nil"/>
              <w:left w:val="single" w:color="auto" w:sz="8" w:space="0"/>
              <w:bottom w:val="single" w:color="000000" w:sz="8" w:space="0"/>
              <w:right w:val="single" w:color="auto" w:sz="8" w:space="0"/>
            </w:tcBorders>
            <w:vAlign w:val="center"/>
          </w:tcPr>
          <w:p w14:paraId="5351E820">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204DF14C">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67C5B4BD">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343C2569">
            <w:pPr>
              <w:widowControl/>
              <w:rPr>
                <w:rFonts w:hint="eastAsia" w:ascii="宋体" w:hAnsi="宋体" w:cs="宋体"/>
                <w:color w:val="auto"/>
                <w:kern w:val="0"/>
                <w:sz w:val="18"/>
                <w:szCs w:val="18"/>
              </w:rPr>
            </w:pPr>
            <w:r>
              <w:rPr>
                <w:rFonts w:hint="eastAsia" w:ascii="宋体" w:hAnsi="宋体" w:cs="宋体"/>
                <w:color w:val="auto"/>
                <w:kern w:val="0"/>
                <w:sz w:val="18"/>
                <w:szCs w:val="18"/>
              </w:rPr>
              <w:t>4.工作原则：统一领导、各司其责、及时处置（在5 分钟内快速反应)：</w:t>
            </w:r>
          </w:p>
        </w:tc>
        <w:tc>
          <w:tcPr>
            <w:tcW w:w="5337" w:type="dxa"/>
            <w:tcBorders>
              <w:top w:val="nil"/>
              <w:left w:val="nil"/>
              <w:bottom w:val="nil"/>
              <w:right w:val="single" w:color="auto" w:sz="8" w:space="0"/>
            </w:tcBorders>
            <w:shd w:val="clear" w:color="000000" w:fill="FFFFFF"/>
            <w:vAlign w:val="center"/>
          </w:tcPr>
          <w:p w14:paraId="0D5994FE">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37CD6485">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38792E57">
            <w:pPr>
              <w:widowControl/>
              <w:jc w:val="left"/>
              <w:rPr>
                <w:rFonts w:eastAsia="等线"/>
                <w:color w:val="auto"/>
                <w:kern w:val="0"/>
                <w:sz w:val="18"/>
                <w:szCs w:val="18"/>
              </w:rPr>
            </w:pPr>
          </w:p>
        </w:tc>
      </w:tr>
      <w:tr w14:paraId="3000B0FE">
        <w:tblPrEx>
          <w:tblCellMar>
            <w:top w:w="0" w:type="dxa"/>
            <w:left w:w="108" w:type="dxa"/>
            <w:bottom w:w="0" w:type="dxa"/>
            <w:right w:w="108" w:type="dxa"/>
          </w:tblCellMar>
        </w:tblPrEx>
        <w:trPr>
          <w:trHeight w:val="450" w:hRule="atLeast"/>
        </w:trPr>
        <w:tc>
          <w:tcPr>
            <w:tcW w:w="493" w:type="dxa"/>
            <w:vMerge w:val="continue"/>
            <w:tcBorders>
              <w:top w:val="nil"/>
              <w:left w:val="single" w:color="auto" w:sz="8" w:space="0"/>
              <w:bottom w:val="single" w:color="000000" w:sz="8" w:space="0"/>
              <w:right w:val="single" w:color="auto" w:sz="8" w:space="0"/>
            </w:tcBorders>
            <w:vAlign w:val="center"/>
          </w:tcPr>
          <w:p w14:paraId="37E7F99D">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50C534D">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3684D376">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6E351315">
            <w:pPr>
              <w:widowControl/>
              <w:rPr>
                <w:rFonts w:hint="eastAsia" w:ascii="宋体" w:hAnsi="宋体" w:cs="宋体"/>
                <w:color w:val="auto"/>
                <w:kern w:val="0"/>
                <w:sz w:val="18"/>
                <w:szCs w:val="18"/>
              </w:rPr>
            </w:pPr>
            <w:r>
              <w:rPr>
                <w:rFonts w:hint="eastAsia" w:ascii="宋体" w:hAnsi="宋体" w:cs="宋体"/>
                <w:color w:val="auto"/>
                <w:kern w:val="0"/>
                <w:sz w:val="18"/>
                <w:szCs w:val="18"/>
              </w:rPr>
              <w:t>5.责任追究：对应急处置不及时或不力，造成重大财产损失或人身伤害的，依法追究法律责任。</w:t>
            </w:r>
          </w:p>
        </w:tc>
        <w:tc>
          <w:tcPr>
            <w:tcW w:w="5337" w:type="dxa"/>
            <w:tcBorders>
              <w:top w:val="nil"/>
              <w:left w:val="nil"/>
              <w:bottom w:val="single" w:color="auto" w:sz="8" w:space="0"/>
              <w:right w:val="single" w:color="auto" w:sz="8" w:space="0"/>
            </w:tcBorders>
            <w:shd w:val="clear" w:color="000000" w:fill="FFFFFF"/>
            <w:vAlign w:val="center"/>
          </w:tcPr>
          <w:p w14:paraId="4CA5FBA0">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79E40B3E">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1A510825">
            <w:pPr>
              <w:widowControl/>
              <w:jc w:val="left"/>
              <w:rPr>
                <w:rFonts w:eastAsia="等线"/>
                <w:color w:val="auto"/>
                <w:kern w:val="0"/>
                <w:sz w:val="18"/>
                <w:szCs w:val="18"/>
              </w:rPr>
            </w:pPr>
          </w:p>
        </w:tc>
      </w:tr>
      <w:tr w14:paraId="58A46D80">
        <w:tblPrEx>
          <w:tblCellMar>
            <w:top w:w="0" w:type="dxa"/>
            <w:left w:w="108" w:type="dxa"/>
            <w:bottom w:w="0" w:type="dxa"/>
            <w:right w:w="108" w:type="dxa"/>
          </w:tblCellMar>
        </w:tblPrEx>
        <w:trPr>
          <w:trHeight w:val="750" w:hRule="atLeast"/>
        </w:trPr>
        <w:tc>
          <w:tcPr>
            <w:tcW w:w="493" w:type="dxa"/>
            <w:vMerge w:val="restart"/>
            <w:tcBorders>
              <w:top w:val="nil"/>
              <w:left w:val="single" w:color="auto" w:sz="8" w:space="0"/>
              <w:bottom w:val="single" w:color="000000" w:sz="8" w:space="0"/>
              <w:right w:val="single" w:color="auto" w:sz="8" w:space="0"/>
            </w:tcBorders>
            <w:shd w:val="clear" w:color="000000" w:fill="FFFFFF"/>
            <w:vAlign w:val="center"/>
          </w:tcPr>
          <w:p w14:paraId="7D3EB85E">
            <w:pPr>
              <w:widowControl/>
              <w:jc w:val="center"/>
              <w:rPr>
                <w:rFonts w:eastAsia="等线"/>
                <w:b/>
                <w:bCs/>
                <w:color w:val="auto"/>
                <w:kern w:val="0"/>
                <w:sz w:val="18"/>
                <w:szCs w:val="18"/>
              </w:rPr>
            </w:pPr>
            <w:r>
              <w:rPr>
                <w:rFonts w:eastAsia="等线"/>
                <w:b/>
                <w:bCs/>
                <w:color w:val="auto"/>
                <w:kern w:val="0"/>
                <w:sz w:val="18"/>
                <w:szCs w:val="18"/>
              </w:rPr>
              <w:t>4</w:t>
            </w:r>
            <w:r>
              <w:rPr>
                <w:rFonts w:hint="eastAsia" w:eastAsia="等线"/>
                <w:b/>
                <w:bCs/>
                <w:color w:val="auto"/>
                <w:kern w:val="0"/>
                <w:sz w:val="18"/>
                <w:szCs w:val="18"/>
              </w:rPr>
              <w:t>7</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029C4AFF">
            <w:pPr>
              <w:widowControl/>
              <w:rPr>
                <w:rFonts w:hint="eastAsia" w:ascii="宋体" w:hAnsi="宋体" w:cs="宋体"/>
                <w:b/>
                <w:bCs/>
                <w:color w:val="auto"/>
                <w:kern w:val="0"/>
                <w:sz w:val="18"/>
                <w:szCs w:val="18"/>
              </w:rPr>
            </w:pPr>
            <w:r>
              <w:rPr>
                <w:rFonts w:hint="eastAsia" w:ascii="宋体" w:hAnsi="宋体" w:cs="宋体"/>
                <w:b/>
                <w:bCs/>
                <w:color w:val="auto"/>
                <w:kern w:val="0"/>
                <w:sz w:val="18"/>
                <w:szCs w:val="18"/>
              </w:rPr>
              <w:t>开展物业工作研究及其他</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6F5F284A">
            <w:pPr>
              <w:widowControl/>
              <w:rPr>
                <w:rFonts w:hint="eastAsia" w:ascii="宋体" w:hAnsi="宋体" w:cs="宋体"/>
                <w:b/>
                <w:bCs/>
                <w:color w:val="auto"/>
                <w:kern w:val="0"/>
                <w:sz w:val="18"/>
                <w:szCs w:val="18"/>
              </w:rPr>
            </w:pPr>
            <w:r>
              <w:rPr>
                <w:rFonts w:hint="eastAsia" w:ascii="宋体" w:hAnsi="宋体" w:cs="宋体"/>
                <w:b/>
                <w:bCs/>
                <w:color w:val="auto"/>
                <w:kern w:val="0"/>
                <w:sz w:val="18"/>
                <w:szCs w:val="18"/>
              </w:rPr>
              <w:t>开展物业工作研究及其他</w:t>
            </w:r>
          </w:p>
        </w:tc>
        <w:tc>
          <w:tcPr>
            <w:tcW w:w="5478" w:type="dxa"/>
            <w:tcBorders>
              <w:top w:val="nil"/>
              <w:left w:val="nil"/>
              <w:bottom w:val="nil"/>
              <w:right w:val="single" w:color="auto" w:sz="8" w:space="0"/>
            </w:tcBorders>
            <w:shd w:val="clear" w:color="000000" w:fill="FFFFFF"/>
            <w:vAlign w:val="center"/>
          </w:tcPr>
          <w:p w14:paraId="225F1794">
            <w:pPr>
              <w:widowControl/>
              <w:rPr>
                <w:rFonts w:hint="eastAsia" w:ascii="宋体" w:hAnsi="宋体" w:cs="宋体"/>
                <w:color w:val="auto"/>
                <w:kern w:val="0"/>
                <w:sz w:val="18"/>
                <w:szCs w:val="18"/>
              </w:rPr>
            </w:pPr>
            <w:r>
              <w:rPr>
                <w:rFonts w:hint="eastAsia" w:ascii="宋体" w:hAnsi="宋体" w:cs="宋体"/>
                <w:color w:val="auto"/>
                <w:kern w:val="0"/>
                <w:sz w:val="18"/>
                <w:szCs w:val="18"/>
              </w:rPr>
              <w:t>协助校方其同参与国家、省、市有关部门、教育后勤协会开展的关于高校后勤、物业、绿色节能等方面的课题研究、项目申报，</w:t>
            </w:r>
          </w:p>
        </w:tc>
        <w:tc>
          <w:tcPr>
            <w:tcW w:w="5337" w:type="dxa"/>
            <w:tcBorders>
              <w:top w:val="nil"/>
              <w:left w:val="nil"/>
              <w:bottom w:val="nil"/>
              <w:right w:val="single" w:color="auto" w:sz="8" w:space="0"/>
            </w:tcBorders>
            <w:shd w:val="clear" w:color="000000" w:fill="FFFFFF"/>
            <w:vAlign w:val="center"/>
          </w:tcPr>
          <w:p w14:paraId="0131C15C">
            <w:pPr>
              <w:widowControl/>
              <w:rPr>
                <w:rFonts w:hint="eastAsia" w:ascii="宋体" w:hAnsi="宋体" w:cs="宋体"/>
                <w:color w:val="auto"/>
                <w:kern w:val="0"/>
                <w:sz w:val="18"/>
                <w:szCs w:val="18"/>
              </w:rPr>
            </w:pPr>
            <w:r>
              <w:rPr>
                <w:rFonts w:hint="eastAsia" w:ascii="宋体" w:hAnsi="宋体" w:cs="宋体"/>
                <w:color w:val="auto"/>
                <w:kern w:val="0"/>
                <w:sz w:val="18"/>
                <w:szCs w:val="18"/>
              </w:rPr>
              <w:t>1.未积极协助校方参与课题研究、项目申报、创建评比等活动，一次扣1分；</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03B623D0">
            <w:pPr>
              <w:widowControl/>
              <w:jc w:val="center"/>
              <w:rPr>
                <w:rFonts w:eastAsia="等线"/>
                <w:color w:val="auto"/>
                <w:kern w:val="0"/>
                <w:sz w:val="18"/>
                <w:szCs w:val="18"/>
              </w:rPr>
            </w:pPr>
            <w:r>
              <w:rPr>
                <w:rFonts w:eastAsia="等线"/>
                <w:color w:val="auto"/>
                <w:kern w:val="0"/>
                <w:sz w:val="18"/>
                <w:szCs w:val="18"/>
              </w:rPr>
              <w:t>3</w:t>
            </w:r>
          </w:p>
        </w:tc>
        <w:tc>
          <w:tcPr>
            <w:tcW w:w="709" w:type="dxa"/>
            <w:vMerge w:val="restart"/>
            <w:tcBorders>
              <w:top w:val="nil"/>
              <w:left w:val="single" w:color="auto" w:sz="8" w:space="0"/>
              <w:bottom w:val="single" w:color="000000" w:sz="8" w:space="0"/>
              <w:right w:val="single" w:color="auto" w:sz="8" w:space="0"/>
            </w:tcBorders>
            <w:shd w:val="clear" w:color="000000" w:fill="FFFFFF"/>
            <w:vAlign w:val="center"/>
          </w:tcPr>
          <w:p w14:paraId="19B6EA8C">
            <w:pPr>
              <w:widowControl/>
              <w:jc w:val="center"/>
              <w:rPr>
                <w:rFonts w:eastAsia="等线"/>
                <w:color w:val="auto"/>
                <w:kern w:val="0"/>
                <w:sz w:val="18"/>
                <w:szCs w:val="18"/>
              </w:rPr>
            </w:pPr>
            <w:r>
              <w:rPr>
                <w:rFonts w:eastAsia="等线"/>
                <w:color w:val="auto"/>
                <w:kern w:val="0"/>
                <w:sz w:val="18"/>
                <w:szCs w:val="18"/>
              </w:rPr>
              <w:t>　</w:t>
            </w:r>
          </w:p>
        </w:tc>
      </w:tr>
      <w:tr w14:paraId="74F62EC6">
        <w:tblPrEx>
          <w:tblCellMar>
            <w:top w:w="0" w:type="dxa"/>
            <w:left w:w="108" w:type="dxa"/>
            <w:bottom w:w="0" w:type="dxa"/>
            <w:right w:w="108" w:type="dxa"/>
          </w:tblCellMar>
        </w:tblPrEx>
        <w:trPr>
          <w:trHeight w:val="300" w:hRule="atLeast"/>
        </w:trPr>
        <w:tc>
          <w:tcPr>
            <w:tcW w:w="493" w:type="dxa"/>
            <w:vMerge w:val="continue"/>
            <w:tcBorders>
              <w:top w:val="nil"/>
              <w:left w:val="single" w:color="auto" w:sz="8" w:space="0"/>
              <w:bottom w:val="single" w:color="000000" w:sz="8" w:space="0"/>
              <w:right w:val="single" w:color="auto" w:sz="8" w:space="0"/>
            </w:tcBorders>
            <w:vAlign w:val="center"/>
          </w:tcPr>
          <w:p w14:paraId="655B9B41">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1C85A5F0">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AFF52BA">
            <w:pPr>
              <w:widowControl/>
              <w:jc w:val="left"/>
              <w:rPr>
                <w:rFonts w:hint="eastAsia" w:ascii="宋体" w:hAnsi="宋体" w:cs="宋体"/>
                <w:b/>
                <w:bCs/>
                <w:color w:val="auto"/>
                <w:kern w:val="0"/>
                <w:sz w:val="18"/>
                <w:szCs w:val="18"/>
              </w:rPr>
            </w:pPr>
          </w:p>
        </w:tc>
        <w:tc>
          <w:tcPr>
            <w:tcW w:w="5478" w:type="dxa"/>
            <w:tcBorders>
              <w:top w:val="nil"/>
              <w:left w:val="nil"/>
              <w:bottom w:val="nil"/>
              <w:right w:val="single" w:color="auto" w:sz="8" w:space="0"/>
            </w:tcBorders>
            <w:shd w:val="clear" w:color="000000" w:fill="FFFFFF"/>
            <w:vAlign w:val="center"/>
          </w:tcPr>
          <w:p w14:paraId="60564898">
            <w:pPr>
              <w:widowControl/>
              <w:rPr>
                <w:rFonts w:hint="eastAsia" w:ascii="宋体" w:hAnsi="宋体" w:cs="宋体"/>
                <w:color w:val="auto"/>
                <w:kern w:val="0"/>
                <w:sz w:val="18"/>
                <w:szCs w:val="18"/>
              </w:rPr>
            </w:pPr>
            <w:r>
              <w:rPr>
                <w:rFonts w:hint="eastAsia" w:ascii="宋体" w:hAnsi="宋体" w:cs="宋体"/>
                <w:color w:val="auto"/>
                <w:kern w:val="0"/>
                <w:sz w:val="18"/>
                <w:szCs w:val="18"/>
              </w:rPr>
              <w:t>优秀/示范项目创建、评比等工作。</w:t>
            </w:r>
          </w:p>
        </w:tc>
        <w:tc>
          <w:tcPr>
            <w:tcW w:w="5337" w:type="dxa"/>
            <w:tcBorders>
              <w:top w:val="nil"/>
              <w:left w:val="nil"/>
              <w:bottom w:val="nil"/>
              <w:right w:val="single" w:color="auto" w:sz="8" w:space="0"/>
            </w:tcBorders>
            <w:shd w:val="clear" w:color="000000" w:fill="FFFFFF"/>
            <w:vAlign w:val="center"/>
          </w:tcPr>
          <w:p w14:paraId="46937534">
            <w:pPr>
              <w:widowControl/>
              <w:rPr>
                <w:rFonts w:hint="eastAsia" w:ascii="宋体" w:hAnsi="宋体" w:cs="宋体"/>
                <w:color w:val="auto"/>
                <w:kern w:val="0"/>
                <w:sz w:val="18"/>
                <w:szCs w:val="18"/>
              </w:rPr>
            </w:pPr>
            <w:r>
              <w:rPr>
                <w:rFonts w:hint="eastAsia" w:ascii="宋体" w:hAnsi="宋体" w:cs="宋体"/>
                <w:color w:val="auto"/>
                <w:kern w:val="0"/>
                <w:sz w:val="18"/>
                <w:szCs w:val="18"/>
              </w:rPr>
              <w:t>2.未积极协助开展育人活动的，一次扣1分，</w:t>
            </w:r>
          </w:p>
        </w:tc>
        <w:tc>
          <w:tcPr>
            <w:tcW w:w="709" w:type="dxa"/>
            <w:vMerge w:val="continue"/>
            <w:tcBorders>
              <w:top w:val="nil"/>
              <w:left w:val="single" w:color="auto" w:sz="8" w:space="0"/>
              <w:bottom w:val="single" w:color="000000" w:sz="8" w:space="0"/>
              <w:right w:val="single" w:color="auto" w:sz="8" w:space="0"/>
            </w:tcBorders>
            <w:vAlign w:val="center"/>
          </w:tcPr>
          <w:p w14:paraId="641E09DF">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1F017EC3">
            <w:pPr>
              <w:widowControl/>
              <w:jc w:val="left"/>
              <w:rPr>
                <w:rFonts w:eastAsia="等线"/>
                <w:color w:val="auto"/>
                <w:kern w:val="0"/>
                <w:sz w:val="18"/>
                <w:szCs w:val="18"/>
              </w:rPr>
            </w:pPr>
          </w:p>
        </w:tc>
      </w:tr>
      <w:tr w14:paraId="4119F439">
        <w:tblPrEx>
          <w:tblCellMar>
            <w:top w:w="0" w:type="dxa"/>
            <w:left w:w="108" w:type="dxa"/>
            <w:bottom w:w="0" w:type="dxa"/>
            <w:right w:w="108" w:type="dxa"/>
          </w:tblCellMar>
        </w:tblPrEx>
        <w:trPr>
          <w:trHeight w:val="300" w:hRule="atLeast"/>
        </w:trPr>
        <w:tc>
          <w:tcPr>
            <w:tcW w:w="493" w:type="dxa"/>
            <w:vMerge w:val="continue"/>
            <w:tcBorders>
              <w:top w:val="nil"/>
              <w:left w:val="single" w:color="auto" w:sz="8" w:space="0"/>
              <w:bottom w:val="single" w:color="000000" w:sz="8" w:space="0"/>
              <w:right w:val="single" w:color="auto" w:sz="8" w:space="0"/>
            </w:tcBorders>
            <w:vAlign w:val="center"/>
          </w:tcPr>
          <w:p w14:paraId="144B8853">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73BFF3B">
            <w:pPr>
              <w:widowControl/>
              <w:jc w:val="left"/>
              <w:rPr>
                <w:rFonts w:hint="eastAsia" w:ascii="宋体" w:hAnsi="宋体" w:cs="宋体"/>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5E841536">
            <w:pPr>
              <w:widowControl/>
              <w:jc w:val="left"/>
              <w:rPr>
                <w:rFonts w:hint="eastAsia" w:ascii="宋体" w:hAnsi="宋体" w:cs="宋体"/>
                <w:b/>
                <w:bCs/>
                <w:color w:val="auto"/>
                <w:kern w:val="0"/>
                <w:sz w:val="18"/>
                <w:szCs w:val="18"/>
              </w:rPr>
            </w:pPr>
          </w:p>
        </w:tc>
        <w:tc>
          <w:tcPr>
            <w:tcW w:w="5478" w:type="dxa"/>
            <w:tcBorders>
              <w:top w:val="nil"/>
              <w:left w:val="nil"/>
              <w:bottom w:val="single" w:color="auto" w:sz="8" w:space="0"/>
              <w:right w:val="single" w:color="auto" w:sz="8" w:space="0"/>
            </w:tcBorders>
            <w:shd w:val="clear" w:color="000000" w:fill="FFFFFF"/>
            <w:vAlign w:val="center"/>
          </w:tcPr>
          <w:p w14:paraId="77BC07DF">
            <w:pPr>
              <w:widowControl/>
              <w:rPr>
                <w:rFonts w:hint="eastAsia" w:ascii="宋体" w:hAnsi="宋体" w:cs="宋体"/>
                <w:color w:val="auto"/>
                <w:kern w:val="0"/>
                <w:sz w:val="18"/>
                <w:szCs w:val="18"/>
              </w:rPr>
            </w:pPr>
            <w:r>
              <w:rPr>
                <w:rFonts w:hint="eastAsia" w:ascii="宋体" w:hAnsi="宋体" w:cs="宋体"/>
                <w:color w:val="auto"/>
                <w:kern w:val="0"/>
                <w:sz w:val="18"/>
                <w:szCs w:val="18"/>
              </w:rPr>
              <w:t>采取一定的方法开展育人活动，为各类志愿者提供指导和协助。</w:t>
            </w:r>
          </w:p>
        </w:tc>
        <w:tc>
          <w:tcPr>
            <w:tcW w:w="5337" w:type="dxa"/>
            <w:tcBorders>
              <w:top w:val="nil"/>
              <w:left w:val="nil"/>
              <w:bottom w:val="single" w:color="auto" w:sz="8" w:space="0"/>
              <w:right w:val="single" w:color="auto" w:sz="8" w:space="0"/>
            </w:tcBorders>
            <w:shd w:val="clear" w:color="000000" w:fill="FFFFFF"/>
            <w:vAlign w:val="center"/>
          </w:tcPr>
          <w:p w14:paraId="020FB25D">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709" w:type="dxa"/>
            <w:vMerge w:val="continue"/>
            <w:tcBorders>
              <w:top w:val="nil"/>
              <w:left w:val="single" w:color="auto" w:sz="8" w:space="0"/>
              <w:bottom w:val="single" w:color="000000" w:sz="8" w:space="0"/>
              <w:right w:val="single" w:color="auto" w:sz="8" w:space="0"/>
            </w:tcBorders>
            <w:vAlign w:val="center"/>
          </w:tcPr>
          <w:p w14:paraId="7584D7D6">
            <w:pPr>
              <w:widowControl/>
              <w:jc w:val="left"/>
              <w:rPr>
                <w:rFonts w:eastAsia="等线"/>
                <w:color w:val="auto"/>
                <w:kern w:val="0"/>
                <w:sz w:val="18"/>
                <w:szCs w:val="18"/>
              </w:rPr>
            </w:pPr>
          </w:p>
        </w:tc>
        <w:tc>
          <w:tcPr>
            <w:tcW w:w="709" w:type="dxa"/>
            <w:vMerge w:val="continue"/>
            <w:tcBorders>
              <w:top w:val="nil"/>
              <w:left w:val="single" w:color="auto" w:sz="8" w:space="0"/>
              <w:bottom w:val="single" w:color="000000" w:sz="8" w:space="0"/>
              <w:right w:val="single" w:color="auto" w:sz="8" w:space="0"/>
            </w:tcBorders>
            <w:vAlign w:val="center"/>
          </w:tcPr>
          <w:p w14:paraId="774AB652">
            <w:pPr>
              <w:widowControl/>
              <w:jc w:val="left"/>
              <w:rPr>
                <w:rFonts w:eastAsia="等线"/>
                <w:color w:val="auto"/>
                <w:kern w:val="0"/>
                <w:sz w:val="18"/>
                <w:szCs w:val="18"/>
              </w:rPr>
            </w:pPr>
          </w:p>
        </w:tc>
      </w:tr>
      <w:tr w14:paraId="542CF72B">
        <w:tblPrEx>
          <w:tblCellMar>
            <w:top w:w="0" w:type="dxa"/>
            <w:left w:w="108" w:type="dxa"/>
            <w:bottom w:w="0" w:type="dxa"/>
            <w:right w:w="108" w:type="dxa"/>
          </w:tblCellMar>
        </w:tblPrEx>
        <w:trPr>
          <w:trHeight w:val="1005" w:hRule="atLeast"/>
        </w:trPr>
        <w:tc>
          <w:tcPr>
            <w:tcW w:w="493" w:type="dxa"/>
            <w:tcBorders>
              <w:top w:val="nil"/>
              <w:left w:val="single" w:color="auto" w:sz="8" w:space="0"/>
              <w:bottom w:val="nil"/>
              <w:right w:val="single" w:color="auto" w:sz="8" w:space="0"/>
            </w:tcBorders>
            <w:shd w:val="clear" w:color="000000" w:fill="FFFFFF"/>
            <w:vAlign w:val="center"/>
          </w:tcPr>
          <w:p w14:paraId="37ED5C0B">
            <w:pPr>
              <w:widowControl/>
              <w:jc w:val="center"/>
              <w:rPr>
                <w:rFonts w:eastAsia="等线"/>
                <w:b/>
                <w:bCs/>
                <w:color w:val="auto"/>
                <w:kern w:val="0"/>
                <w:sz w:val="18"/>
                <w:szCs w:val="18"/>
              </w:rPr>
            </w:pPr>
            <w:r>
              <w:rPr>
                <w:rFonts w:eastAsia="等线"/>
                <w:b/>
                <w:bCs/>
                <w:color w:val="auto"/>
                <w:kern w:val="0"/>
                <w:sz w:val="18"/>
                <w:szCs w:val="18"/>
              </w:rPr>
              <w:t>4</w:t>
            </w:r>
            <w:r>
              <w:rPr>
                <w:rFonts w:hint="eastAsia" w:eastAsia="等线"/>
                <w:b/>
                <w:bCs/>
                <w:color w:val="auto"/>
                <w:kern w:val="0"/>
                <w:sz w:val="18"/>
                <w:szCs w:val="18"/>
              </w:rPr>
              <w:t>8</w:t>
            </w:r>
          </w:p>
        </w:tc>
        <w:tc>
          <w:tcPr>
            <w:tcW w:w="578" w:type="dxa"/>
            <w:tcBorders>
              <w:top w:val="nil"/>
              <w:left w:val="nil"/>
              <w:bottom w:val="nil"/>
              <w:right w:val="single" w:color="auto" w:sz="8" w:space="0"/>
            </w:tcBorders>
            <w:shd w:val="clear" w:color="000000" w:fill="FFFFFF"/>
            <w:vAlign w:val="center"/>
          </w:tcPr>
          <w:p w14:paraId="10229FCD">
            <w:pPr>
              <w:widowControl/>
              <w:rPr>
                <w:rFonts w:hint="eastAsia" w:ascii="宋体" w:hAnsi="宋体" w:cs="宋体"/>
                <w:b/>
                <w:bCs/>
                <w:color w:val="auto"/>
                <w:kern w:val="0"/>
                <w:sz w:val="18"/>
                <w:szCs w:val="18"/>
              </w:rPr>
            </w:pPr>
            <w:r>
              <w:rPr>
                <w:rFonts w:hint="eastAsia" w:ascii="宋体" w:hAnsi="宋体" w:cs="宋体"/>
                <w:b/>
                <w:bCs/>
                <w:color w:val="auto"/>
                <w:kern w:val="0"/>
                <w:sz w:val="18"/>
                <w:szCs w:val="18"/>
              </w:rPr>
              <w:t>学校基建、装修后勤保障及其他</w:t>
            </w:r>
          </w:p>
        </w:tc>
        <w:tc>
          <w:tcPr>
            <w:tcW w:w="578" w:type="dxa"/>
            <w:tcBorders>
              <w:top w:val="nil"/>
              <w:left w:val="nil"/>
              <w:bottom w:val="nil"/>
              <w:right w:val="single" w:color="auto" w:sz="8" w:space="0"/>
            </w:tcBorders>
            <w:shd w:val="clear" w:color="000000" w:fill="FFFFFF"/>
            <w:vAlign w:val="center"/>
          </w:tcPr>
          <w:p w14:paraId="1242C42F">
            <w:pPr>
              <w:widowControl/>
              <w:rPr>
                <w:rFonts w:hint="eastAsia" w:ascii="宋体" w:hAnsi="宋体" w:cs="宋体"/>
                <w:b/>
                <w:bCs/>
                <w:color w:val="auto"/>
                <w:kern w:val="0"/>
                <w:sz w:val="18"/>
                <w:szCs w:val="18"/>
              </w:rPr>
            </w:pPr>
            <w:r>
              <w:rPr>
                <w:rFonts w:hint="eastAsia" w:ascii="宋体" w:hAnsi="宋体" w:cs="宋体"/>
                <w:b/>
                <w:bCs/>
                <w:color w:val="auto"/>
                <w:kern w:val="0"/>
                <w:sz w:val="18"/>
                <w:szCs w:val="18"/>
              </w:rPr>
              <w:t>学校基建、装修后勤保障及其他</w:t>
            </w:r>
          </w:p>
        </w:tc>
        <w:tc>
          <w:tcPr>
            <w:tcW w:w="5478" w:type="dxa"/>
            <w:tcBorders>
              <w:top w:val="nil"/>
              <w:left w:val="nil"/>
              <w:bottom w:val="nil"/>
              <w:right w:val="single" w:color="auto" w:sz="8" w:space="0"/>
            </w:tcBorders>
            <w:shd w:val="clear" w:color="000000" w:fill="FFFFFF"/>
            <w:vAlign w:val="center"/>
          </w:tcPr>
          <w:p w14:paraId="47BA36CA">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1.负责基建、装修项目的物业管理工作，服从校方整体管理，为校方基建、装修、校区交通秩序、专项活动等提供后勤保障和质量检查。</w:t>
            </w:r>
          </w:p>
        </w:tc>
        <w:tc>
          <w:tcPr>
            <w:tcW w:w="5337" w:type="dxa"/>
            <w:tcBorders>
              <w:top w:val="nil"/>
              <w:left w:val="nil"/>
              <w:bottom w:val="single" w:color="auto" w:sz="8" w:space="0"/>
              <w:right w:val="single" w:color="auto" w:sz="8" w:space="0"/>
            </w:tcBorders>
            <w:shd w:val="clear" w:color="000000" w:fill="FFFFFF"/>
            <w:vAlign w:val="center"/>
          </w:tcPr>
          <w:p w14:paraId="1B65D465">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1.未协助校方基建、装修、校区交通秩序、专项活动等提供后勤保障和质量检查，一次扣1分。</w:t>
            </w:r>
          </w:p>
        </w:tc>
        <w:tc>
          <w:tcPr>
            <w:tcW w:w="709" w:type="dxa"/>
            <w:tcBorders>
              <w:top w:val="nil"/>
              <w:left w:val="nil"/>
              <w:bottom w:val="nil"/>
              <w:right w:val="single" w:color="auto" w:sz="8" w:space="0"/>
            </w:tcBorders>
            <w:shd w:val="clear" w:color="000000" w:fill="FFFFFF"/>
            <w:vAlign w:val="center"/>
          </w:tcPr>
          <w:p w14:paraId="35821740">
            <w:pPr>
              <w:widowControl/>
              <w:jc w:val="center"/>
              <w:rPr>
                <w:rFonts w:eastAsia="等线"/>
                <w:color w:val="auto"/>
                <w:kern w:val="0"/>
                <w:sz w:val="18"/>
                <w:szCs w:val="18"/>
              </w:rPr>
            </w:pPr>
            <w:r>
              <w:rPr>
                <w:rFonts w:eastAsia="等线"/>
                <w:color w:val="auto"/>
                <w:kern w:val="0"/>
                <w:sz w:val="18"/>
                <w:szCs w:val="18"/>
              </w:rPr>
              <w:t>3</w:t>
            </w:r>
          </w:p>
        </w:tc>
        <w:tc>
          <w:tcPr>
            <w:tcW w:w="709" w:type="dxa"/>
            <w:tcBorders>
              <w:top w:val="nil"/>
              <w:left w:val="nil"/>
              <w:bottom w:val="nil"/>
              <w:right w:val="single" w:color="auto" w:sz="8" w:space="0"/>
            </w:tcBorders>
            <w:shd w:val="clear" w:color="000000" w:fill="FFFFFF"/>
            <w:vAlign w:val="center"/>
          </w:tcPr>
          <w:p w14:paraId="489209BF">
            <w:pPr>
              <w:widowControl/>
              <w:jc w:val="center"/>
              <w:rPr>
                <w:rFonts w:eastAsia="等线"/>
                <w:color w:val="auto"/>
                <w:kern w:val="0"/>
                <w:sz w:val="18"/>
                <w:szCs w:val="18"/>
              </w:rPr>
            </w:pPr>
            <w:r>
              <w:rPr>
                <w:rFonts w:eastAsia="等线"/>
                <w:color w:val="auto"/>
                <w:kern w:val="0"/>
                <w:sz w:val="18"/>
                <w:szCs w:val="18"/>
              </w:rPr>
              <w:t>　</w:t>
            </w:r>
          </w:p>
        </w:tc>
      </w:tr>
      <w:tr w14:paraId="146E5032">
        <w:tblPrEx>
          <w:tblCellMar>
            <w:top w:w="0" w:type="dxa"/>
            <w:left w:w="108" w:type="dxa"/>
            <w:bottom w:w="0" w:type="dxa"/>
            <w:right w:w="108" w:type="dxa"/>
          </w:tblCellMar>
        </w:tblPrEx>
        <w:trPr>
          <w:trHeight w:val="900" w:hRule="atLeast"/>
        </w:trPr>
        <w:tc>
          <w:tcPr>
            <w:tcW w:w="493"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14:paraId="111E3CBC">
            <w:pPr>
              <w:widowControl/>
              <w:rPr>
                <w:rFonts w:eastAsia="等线"/>
                <w:b/>
                <w:bCs/>
                <w:color w:val="auto"/>
                <w:kern w:val="0"/>
                <w:sz w:val="18"/>
                <w:szCs w:val="18"/>
              </w:rPr>
            </w:pPr>
            <w:r>
              <w:rPr>
                <w:rFonts w:hint="eastAsia" w:eastAsia="等线"/>
                <w:b/>
                <w:bCs/>
                <w:color w:val="auto"/>
                <w:kern w:val="0"/>
                <w:sz w:val="18"/>
                <w:szCs w:val="18"/>
              </w:rPr>
              <w:t>49</w:t>
            </w:r>
          </w:p>
        </w:tc>
        <w:tc>
          <w:tcPr>
            <w:tcW w:w="578"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14:paraId="2848CE3F">
            <w:pPr>
              <w:widowControl/>
              <w:rPr>
                <w:rFonts w:hint="eastAsia" w:ascii="宋体" w:hAnsi="宋体" w:cs="宋体"/>
                <w:b/>
                <w:bCs/>
                <w:color w:val="auto"/>
                <w:kern w:val="0"/>
                <w:sz w:val="18"/>
                <w:szCs w:val="18"/>
              </w:rPr>
            </w:pPr>
            <w:r>
              <w:rPr>
                <w:rFonts w:hint="eastAsia" w:ascii="宋体" w:hAnsi="宋体" w:cs="宋体"/>
                <w:b/>
                <w:bCs/>
                <w:color w:val="auto"/>
                <w:kern w:val="0"/>
                <w:sz w:val="18"/>
                <w:szCs w:val="18"/>
              </w:rPr>
              <w:t>延伸服务</w:t>
            </w:r>
          </w:p>
        </w:tc>
        <w:tc>
          <w:tcPr>
            <w:tcW w:w="578"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14:paraId="6FC402D7">
            <w:pPr>
              <w:widowControl/>
              <w:rPr>
                <w:rFonts w:hint="eastAsia" w:ascii="宋体" w:hAnsi="宋体" w:cs="宋体"/>
                <w:b/>
                <w:bCs/>
                <w:color w:val="auto"/>
                <w:kern w:val="0"/>
                <w:sz w:val="18"/>
                <w:szCs w:val="18"/>
              </w:rPr>
            </w:pPr>
            <w:r>
              <w:rPr>
                <w:rFonts w:hint="eastAsia" w:ascii="宋体" w:hAnsi="宋体" w:cs="宋体"/>
                <w:b/>
                <w:bCs/>
                <w:color w:val="auto"/>
                <w:kern w:val="0"/>
                <w:sz w:val="18"/>
                <w:szCs w:val="18"/>
              </w:rPr>
              <w:t>延伸服务</w:t>
            </w:r>
          </w:p>
        </w:tc>
        <w:tc>
          <w:tcPr>
            <w:tcW w:w="5478"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14:paraId="68F1BA6F">
            <w:pPr>
              <w:widowControl/>
              <w:rPr>
                <w:rFonts w:hint="eastAsia" w:ascii="宋体" w:hAnsi="宋体" w:cs="宋体"/>
                <w:color w:val="auto"/>
                <w:kern w:val="0"/>
                <w:sz w:val="18"/>
                <w:szCs w:val="18"/>
              </w:rPr>
            </w:pPr>
            <w:r>
              <w:rPr>
                <w:rFonts w:hint="eastAsia" w:ascii="宋体" w:hAnsi="宋体" w:cs="宋体"/>
                <w:color w:val="auto"/>
                <w:kern w:val="0"/>
                <w:sz w:val="18"/>
                <w:szCs w:val="18"/>
              </w:rPr>
              <w:t>乙方须配合甲方做好学生生活配套服务工作包括自助服务（自助打印及饮品供应等）以及校园快递服务、开学/迎新/毕业免费运行行李、非固定资产类废旧品处置等。配合甲方做好配套服务的方案策划、运营监管、服务评价等相关工作。</w:t>
            </w:r>
          </w:p>
        </w:tc>
        <w:tc>
          <w:tcPr>
            <w:tcW w:w="5337" w:type="dxa"/>
            <w:tcBorders>
              <w:top w:val="nil"/>
              <w:left w:val="nil"/>
              <w:bottom w:val="nil"/>
              <w:right w:val="single" w:color="auto" w:sz="8" w:space="0"/>
            </w:tcBorders>
            <w:shd w:val="clear" w:color="000000" w:fill="FFFFFF"/>
            <w:vAlign w:val="center"/>
          </w:tcPr>
          <w:p w14:paraId="68085436">
            <w:pPr>
              <w:widowControl/>
              <w:rPr>
                <w:rFonts w:hint="eastAsia" w:ascii="宋体" w:hAnsi="宋体" w:cs="宋体"/>
                <w:color w:val="auto"/>
                <w:kern w:val="0"/>
                <w:sz w:val="18"/>
                <w:szCs w:val="18"/>
              </w:rPr>
            </w:pPr>
            <w:r>
              <w:rPr>
                <w:rFonts w:hint="eastAsia" w:ascii="宋体" w:hAnsi="宋体" w:cs="宋体"/>
                <w:color w:val="auto"/>
                <w:kern w:val="0"/>
                <w:sz w:val="18"/>
                <w:szCs w:val="18"/>
              </w:rPr>
              <w:t>1.未按合同约定配合做好学生生活配套服务工作包括自助服务、校园快递服务、开学/迎新/毕业免费运行行李、非固定资产类废旧品处置等，一次扣1分。</w:t>
            </w:r>
          </w:p>
        </w:tc>
        <w:tc>
          <w:tcPr>
            <w:tcW w:w="709"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14:paraId="5AEA790F">
            <w:pPr>
              <w:widowControl/>
              <w:jc w:val="center"/>
              <w:rPr>
                <w:rFonts w:eastAsia="等线"/>
                <w:color w:val="auto"/>
                <w:kern w:val="0"/>
                <w:sz w:val="18"/>
                <w:szCs w:val="18"/>
              </w:rPr>
            </w:pPr>
            <w:r>
              <w:rPr>
                <w:rFonts w:eastAsia="等线"/>
                <w:color w:val="auto"/>
                <w:kern w:val="0"/>
                <w:sz w:val="18"/>
                <w:szCs w:val="18"/>
              </w:rPr>
              <w:t>2</w:t>
            </w:r>
          </w:p>
        </w:tc>
        <w:tc>
          <w:tcPr>
            <w:tcW w:w="709"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14:paraId="157B2B49">
            <w:pPr>
              <w:widowControl/>
              <w:jc w:val="center"/>
              <w:rPr>
                <w:rFonts w:eastAsia="等线"/>
                <w:color w:val="auto"/>
                <w:kern w:val="0"/>
                <w:sz w:val="18"/>
                <w:szCs w:val="18"/>
              </w:rPr>
            </w:pPr>
            <w:r>
              <w:rPr>
                <w:rFonts w:eastAsia="等线"/>
                <w:color w:val="auto"/>
                <w:kern w:val="0"/>
                <w:sz w:val="18"/>
                <w:szCs w:val="18"/>
              </w:rPr>
              <w:t>　</w:t>
            </w:r>
          </w:p>
        </w:tc>
      </w:tr>
      <w:tr w14:paraId="4CB36F48">
        <w:tblPrEx>
          <w:tblCellMar>
            <w:top w:w="0" w:type="dxa"/>
            <w:left w:w="108" w:type="dxa"/>
            <w:bottom w:w="0" w:type="dxa"/>
            <w:right w:w="108" w:type="dxa"/>
          </w:tblCellMar>
        </w:tblPrEx>
        <w:trPr>
          <w:trHeight w:val="450" w:hRule="atLeast"/>
        </w:trPr>
        <w:tc>
          <w:tcPr>
            <w:tcW w:w="493" w:type="dxa"/>
            <w:vMerge w:val="continue"/>
            <w:tcBorders>
              <w:top w:val="single" w:color="auto" w:sz="8" w:space="0"/>
              <w:left w:val="single" w:color="auto" w:sz="8" w:space="0"/>
              <w:bottom w:val="single" w:color="000000" w:sz="8" w:space="0"/>
              <w:right w:val="single" w:color="auto" w:sz="8" w:space="0"/>
            </w:tcBorders>
            <w:vAlign w:val="center"/>
          </w:tcPr>
          <w:p w14:paraId="4659DFE3">
            <w:pPr>
              <w:widowControl/>
              <w:jc w:val="left"/>
              <w:rPr>
                <w:rFonts w:eastAsia="等线"/>
                <w:b/>
                <w:bCs/>
                <w:color w:val="auto"/>
                <w:kern w:val="0"/>
                <w:sz w:val="18"/>
                <w:szCs w:val="18"/>
              </w:rPr>
            </w:pPr>
          </w:p>
        </w:tc>
        <w:tc>
          <w:tcPr>
            <w:tcW w:w="578" w:type="dxa"/>
            <w:vMerge w:val="continue"/>
            <w:tcBorders>
              <w:top w:val="single" w:color="auto" w:sz="8" w:space="0"/>
              <w:left w:val="single" w:color="auto" w:sz="8" w:space="0"/>
              <w:bottom w:val="single" w:color="000000" w:sz="8" w:space="0"/>
              <w:right w:val="single" w:color="auto" w:sz="8" w:space="0"/>
            </w:tcBorders>
            <w:vAlign w:val="center"/>
          </w:tcPr>
          <w:p w14:paraId="5991CCF9">
            <w:pPr>
              <w:widowControl/>
              <w:jc w:val="left"/>
              <w:rPr>
                <w:rFonts w:hint="eastAsia" w:ascii="宋体" w:hAnsi="宋体" w:cs="宋体"/>
                <w:b/>
                <w:bCs/>
                <w:color w:val="auto"/>
                <w:kern w:val="0"/>
                <w:sz w:val="18"/>
                <w:szCs w:val="18"/>
              </w:rPr>
            </w:pPr>
          </w:p>
        </w:tc>
        <w:tc>
          <w:tcPr>
            <w:tcW w:w="578" w:type="dxa"/>
            <w:vMerge w:val="continue"/>
            <w:tcBorders>
              <w:top w:val="single" w:color="auto" w:sz="8" w:space="0"/>
              <w:left w:val="single" w:color="auto" w:sz="8" w:space="0"/>
              <w:bottom w:val="single" w:color="000000" w:sz="8" w:space="0"/>
              <w:right w:val="single" w:color="auto" w:sz="8" w:space="0"/>
            </w:tcBorders>
            <w:vAlign w:val="center"/>
          </w:tcPr>
          <w:p w14:paraId="766FFB29">
            <w:pPr>
              <w:widowControl/>
              <w:jc w:val="left"/>
              <w:rPr>
                <w:rFonts w:hint="eastAsia" w:ascii="宋体" w:hAnsi="宋体" w:cs="宋体"/>
                <w:b/>
                <w:bCs/>
                <w:color w:val="auto"/>
                <w:kern w:val="0"/>
                <w:sz w:val="18"/>
                <w:szCs w:val="18"/>
              </w:rPr>
            </w:pPr>
          </w:p>
        </w:tc>
        <w:tc>
          <w:tcPr>
            <w:tcW w:w="5478" w:type="dxa"/>
            <w:vMerge w:val="continue"/>
            <w:tcBorders>
              <w:top w:val="single" w:color="auto" w:sz="8" w:space="0"/>
              <w:left w:val="single" w:color="auto" w:sz="8" w:space="0"/>
              <w:bottom w:val="single" w:color="000000" w:sz="8" w:space="0"/>
              <w:right w:val="single" w:color="auto" w:sz="8" w:space="0"/>
            </w:tcBorders>
            <w:vAlign w:val="center"/>
          </w:tcPr>
          <w:p w14:paraId="66CF5334">
            <w:pPr>
              <w:widowControl/>
              <w:jc w:val="left"/>
              <w:rPr>
                <w:rFonts w:hint="eastAsia" w:ascii="宋体" w:hAnsi="宋体" w:cs="宋体"/>
                <w:color w:val="auto"/>
                <w:kern w:val="0"/>
                <w:sz w:val="18"/>
                <w:szCs w:val="18"/>
              </w:rPr>
            </w:pPr>
          </w:p>
        </w:tc>
        <w:tc>
          <w:tcPr>
            <w:tcW w:w="5337" w:type="dxa"/>
            <w:tcBorders>
              <w:top w:val="nil"/>
              <w:left w:val="nil"/>
              <w:bottom w:val="single" w:color="auto" w:sz="8" w:space="0"/>
              <w:right w:val="single" w:color="auto" w:sz="8" w:space="0"/>
            </w:tcBorders>
            <w:shd w:val="clear" w:color="000000" w:fill="FFFFFF"/>
            <w:vAlign w:val="center"/>
          </w:tcPr>
          <w:p w14:paraId="1CB96DFE">
            <w:pPr>
              <w:widowControl/>
              <w:rPr>
                <w:rFonts w:hint="eastAsia" w:ascii="宋体" w:hAnsi="宋体" w:cs="宋体"/>
                <w:color w:val="auto"/>
                <w:kern w:val="0"/>
                <w:sz w:val="18"/>
                <w:szCs w:val="18"/>
              </w:rPr>
            </w:pPr>
            <w:r>
              <w:rPr>
                <w:rFonts w:hint="eastAsia" w:ascii="宋体" w:hAnsi="宋体" w:cs="宋体"/>
                <w:color w:val="auto"/>
                <w:kern w:val="0"/>
                <w:sz w:val="18"/>
                <w:szCs w:val="18"/>
              </w:rPr>
              <w:t>2.未配合甲方做好配套服务方案策划、运营监管、服务评价等相关工作的，视情况扣1-2分。</w:t>
            </w:r>
          </w:p>
        </w:tc>
        <w:tc>
          <w:tcPr>
            <w:tcW w:w="709" w:type="dxa"/>
            <w:vMerge w:val="continue"/>
            <w:tcBorders>
              <w:top w:val="single" w:color="auto" w:sz="8" w:space="0"/>
              <w:left w:val="single" w:color="auto" w:sz="8" w:space="0"/>
              <w:bottom w:val="single" w:color="000000" w:sz="8" w:space="0"/>
              <w:right w:val="single" w:color="auto" w:sz="8" w:space="0"/>
            </w:tcBorders>
            <w:vAlign w:val="center"/>
          </w:tcPr>
          <w:p w14:paraId="65A275B4">
            <w:pPr>
              <w:widowControl/>
              <w:jc w:val="left"/>
              <w:rPr>
                <w:rFonts w:eastAsia="等线"/>
                <w:color w:val="auto"/>
                <w:kern w:val="0"/>
                <w:sz w:val="18"/>
                <w:szCs w:val="18"/>
              </w:rPr>
            </w:pPr>
          </w:p>
        </w:tc>
        <w:tc>
          <w:tcPr>
            <w:tcW w:w="709" w:type="dxa"/>
            <w:vMerge w:val="continue"/>
            <w:tcBorders>
              <w:top w:val="single" w:color="auto" w:sz="8" w:space="0"/>
              <w:left w:val="single" w:color="auto" w:sz="8" w:space="0"/>
              <w:bottom w:val="single" w:color="000000" w:sz="8" w:space="0"/>
              <w:right w:val="single" w:color="auto" w:sz="8" w:space="0"/>
            </w:tcBorders>
            <w:vAlign w:val="center"/>
          </w:tcPr>
          <w:p w14:paraId="02F3FA2D">
            <w:pPr>
              <w:widowControl/>
              <w:jc w:val="left"/>
              <w:rPr>
                <w:rFonts w:eastAsia="等线"/>
                <w:color w:val="auto"/>
                <w:kern w:val="0"/>
                <w:sz w:val="18"/>
                <w:szCs w:val="18"/>
              </w:rPr>
            </w:pPr>
          </w:p>
        </w:tc>
      </w:tr>
      <w:tr w14:paraId="71688B4A">
        <w:tblPrEx>
          <w:tblCellMar>
            <w:top w:w="0" w:type="dxa"/>
            <w:left w:w="108" w:type="dxa"/>
            <w:bottom w:w="0" w:type="dxa"/>
            <w:right w:w="108" w:type="dxa"/>
          </w:tblCellMar>
        </w:tblPrEx>
        <w:trPr>
          <w:trHeight w:val="450" w:hRule="atLeast"/>
        </w:trPr>
        <w:tc>
          <w:tcPr>
            <w:tcW w:w="493" w:type="dxa"/>
            <w:tcBorders>
              <w:top w:val="nil"/>
              <w:left w:val="single" w:color="auto" w:sz="8" w:space="0"/>
              <w:bottom w:val="single" w:color="auto" w:sz="8" w:space="0"/>
              <w:right w:val="single" w:color="auto" w:sz="8" w:space="0"/>
            </w:tcBorders>
            <w:shd w:val="clear" w:color="000000" w:fill="FFFFFF"/>
            <w:vAlign w:val="center"/>
          </w:tcPr>
          <w:p w14:paraId="0BA18028">
            <w:pPr>
              <w:widowControl/>
              <w:jc w:val="center"/>
              <w:rPr>
                <w:rFonts w:eastAsia="等线"/>
                <w:b/>
                <w:bCs/>
                <w:color w:val="auto"/>
                <w:kern w:val="0"/>
                <w:sz w:val="18"/>
                <w:szCs w:val="18"/>
              </w:rPr>
            </w:pPr>
            <w:r>
              <w:rPr>
                <w:rFonts w:eastAsia="等线"/>
                <w:b/>
                <w:bCs/>
                <w:color w:val="auto"/>
                <w:kern w:val="0"/>
                <w:sz w:val="18"/>
                <w:szCs w:val="18"/>
              </w:rPr>
              <w:t>5</w:t>
            </w:r>
            <w:r>
              <w:rPr>
                <w:rFonts w:hint="eastAsia" w:eastAsia="等线"/>
                <w:b/>
                <w:bCs/>
                <w:color w:val="auto"/>
                <w:kern w:val="0"/>
                <w:sz w:val="18"/>
                <w:szCs w:val="18"/>
              </w:rPr>
              <w:t>0</w:t>
            </w:r>
          </w:p>
        </w:tc>
        <w:tc>
          <w:tcPr>
            <w:tcW w:w="578" w:type="dxa"/>
            <w:tcBorders>
              <w:top w:val="nil"/>
              <w:left w:val="nil"/>
              <w:bottom w:val="single" w:color="auto" w:sz="8" w:space="0"/>
              <w:right w:val="single" w:color="auto" w:sz="8" w:space="0"/>
            </w:tcBorders>
            <w:shd w:val="clear" w:color="000000" w:fill="FFFFFF"/>
            <w:vAlign w:val="center"/>
          </w:tcPr>
          <w:p w14:paraId="0B8CF2E4">
            <w:pPr>
              <w:widowControl/>
              <w:rPr>
                <w:rFonts w:hint="eastAsia" w:ascii="宋体" w:hAnsi="宋体" w:cs="宋体"/>
                <w:b/>
                <w:bCs/>
                <w:color w:val="auto"/>
                <w:kern w:val="0"/>
                <w:sz w:val="18"/>
                <w:szCs w:val="18"/>
              </w:rPr>
            </w:pPr>
            <w:r>
              <w:rPr>
                <w:rFonts w:hint="eastAsia" w:ascii="宋体" w:hAnsi="宋体" w:cs="宋体"/>
                <w:b/>
                <w:bCs/>
                <w:color w:val="auto"/>
                <w:kern w:val="0"/>
                <w:sz w:val="18"/>
                <w:szCs w:val="18"/>
              </w:rPr>
              <w:t>其他</w:t>
            </w:r>
          </w:p>
        </w:tc>
        <w:tc>
          <w:tcPr>
            <w:tcW w:w="578" w:type="dxa"/>
            <w:tcBorders>
              <w:top w:val="nil"/>
              <w:left w:val="nil"/>
              <w:bottom w:val="single" w:color="auto" w:sz="8" w:space="0"/>
              <w:right w:val="single" w:color="auto" w:sz="8" w:space="0"/>
            </w:tcBorders>
            <w:shd w:val="clear" w:color="000000" w:fill="FFFFFF"/>
            <w:vAlign w:val="center"/>
          </w:tcPr>
          <w:p w14:paraId="08616E58">
            <w:pPr>
              <w:widowControl/>
              <w:rPr>
                <w:rFonts w:hint="eastAsia" w:ascii="宋体" w:hAnsi="宋体" w:cs="宋体"/>
                <w:b/>
                <w:bCs/>
                <w:color w:val="auto"/>
                <w:kern w:val="0"/>
                <w:sz w:val="18"/>
                <w:szCs w:val="18"/>
              </w:rPr>
            </w:pPr>
            <w:r>
              <w:rPr>
                <w:rFonts w:hint="eastAsia" w:ascii="宋体" w:hAnsi="宋体" w:cs="宋体"/>
                <w:b/>
                <w:bCs/>
                <w:color w:val="auto"/>
                <w:kern w:val="0"/>
                <w:sz w:val="18"/>
                <w:szCs w:val="18"/>
              </w:rPr>
              <w:t>其他</w:t>
            </w:r>
          </w:p>
        </w:tc>
        <w:tc>
          <w:tcPr>
            <w:tcW w:w="5478" w:type="dxa"/>
            <w:tcBorders>
              <w:top w:val="nil"/>
              <w:left w:val="nil"/>
              <w:bottom w:val="single" w:color="auto" w:sz="8" w:space="0"/>
              <w:right w:val="single" w:color="auto" w:sz="8" w:space="0"/>
            </w:tcBorders>
            <w:shd w:val="clear" w:color="000000" w:fill="FFFFFF"/>
            <w:vAlign w:val="center"/>
          </w:tcPr>
          <w:p w14:paraId="3CAB5654">
            <w:pPr>
              <w:widowControl/>
              <w:rPr>
                <w:rFonts w:hint="eastAsia" w:ascii="宋体" w:hAnsi="宋体" w:cs="宋体"/>
                <w:color w:val="auto"/>
                <w:kern w:val="0"/>
                <w:sz w:val="18"/>
                <w:szCs w:val="18"/>
              </w:rPr>
            </w:pPr>
            <w:r>
              <w:rPr>
                <w:rFonts w:hint="eastAsia" w:ascii="宋体" w:hAnsi="宋体" w:cs="宋体"/>
                <w:color w:val="auto"/>
                <w:kern w:val="0"/>
                <w:sz w:val="18"/>
                <w:szCs w:val="18"/>
              </w:rPr>
              <w:t>其他不在上述范围内的内部管理工作。</w:t>
            </w:r>
          </w:p>
        </w:tc>
        <w:tc>
          <w:tcPr>
            <w:tcW w:w="5337" w:type="dxa"/>
            <w:tcBorders>
              <w:top w:val="nil"/>
              <w:left w:val="nil"/>
              <w:bottom w:val="single" w:color="auto" w:sz="8" w:space="0"/>
              <w:right w:val="single" w:color="auto" w:sz="8" w:space="0"/>
            </w:tcBorders>
            <w:shd w:val="clear" w:color="000000" w:fill="FFFFFF"/>
            <w:vAlign w:val="center"/>
          </w:tcPr>
          <w:p w14:paraId="39834201">
            <w:pPr>
              <w:widowControl/>
              <w:rPr>
                <w:rFonts w:hint="eastAsia" w:ascii="宋体" w:hAnsi="宋体" w:cs="宋体"/>
                <w:color w:val="auto"/>
                <w:kern w:val="0"/>
                <w:sz w:val="18"/>
                <w:szCs w:val="18"/>
              </w:rPr>
            </w:pPr>
            <w:r>
              <w:rPr>
                <w:rFonts w:hint="eastAsia" w:ascii="宋体" w:hAnsi="宋体" w:cs="宋体"/>
                <w:color w:val="auto"/>
                <w:kern w:val="0"/>
                <w:sz w:val="18"/>
                <w:szCs w:val="18"/>
              </w:rPr>
              <w:t>发现的问题不在上述标准内的，根据实际情况酌情扣分；若无则不扣分。</w:t>
            </w:r>
          </w:p>
        </w:tc>
        <w:tc>
          <w:tcPr>
            <w:tcW w:w="709" w:type="dxa"/>
            <w:tcBorders>
              <w:top w:val="nil"/>
              <w:left w:val="nil"/>
              <w:bottom w:val="single" w:color="auto" w:sz="8" w:space="0"/>
              <w:right w:val="single" w:color="auto" w:sz="8" w:space="0"/>
            </w:tcBorders>
            <w:shd w:val="clear" w:color="000000" w:fill="FFFFFF"/>
            <w:vAlign w:val="center"/>
          </w:tcPr>
          <w:p w14:paraId="4A12910E">
            <w:pPr>
              <w:widowControl/>
              <w:jc w:val="center"/>
              <w:rPr>
                <w:rFonts w:eastAsia="等线"/>
                <w:color w:val="auto"/>
                <w:kern w:val="0"/>
                <w:sz w:val="18"/>
                <w:szCs w:val="18"/>
              </w:rPr>
            </w:pPr>
            <w:r>
              <w:rPr>
                <w:rFonts w:eastAsia="等线"/>
                <w:color w:val="auto"/>
                <w:kern w:val="0"/>
                <w:sz w:val="18"/>
                <w:szCs w:val="18"/>
              </w:rPr>
              <w:t>2</w:t>
            </w:r>
          </w:p>
        </w:tc>
        <w:tc>
          <w:tcPr>
            <w:tcW w:w="709" w:type="dxa"/>
            <w:tcBorders>
              <w:top w:val="nil"/>
              <w:left w:val="nil"/>
              <w:bottom w:val="single" w:color="auto" w:sz="8" w:space="0"/>
              <w:right w:val="single" w:color="auto" w:sz="8" w:space="0"/>
            </w:tcBorders>
            <w:shd w:val="clear" w:color="000000" w:fill="FFFFFF"/>
            <w:vAlign w:val="center"/>
          </w:tcPr>
          <w:p w14:paraId="43AFE80E">
            <w:pPr>
              <w:widowControl/>
              <w:jc w:val="center"/>
              <w:rPr>
                <w:rFonts w:eastAsia="等线"/>
                <w:color w:val="auto"/>
                <w:kern w:val="0"/>
                <w:sz w:val="18"/>
                <w:szCs w:val="18"/>
              </w:rPr>
            </w:pPr>
            <w:r>
              <w:rPr>
                <w:rFonts w:eastAsia="等线"/>
                <w:color w:val="auto"/>
                <w:kern w:val="0"/>
                <w:sz w:val="18"/>
                <w:szCs w:val="18"/>
              </w:rPr>
              <w:t>　</w:t>
            </w:r>
          </w:p>
        </w:tc>
      </w:tr>
      <w:tr w14:paraId="31A63652">
        <w:tblPrEx>
          <w:tblCellMar>
            <w:top w:w="0" w:type="dxa"/>
            <w:left w:w="108" w:type="dxa"/>
            <w:bottom w:w="0" w:type="dxa"/>
            <w:right w:w="108" w:type="dxa"/>
          </w:tblCellMar>
        </w:tblPrEx>
        <w:trPr>
          <w:trHeight w:val="1035" w:hRule="atLeast"/>
        </w:trPr>
        <w:tc>
          <w:tcPr>
            <w:tcW w:w="493" w:type="dxa"/>
            <w:vMerge w:val="restart"/>
            <w:tcBorders>
              <w:top w:val="nil"/>
              <w:left w:val="single" w:color="auto" w:sz="8" w:space="0"/>
              <w:bottom w:val="single" w:color="000000" w:sz="8" w:space="0"/>
              <w:right w:val="single" w:color="auto" w:sz="8" w:space="0"/>
            </w:tcBorders>
            <w:shd w:val="clear" w:color="000000" w:fill="FFFFFF"/>
            <w:vAlign w:val="center"/>
          </w:tcPr>
          <w:p w14:paraId="65501666">
            <w:pPr>
              <w:widowControl/>
              <w:jc w:val="center"/>
              <w:rPr>
                <w:rFonts w:eastAsia="等线"/>
                <w:b/>
                <w:bCs/>
                <w:color w:val="auto"/>
                <w:kern w:val="0"/>
                <w:sz w:val="18"/>
                <w:szCs w:val="18"/>
              </w:rPr>
            </w:pPr>
            <w:r>
              <w:rPr>
                <w:rFonts w:eastAsia="等线"/>
                <w:b/>
                <w:bCs/>
                <w:color w:val="auto"/>
                <w:kern w:val="0"/>
                <w:sz w:val="18"/>
                <w:szCs w:val="18"/>
              </w:rPr>
              <w:t>5</w:t>
            </w:r>
            <w:r>
              <w:rPr>
                <w:rFonts w:hint="eastAsia" w:eastAsia="等线"/>
                <w:b/>
                <w:bCs/>
                <w:color w:val="auto"/>
                <w:kern w:val="0"/>
                <w:sz w:val="18"/>
                <w:szCs w:val="18"/>
              </w:rPr>
              <w:t>1</w:t>
            </w:r>
          </w:p>
        </w:tc>
        <w:tc>
          <w:tcPr>
            <w:tcW w:w="578" w:type="dxa"/>
            <w:vMerge w:val="restart"/>
            <w:tcBorders>
              <w:top w:val="nil"/>
              <w:left w:val="single" w:color="auto" w:sz="8" w:space="0"/>
              <w:bottom w:val="single" w:color="000000" w:sz="8" w:space="0"/>
              <w:right w:val="single" w:color="auto" w:sz="8" w:space="0"/>
            </w:tcBorders>
            <w:shd w:val="clear" w:color="000000" w:fill="FFFFFF"/>
            <w:vAlign w:val="center"/>
          </w:tcPr>
          <w:p w14:paraId="7640CD30">
            <w:pPr>
              <w:widowControl/>
              <w:rPr>
                <w:rFonts w:hint="eastAsia" w:ascii="宋体" w:hAnsi="宋体" w:cs="宋体"/>
                <w:b/>
                <w:bCs/>
                <w:color w:val="auto"/>
                <w:kern w:val="0"/>
                <w:sz w:val="18"/>
                <w:szCs w:val="18"/>
              </w:rPr>
            </w:pPr>
            <w:r>
              <w:rPr>
                <w:rFonts w:hint="eastAsia" w:ascii="宋体" w:hAnsi="宋体" w:cs="宋体"/>
                <w:b/>
                <w:bCs/>
                <w:color w:val="auto"/>
                <w:kern w:val="0"/>
                <w:sz w:val="18"/>
                <w:szCs w:val="18"/>
              </w:rPr>
              <w:t>安全工作</w:t>
            </w:r>
          </w:p>
        </w:tc>
        <w:tc>
          <w:tcPr>
            <w:tcW w:w="578" w:type="dxa"/>
            <w:tcBorders>
              <w:top w:val="nil"/>
              <w:left w:val="nil"/>
              <w:bottom w:val="single" w:color="auto" w:sz="8" w:space="0"/>
              <w:right w:val="nil"/>
            </w:tcBorders>
            <w:shd w:val="clear" w:color="000000" w:fill="FFFFFF"/>
            <w:vAlign w:val="center"/>
          </w:tcPr>
          <w:p w14:paraId="370C5666">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安全隐患</w:t>
            </w:r>
          </w:p>
        </w:tc>
        <w:tc>
          <w:tcPr>
            <w:tcW w:w="5478" w:type="dxa"/>
            <w:tcBorders>
              <w:top w:val="nil"/>
              <w:left w:val="single" w:color="auto" w:sz="8" w:space="0"/>
              <w:bottom w:val="single" w:color="auto" w:sz="8" w:space="0"/>
              <w:right w:val="single" w:color="auto" w:sz="8" w:space="0"/>
            </w:tcBorders>
            <w:shd w:val="clear" w:color="000000" w:fill="FFFFFF"/>
            <w:vAlign w:val="center"/>
          </w:tcPr>
          <w:p w14:paraId="35A84D50">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1.作业过程（如喷洒农药、投掷除四害药物、各类维修等）存在安全隐患，可能影响周围环境、人、财、物安全的，应采取必要的告知、警告措施；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2.乙方在服务过程中未出现违反安全生产作业的行为；</w:t>
            </w:r>
          </w:p>
        </w:tc>
        <w:tc>
          <w:tcPr>
            <w:tcW w:w="5337" w:type="dxa"/>
            <w:tcBorders>
              <w:top w:val="nil"/>
              <w:left w:val="nil"/>
              <w:bottom w:val="single" w:color="auto" w:sz="8" w:space="0"/>
              <w:right w:val="single" w:color="auto" w:sz="8" w:space="0"/>
            </w:tcBorders>
            <w:shd w:val="clear" w:color="000000" w:fill="FFFFFF"/>
            <w:vAlign w:val="center"/>
          </w:tcPr>
          <w:p w14:paraId="3AB71A4C">
            <w:pPr>
              <w:widowControl/>
              <w:rPr>
                <w:rFonts w:hint="eastAsia" w:ascii="宋体" w:hAnsi="宋体" w:cs="宋体"/>
                <w:color w:val="auto"/>
                <w:kern w:val="0"/>
                <w:sz w:val="18"/>
                <w:szCs w:val="18"/>
              </w:rPr>
            </w:pPr>
            <w:r>
              <w:rPr>
                <w:rFonts w:hint="eastAsia" w:ascii="宋体" w:hAnsi="宋体" w:cs="宋体"/>
                <w:color w:val="auto"/>
                <w:kern w:val="0"/>
                <w:sz w:val="18"/>
                <w:szCs w:val="18"/>
              </w:rPr>
              <w:t>发现不符合要求的，按严重程度一次扣0.5分-2分；</w:t>
            </w:r>
          </w:p>
        </w:tc>
        <w:tc>
          <w:tcPr>
            <w:tcW w:w="709" w:type="dxa"/>
            <w:tcBorders>
              <w:top w:val="nil"/>
              <w:left w:val="nil"/>
              <w:bottom w:val="single" w:color="auto" w:sz="8" w:space="0"/>
              <w:right w:val="single" w:color="auto" w:sz="8" w:space="0"/>
            </w:tcBorders>
            <w:shd w:val="clear" w:color="000000" w:fill="FFFFFF"/>
            <w:vAlign w:val="center"/>
          </w:tcPr>
          <w:p w14:paraId="5205ACE7">
            <w:pPr>
              <w:widowControl/>
              <w:jc w:val="center"/>
              <w:rPr>
                <w:rFonts w:eastAsia="等线"/>
                <w:color w:val="auto"/>
                <w:kern w:val="0"/>
                <w:sz w:val="18"/>
                <w:szCs w:val="18"/>
              </w:rPr>
            </w:pPr>
            <w:r>
              <w:rPr>
                <w:rFonts w:eastAsia="等线"/>
                <w:color w:val="auto"/>
                <w:kern w:val="0"/>
                <w:sz w:val="18"/>
                <w:szCs w:val="18"/>
              </w:rPr>
              <w:t>3</w:t>
            </w:r>
          </w:p>
        </w:tc>
        <w:tc>
          <w:tcPr>
            <w:tcW w:w="709" w:type="dxa"/>
            <w:tcBorders>
              <w:top w:val="nil"/>
              <w:left w:val="nil"/>
              <w:bottom w:val="single" w:color="auto" w:sz="8" w:space="0"/>
              <w:right w:val="single" w:color="auto" w:sz="8" w:space="0"/>
            </w:tcBorders>
            <w:shd w:val="clear" w:color="000000" w:fill="FFFFFF"/>
            <w:vAlign w:val="center"/>
          </w:tcPr>
          <w:p w14:paraId="2FEC62D1">
            <w:pPr>
              <w:widowControl/>
              <w:jc w:val="center"/>
              <w:rPr>
                <w:rFonts w:eastAsia="等线"/>
                <w:color w:val="auto"/>
                <w:kern w:val="0"/>
                <w:sz w:val="18"/>
                <w:szCs w:val="18"/>
              </w:rPr>
            </w:pPr>
            <w:r>
              <w:rPr>
                <w:rFonts w:eastAsia="等线"/>
                <w:color w:val="auto"/>
                <w:kern w:val="0"/>
                <w:sz w:val="18"/>
                <w:szCs w:val="18"/>
              </w:rPr>
              <w:t>　</w:t>
            </w:r>
          </w:p>
        </w:tc>
      </w:tr>
      <w:tr w14:paraId="567DD266">
        <w:tblPrEx>
          <w:tblCellMar>
            <w:top w:w="0" w:type="dxa"/>
            <w:left w:w="108" w:type="dxa"/>
            <w:bottom w:w="0" w:type="dxa"/>
            <w:right w:w="108" w:type="dxa"/>
          </w:tblCellMar>
        </w:tblPrEx>
        <w:trPr>
          <w:trHeight w:val="3282" w:hRule="atLeast"/>
        </w:trPr>
        <w:tc>
          <w:tcPr>
            <w:tcW w:w="493" w:type="dxa"/>
            <w:vMerge w:val="continue"/>
            <w:tcBorders>
              <w:top w:val="nil"/>
              <w:left w:val="single" w:color="auto" w:sz="8" w:space="0"/>
              <w:bottom w:val="single" w:color="000000" w:sz="8" w:space="0"/>
              <w:right w:val="single" w:color="auto" w:sz="8" w:space="0"/>
            </w:tcBorders>
            <w:vAlign w:val="center"/>
          </w:tcPr>
          <w:p w14:paraId="3A7D0B6C">
            <w:pPr>
              <w:widowControl/>
              <w:jc w:val="left"/>
              <w:rPr>
                <w:rFonts w:eastAsia="等线"/>
                <w:b/>
                <w:bCs/>
                <w:color w:val="auto"/>
                <w:kern w:val="0"/>
                <w:sz w:val="18"/>
                <w:szCs w:val="18"/>
              </w:rPr>
            </w:pPr>
          </w:p>
        </w:tc>
        <w:tc>
          <w:tcPr>
            <w:tcW w:w="578" w:type="dxa"/>
            <w:vMerge w:val="continue"/>
            <w:tcBorders>
              <w:top w:val="nil"/>
              <w:left w:val="single" w:color="auto" w:sz="8" w:space="0"/>
              <w:bottom w:val="single" w:color="000000" w:sz="8" w:space="0"/>
              <w:right w:val="single" w:color="auto" w:sz="8" w:space="0"/>
            </w:tcBorders>
            <w:vAlign w:val="center"/>
          </w:tcPr>
          <w:p w14:paraId="02797663">
            <w:pPr>
              <w:widowControl/>
              <w:jc w:val="left"/>
              <w:rPr>
                <w:rFonts w:hint="eastAsia" w:ascii="宋体" w:hAnsi="宋体" w:cs="宋体"/>
                <w:b/>
                <w:bCs/>
                <w:color w:val="auto"/>
                <w:kern w:val="0"/>
                <w:sz w:val="18"/>
                <w:szCs w:val="18"/>
              </w:rPr>
            </w:pPr>
          </w:p>
        </w:tc>
        <w:tc>
          <w:tcPr>
            <w:tcW w:w="578" w:type="dxa"/>
            <w:tcBorders>
              <w:top w:val="nil"/>
              <w:left w:val="nil"/>
              <w:bottom w:val="single" w:color="auto" w:sz="8" w:space="0"/>
              <w:right w:val="nil"/>
            </w:tcBorders>
            <w:shd w:val="clear" w:color="000000" w:fill="FFFFFF"/>
            <w:vAlign w:val="center"/>
          </w:tcPr>
          <w:p w14:paraId="614BE0C6">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安全事故</w:t>
            </w:r>
          </w:p>
        </w:tc>
        <w:tc>
          <w:tcPr>
            <w:tcW w:w="5478" w:type="dxa"/>
            <w:tcBorders>
              <w:top w:val="nil"/>
              <w:left w:val="single" w:color="auto" w:sz="8" w:space="0"/>
              <w:bottom w:val="single" w:color="auto" w:sz="8" w:space="0"/>
              <w:right w:val="single" w:color="auto" w:sz="8" w:space="0"/>
            </w:tcBorders>
            <w:shd w:val="clear" w:color="000000" w:fill="FFFFFF"/>
            <w:vAlign w:val="center"/>
          </w:tcPr>
          <w:p w14:paraId="09C15807">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1.乙方未发生安全责任事故，无事故瞒报、漏报等现象。</w:t>
            </w:r>
          </w:p>
        </w:tc>
        <w:tc>
          <w:tcPr>
            <w:tcW w:w="5337" w:type="dxa"/>
            <w:tcBorders>
              <w:top w:val="nil"/>
              <w:left w:val="nil"/>
              <w:bottom w:val="single" w:color="auto" w:sz="8" w:space="0"/>
              <w:right w:val="single" w:color="auto" w:sz="8" w:space="0"/>
            </w:tcBorders>
            <w:shd w:val="clear" w:color="000000" w:fill="FFFFFF"/>
            <w:vAlign w:val="center"/>
          </w:tcPr>
          <w:p w14:paraId="544F474B">
            <w:pPr>
              <w:widowControl/>
              <w:rPr>
                <w:rFonts w:hint="eastAsia" w:ascii="宋体" w:hAnsi="宋体" w:cs="宋体"/>
                <w:color w:val="auto"/>
                <w:kern w:val="0"/>
                <w:sz w:val="18"/>
                <w:szCs w:val="18"/>
              </w:rPr>
            </w:pPr>
            <w:r>
              <w:rPr>
                <w:rFonts w:hint="eastAsia" w:ascii="宋体" w:hAnsi="宋体" w:cs="宋体"/>
                <w:color w:val="auto"/>
                <w:kern w:val="0"/>
                <w:sz w:val="18"/>
                <w:szCs w:val="18"/>
              </w:rPr>
              <w:t>1.因乙方主要责任原因发生大面积停电或停水、火灾、触电、渍水、治安刑事案件、员工聚众闹事、员工劳资纠纷、职工健康、员工舆情等安全责任事故，未造成财产损失或人身伤害的，一次扣5分；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2.因乙方主要责任原因发生上述安全责任事故，造成较大舆情影响或较大财产损失，定为不合格，物业费按95%支付；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3.因乙方主要责任原因发生上述安全责任事故，造成重大舆情影响及较大人身伤害，定为不合格，物业费按75%支付；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4.如发生重大安全责任事故，则按合同约定实行一票否决制，扣除全部履约保证金，并按政府采购法律法规将相关情况提交到浙江省财政厅政府采购监管处处理。</w:t>
            </w:r>
          </w:p>
        </w:tc>
        <w:tc>
          <w:tcPr>
            <w:tcW w:w="709" w:type="dxa"/>
            <w:tcBorders>
              <w:top w:val="nil"/>
              <w:left w:val="nil"/>
              <w:bottom w:val="single" w:color="auto" w:sz="8" w:space="0"/>
              <w:right w:val="single" w:color="auto" w:sz="8" w:space="0"/>
            </w:tcBorders>
            <w:shd w:val="clear" w:color="000000" w:fill="FFFFFF"/>
            <w:vAlign w:val="center"/>
          </w:tcPr>
          <w:p w14:paraId="04FAD31D">
            <w:pPr>
              <w:widowControl/>
              <w:jc w:val="center"/>
              <w:rPr>
                <w:rFonts w:eastAsia="等线"/>
                <w:color w:val="auto"/>
                <w:kern w:val="0"/>
                <w:sz w:val="18"/>
                <w:szCs w:val="18"/>
              </w:rPr>
            </w:pPr>
            <w:r>
              <w:rPr>
                <w:rFonts w:eastAsia="等线"/>
                <w:color w:val="auto"/>
                <w:kern w:val="0"/>
                <w:sz w:val="18"/>
                <w:szCs w:val="18"/>
              </w:rPr>
              <w:t>0</w:t>
            </w:r>
          </w:p>
        </w:tc>
        <w:tc>
          <w:tcPr>
            <w:tcW w:w="709" w:type="dxa"/>
            <w:tcBorders>
              <w:top w:val="nil"/>
              <w:left w:val="nil"/>
              <w:bottom w:val="single" w:color="auto" w:sz="8" w:space="0"/>
              <w:right w:val="single" w:color="auto" w:sz="8" w:space="0"/>
            </w:tcBorders>
            <w:shd w:val="clear" w:color="000000" w:fill="FFFFFF"/>
            <w:vAlign w:val="center"/>
          </w:tcPr>
          <w:p w14:paraId="5BD75719">
            <w:pPr>
              <w:widowControl/>
              <w:jc w:val="center"/>
              <w:rPr>
                <w:rFonts w:eastAsia="等线"/>
                <w:color w:val="auto"/>
                <w:kern w:val="0"/>
                <w:sz w:val="18"/>
                <w:szCs w:val="18"/>
              </w:rPr>
            </w:pPr>
            <w:r>
              <w:rPr>
                <w:rFonts w:eastAsia="等线"/>
                <w:color w:val="auto"/>
                <w:kern w:val="0"/>
                <w:sz w:val="18"/>
                <w:szCs w:val="18"/>
              </w:rPr>
              <w:t>　</w:t>
            </w:r>
          </w:p>
        </w:tc>
      </w:tr>
      <w:tr w14:paraId="23CEB2C6">
        <w:tblPrEx>
          <w:tblCellMar>
            <w:top w:w="0" w:type="dxa"/>
            <w:left w:w="108" w:type="dxa"/>
            <w:bottom w:w="0" w:type="dxa"/>
            <w:right w:w="108" w:type="dxa"/>
          </w:tblCellMar>
        </w:tblPrEx>
        <w:trPr>
          <w:trHeight w:val="300" w:hRule="atLeast"/>
        </w:trPr>
        <w:tc>
          <w:tcPr>
            <w:tcW w:w="1071" w:type="dxa"/>
            <w:gridSpan w:val="2"/>
            <w:tcBorders>
              <w:top w:val="single" w:color="auto" w:sz="8" w:space="0"/>
              <w:left w:val="single" w:color="auto" w:sz="8" w:space="0"/>
              <w:bottom w:val="single" w:color="auto" w:sz="8" w:space="0"/>
              <w:right w:val="single" w:color="000000" w:sz="8" w:space="0"/>
            </w:tcBorders>
            <w:shd w:val="clear" w:color="000000" w:fill="FFFFFF"/>
            <w:vAlign w:val="center"/>
          </w:tcPr>
          <w:p w14:paraId="5B057E6E">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本表合计</w:t>
            </w:r>
          </w:p>
        </w:tc>
        <w:tc>
          <w:tcPr>
            <w:tcW w:w="11393" w:type="dxa"/>
            <w:gridSpan w:val="3"/>
            <w:tcBorders>
              <w:top w:val="single" w:color="auto" w:sz="8" w:space="0"/>
              <w:left w:val="nil"/>
              <w:bottom w:val="single" w:color="auto" w:sz="8" w:space="0"/>
              <w:right w:val="single" w:color="000000" w:sz="8" w:space="0"/>
            </w:tcBorders>
            <w:shd w:val="clear" w:color="000000" w:fill="FFFFFF"/>
            <w:vAlign w:val="center"/>
          </w:tcPr>
          <w:p w14:paraId="3BB36491">
            <w:pPr>
              <w:widowControl/>
              <w:rPr>
                <w:rFonts w:hint="eastAsia" w:ascii="宋体" w:hAnsi="宋体" w:cs="宋体"/>
                <w:color w:val="auto"/>
                <w:kern w:val="0"/>
                <w:sz w:val="18"/>
                <w:szCs w:val="18"/>
              </w:rPr>
            </w:pPr>
            <w:r>
              <w:rPr>
                <w:rFonts w:hint="eastAsia" w:ascii="宋体" w:hAnsi="宋体" w:cs="宋体"/>
                <w:color w:val="auto"/>
                <w:kern w:val="0"/>
                <w:sz w:val="18"/>
                <w:szCs w:val="18"/>
              </w:rPr>
              <w:t>本量化考核表各考核项分值合计。</w:t>
            </w:r>
          </w:p>
        </w:tc>
        <w:tc>
          <w:tcPr>
            <w:tcW w:w="709" w:type="dxa"/>
            <w:tcBorders>
              <w:top w:val="nil"/>
              <w:left w:val="nil"/>
              <w:bottom w:val="single" w:color="auto" w:sz="8" w:space="0"/>
              <w:right w:val="single" w:color="auto" w:sz="8" w:space="0"/>
            </w:tcBorders>
            <w:shd w:val="clear" w:color="000000" w:fill="FFFFFF"/>
            <w:vAlign w:val="center"/>
          </w:tcPr>
          <w:p w14:paraId="361CBC29">
            <w:pPr>
              <w:widowControl/>
              <w:jc w:val="center"/>
              <w:rPr>
                <w:rFonts w:eastAsia="等线"/>
                <w:color w:val="auto"/>
                <w:kern w:val="0"/>
                <w:sz w:val="18"/>
                <w:szCs w:val="18"/>
              </w:rPr>
            </w:pPr>
            <w:r>
              <w:rPr>
                <w:rFonts w:eastAsia="等线"/>
                <w:color w:val="auto"/>
                <w:kern w:val="0"/>
                <w:sz w:val="18"/>
                <w:szCs w:val="18"/>
              </w:rPr>
              <w:t>125</w:t>
            </w:r>
          </w:p>
        </w:tc>
        <w:tc>
          <w:tcPr>
            <w:tcW w:w="709" w:type="dxa"/>
            <w:tcBorders>
              <w:top w:val="nil"/>
              <w:left w:val="nil"/>
              <w:bottom w:val="single" w:color="auto" w:sz="8" w:space="0"/>
              <w:right w:val="single" w:color="auto" w:sz="8" w:space="0"/>
            </w:tcBorders>
            <w:shd w:val="clear" w:color="000000" w:fill="FFFFFF"/>
            <w:vAlign w:val="center"/>
          </w:tcPr>
          <w:p w14:paraId="09239A56">
            <w:pPr>
              <w:widowControl/>
              <w:jc w:val="center"/>
              <w:rPr>
                <w:rFonts w:eastAsia="等线"/>
                <w:color w:val="auto"/>
                <w:kern w:val="0"/>
                <w:sz w:val="18"/>
                <w:szCs w:val="18"/>
              </w:rPr>
            </w:pPr>
            <w:r>
              <w:rPr>
                <w:rFonts w:eastAsia="等线"/>
                <w:color w:val="auto"/>
                <w:kern w:val="0"/>
                <w:sz w:val="18"/>
                <w:szCs w:val="18"/>
              </w:rPr>
              <w:t>0</w:t>
            </w:r>
          </w:p>
        </w:tc>
      </w:tr>
      <w:tr w14:paraId="6191BC9D">
        <w:tblPrEx>
          <w:tblCellMar>
            <w:top w:w="0" w:type="dxa"/>
            <w:left w:w="108" w:type="dxa"/>
            <w:bottom w:w="0" w:type="dxa"/>
            <w:right w:w="108" w:type="dxa"/>
          </w:tblCellMar>
        </w:tblPrEx>
        <w:trPr>
          <w:trHeight w:val="300" w:hRule="atLeast"/>
        </w:trPr>
        <w:tc>
          <w:tcPr>
            <w:tcW w:w="1071" w:type="dxa"/>
            <w:gridSpan w:val="2"/>
            <w:tcBorders>
              <w:top w:val="single" w:color="auto" w:sz="8" w:space="0"/>
              <w:left w:val="single" w:color="auto" w:sz="8" w:space="0"/>
              <w:bottom w:val="single" w:color="auto" w:sz="8" w:space="0"/>
              <w:right w:val="single" w:color="000000" w:sz="8" w:space="0"/>
            </w:tcBorders>
            <w:shd w:val="clear" w:color="000000" w:fill="FFFFFF"/>
            <w:vAlign w:val="center"/>
          </w:tcPr>
          <w:p w14:paraId="54439817">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考核系数</w:t>
            </w:r>
          </w:p>
        </w:tc>
        <w:tc>
          <w:tcPr>
            <w:tcW w:w="11393" w:type="dxa"/>
            <w:gridSpan w:val="3"/>
            <w:tcBorders>
              <w:top w:val="single" w:color="auto" w:sz="8" w:space="0"/>
              <w:left w:val="nil"/>
              <w:bottom w:val="single" w:color="auto" w:sz="8" w:space="0"/>
              <w:right w:val="single" w:color="000000" w:sz="8" w:space="0"/>
            </w:tcBorders>
            <w:shd w:val="clear" w:color="000000" w:fill="FFFFFF"/>
            <w:vAlign w:val="center"/>
          </w:tcPr>
          <w:p w14:paraId="6AE8A27A">
            <w:pPr>
              <w:widowControl/>
              <w:rPr>
                <w:rFonts w:hint="eastAsia" w:ascii="宋体" w:hAnsi="宋体" w:cs="宋体"/>
                <w:color w:val="auto"/>
                <w:kern w:val="0"/>
                <w:sz w:val="18"/>
                <w:szCs w:val="18"/>
              </w:rPr>
            </w:pPr>
            <w:r>
              <w:rPr>
                <w:rFonts w:hint="eastAsia" w:ascii="宋体" w:hAnsi="宋体" w:cs="宋体"/>
                <w:color w:val="auto"/>
                <w:kern w:val="0"/>
                <w:sz w:val="18"/>
                <w:szCs w:val="18"/>
              </w:rPr>
              <w:t>用于换算为百分制的系数。</w:t>
            </w:r>
          </w:p>
        </w:tc>
        <w:tc>
          <w:tcPr>
            <w:tcW w:w="709" w:type="dxa"/>
            <w:tcBorders>
              <w:top w:val="nil"/>
              <w:left w:val="nil"/>
              <w:bottom w:val="single" w:color="auto" w:sz="8" w:space="0"/>
              <w:right w:val="single" w:color="auto" w:sz="8" w:space="0"/>
            </w:tcBorders>
            <w:shd w:val="clear" w:color="000000" w:fill="FFFFFF"/>
            <w:vAlign w:val="center"/>
          </w:tcPr>
          <w:p w14:paraId="188C7EA2">
            <w:pPr>
              <w:widowControl/>
              <w:jc w:val="center"/>
              <w:rPr>
                <w:rFonts w:eastAsia="等线"/>
                <w:color w:val="auto"/>
                <w:kern w:val="0"/>
                <w:sz w:val="15"/>
                <w:szCs w:val="15"/>
              </w:rPr>
            </w:pPr>
            <w:r>
              <w:rPr>
                <w:rFonts w:eastAsia="等线"/>
                <w:color w:val="auto"/>
                <w:kern w:val="0"/>
                <w:sz w:val="15"/>
                <w:szCs w:val="15"/>
              </w:rPr>
              <w:t>0.8</w:t>
            </w:r>
          </w:p>
        </w:tc>
        <w:tc>
          <w:tcPr>
            <w:tcW w:w="709" w:type="dxa"/>
            <w:tcBorders>
              <w:top w:val="nil"/>
              <w:left w:val="nil"/>
              <w:bottom w:val="single" w:color="auto" w:sz="8" w:space="0"/>
              <w:right w:val="single" w:color="auto" w:sz="8" w:space="0"/>
            </w:tcBorders>
            <w:shd w:val="clear" w:color="000000" w:fill="FFFFFF"/>
            <w:vAlign w:val="center"/>
          </w:tcPr>
          <w:p w14:paraId="01FBCBBA">
            <w:pPr>
              <w:widowControl/>
              <w:jc w:val="center"/>
              <w:rPr>
                <w:rFonts w:eastAsia="等线"/>
                <w:color w:val="auto"/>
                <w:kern w:val="0"/>
                <w:sz w:val="15"/>
                <w:szCs w:val="15"/>
              </w:rPr>
            </w:pPr>
            <w:r>
              <w:rPr>
                <w:rFonts w:eastAsia="等线"/>
                <w:color w:val="auto"/>
                <w:kern w:val="0"/>
                <w:sz w:val="15"/>
                <w:szCs w:val="15"/>
              </w:rPr>
              <w:t>0.8</w:t>
            </w:r>
          </w:p>
        </w:tc>
      </w:tr>
      <w:tr w14:paraId="4F018431">
        <w:tblPrEx>
          <w:tblCellMar>
            <w:top w:w="0" w:type="dxa"/>
            <w:left w:w="108" w:type="dxa"/>
            <w:bottom w:w="0" w:type="dxa"/>
            <w:right w:w="108" w:type="dxa"/>
          </w:tblCellMar>
        </w:tblPrEx>
        <w:trPr>
          <w:trHeight w:val="300" w:hRule="atLeast"/>
        </w:trPr>
        <w:tc>
          <w:tcPr>
            <w:tcW w:w="1071" w:type="dxa"/>
            <w:gridSpan w:val="2"/>
            <w:tcBorders>
              <w:top w:val="single" w:color="auto" w:sz="8" w:space="0"/>
              <w:left w:val="single" w:color="auto" w:sz="8" w:space="0"/>
              <w:bottom w:val="single" w:color="auto" w:sz="8" w:space="0"/>
              <w:right w:val="single" w:color="000000" w:sz="8" w:space="0"/>
            </w:tcBorders>
            <w:shd w:val="clear" w:color="000000" w:fill="FFFFFF"/>
            <w:vAlign w:val="center"/>
          </w:tcPr>
          <w:p w14:paraId="53A723B0">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考核成绩</w:t>
            </w:r>
          </w:p>
        </w:tc>
        <w:tc>
          <w:tcPr>
            <w:tcW w:w="11393" w:type="dxa"/>
            <w:gridSpan w:val="3"/>
            <w:tcBorders>
              <w:top w:val="single" w:color="auto" w:sz="8" w:space="0"/>
              <w:left w:val="nil"/>
              <w:bottom w:val="single" w:color="auto" w:sz="8" w:space="0"/>
              <w:right w:val="single" w:color="000000" w:sz="8" w:space="0"/>
            </w:tcBorders>
            <w:shd w:val="clear" w:color="000000" w:fill="FFFFFF"/>
            <w:vAlign w:val="center"/>
          </w:tcPr>
          <w:p w14:paraId="1B4BEC1E">
            <w:pPr>
              <w:widowControl/>
              <w:rPr>
                <w:rFonts w:hint="eastAsia" w:ascii="宋体" w:hAnsi="宋体" w:cs="宋体"/>
                <w:color w:val="auto"/>
                <w:kern w:val="0"/>
                <w:sz w:val="18"/>
                <w:szCs w:val="18"/>
              </w:rPr>
            </w:pPr>
            <w:r>
              <w:rPr>
                <w:rFonts w:hint="eastAsia" w:ascii="宋体" w:hAnsi="宋体" w:cs="宋体"/>
                <w:color w:val="auto"/>
                <w:kern w:val="0"/>
                <w:sz w:val="18"/>
                <w:szCs w:val="18"/>
              </w:rPr>
              <w:t>考核成绩（百分制）=本表合计分数×考核系数。</w:t>
            </w:r>
          </w:p>
        </w:tc>
        <w:tc>
          <w:tcPr>
            <w:tcW w:w="709" w:type="dxa"/>
            <w:tcBorders>
              <w:top w:val="nil"/>
              <w:left w:val="nil"/>
              <w:bottom w:val="single" w:color="auto" w:sz="8" w:space="0"/>
              <w:right w:val="single" w:color="auto" w:sz="8" w:space="0"/>
            </w:tcBorders>
            <w:shd w:val="clear" w:color="000000" w:fill="FFFFFF"/>
            <w:vAlign w:val="center"/>
          </w:tcPr>
          <w:p w14:paraId="33AC0ED6">
            <w:pPr>
              <w:widowControl/>
              <w:jc w:val="center"/>
              <w:rPr>
                <w:rFonts w:eastAsia="等线"/>
                <w:color w:val="auto"/>
                <w:kern w:val="0"/>
                <w:sz w:val="18"/>
                <w:szCs w:val="18"/>
              </w:rPr>
            </w:pPr>
            <w:r>
              <w:rPr>
                <w:rFonts w:eastAsia="等线"/>
                <w:color w:val="auto"/>
                <w:kern w:val="0"/>
                <w:sz w:val="18"/>
                <w:szCs w:val="18"/>
              </w:rPr>
              <w:t>100</w:t>
            </w:r>
          </w:p>
        </w:tc>
        <w:tc>
          <w:tcPr>
            <w:tcW w:w="709" w:type="dxa"/>
            <w:tcBorders>
              <w:top w:val="nil"/>
              <w:left w:val="nil"/>
              <w:bottom w:val="single" w:color="auto" w:sz="8" w:space="0"/>
              <w:right w:val="single" w:color="auto" w:sz="8" w:space="0"/>
            </w:tcBorders>
            <w:shd w:val="clear" w:color="000000" w:fill="FFFFFF"/>
            <w:vAlign w:val="center"/>
          </w:tcPr>
          <w:p w14:paraId="0E66EC20">
            <w:pPr>
              <w:widowControl/>
              <w:jc w:val="center"/>
              <w:rPr>
                <w:rFonts w:eastAsia="等线"/>
                <w:color w:val="auto"/>
                <w:kern w:val="0"/>
                <w:sz w:val="18"/>
                <w:szCs w:val="18"/>
              </w:rPr>
            </w:pPr>
            <w:r>
              <w:rPr>
                <w:rFonts w:eastAsia="等线"/>
                <w:color w:val="auto"/>
                <w:kern w:val="0"/>
                <w:sz w:val="18"/>
                <w:szCs w:val="18"/>
              </w:rPr>
              <w:t>0</w:t>
            </w:r>
          </w:p>
        </w:tc>
      </w:tr>
    </w:tbl>
    <w:p w14:paraId="416F825D">
      <w:pPr>
        <w:rPr>
          <w:rFonts w:cs="仿宋_GB2312"/>
          <w:b/>
          <w:bCs/>
          <w:color w:val="auto"/>
          <w:sz w:val="18"/>
          <w:szCs w:val="18"/>
        </w:rPr>
      </w:pPr>
      <w:r>
        <w:rPr>
          <w:rFonts w:hint="eastAsia" w:cs="仿宋_GB2312"/>
          <w:b/>
          <w:bCs/>
          <w:color w:val="auto"/>
          <w:sz w:val="18"/>
          <w:szCs w:val="18"/>
        </w:rPr>
        <w:t>附注：人员考勤和抽查到位率不足</w:t>
      </w:r>
      <w:r>
        <w:rPr>
          <w:rFonts w:cs="仿宋_GB2312"/>
          <w:b/>
          <w:bCs/>
          <w:color w:val="auto"/>
          <w:sz w:val="18"/>
          <w:szCs w:val="18"/>
        </w:rPr>
        <w:t>95%</w:t>
      </w:r>
      <w:r>
        <w:rPr>
          <w:rFonts w:hint="eastAsia" w:cs="仿宋_GB2312"/>
          <w:b/>
          <w:bCs/>
          <w:color w:val="auto"/>
          <w:sz w:val="18"/>
          <w:szCs w:val="18"/>
        </w:rPr>
        <w:t>的视为不合格。</w:t>
      </w:r>
    </w:p>
    <w:p w14:paraId="6397A62E">
      <w:pPr>
        <w:rPr>
          <w:rFonts w:cs="仿宋_GB2312"/>
          <w:color w:val="auto"/>
          <w:sz w:val="18"/>
          <w:szCs w:val="18"/>
          <w:u w:val="single"/>
        </w:rPr>
      </w:pPr>
      <w:r>
        <w:rPr>
          <w:rFonts w:hint="eastAsia" w:cs="仿宋_GB2312"/>
          <w:color w:val="auto"/>
          <w:sz w:val="18"/>
          <w:szCs w:val="18"/>
        </w:rPr>
        <w:t>检查人员：</w:t>
      </w:r>
      <w:r>
        <w:rPr>
          <w:rFonts w:hint="eastAsia" w:cs="仿宋_GB2312"/>
          <w:color w:val="auto"/>
          <w:sz w:val="18"/>
          <w:szCs w:val="18"/>
          <w:u w:val="single"/>
        </w:rPr>
        <w:t>　　　　　　　　　　　　　</w:t>
      </w:r>
      <w:r>
        <w:rPr>
          <w:rFonts w:hint="eastAsia" w:cs="仿宋_GB2312"/>
          <w:color w:val="auto"/>
          <w:sz w:val="18"/>
          <w:szCs w:val="18"/>
        </w:rPr>
        <w:t>　                              记录员：</w:t>
      </w:r>
      <w:r>
        <w:rPr>
          <w:rFonts w:hint="eastAsia" w:cs="仿宋_GB2312"/>
          <w:color w:val="auto"/>
          <w:sz w:val="18"/>
          <w:szCs w:val="18"/>
          <w:u w:val="single"/>
        </w:rPr>
        <w:t>　　　　         　</w:t>
      </w:r>
    </w:p>
    <w:p w14:paraId="62A5DE83">
      <w:pPr>
        <w:jc w:val="right"/>
        <w:rPr>
          <w:rFonts w:cs="仿宋_GB2312"/>
          <w:sz w:val="18"/>
          <w:szCs w:val="18"/>
        </w:rPr>
      </w:pPr>
      <w:r>
        <w:rPr>
          <w:rFonts w:hint="eastAsia" w:cs="仿宋_GB2312"/>
          <w:sz w:val="18"/>
          <w:szCs w:val="18"/>
        </w:rPr>
        <w:t>检查时间：   年  月  日</w:t>
      </w:r>
    </w:p>
    <w:p w14:paraId="72BC5A1B">
      <w:pPr>
        <w:spacing w:line="360" w:lineRule="auto"/>
        <w:rPr>
          <w:rFonts w:cs="仿宋_GB2312"/>
          <w:b/>
          <w:sz w:val="24"/>
        </w:rPr>
        <w:sectPr>
          <w:pgSz w:w="16838" w:h="11906" w:orient="landscape"/>
          <w:pgMar w:top="1134" w:right="1134" w:bottom="1134" w:left="1134" w:header="851" w:footer="992" w:gutter="0"/>
          <w:cols w:space="720" w:num="1"/>
          <w:docGrid w:type="lines" w:linePitch="321" w:charSpace="0"/>
        </w:sectPr>
      </w:pPr>
    </w:p>
    <w:p w14:paraId="2689E44F">
      <w:pPr>
        <w:spacing w:line="360" w:lineRule="auto"/>
        <w:rPr>
          <w:rFonts w:cs="仿宋_GB2312"/>
          <w:b/>
          <w:sz w:val="18"/>
          <w:szCs w:val="18"/>
        </w:rPr>
      </w:pPr>
      <w:r>
        <w:rPr>
          <w:rFonts w:hint="eastAsia" w:cs="仿宋_GB2312"/>
          <w:b/>
          <w:sz w:val="24"/>
        </w:rPr>
        <w:t>表二</w:t>
      </w:r>
    </w:p>
    <w:p w14:paraId="17B024A3">
      <w:pPr>
        <w:jc w:val="center"/>
        <w:rPr>
          <w:rFonts w:ascii="宋体" w:cs="宋体"/>
          <w:b/>
          <w:color w:val="auto"/>
          <w:sz w:val="30"/>
          <w:szCs w:val="30"/>
        </w:rPr>
      </w:pPr>
      <w:r>
        <w:rPr>
          <w:rFonts w:hint="eastAsia"/>
          <w:b/>
          <w:bCs/>
          <w:sz w:val="30"/>
          <w:szCs w:val="30"/>
        </w:rPr>
        <w:t>浙</w:t>
      </w:r>
      <w:r>
        <w:rPr>
          <w:rFonts w:hint="eastAsia"/>
          <w:b/>
          <w:bCs/>
          <w:color w:val="auto"/>
          <w:sz w:val="30"/>
          <w:szCs w:val="30"/>
        </w:rPr>
        <w:t>江理工大学临平校区</w:t>
      </w:r>
      <w:r>
        <w:rPr>
          <w:rFonts w:hint="eastAsia"/>
          <w:b/>
          <w:bCs/>
          <w:color w:val="auto"/>
          <w:sz w:val="30"/>
          <w:szCs w:val="30"/>
          <w:lang w:val="en-US" w:eastAsia="zh-CN"/>
        </w:rPr>
        <w:t>物业服务</w:t>
      </w:r>
      <w:r>
        <w:rPr>
          <w:rFonts w:hint="eastAsia" w:ascii="宋体" w:hAnsi="宋体" w:cs="宋体"/>
          <w:b/>
          <w:color w:val="auto"/>
          <w:sz w:val="30"/>
          <w:szCs w:val="30"/>
        </w:rPr>
        <w:t>满意度测评（</w:t>
      </w:r>
      <w:r>
        <w:rPr>
          <w:rFonts w:hint="eastAsia" w:ascii="宋体" w:hAnsi="宋体" w:cs="宋体"/>
          <w:b/>
          <w:color w:val="auto"/>
          <w:sz w:val="30"/>
          <w:szCs w:val="30"/>
          <w:u w:val="single"/>
        </w:rPr>
        <w:t xml:space="preserve"> </w:t>
      </w:r>
      <w:r>
        <w:rPr>
          <w:rFonts w:ascii="宋体" w:hAnsi="宋体" w:cs="宋体"/>
          <w:b/>
          <w:color w:val="auto"/>
          <w:sz w:val="30"/>
          <w:szCs w:val="30"/>
          <w:u w:val="single"/>
        </w:rPr>
        <w:t xml:space="preserve">    </w:t>
      </w:r>
      <w:r>
        <w:rPr>
          <w:rFonts w:hint="eastAsia" w:ascii="宋体" w:hAnsi="宋体" w:cs="宋体"/>
          <w:b/>
          <w:color w:val="auto"/>
          <w:sz w:val="30"/>
          <w:szCs w:val="30"/>
        </w:rPr>
        <w:t>年度）</w:t>
      </w:r>
    </w:p>
    <w:p w14:paraId="3B76211B">
      <w:pPr>
        <w:jc w:val="left"/>
        <w:rPr>
          <w:rFonts w:ascii="宋体" w:cs="宋体"/>
          <w:color w:val="auto"/>
        </w:rPr>
      </w:pPr>
      <w:r>
        <w:rPr>
          <w:rFonts w:hint="eastAsia" w:ascii="宋体" w:hAnsi="宋体" w:cs="宋体"/>
          <w:color w:val="auto"/>
        </w:rPr>
        <w:t>亲爱的师生：</w:t>
      </w:r>
    </w:p>
    <w:p w14:paraId="3978C4AB">
      <w:pPr>
        <w:ind w:firstLine="420"/>
        <w:rPr>
          <w:rFonts w:ascii="宋体" w:cs="宋体"/>
          <w:color w:val="auto"/>
        </w:rPr>
      </w:pPr>
      <w:r>
        <w:rPr>
          <w:rFonts w:hint="eastAsia" w:ascii="宋体" w:hAnsi="宋体" w:cs="宋体"/>
          <w:color w:val="auto"/>
        </w:rPr>
        <w:t>你好！非常感谢你对学校后勤工作的理解和支持。希望通过此次问卷调查了解你对各项服务保障工作的评价，以便我们进一步提高服务水平，持续改进工作不足。请在你认为符合的栏内打“</w:t>
      </w:r>
      <w:r>
        <w:rPr>
          <w:rFonts w:hint="eastAsia" w:ascii="宋体" w:hAnsi="宋体" w:cs="宋体"/>
          <w:color w:val="auto"/>
          <w:szCs w:val="20"/>
        </w:rPr>
        <w:t>√</w:t>
      </w:r>
      <w:r>
        <w:rPr>
          <w:rFonts w:hint="eastAsia" w:ascii="宋体" w:hAnsi="宋体" w:cs="宋体"/>
          <w:color w:val="auto"/>
        </w:rPr>
        <w:t>”。</w:t>
      </w:r>
    </w:p>
    <w:p w14:paraId="388FF153">
      <w:pPr>
        <w:spacing w:line="320" w:lineRule="exact"/>
        <w:rPr>
          <w:rFonts w:hint="eastAsia" w:ascii="宋体" w:hAnsi="宋体" w:cs="宋体"/>
          <w:b/>
          <w:bCs/>
        </w:rPr>
      </w:pPr>
      <w:r>
        <w:rPr>
          <w:rFonts w:ascii="宋体" w:hAnsi="宋体" w:cs="宋体"/>
          <w:b/>
          <w:bCs/>
        </w:rPr>
        <w:t xml:space="preserve">   </w:t>
      </w:r>
      <w:r>
        <w:rPr>
          <w:rFonts w:hint="eastAsia" w:ascii="宋体" w:hAnsi="宋体" w:cs="宋体"/>
          <w:b/>
          <w:bCs/>
        </w:rPr>
        <w:t xml:space="preserve">                                      </w:t>
      </w:r>
    </w:p>
    <w:tbl>
      <w:tblPr>
        <w:tblStyle w:val="59"/>
        <w:tblpPr w:leftFromText="180" w:rightFromText="180" w:vertAnchor="text" w:horzAnchor="page" w:tblpX="750" w:tblpY="270"/>
        <w:tblOverlap w:val="never"/>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407"/>
        <w:gridCol w:w="2162"/>
        <w:gridCol w:w="1509"/>
        <w:gridCol w:w="1398"/>
        <w:gridCol w:w="1427"/>
        <w:gridCol w:w="1929"/>
      </w:tblGrid>
      <w:tr w14:paraId="1AD2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236" w:type="dxa"/>
            <w:gridSpan w:val="3"/>
            <w:vMerge w:val="restart"/>
            <w:vAlign w:val="center"/>
          </w:tcPr>
          <w:p w14:paraId="17EED959">
            <w:pPr>
              <w:jc w:val="center"/>
              <w:rPr>
                <w:rFonts w:ascii="宋体" w:cs="宋体"/>
                <w:sz w:val="18"/>
                <w:szCs w:val="18"/>
              </w:rPr>
            </w:pPr>
            <w:r>
              <w:rPr>
                <w:rFonts w:hint="eastAsia" w:ascii="宋体" w:hAnsi="宋体" w:cs="宋体"/>
                <w:sz w:val="18"/>
                <w:szCs w:val="18"/>
              </w:rPr>
              <w:t>调查内容</w:t>
            </w:r>
          </w:p>
        </w:tc>
        <w:tc>
          <w:tcPr>
            <w:tcW w:w="6263" w:type="dxa"/>
            <w:gridSpan w:val="4"/>
          </w:tcPr>
          <w:p w14:paraId="1EE9001B">
            <w:pPr>
              <w:jc w:val="center"/>
              <w:rPr>
                <w:rFonts w:ascii="宋体" w:cs="宋体"/>
                <w:sz w:val="18"/>
                <w:szCs w:val="18"/>
              </w:rPr>
            </w:pPr>
            <w:r>
              <w:rPr>
                <w:rFonts w:hint="eastAsia" w:ascii="宋体" w:hAnsi="宋体" w:cs="宋体"/>
                <w:sz w:val="18"/>
                <w:szCs w:val="18"/>
              </w:rPr>
              <w:t>评价</w:t>
            </w:r>
          </w:p>
        </w:tc>
      </w:tr>
      <w:tr w14:paraId="6725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236" w:type="dxa"/>
            <w:gridSpan w:val="3"/>
            <w:vMerge w:val="continue"/>
          </w:tcPr>
          <w:p w14:paraId="25C8B659">
            <w:pPr>
              <w:ind w:left="-32"/>
              <w:jc w:val="center"/>
              <w:rPr>
                <w:rFonts w:ascii="宋体" w:cs="宋体"/>
                <w:sz w:val="18"/>
                <w:szCs w:val="18"/>
              </w:rPr>
            </w:pPr>
          </w:p>
        </w:tc>
        <w:tc>
          <w:tcPr>
            <w:tcW w:w="1509" w:type="dxa"/>
            <w:vAlign w:val="center"/>
          </w:tcPr>
          <w:p w14:paraId="4BE3AAA3">
            <w:pPr>
              <w:jc w:val="center"/>
              <w:rPr>
                <w:rFonts w:ascii="宋体" w:cs="宋体"/>
                <w:sz w:val="18"/>
                <w:szCs w:val="18"/>
              </w:rPr>
            </w:pPr>
            <w:r>
              <w:rPr>
                <w:rFonts w:hint="eastAsia" w:ascii="宋体" w:cs="宋体"/>
                <w:sz w:val="18"/>
                <w:szCs w:val="18"/>
              </w:rPr>
              <w:t>满意</w:t>
            </w:r>
          </w:p>
        </w:tc>
        <w:tc>
          <w:tcPr>
            <w:tcW w:w="1398" w:type="dxa"/>
            <w:vAlign w:val="center"/>
          </w:tcPr>
          <w:p w14:paraId="504D8A4E">
            <w:pPr>
              <w:jc w:val="center"/>
              <w:rPr>
                <w:rFonts w:ascii="宋体" w:cs="宋体"/>
                <w:sz w:val="18"/>
                <w:szCs w:val="18"/>
              </w:rPr>
            </w:pPr>
            <w:r>
              <w:rPr>
                <w:rFonts w:hint="eastAsia" w:ascii="宋体" w:cs="宋体"/>
                <w:sz w:val="18"/>
                <w:szCs w:val="18"/>
              </w:rPr>
              <w:t>基本满意</w:t>
            </w:r>
          </w:p>
        </w:tc>
        <w:tc>
          <w:tcPr>
            <w:tcW w:w="1427" w:type="dxa"/>
            <w:vAlign w:val="center"/>
          </w:tcPr>
          <w:p w14:paraId="1F975F66">
            <w:pPr>
              <w:jc w:val="center"/>
              <w:rPr>
                <w:rFonts w:ascii="宋体" w:cs="宋体"/>
                <w:sz w:val="18"/>
                <w:szCs w:val="18"/>
              </w:rPr>
            </w:pPr>
            <w:r>
              <w:rPr>
                <w:rFonts w:hint="eastAsia" w:ascii="宋体" w:cs="宋体"/>
                <w:sz w:val="18"/>
                <w:szCs w:val="18"/>
              </w:rPr>
              <w:t>不满意</w:t>
            </w:r>
          </w:p>
        </w:tc>
        <w:tc>
          <w:tcPr>
            <w:tcW w:w="1929" w:type="dxa"/>
            <w:vAlign w:val="center"/>
          </w:tcPr>
          <w:p w14:paraId="6CA8A20D">
            <w:pPr>
              <w:jc w:val="center"/>
              <w:rPr>
                <w:rFonts w:ascii="宋体" w:cs="宋体"/>
                <w:sz w:val="18"/>
                <w:szCs w:val="18"/>
              </w:rPr>
            </w:pPr>
            <w:r>
              <w:rPr>
                <w:rFonts w:hint="eastAsia" w:ascii="宋体" w:cs="宋体"/>
                <w:sz w:val="18"/>
                <w:szCs w:val="18"/>
              </w:rPr>
              <w:t>不满意的原因</w:t>
            </w:r>
          </w:p>
        </w:tc>
      </w:tr>
      <w:tr w14:paraId="5909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67" w:type="dxa"/>
            <w:vMerge w:val="restart"/>
            <w:vAlign w:val="center"/>
          </w:tcPr>
          <w:p w14:paraId="6572114A">
            <w:pPr>
              <w:ind w:left="-32"/>
              <w:jc w:val="center"/>
              <w:rPr>
                <w:rFonts w:hint="eastAsia" w:ascii="宋体" w:hAnsi="宋体" w:cs="宋体"/>
                <w:sz w:val="24"/>
                <w:szCs w:val="24"/>
              </w:rPr>
            </w:pPr>
            <w:r>
              <w:rPr>
                <w:rFonts w:hint="eastAsia" w:ascii="宋体" w:hAnsi="宋体" w:cs="宋体"/>
                <w:sz w:val="24"/>
                <w:szCs w:val="24"/>
              </w:rPr>
              <w:t>公</w:t>
            </w:r>
          </w:p>
          <w:p w14:paraId="22A919E9">
            <w:pPr>
              <w:ind w:left="-32"/>
              <w:jc w:val="center"/>
              <w:rPr>
                <w:rFonts w:ascii="宋体" w:cs="宋体"/>
                <w:sz w:val="24"/>
                <w:szCs w:val="24"/>
              </w:rPr>
            </w:pPr>
            <w:r>
              <w:rPr>
                <w:rFonts w:hint="eastAsia" w:ascii="宋体" w:hAnsi="宋体" w:cs="宋体"/>
                <w:sz w:val="24"/>
                <w:szCs w:val="24"/>
              </w:rPr>
              <w:t>寓</w:t>
            </w:r>
          </w:p>
          <w:p w14:paraId="7444E131">
            <w:pPr>
              <w:ind w:left="-32"/>
              <w:jc w:val="center"/>
              <w:rPr>
                <w:rFonts w:ascii="宋体" w:cs="宋体"/>
                <w:sz w:val="24"/>
                <w:szCs w:val="24"/>
              </w:rPr>
            </w:pPr>
            <w:r>
              <w:rPr>
                <w:rFonts w:hint="eastAsia" w:ascii="宋体" w:hAnsi="宋体" w:cs="宋体"/>
                <w:sz w:val="24"/>
                <w:szCs w:val="24"/>
              </w:rPr>
              <w:t>管</w:t>
            </w:r>
          </w:p>
          <w:p w14:paraId="61869777">
            <w:pPr>
              <w:ind w:left="-32"/>
              <w:jc w:val="center"/>
              <w:rPr>
                <w:rFonts w:ascii="宋体" w:cs="宋体"/>
                <w:sz w:val="18"/>
                <w:szCs w:val="18"/>
              </w:rPr>
            </w:pPr>
            <w:r>
              <w:rPr>
                <w:rFonts w:hint="eastAsia" w:ascii="宋体" w:hAnsi="宋体" w:cs="宋体"/>
                <w:sz w:val="24"/>
                <w:szCs w:val="24"/>
              </w:rPr>
              <w:t>理</w:t>
            </w:r>
          </w:p>
        </w:tc>
        <w:tc>
          <w:tcPr>
            <w:tcW w:w="407" w:type="dxa"/>
            <w:vAlign w:val="center"/>
          </w:tcPr>
          <w:p w14:paraId="7D567093">
            <w:pPr>
              <w:ind w:left="-32"/>
              <w:jc w:val="center"/>
              <w:rPr>
                <w:rFonts w:ascii="宋体" w:cs="宋体"/>
                <w:sz w:val="18"/>
                <w:szCs w:val="18"/>
              </w:rPr>
            </w:pPr>
            <w:r>
              <w:rPr>
                <w:rFonts w:ascii="宋体" w:hAnsi="宋体" w:cs="宋体"/>
                <w:sz w:val="18"/>
                <w:szCs w:val="18"/>
              </w:rPr>
              <w:t>1</w:t>
            </w:r>
          </w:p>
        </w:tc>
        <w:tc>
          <w:tcPr>
            <w:tcW w:w="2162" w:type="dxa"/>
            <w:vAlign w:val="center"/>
          </w:tcPr>
          <w:p w14:paraId="59C3A235">
            <w:pPr>
              <w:ind w:left="-32"/>
              <w:jc w:val="center"/>
              <w:rPr>
                <w:rFonts w:ascii="宋体" w:cs="宋体"/>
                <w:sz w:val="18"/>
                <w:szCs w:val="18"/>
              </w:rPr>
            </w:pPr>
            <w:r>
              <w:rPr>
                <w:rFonts w:hint="eastAsia" w:ascii="宋体" w:hAnsi="宋体" w:cs="宋体"/>
                <w:sz w:val="18"/>
                <w:szCs w:val="18"/>
              </w:rPr>
              <w:t>人员进出管理</w:t>
            </w:r>
          </w:p>
        </w:tc>
        <w:tc>
          <w:tcPr>
            <w:tcW w:w="1509" w:type="dxa"/>
            <w:vAlign w:val="center"/>
          </w:tcPr>
          <w:p w14:paraId="2388CC67">
            <w:pPr>
              <w:ind w:left="-32"/>
              <w:jc w:val="center"/>
              <w:rPr>
                <w:rFonts w:ascii="宋体" w:cs="宋体"/>
                <w:sz w:val="18"/>
                <w:szCs w:val="18"/>
              </w:rPr>
            </w:pPr>
          </w:p>
        </w:tc>
        <w:tc>
          <w:tcPr>
            <w:tcW w:w="1398" w:type="dxa"/>
            <w:vAlign w:val="center"/>
          </w:tcPr>
          <w:p w14:paraId="28D7862C">
            <w:pPr>
              <w:ind w:left="-32"/>
              <w:jc w:val="center"/>
              <w:rPr>
                <w:rFonts w:ascii="宋体" w:cs="宋体"/>
                <w:sz w:val="18"/>
                <w:szCs w:val="18"/>
              </w:rPr>
            </w:pPr>
          </w:p>
        </w:tc>
        <w:tc>
          <w:tcPr>
            <w:tcW w:w="1427" w:type="dxa"/>
            <w:vAlign w:val="center"/>
          </w:tcPr>
          <w:p w14:paraId="38644831">
            <w:pPr>
              <w:ind w:left="-32"/>
              <w:jc w:val="center"/>
              <w:rPr>
                <w:rFonts w:ascii="宋体" w:cs="宋体"/>
                <w:sz w:val="18"/>
                <w:szCs w:val="18"/>
              </w:rPr>
            </w:pPr>
          </w:p>
        </w:tc>
        <w:tc>
          <w:tcPr>
            <w:tcW w:w="1929" w:type="dxa"/>
            <w:vAlign w:val="center"/>
          </w:tcPr>
          <w:p w14:paraId="4A2BDB97">
            <w:pPr>
              <w:ind w:left="-32"/>
              <w:jc w:val="center"/>
              <w:rPr>
                <w:rFonts w:ascii="宋体" w:cs="宋体"/>
                <w:sz w:val="18"/>
                <w:szCs w:val="18"/>
              </w:rPr>
            </w:pPr>
          </w:p>
        </w:tc>
      </w:tr>
      <w:tr w14:paraId="24C0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67" w:type="dxa"/>
            <w:vMerge w:val="continue"/>
            <w:vAlign w:val="center"/>
          </w:tcPr>
          <w:p w14:paraId="588CB503">
            <w:pPr>
              <w:ind w:left="-32"/>
              <w:jc w:val="center"/>
              <w:rPr>
                <w:rFonts w:ascii="宋体" w:cs="宋体"/>
                <w:sz w:val="18"/>
                <w:szCs w:val="18"/>
              </w:rPr>
            </w:pPr>
          </w:p>
        </w:tc>
        <w:tc>
          <w:tcPr>
            <w:tcW w:w="407" w:type="dxa"/>
            <w:vAlign w:val="center"/>
          </w:tcPr>
          <w:p w14:paraId="68576208">
            <w:pPr>
              <w:ind w:left="-32"/>
              <w:jc w:val="center"/>
              <w:rPr>
                <w:rFonts w:ascii="宋体" w:cs="宋体"/>
                <w:sz w:val="18"/>
                <w:szCs w:val="18"/>
              </w:rPr>
            </w:pPr>
            <w:r>
              <w:rPr>
                <w:rFonts w:ascii="宋体" w:hAnsi="宋体" w:cs="宋体"/>
                <w:sz w:val="18"/>
                <w:szCs w:val="18"/>
              </w:rPr>
              <w:t>2</w:t>
            </w:r>
          </w:p>
        </w:tc>
        <w:tc>
          <w:tcPr>
            <w:tcW w:w="2162" w:type="dxa"/>
            <w:vAlign w:val="center"/>
          </w:tcPr>
          <w:p w14:paraId="770B7476">
            <w:pPr>
              <w:ind w:left="-32"/>
              <w:jc w:val="center"/>
              <w:rPr>
                <w:rFonts w:ascii="宋体" w:cs="宋体"/>
                <w:sz w:val="18"/>
                <w:szCs w:val="18"/>
              </w:rPr>
            </w:pPr>
            <w:r>
              <w:rPr>
                <w:rFonts w:hint="eastAsia" w:ascii="宋体" w:hAnsi="宋体" w:cs="宋体"/>
                <w:sz w:val="18"/>
                <w:szCs w:val="18"/>
              </w:rPr>
              <w:t>巡查管理</w:t>
            </w:r>
          </w:p>
        </w:tc>
        <w:tc>
          <w:tcPr>
            <w:tcW w:w="1509" w:type="dxa"/>
            <w:vAlign w:val="center"/>
          </w:tcPr>
          <w:p w14:paraId="184160DC">
            <w:pPr>
              <w:ind w:left="-32"/>
              <w:jc w:val="center"/>
              <w:rPr>
                <w:rFonts w:ascii="宋体" w:cs="宋体"/>
                <w:sz w:val="18"/>
                <w:szCs w:val="18"/>
              </w:rPr>
            </w:pPr>
          </w:p>
        </w:tc>
        <w:tc>
          <w:tcPr>
            <w:tcW w:w="1398" w:type="dxa"/>
            <w:vAlign w:val="center"/>
          </w:tcPr>
          <w:p w14:paraId="70B24179">
            <w:pPr>
              <w:ind w:left="-32"/>
              <w:jc w:val="center"/>
              <w:rPr>
                <w:rFonts w:ascii="宋体" w:cs="宋体"/>
                <w:sz w:val="18"/>
                <w:szCs w:val="18"/>
              </w:rPr>
            </w:pPr>
          </w:p>
        </w:tc>
        <w:tc>
          <w:tcPr>
            <w:tcW w:w="1427" w:type="dxa"/>
            <w:vAlign w:val="center"/>
          </w:tcPr>
          <w:p w14:paraId="1586E52D">
            <w:pPr>
              <w:ind w:left="-32"/>
              <w:jc w:val="center"/>
              <w:rPr>
                <w:rFonts w:ascii="宋体" w:cs="宋体"/>
                <w:sz w:val="18"/>
                <w:szCs w:val="18"/>
              </w:rPr>
            </w:pPr>
          </w:p>
        </w:tc>
        <w:tc>
          <w:tcPr>
            <w:tcW w:w="1929" w:type="dxa"/>
            <w:vAlign w:val="center"/>
          </w:tcPr>
          <w:p w14:paraId="2B32ABD8">
            <w:pPr>
              <w:ind w:left="-32"/>
              <w:jc w:val="center"/>
              <w:rPr>
                <w:rFonts w:ascii="宋体" w:cs="宋体"/>
                <w:sz w:val="18"/>
                <w:szCs w:val="18"/>
              </w:rPr>
            </w:pPr>
          </w:p>
        </w:tc>
      </w:tr>
      <w:tr w14:paraId="2365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67" w:type="dxa"/>
            <w:vMerge w:val="continue"/>
            <w:vAlign w:val="center"/>
          </w:tcPr>
          <w:p w14:paraId="120D976C">
            <w:pPr>
              <w:ind w:left="-32"/>
              <w:jc w:val="center"/>
              <w:rPr>
                <w:rFonts w:ascii="宋体" w:cs="宋体"/>
                <w:sz w:val="18"/>
                <w:szCs w:val="18"/>
              </w:rPr>
            </w:pPr>
          </w:p>
        </w:tc>
        <w:tc>
          <w:tcPr>
            <w:tcW w:w="407" w:type="dxa"/>
            <w:vAlign w:val="center"/>
          </w:tcPr>
          <w:p w14:paraId="308A5330">
            <w:pPr>
              <w:jc w:val="center"/>
              <w:rPr>
                <w:rFonts w:ascii="宋体" w:cs="宋体"/>
                <w:sz w:val="18"/>
                <w:szCs w:val="18"/>
              </w:rPr>
            </w:pPr>
            <w:r>
              <w:rPr>
                <w:rFonts w:ascii="宋体" w:hAnsi="宋体" w:cs="宋体"/>
                <w:sz w:val="18"/>
                <w:szCs w:val="18"/>
              </w:rPr>
              <w:t>3</w:t>
            </w:r>
          </w:p>
        </w:tc>
        <w:tc>
          <w:tcPr>
            <w:tcW w:w="2162" w:type="dxa"/>
            <w:vAlign w:val="center"/>
          </w:tcPr>
          <w:p w14:paraId="1EF14259">
            <w:pPr>
              <w:jc w:val="center"/>
              <w:rPr>
                <w:rFonts w:ascii="宋体" w:cs="宋体"/>
                <w:sz w:val="18"/>
                <w:szCs w:val="18"/>
              </w:rPr>
            </w:pPr>
            <w:r>
              <w:rPr>
                <w:rFonts w:hint="eastAsia" w:ascii="宋体" w:hAnsi="宋体" w:cs="宋体"/>
                <w:sz w:val="18"/>
                <w:szCs w:val="18"/>
              </w:rPr>
              <w:t>文化建设</w:t>
            </w:r>
          </w:p>
        </w:tc>
        <w:tc>
          <w:tcPr>
            <w:tcW w:w="1509" w:type="dxa"/>
            <w:vAlign w:val="center"/>
          </w:tcPr>
          <w:p w14:paraId="613B4ADC">
            <w:pPr>
              <w:ind w:left="-32"/>
              <w:jc w:val="center"/>
              <w:rPr>
                <w:rFonts w:ascii="宋体" w:cs="宋体"/>
                <w:sz w:val="18"/>
                <w:szCs w:val="18"/>
              </w:rPr>
            </w:pPr>
          </w:p>
        </w:tc>
        <w:tc>
          <w:tcPr>
            <w:tcW w:w="1398" w:type="dxa"/>
            <w:vAlign w:val="center"/>
          </w:tcPr>
          <w:p w14:paraId="48674ECF">
            <w:pPr>
              <w:ind w:left="-32"/>
              <w:jc w:val="center"/>
              <w:rPr>
                <w:rFonts w:ascii="宋体" w:cs="宋体"/>
                <w:sz w:val="18"/>
                <w:szCs w:val="18"/>
              </w:rPr>
            </w:pPr>
          </w:p>
        </w:tc>
        <w:tc>
          <w:tcPr>
            <w:tcW w:w="1427" w:type="dxa"/>
            <w:vAlign w:val="center"/>
          </w:tcPr>
          <w:p w14:paraId="3551D2FE">
            <w:pPr>
              <w:ind w:left="-32"/>
              <w:jc w:val="center"/>
              <w:rPr>
                <w:rFonts w:ascii="宋体" w:cs="宋体"/>
                <w:sz w:val="18"/>
                <w:szCs w:val="18"/>
              </w:rPr>
            </w:pPr>
          </w:p>
        </w:tc>
        <w:tc>
          <w:tcPr>
            <w:tcW w:w="1929" w:type="dxa"/>
            <w:vAlign w:val="center"/>
          </w:tcPr>
          <w:p w14:paraId="119738E8">
            <w:pPr>
              <w:ind w:left="-32"/>
              <w:jc w:val="center"/>
              <w:rPr>
                <w:rFonts w:ascii="宋体" w:cs="宋体"/>
                <w:sz w:val="18"/>
                <w:szCs w:val="18"/>
              </w:rPr>
            </w:pPr>
          </w:p>
        </w:tc>
      </w:tr>
      <w:tr w14:paraId="5193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667" w:type="dxa"/>
            <w:vMerge w:val="continue"/>
            <w:vAlign w:val="center"/>
          </w:tcPr>
          <w:p w14:paraId="4CD7837C">
            <w:pPr>
              <w:ind w:left="-32"/>
              <w:jc w:val="center"/>
              <w:rPr>
                <w:rFonts w:ascii="宋体" w:cs="宋体"/>
                <w:sz w:val="18"/>
                <w:szCs w:val="18"/>
              </w:rPr>
            </w:pPr>
          </w:p>
        </w:tc>
        <w:tc>
          <w:tcPr>
            <w:tcW w:w="407" w:type="dxa"/>
            <w:vAlign w:val="center"/>
          </w:tcPr>
          <w:p w14:paraId="7D235063">
            <w:pPr>
              <w:ind w:left="-32"/>
              <w:jc w:val="center"/>
              <w:rPr>
                <w:rFonts w:ascii="宋体" w:cs="宋体"/>
                <w:sz w:val="18"/>
                <w:szCs w:val="18"/>
              </w:rPr>
            </w:pPr>
            <w:r>
              <w:rPr>
                <w:rFonts w:hint="eastAsia" w:ascii="宋体" w:cs="宋体"/>
                <w:sz w:val="18"/>
                <w:szCs w:val="18"/>
              </w:rPr>
              <w:t>4</w:t>
            </w:r>
          </w:p>
        </w:tc>
        <w:tc>
          <w:tcPr>
            <w:tcW w:w="2162" w:type="dxa"/>
            <w:vAlign w:val="center"/>
          </w:tcPr>
          <w:p w14:paraId="7D8E69B2">
            <w:pPr>
              <w:ind w:left="-32"/>
              <w:jc w:val="center"/>
              <w:rPr>
                <w:rFonts w:hint="eastAsia" w:ascii="宋体" w:hAnsi="宋体" w:cs="宋体"/>
                <w:sz w:val="18"/>
                <w:szCs w:val="18"/>
              </w:rPr>
            </w:pPr>
            <w:r>
              <w:rPr>
                <w:rFonts w:hint="eastAsia" w:ascii="宋体" w:hAnsi="宋体" w:cs="宋体"/>
                <w:sz w:val="18"/>
                <w:szCs w:val="18"/>
              </w:rPr>
              <w:t>服务态度</w:t>
            </w:r>
          </w:p>
        </w:tc>
        <w:tc>
          <w:tcPr>
            <w:tcW w:w="1509" w:type="dxa"/>
            <w:vAlign w:val="center"/>
          </w:tcPr>
          <w:p w14:paraId="3DFC9DF8">
            <w:pPr>
              <w:ind w:left="-32"/>
              <w:jc w:val="center"/>
              <w:rPr>
                <w:rFonts w:ascii="宋体" w:cs="宋体"/>
                <w:sz w:val="18"/>
                <w:szCs w:val="18"/>
              </w:rPr>
            </w:pPr>
          </w:p>
        </w:tc>
        <w:tc>
          <w:tcPr>
            <w:tcW w:w="1398" w:type="dxa"/>
            <w:vAlign w:val="center"/>
          </w:tcPr>
          <w:p w14:paraId="082BAE2F">
            <w:pPr>
              <w:ind w:left="-32"/>
              <w:jc w:val="center"/>
              <w:rPr>
                <w:rFonts w:ascii="宋体" w:cs="宋体"/>
                <w:sz w:val="18"/>
                <w:szCs w:val="18"/>
              </w:rPr>
            </w:pPr>
          </w:p>
        </w:tc>
        <w:tc>
          <w:tcPr>
            <w:tcW w:w="1427" w:type="dxa"/>
            <w:vAlign w:val="center"/>
          </w:tcPr>
          <w:p w14:paraId="187991B7">
            <w:pPr>
              <w:ind w:left="-32"/>
              <w:jc w:val="center"/>
              <w:rPr>
                <w:rFonts w:ascii="宋体" w:cs="宋体"/>
                <w:sz w:val="18"/>
                <w:szCs w:val="18"/>
              </w:rPr>
            </w:pPr>
          </w:p>
        </w:tc>
        <w:tc>
          <w:tcPr>
            <w:tcW w:w="1929" w:type="dxa"/>
            <w:vAlign w:val="center"/>
          </w:tcPr>
          <w:p w14:paraId="054BF474">
            <w:pPr>
              <w:ind w:left="-32"/>
              <w:jc w:val="center"/>
              <w:rPr>
                <w:rFonts w:ascii="宋体" w:cs="宋体"/>
                <w:sz w:val="18"/>
                <w:szCs w:val="18"/>
              </w:rPr>
            </w:pPr>
          </w:p>
        </w:tc>
      </w:tr>
      <w:tr w14:paraId="09E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67" w:type="dxa"/>
            <w:vMerge w:val="restart"/>
            <w:vAlign w:val="center"/>
          </w:tcPr>
          <w:p w14:paraId="30646EF1">
            <w:pPr>
              <w:ind w:left="-32"/>
              <w:jc w:val="center"/>
              <w:rPr>
                <w:rFonts w:hint="eastAsia" w:ascii="宋体" w:hAnsi="宋体" w:cs="宋体"/>
                <w:sz w:val="24"/>
                <w:szCs w:val="24"/>
              </w:rPr>
            </w:pPr>
            <w:r>
              <w:rPr>
                <w:rFonts w:hint="eastAsia" w:ascii="宋体" w:hAnsi="宋体" w:cs="宋体"/>
                <w:sz w:val="24"/>
                <w:szCs w:val="24"/>
              </w:rPr>
              <w:t>维</w:t>
            </w:r>
          </w:p>
          <w:p w14:paraId="51103516">
            <w:pPr>
              <w:ind w:left="-32"/>
              <w:jc w:val="center"/>
              <w:rPr>
                <w:rFonts w:hint="eastAsia" w:ascii="宋体" w:hAnsi="宋体" w:cs="宋体"/>
                <w:sz w:val="24"/>
                <w:szCs w:val="24"/>
              </w:rPr>
            </w:pPr>
            <w:r>
              <w:rPr>
                <w:rFonts w:hint="eastAsia" w:ascii="宋体" w:hAnsi="宋体" w:cs="宋体"/>
                <w:sz w:val="24"/>
                <w:szCs w:val="24"/>
              </w:rPr>
              <w:t>修</w:t>
            </w:r>
          </w:p>
          <w:p w14:paraId="64B9AE1A">
            <w:pPr>
              <w:ind w:left="-32"/>
              <w:jc w:val="center"/>
              <w:rPr>
                <w:rFonts w:hint="eastAsia" w:ascii="宋体" w:hAnsi="宋体" w:cs="宋体"/>
                <w:sz w:val="24"/>
                <w:szCs w:val="24"/>
              </w:rPr>
            </w:pPr>
            <w:r>
              <w:rPr>
                <w:rFonts w:hint="eastAsia" w:ascii="宋体" w:hAnsi="宋体" w:cs="宋体"/>
                <w:sz w:val="24"/>
                <w:szCs w:val="24"/>
              </w:rPr>
              <w:t>服</w:t>
            </w:r>
          </w:p>
          <w:p w14:paraId="19E0670D">
            <w:pPr>
              <w:ind w:left="-32"/>
              <w:jc w:val="center"/>
              <w:rPr>
                <w:rFonts w:hint="eastAsia" w:ascii="宋体" w:hAnsi="宋体" w:cs="宋体"/>
                <w:sz w:val="24"/>
                <w:szCs w:val="24"/>
              </w:rPr>
            </w:pPr>
            <w:r>
              <w:rPr>
                <w:rFonts w:hint="eastAsia" w:ascii="宋体" w:hAnsi="宋体" w:cs="宋体"/>
                <w:sz w:val="24"/>
                <w:szCs w:val="24"/>
              </w:rPr>
              <w:t>务</w:t>
            </w:r>
          </w:p>
          <w:p w14:paraId="173F6A5A">
            <w:pPr>
              <w:ind w:left="-32"/>
              <w:jc w:val="center"/>
              <w:rPr>
                <w:rFonts w:ascii="宋体" w:cs="宋体"/>
                <w:sz w:val="18"/>
                <w:szCs w:val="18"/>
              </w:rPr>
            </w:pPr>
            <w:r>
              <w:rPr>
                <w:rFonts w:hint="eastAsia" w:ascii="宋体" w:cs="宋体"/>
                <w:sz w:val="16"/>
                <w:szCs w:val="16"/>
              </w:rPr>
              <w:t>（不含网络等弱电项目）</w:t>
            </w:r>
          </w:p>
        </w:tc>
        <w:tc>
          <w:tcPr>
            <w:tcW w:w="407" w:type="dxa"/>
            <w:vAlign w:val="center"/>
          </w:tcPr>
          <w:p w14:paraId="7FBA8FBA">
            <w:pPr>
              <w:ind w:left="-32"/>
              <w:jc w:val="center"/>
              <w:rPr>
                <w:rFonts w:ascii="宋体" w:cs="宋体"/>
                <w:sz w:val="18"/>
                <w:szCs w:val="18"/>
              </w:rPr>
            </w:pPr>
            <w:r>
              <w:rPr>
                <w:rFonts w:ascii="宋体" w:hAnsi="宋体" w:cs="宋体"/>
                <w:sz w:val="18"/>
                <w:szCs w:val="18"/>
              </w:rPr>
              <w:t>1</w:t>
            </w:r>
          </w:p>
        </w:tc>
        <w:tc>
          <w:tcPr>
            <w:tcW w:w="2162" w:type="dxa"/>
            <w:vAlign w:val="center"/>
          </w:tcPr>
          <w:p w14:paraId="75899505">
            <w:pPr>
              <w:ind w:left="-32"/>
              <w:jc w:val="center"/>
              <w:rPr>
                <w:rFonts w:ascii="宋体" w:cs="宋体"/>
                <w:sz w:val="18"/>
                <w:szCs w:val="18"/>
              </w:rPr>
            </w:pPr>
            <w:r>
              <w:rPr>
                <w:rFonts w:hint="eastAsia" w:ascii="宋体" w:hAnsi="宋体" w:cs="宋体"/>
                <w:sz w:val="18"/>
                <w:szCs w:val="18"/>
              </w:rPr>
              <w:t>维修质量</w:t>
            </w:r>
          </w:p>
        </w:tc>
        <w:tc>
          <w:tcPr>
            <w:tcW w:w="1509" w:type="dxa"/>
            <w:vAlign w:val="center"/>
          </w:tcPr>
          <w:p w14:paraId="5FBB2E97">
            <w:pPr>
              <w:ind w:left="-32"/>
              <w:jc w:val="center"/>
              <w:rPr>
                <w:rFonts w:ascii="宋体" w:cs="宋体"/>
                <w:sz w:val="18"/>
                <w:szCs w:val="18"/>
              </w:rPr>
            </w:pPr>
          </w:p>
        </w:tc>
        <w:tc>
          <w:tcPr>
            <w:tcW w:w="1398" w:type="dxa"/>
            <w:vAlign w:val="center"/>
          </w:tcPr>
          <w:p w14:paraId="7796EA5B">
            <w:pPr>
              <w:ind w:left="-32"/>
              <w:jc w:val="center"/>
              <w:rPr>
                <w:rFonts w:ascii="宋体" w:cs="宋体"/>
                <w:sz w:val="18"/>
                <w:szCs w:val="18"/>
              </w:rPr>
            </w:pPr>
          </w:p>
        </w:tc>
        <w:tc>
          <w:tcPr>
            <w:tcW w:w="1427" w:type="dxa"/>
            <w:vAlign w:val="center"/>
          </w:tcPr>
          <w:p w14:paraId="70FBB425">
            <w:pPr>
              <w:ind w:left="-32"/>
              <w:jc w:val="center"/>
              <w:rPr>
                <w:rFonts w:ascii="宋体" w:cs="宋体"/>
                <w:sz w:val="18"/>
                <w:szCs w:val="18"/>
              </w:rPr>
            </w:pPr>
          </w:p>
        </w:tc>
        <w:tc>
          <w:tcPr>
            <w:tcW w:w="1929" w:type="dxa"/>
            <w:vAlign w:val="center"/>
          </w:tcPr>
          <w:p w14:paraId="31C648C6">
            <w:pPr>
              <w:ind w:left="-32"/>
              <w:jc w:val="center"/>
              <w:rPr>
                <w:rFonts w:ascii="宋体" w:cs="宋体"/>
                <w:sz w:val="18"/>
                <w:szCs w:val="18"/>
              </w:rPr>
            </w:pPr>
          </w:p>
        </w:tc>
      </w:tr>
      <w:tr w14:paraId="5F5F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67" w:type="dxa"/>
            <w:vMerge w:val="continue"/>
            <w:vAlign w:val="center"/>
          </w:tcPr>
          <w:p w14:paraId="628A5800">
            <w:pPr>
              <w:ind w:left="-32"/>
              <w:jc w:val="center"/>
              <w:rPr>
                <w:rFonts w:ascii="宋体" w:cs="宋体"/>
                <w:sz w:val="18"/>
                <w:szCs w:val="18"/>
              </w:rPr>
            </w:pPr>
          </w:p>
        </w:tc>
        <w:tc>
          <w:tcPr>
            <w:tcW w:w="407" w:type="dxa"/>
            <w:vAlign w:val="center"/>
          </w:tcPr>
          <w:p w14:paraId="668ED426">
            <w:pPr>
              <w:ind w:left="-32"/>
              <w:jc w:val="center"/>
              <w:rPr>
                <w:rFonts w:ascii="宋体" w:cs="宋体"/>
                <w:sz w:val="18"/>
                <w:szCs w:val="18"/>
              </w:rPr>
            </w:pPr>
            <w:r>
              <w:rPr>
                <w:rFonts w:ascii="宋体" w:hAnsi="宋体" w:cs="宋体"/>
                <w:sz w:val="18"/>
                <w:szCs w:val="18"/>
              </w:rPr>
              <w:t>2</w:t>
            </w:r>
          </w:p>
        </w:tc>
        <w:tc>
          <w:tcPr>
            <w:tcW w:w="2162" w:type="dxa"/>
            <w:vAlign w:val="center"/>
          </w:tcPr>
          <w:p w14:paraId="01AA0D67">
            <w:pPr>
              <w:ind w:left="-32"/>
              <w:jc w:val="center"/>
              <w:rPr>
                <w:rFonts w:ascii="宋体" w:cs="宋体"/>
                <w:sz w:val="18"/>
                <w:szCs w:val="18"/>
              </w:rPr>
            </w:pPr>
            <w:r>
              <w:rPr>
                <w:rFonts w:hint="eastAsia" w:ascii="宋体" w:hAnsi="宋体" w:cs="宋体"/>
                <w:sz w:val="18"/>
                <w:szCs w:val="18"/>
              </w:rPr>
              <w:t>维修及时</w:t>
            </w:r>
          </w:p>
        </w:tc>
        <w:tc>
          <w:tcPr>
            <w:tcW w:w="1509" w:type="dxa"/>
            <w:vAlign w:val="center"/>
          </w:tcPr>
          <w:p w14:paraId="3D4FCB58">
            <w:pPr>
              <w:ind w:left="-32"/>
              <w:jc w:val="center"/>
              <w:rPr>
                <w:rFonts w:ascii="宋体" w:cs="宋体"/>
                <w:sz w:val="18"/>
                <w:szCs w:val="18"/>
              </w:rPr>
            </w:pPr>
          </w:p>
        </w:tc>
        <w:tc>
          <w:tcPr>
            <w:tcW w:w="1398" w:type="dxa"/>
            <w:vAlign w:val="center"/>
          </w:tcPr>
          <w:p w14:paraId="76003B39">
            <w:pPr>
              <w:ind w:left="-32"/>
              <w:jc w:val="center"/>
              <w:rPr>
                <w:rFonts w:ascii="宋体" w:cs="宋体"/>
                <w:sz w:val="18"/>
                <w:szCs w:val="18"/>
              </w:rPr>
            </w:pPr>
          </w:p>
        </w:tc>
        <w:tc>
          <w:tcPr>
            <w:tcW w:w="1427" w:type="dxa"/>
            <w:vAlign w:val="center"/>
          </w:tcPr>
          <w:p w14:paraId="37F42BA3">
            <w:pPr>
              <w:ind w:left="-32"/>
              <w:jc w:val="center"/>
              <w:rPr>
                <w:rFonts w:ascii="宋体" w:cs="宋体"/>
                <w:sz w:val="18"/>
                <w:szCs w:val="18"/>
              </w:rPr>
            </w:pPr>
          </w:p>
        </w:tc>
        <w:tc>
          <w:tcPr>
            <w:tcW w:w="1929" w:type="dxa"/>
            <w:vAlign w:val="center"/>
          </w:tcPr>
          <w:p w14:paraId="2CFC7B9D">
            <w:pPr>
              <w:ind w:left="-32"/>
              <w:jc w:val="center"/>
              <w:rPr>
                <w:rFonts w:ascii="宋体" w:cs="宋体"/>
                <w:sz w:val="18"/>
                <w:szCs w:val="18"/>
              </w:rPr>
            </w:pPr>
          </w:p>
        </w:tc>
      </w:tr>
      <w:tr w14:paraId="6EC6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67" w:type="dxa"/>
            <w:vMerge w:val="continue"/>
            <w:vAlign w:val="center"/>
          </w:tcPr>
          <w:p w14:paraId="405EAFD3">
            <w:pPr>
              <w:ind w:left="-32"/>
              <w:jc w:val="center"/>
              <w:rPr>
                <w:rFonts w:ascii="宋体" w:cs="宋体"/>
                <w:sz w:val="18"/>
                <w:szCs w:val="18"/>
              </w:rPr>
            </w:pPr>
          </w:p>
        </w:tc>
        <w:tc>
          <w:tcPr>
            <w:tcW w:w="407" w:type="dxa"/>
            <w:vAlign w:val="center"/>
          </w:tcPr>
          <w:p w14:paraId="3C9294B7">
            <w:pPr>
              <w:ind w:left="-32"/>
              <w:jc w:val="center"/>
              <w:rPr>
                <w:rFonts w:hint="eastAsia" w:ascii="宋体" w:hAnsi="宋体" w:cs="宋体"/>
                <w:sz w:val="18"/>
                <w:szCs w:val="18"/>
              </w:rPr>
            </w:pPr>
            <w:r>
              <w:rPr>
                <w:rFonts w:hint="eastAsia" w:ascii="宋体" w:hAnsi="宋体" w:cs="宋体"/>
                <w:sz w:val="18"/>
                <w:szCs w:val="18"/>
              </w:rPr>
              <w:t>3</w:t>
            </w:r>
          </w:p>
        </w:tc>
        <w:tc>
          <w:tcPr>
            <w:tcW w:w="2162" w:type="dxa"/>
            <w:vAlign w:val="center"/>
          </w:tcPr>
          <w:p w14:paraId="241EFB78">
            <w:pPr>
              <w:ind w:left="-32"/>
              <w:jc w:val="center"/>
              <w:rPr>
                <w:rFonts w:hint="eastAsia" w:ascii="宋体" w:hAnsi="宋体" w:cs="宋体"/>
                <w:sz w:val="18"/>
                <w:szCs w:val="18"/>
              </w:rPr>
            </w:pPr>
            <w:r>
              <w:rPr>
                <w:rFonts w:hint="eastAsia" w:ascii="宋体" w:hAnsi="宋体" w:cs="宋体"/>
                <w:sz w:val="18"/>
                <w:szCs w:val="18"/>
              </w:rPr>
              <w:t>维修清理</w:t>
            </w:r>
          </w:p>
        </w:tc>
        <w:tc>
          <w:tcPr>
            <w:tcW w:w="1509" w:type="dxa"/>
            <w:vAlign w:val="center"/>
          </w:tcPr>
          <w:p w14:paraId="3BFC9B76">
            <w:pPr>
              <w:ind w:left="-32"/>
              <w:jc w:val="center"/>
              <w:rPr>
                <w:rFonts w:ascii="宋体" w:cs="宋体"/>
                <w:sz w:val="18"/>
                <w:szCs w:val="18"/>
              </w:rPr>
            </w:pPr>
          </w:p>
        </w:tc>
        <w:tc>
          <w:tcPr>
            <w:tcW w:w="1398" w:type="dxa"/>
            <w:vAlign w:val="center"/>
          </w:tcPr>
          <w:p w14:paraId="72A13465">
            <w:pPr>
              <w:ind w:left="-32"/>
              <w:jc w:val="center"/>
              <w:rPr>
                <w:rFonts w:ascii="宋体" w:cs="宋体"/>
                <w:sz w:val="18"/>
                <w:szCs w:val="18"/>
              </w:rPr>
            </w:pPr>
          </w:p>
        </w:tc>
        <w:tc>
          <w:tcPr>
            <w:tcW w:w="1427" w:type="dxa"/>
            <w:vAlign w:val="center"/>
          </w:tcPr>
          <w:p w14:paraId="4C7972E7">
            <w:pPr>
              <w:ind w:left="-32"/>
              <w:jc w:val="center"/>
              <w:rPr>
                <w:rFonts w:ascii="宋体" w:cs="宋体"/>
                <w:sz w:val="18"/>
                <w:szCs w:val="18"/>
              </w:rPr>
            </w:pPr>
          </w:p>
        </w:tc>
        <w:tc>
          <w:tcPr>
            <w:tcW w:w="1929" w:type="dxa"/>
            <w:vAlign w:val="center"/>
          </w:tcPr>
          <w:p w14:paraId="48E7050F">
            <w:pPr>
              <w:ind w:left="-32"/>
              <w:jc w:val="center"/>
              <w:rPr>
                <w:rFonts w:ascii="宋体" w:cs="宋体"/>
                <w:sz w:val="18"/>
                <w:szCs w:val="18"/>
              </w:rPr>
            </w:pPr>
          </w:p>
        </w:tc>
      </w:tr>
      <w:tr w14:paraId="45D4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67" w:type="dxa"/>
            <w:vMerge w:val="continue"/>
            <w:vAlign w:val="center"/>
          </w:tcPr>
          <w:p w14:paraId="10A74ED7">
            <w:pPr>
              <w:ind w:left="-32"/>
              <w:jc w:val="center"/>
              <w:rPr>
                <w:rFonts w:ascii="宋体" w:cs="宋体"/>
                <w:sz w:val="18"/>
                <w:szCs w:val="18"/>
              </w:rPr>
            </w:pPr>
          </w:p>
        </w:tc>
        <w:tc>
          <w:tcPr>
            <w:tcW w:w="407" w:type="dxa"/>
            <w:vAlign w:val="center"/>
          </w:tcPr>
          <w:p w14:paraId="696D38EF">
            <w:pPr>
              <w:ind w:left="-32"/>
              <w:jc w:val="center"/>
              <w:rPr>
                <w:rFonts w:hint="eastAsia" w:ascii="宋体" w:hAnsi="宋体" w:cs="宋体"/>
                <w:sz w:val="18"/>
                <w:szCs w:val="18"/>
              </w:rPr>
            </w:pPr>
            <w:r>
              <w:rPr>
                <w:rFonts w:hint="eastAsia" w:ascii="宋体" w:hAnsi="宋体" w:cs="宋体"/>
                <w:sz w:val="18"/>
                <w:szCs w:val="18"/>
              </w:rPr>
              <w:t>4</w:t>
            </w:r>
          </w:p>
        </w:tc>
        <w:tc>
          <w:tcPr>
            <w:tcW w:w="2162" w:type="dxa"/>
            <w:vAlign w:val="center"/>
          </w:tcPr>
          <w:p w14:paraId="63B7EA4F">
            <w:pPr>
              <w:jc w:val="center"/>
              <w:rPr>
                <w:rFonts w:hint="eastAsia" w:ascii="宋体" w:hAnsi="宋体" w:cs="宋体"/>
                <w:sz w:val="18"/>
                <w:szCs w:val="18"/>
              </w:rPr>
            </w:pPr>
            <w:r>
              <w:rPr>
                <w:rFonts w:hint="eastAsia" w:ascii="宋体" w:hAnsi="宋体" w:cs="宋体"/>
                <w:sz w:val="18"/>
                <w:szCs w:val="18"/>
              </w:rPr>
              <w:t>服务态度</w:t>
            </w:r>
          </w:p>
        </w:tc>
        <w:tc>
          <w:tcPr>
            <w:tcW w:w="1509" w:type="dxa"/>
            <w:vAlign w:val="center"/>
          </w:tcPr>
          <w:p w14:paraId="10C54FDF">
            <w:pPr>
              <w:ind w:left="-32"/>
              <w:jc w:val="center"/>
              <w:rPr>
                <w:rFonts w:ascii="宋体" w:cs="宋体"/>
                <w:sz w:val="18"/>
                <w:szCs w:val="18"/>
              </w:rPr>
            </w:pPr>
          </w:p>
        </w:tc>
        <w:tc>
          <w:tcPr>
            <w:tcW w:w="1398" w:type="dxa"/>
            <w:vAlign w:val="center"/>
          </w:tcPr>
          <w:p w14:paraId="15159AB9">
            <w:pPr>
              <w:ind w:left="-32"/>
              <w:jc w:val="center"/>
              <w:rPr>
                <w:rFonts w:ascii="宋体" w:cs="宋体"/>
                <w:sz w:val="18"/>
                <w:szCs w:val="18"/>
              </w:rPr>
            </w:pPr>
          </w:p>
        </w:tc>
        <w:tc>
          <w:tcPr>
            <w:tcW w:w="1427" w:type="dxa"/>
            <w:vAlign w:val="center"/>
          </w:tcPr>
          <w:p w14:paraId="2A398B8E">
            <w:pPr>
              <w:ind w:left="-32"/>
              <w:jc w:val="center"/>
              <w:rPr>
                <w:rFonts w:ascii="宋体" w:cs="宋体"/>
                <w:sz w:val="18"/>
                <w:szCs w:val="18"/>
              </w:rPr>
            </w:pPr>
          </w:p>
        </w:tc>
        <w:tc>
          <w:tcPr>
            <w:tcW w:w="1929" w:type="dxa"/>
            <w:vAlign w:val="center"/>
          </w:tcPr>
          <w:p w14:paraId="3C5D20EA">
            <w:pPr>
              <w:ind w:left="-32"/>
              <w:jc w:val="center"/>
              <w:rPr>
                <w:rFonts w:ascii="宋体" w:cs="宋体"/>
                <w:sz w:val="18"/>
                <w:szCs w:val="18"/>
              </w:rPr>
            </w:pPr>
          </w:p>
        </w:tc>
      </w:tr>
      <w:tr w14:paraId="7BEB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67" w:type="dxa"/>
            <w:vMerge w:val="restart"/>
            <w:vAlign w:val="center"/>
          </w:tcPr>
          <w:p w14:paraId="41A65F18">
            <w:pPr>
              <w:spacing w:line="220" w:lineRule="exact"/>
              <w:jc w:val="center"/>
              <w:rPr>
                <w:rFonts w:ascii="宋体" w:cs="宋体"/>
                <w:sz w:val="24"/>
                <w:szCs w:val="24"/>
              </w:rPr>
            </w:pPr>
            <w:r>
              <w:rPr>
                <w:rFonts w:hint="eastAsia" w:ascii="宋体" w:cs="宋体"/>
                <w:sz w:val="24"/>
                <w:szCs w:val="24"/>
              </w:rPr>
              <w:t>物</w:t>
            </w:r>
          </w:p>
          <w:p w14:paraId="572B26BF">
            <w:pPr>
              <w:spacing w:line="220" w:lineRule="exact"/>
              <w:jc w:val="center"/>
              <w:rPr>
                <w:rFonts w:ascii="宋体" w:cs="宋体"/>
                <w:sz w:val="24"/>
                <w:szCs w:val="24"/>
              </w:rPr>
            </w:pPr>
            <w:r>
              <w:rPr>
                <w:rFonts w:hint="eastAsia" w:ascii="宋体" w:cs="宋体"/>
                <w:sz w:val="24"/>
                <w:szCs w:val="24"/>
              </w:rPr>
              <w:t>业</w:t>
            </w:r>
          </w:p>
          <w:p w14:paraId="24526EB8">
            <w:pPr>
              <w:spacing w:line="220" w:lineRule="exact"/>
              <w:jc w:val="center"/>
              <w:rPr>
                <w:rFonts w:ascii="宋体" w:cs="宋体"/>
                <w:sz w:val="24"/>
                <w:szCs w:val="24"/>
              </w:rPr>
            </w:pPr>
            <w:r>
              <w:rPr>
                <w:rFonts w:hint="eastAsia" w:ascii="宋体" w:cs="宋体"/>
                <w:sz w:val="24"/>
                <w:szCs w:val="24"/>
              </w:rPr>
              <w:t>管</w:t>
            </w:r>
          </w:p>
          <w:p w14:paraId="18A9AC73">
            <w:pPr>
              <w:spacing w:line="220" w:lineRule="exact"/>
              <w:jc w:val="center"/>
              <w:rPr>
                <w:rFonts w:ascii="宋体" w:cs="宋体"/>
                <w:sz w:val="18"/>
                <w:szCs w:val="18"/>
              </w:rPr>
            </w:pPr>
            <w:r>
              <w:rPr>
                <w:rFonts w:hint="eastAsia" w:ascii="宋体" w:cs="宋体"/>
                <w:sz w:val="24"/>
                <w:szCs w:val="24"/>
              </w:rPr>
              <w:t>理</w:t>
            </w:r>
          </w:p>
        </w:tc>
        <w:tc>
          <w:tcPr>
            <w:tcW w:w="407" w:type="dxa"/>
            <w:vAlign w:val="center"/>
          </w:tcPr>
          <w:p w14:paraId="33E1C7B9">
            <w:pPr>
              <w:ind w:left="-32"/>
              <w:jc w:val="center"/>
              <w:rPr>
                <w:rFonts w:ascii="宋体" w:cs="宋体"/>
                <w:sz w:val="18"/>
                <w:szCs w:val="18"/>
              </w:rPr>
            </w:pPr>
            <w:r>
              <w:rPr>
                <w:rFonts w:ascii="宋体" w:hAnsi="宋体" w:cs="宋体"/>
                <w:sz w:val="18"/>
                <w:szCs w:val="18"/>
              </w:rPr>
              <w:t>1</w:t>
            </w:r>
          </w:p>
        </w:tc>
        <w:tc>
          <w:tcPr>
            <w:tcW w:w="2162" w:type="dxa"/>
            <w:vAlign w:val="center"/>
          </w:tcPr>
          <w:p w14:paraId="0A94A691">
            <w:pPr>
              <w:ind w:left="-32"/>
              <w:jc w:val="center"/>
              <w:rPr>
                <w:rFonts w:hint="eastAsia" w:ascii="宋体" w:hAnsi="宋体" w:cs="宋体"/>
                <w:sz w:val="18"/>
                <w:szCs w:val="18"/>
              </w:rPr>
            </w:pPr>
            <w:r>
              <w:rPr>
                <w:rFonts w:hint="eastAsia" w:ascii="宋体" w:hAnsi="宋体" w:cs="宋体"/>
                <w:sz w:val="18"/>
                <w:szCs w:val="18"/>
              </w:rPr>
              <w:t>环境卫生</w:t>
            </w:r>
          </w:p>
        </w:tc>
        <w:tc>
          <w:tcPr>
            <w:tcW w:w="1509" w:type="dxa"/>
            <w:vAlign w:val="center"/>
          </w:tcPr>
          <w:p w14:paraId="2EB7F48F">
            <w:pPr>
              <w:ind w:left="-32"/>
              <w:jc w:val="center"/>
              <w:rPr>
                <w:rFonts w:ascii="宋体" w:cs="宋体"/>
                <w:sz w:val="18"/>
                <w:szCs w:val="18"/>
              </w:rPr>
            </w:pPr>
          </w:p>
        </w:tc>
        <w:tc>
          <w:tcPr>
            <w:tcW w:w="1398" w:type="dxa"/>
            <w:vAlign w:val="center"/>
          </w:tcPr>
          <w:p w14:paraId="7EC42BCD">
            <w:pPr>
              <w:ind w:left="-32"/>
              <w:jc w:val="center"/>
              <w:rPr>
                <w:rFonts w:ascii="宋体" w:cs="宋体"/>
                <w:sz w:val="18"/>
                <w:szCs w:val="18"/>
              </w:rPr>
            </w:pPr>
          </w:p>
        </w:tc>
        <w:tc>
          <w:tcPr>
            <w:tcW w:w="1427" w:type="dxa"/>
            <w:vAlign w:val="center"/>
          </w:tcPr>
          <w:p w14:paraId="4F58222C">
            <w:pPr>
              <w:ind w:left="-32"/>
              <w:jc w:val="center"/>
              <w:rPr>
                <w:rFonts w:ascii="宋体" w:cs="宋体"/>
                <w:sz w:val="18"/>
                <w:szCs w:val="18"/>
              </w:rPr>
            </w:pPr>
          </w:p>
        </w:tc>
        <w:tc>
          <w:tcPr>
            <w:tcW w:w="1929" w:type="dxa"/>
            <w:vAlign w:val="center"/>
          </w:tcPr>
          <w:p w14:paraId="0C429F0C">
            <w:pPr>
              <w:ind w:left="-32"/>
              <w:jc w:val="center"/>
              <w:rPr>
                <w:rFonts w:ascii="宋体" w:cs="宋体"/>
                <w:sz w:val="18"/>
                <w:szCs w:val="18"/>
              </w:rPr>
            </w:pPr>
          </w:p>
        </w:tc>
      </w:tr>
      <w:tr w14:paraId="798D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67" w:type="dxa"/>
            <w:vMerge w:val="continue"/>
            <w:vAlign w:val="center"/>
          </w:tcPr>
          <w:p w14:paraId="74BF7F8D">
            <w:pPr>
              <w:ind w:left="-32"/>
              <w:jc w:val="center"/>
              <w:rPr>
                <w:rFonts w:ascii="宋体" w:cs="宋体"/>
                <w:sz w:val="18"/>
                <w:szCs w:val="18"/>
              </w:rPr>
            </w:pPr>
          </w:p>
        </w:tc>
        <w:tc>
          <w:tcPr>
            <w:tcW w:w="407" w:type="dxa"/>
            <w:vAlign w:val="center"/>
          </w:tcPr>
          <w:p w14:paraId="1F2C75DE">
            <w:pPr>
              <w:ind w:left="-32"/>
              <w:jc w:val="center"/>
              <w:rPr>
                <w:rFonts w:ascii="宋体" w:cs="宋体"/>
                <w:sz w:val="18"/>
                <w:szCs w:val="18"/>
              </w:rPr>
            </w:pPr>
            <w:r>
              <w:rPr>
                <w:rFonts w:hint="eastAsia" w:ascii="宋体" w:hAnsi="宋体" w:cs="宋体"/>
                <w:sz w:val="18"/>
                <w:szCs w:val="18"/>
              </w:rPr>
              <w:t>2</w:t>
            </w:r>
          </w:p>
        </w:tc>
        <w:tc>
          <w:tcPr>
            <w:tcW w:w="2162" w:type="dxa"/>
            <w:vAlign w:val="center"/>
          </w:tcPr>
          <w:p w14:paraId="1DD514D6">
            <w:pPr>
              <w:ind w:left="-32"/>
              <w:jc w:val="center"/>
              <w:rPr>
                <w:rFonts w:hint="eastAsia" w:ascii="宋体" w:hAnsi="宋体" w:cs="宋体"/>
                <w:sz w:val="18"/>
                <w:szCs w:val="18"/>
              </w:rPr>
            </w:pPr>
            <w:r>
              <w:rPr>
                <w:rFonts w:hint="eastAsia" w:ascii="宋体" w:hAnsi="宋体" w:cs="宋体"/>
                <w:sz w:val="18"/>
                <w:szCs w:val="18"/>
              </w:rPr>
              <w:t>绿化养护</w:t>
            </w:r>
          </w:p>
        </w:tc>
        <w:tc>
          <w:tcPr>
            <w:tcW w:w="1509" w:type="dxa"/>
            <w:vAlign w:val="center"/>
          </w:tcPr>
          <w:p w14:paraId="55D9DC60">
            <w:pPr>
              <w:ind w:left="-32"/>
              <w:jc w:val="center"/>
              <w:rPr>
                <w:rFonts w:ascii="宋体" w:cs="宋体"/>
                <w:sz w:val="18"/>
                <w:szCs w:val="18"/>
              </w:rPr>
            </w:pPr>
          </w:p>
        </w:tc>
        <w:tc>
          <w:tcPr>
            <w:tcW w:w="1398" w:type="dxa"/>
            <w:vAlign w:val="center"/>
          </w:tcPr>
          <w:p w14:paraId="7F019D74">
            <w:pPr>
              <w:ind w:left="-32"/>
              <w:jc w:val="center"/>
              <w:rPr>
                <w:rFonts w:ascii="宋体" w:cs="宋体"/>
                <w:sz w:val="18"/>
                <w:szCs w:val="18"/>
              </w:rPr>
            </w:pPr>
          </w:p>
        </w:tc>
        <w:tc>
          <w:tcPr>
            <w:tcW w:w="1427" w:type="dxa"/>
            <w:vAlign w:val="center"/>
          </w:tcPr>
          <w:p w14:paraId="3B284BDF">
            <w:pPr>
              <w:ind w:left="-32"/>
              <w:jc w:val="center"/>
              <w:rPr>
                <w:rFonts w:ascii="宋体" w:cs="宋体"/>
                <w:sz w:val="18"/>
                <w:szCs w:val="18"/>
              </w:rPr>
            </w:pPr>
          </w:p>
        </w:tc>
        <w:tc>
          <w:tcPr>
            <w:tcW w:w="1929" w:type="dxa"/>
            <w:vAlign w:val="center"/>
          </w:tcPr>
          <w:p w14:paraId="614D6E32">
            <w:pPr>
              <w:ind w:left="-32"/>
              <w:jc w:val="center"/>
              <w:rPr>
                <w:rFonts w:ascii="宋体" w:cs="宋体"/>
                <w:sz w:val="18"/>
                <w:szCs w:val="18"/>
              </w:rPr>
            </w:pPr>
          </w:p>
        </w:tc>
      </w:tr>
      <w:tr w14:paraId="5D76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vMerge w:val="continue"/>
            <w:vAlign w:val="center"/>
          </w:tcPr>
          <w:p w14:paraId="7C27FE84">
            <w:pPr>
              <w:ind w:left="-32"/>
              <w:jc w:val="center"/>
              <w:rPr>
                <w:rFonts w:ascii="宋体" w:cs="宋体"/>
                <w:sz w:val="18"/>
                <w:szCs w:val="18"/>
              </w:rPr>
            </w:pPr>
          </w:p>
        </w:tc>
        <w:tc>
          <w:tcPr>
            <w:tcW w:w="407" w:type="dxa"/>
            <w:vAlign w:val="center"/>
          </w:tcPr>
          <w:p w14:paraId="2FC69F39">
            <w:pPr>
              <w:jc w:val="center"/>
              <w:rPr>
                <w:rFonts w:ascii="宋体" w:cs="宋体"/>
                <w:sz w:val="18"/>
                <w:szCs w:val="18"/>
              </w:rPr>
            </w:pPr>
            <w:r>
              <w:rPr>
                <w:rFonts w:ascii="宋体" w:hAnsi="宋体" w:cs="宋体"/>
                <w:sz w:val="18"/>
                <w:szCs w:val="18"/>
              </w:rPr>
              <w:t>3</w:t>
            </w:r>
          </w:p>
        </w:tc>
        <w:tc>
          <w:tcPr>
            <w:tcW w:w="2162" w:type="dxa"/>
            <w:vAlign w:val="center"/>
          </w:tcPr>
          <w:p w14:paraId="77C902C6">
            <w:pPr>
              <w:ind w:left="-32"/>
              <w:jc w:val="center"/>
              <w:rPr>
                <w:rFonts w:hint="eastAsia" w:ascii="宋体" w:hAnsi="宋体" w:cs="宋体"/>
                <w:sz w:val="18"/>
                <w:szCs w:val="18"/>
              </w:rPr>
            </w:pPr>
            <w:r>
              <w:rPr>
                <w:rFonts w:hint="eastAsia" w:ascii="宋体" w:hAnsi="宋体" w:cs="宋体"/>
                <w:sz w:val="18"/>
                <w:szCs w:val="18"/>
              </w:rPr>
              <w:t>会务接待</w:t>
            </w:r>
          </w:p>
        </w:tc>
        <w:tc>
          <w:tcPr>
            <w:tcW w:w="1509" w:type="dxa"/>
            <w:vAlign w:val="center"/>
          </w:tcPr>
          <w:p w14:paraId="43239CCA">
            <w:pPr>
              <w:ind w:left="-32"/>
              <w:jc w:val="center"/>
              <w:rPr>
                <w:rFonts w:ascii="宋体" w:cs="宋体"/>
                <w:sz w:val="18"/>
                <w:szCs w:val="18"/>
              </w:rPr>
            </w:pPr>
          </w:p>
        </w:tc>
        <w:tc>
          <w:tcPr>
            <w:tcW w:w="1398" w:type="dxa"/>
            <w:vAlign w:val="center"/>
          </w:tcPr>
          <w:p w14:paraId="3E5FDB6C">
            <w:pPr>
              <w:ind w:left="-32"/>
              <w:jc w:val="center"/>
              <w:rPr>
                <w:rFonts w:ascii="宋体" w:cs="宋体"/>
                <w:sz w:val="18"/>
                <w:szCs w:val="18"/>
              </w:rPr>
            </w:pPr>
          </w:p>
        </w:tc>
        <w:tc>
          <w:tcPr>
            <w:tcW w:w="1427" w:type="dxa"/>
            <w:vAlign w:val="center"/>
          </w:tcPr>
          <w:p w14:paraId="00E46563">
            <w:pPr>
              <w:ind w:left="-32"/>
              <w:jc w:val="center"/>
              <w:rPr>
                <w:rFonts w:ascii="宋体" w:cs="宋体"/>
                <w:sz w:val="18"/>
                <w:szCs w:val="18"/>
              </w:rPr>
            </w:pPr>
          </w:p>
        </w:tc>
        <w:tc>
          <w:tcPr>
            <w:tcW w:w="1929" w:type="dxa"/>
            <w:vAlign w:val="center"/>
          </w:tcPr>
          <w:p w14:paraId="04A526D1">
            <w:pPr>
              <w:ind w:left="-32"/>
              <w:jc w:val="center"/>
              <w:rPr>
                <w:rFonts w:ascii="宋体" w:cs="宋体"/>
                <w:sz w:val="18"/>
                <w:szCs w:val="18"/>
              </w:rPr>
            </w:pPr>
          </w:p>
        </w:tc>
      </w:tr>
    </w:tbl>
    <w:tbl>
      <w:tblPr>
        <w:tblStyle w:val="59"/>
        <w:tblpPr w:leftFromText="180" w:rightFromText="180" w:vertAnchor="text" w:horzAnchor="margin" w:tblpX="-1065" w:tblpY="305"/>
        <w:tblOverlap w:val="never"/>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2"/>
      </w:tblGrid>
      <w:tr w14:paraId="405D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9522" w:type="dxa"/>
          </w:tcPr>
          <w:p w14:paraId="614D48F0">
            <w:pPr>
              <w:jc w:val="left"/>
              <w:rPr>
                <w:rFonts w:ascii="宋体" w:cs="宋体"/>
                <w:b/>
              </w:rPr>
            </w:pPr>
            <w:r>
              <w:rPr>
                <w:rFonts w:ascii="宋体" w:hAnsi="宋体" w:cs="宋体"/>
                <w:b/>
              </w:rPr>
              <w:t xml:space="preserve">  </w:t>
            </w:r>
            <w:r>
              <w:rPr>
                <w:rFonts w:hint="eastAsia" w:ascii="宋体" w:hAnsi="宋体" w:cs="宋体"/>
                <w:b/>
              </w:rPr>
              <w:t xml:space="preserve">   如果您对后勤工作有什么具体问题反映和意见建议，请您在以下空白处进行陈述。</w:t>
            </w:r>
          </w:p>
          <w:p w14:paraId="2C596867">
            <w:pPr>
              <w:jc w:val="left"/>
              <w:rPr>
                <w:rFonts w:ascii="宋体" w:cs="宋体"/>
                <w:b/>
              </w:rPr>
            </w:pPr>
          </w:p>
          <w:p w14:paraId="1CE98D2B">
            <w:pPr>
              <w:jc w:val="left"/>
              <w:rPr>
                <w:rFonts w:ascii="宋体" w:cs="宋体"/>
                <w:b/>
              </w:rPr>
            </w:pPr>
          </w:p>
          <w:p w14:paraId="7BC4B786">
            <w:pPr>
              <w:jc w:val="left"/>
              <w:rPr>
                <w:rFonts w:ascii="宋体" w:cs="宋体"/>
                <w:b/>
              </w:rPr>
            </w:pPr>
            <w:r>
              <w:rPr>
                <w:rFonts w:hint="eastAsia" w:ascii="宋体" w:cs="宋体"/>
                <w:b/>
              </w:rPr>
              <w:t>自愿填写：</w:t>
            </w:r>
          </w:p>
          <w:p w14:paraId="2AC03D52">
            <w:pPr>
              <w:jc w:val="left"/>
              <w:rPr>
                <w:rFonts w:ascii="宋体" w:cs="宋体"/>
                <w:b/>
              </w:rPr>
            </w:pPr>
            <w:r>
              <w:rPr>
                <w:rFonts w:ascii="宋体" w:hAnsi="宋体" w:cs="宋体"/>
                <w:b/>
              </w:rPr>
              <w:t xml:space="preserve">    </w:t>
            </w:r>
            <w:r>
              <w:rPr>
                <w:rFonts w:hint="eastAsia" w:ascii="宋体" w:hAnsi="宋体" w:cs="宋体"/>
                <w:b/>
              </w:rPr>
              <w:t>学院</w:t>
            </w:r>
            <w:r>
              <w:rPr>
                <w:rFonts w:hint="eastAsia" w:ascii="宋体" w:hAnsi="宋体" w:cs="宋体"/>
                <w:b/>
                <w:lang w:eastAsia="zh-CN"/>
              </w:rPr>
              <w:t>（</w:t>
            </w:r>
            <w:r>
              <w:rPr>
                <w:rFonts w:hint="eastAsia" w:ascii="宋体" w:hAnsi="宋体" w:cs="宋体"/>
                <w:b/>
                <w:lang w:val="en-US" w:eastAsia="zh-CN"/>
              </w:rPr>
              <w:t>部门</w:t>
            </w:r>
            <w:r>
              <w:rPr>
                <w:rFonts w:hint="eastAsia" w:ascii="宋体" w:hAnsi="宋体" w:cs="宋体"/>
                <w:b/>
                <w:lang w:eastAsia="zh-CN"/>
              </w:rPr>
              <w:t>）</w:t>
            </w:r>
            <w:r>
              <w:rPr>
                <w:rFonts w:hint="eastAsia" w:ascii="宋体" w:hAnsi="宋体" w:cs="宋体"/>
                <w:b/>
              </w:rPr>
              <w:t>：</w:t>
            </w:r>
            <w:r>
              <w:rPr>
                <w:rFonts w:ascii="宋体" w:hAnsi="宋体" w:cs="宋体"/>
                <w:b/>
              </w:rPr>
              <w:t xml:space="preserve">                          </w:t>
            </w:r>
            <w:r>
              <w:rPr>
                <w:rFonts w:hint="eastAsia" w:ascii="宋体" w:hAnsi="宋体" w:cs="宋体"/>
                <w:b/>
              </w:rPr>
              <w:t>姓名：</w:t>
            </w:r>
            <w:r>
              <w:rPr>
                <w:rFonts w:ascii="宋体" w:hAnsi="宋体" w:cs="宋体"/>
                <w:b/>
              </w:rPr>
              <w:t xml:space="preserve">                        </w:t>
            </w:r>
            <w:r>
              <w:rPr>
                <w:rFonts w:hint="eastAsia" w:ascii="宋体" w:hAnsi="宋体" w:cs="宋体"/>
                <w:b/>
              </w:rPr>
              <w:t>联系方式：</w:t>
            </w:r>
          </w:p>
        </w:tc>
      </w:tr>
    </w:tbl>
    <w:p w14:paraId="12E20574">
      <w:pPr>
        <w:keepNext/>
        <w:keepLines/>
        <w:spacing w:before="260" w:after="260" w:line="416" w:lineRule="auto"/>
        <w:outlineLvl w:val="2"/>
        <w:rPr>
          <w:rFonts w:ascii="Calibri" w:hAnsi="Calibri" w:eastAsia="宋体" w:cs="Times New Roman"/>
          <w:b/>
          <w:bCs/>
          <w:sz w:val="32"/>
          <w:szCs w:val="32"/>
        </w:rPr>
      </w:pPr>
      <w:r>
        <w:rPr>
          <w:rFonts w:hint="eastAsia" w:ascii="Calibri" w:hAnsi="Calibri" w:eastAsia="宋体" w:cs="Times New Roman"/>
          <w:b/>
          <w:bCs/>
          <w:sz w:val="32"/>
          <w:szCs w:val="32"/>
        </w:rPr>
        <w:t>附件1：</w:t>
      </w:r>
      <w:bookmarkEnd w:id="95"/>
      <w:r>
        <w:rPr>
          <w:rFonts w:hint="eastAsia" w:ascii="宋体" w:hAnsi="宋体" w:eastAsia="宋体" w:cs="Times New Roman"/>
          <w:b/>
          <w:bCs/>
          <w:sz w:val="32"/>
          <w:szCs w:val="32"/>
        </w:rPr>
        <w:t>建筑列表</w:t>
      </w:r>
      <w:bookmarkEnd w:id="96"/>
    </w:p>
    <w:tbl>
      <w:tblPr>
        <w:tblStyle w:val="59"/>
        <w:tblW w:w="7844" w:type="dxa"/>
        <w:jc w:val="center"/>
        <w:tblLayout w:type="fixed"/>
        <w:tblCellMar>
          <w:top w:w="0" w:type="dxa"/>
          <w:left w:w="108" w:type="dxa"/>
          <w:bottom w:w="0" w:type="dxa"/>
          <w:right w:w="108" w:type="dxa"/>
        </w:tblCellMar>
      </w:tblPr>
      <w:tblGrid>
        <w:gridCol w:w="727"/>
        <w:gridCol w:w="1935"/>
        <w:gridCol w:w="1110"/>
        <w:gridCol w:w="2055"/>
        <w:gridCol w:w="2017"/>
      </w:tblGrid>
      <w:tr w14:paraId="23185201">
        <w:tblPrEx>
          <w:tblCellMar>
            <w:top w:w="0" w:type="dxa"/>
            <w:left w:w="108" w:type="dxa"/>
            <w:bottom w:w="0" w:type="dxa"/>
            <w:right w:w="108" w:type="dxa"/>
          </w:tblCellMar>
        </w:tblPrEx>
        <w:trPr>
          <w:trHeight w:val="342"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5476B020">
            <w:pPr>
              <w:widowControl/>
              <w:rPr>
                <w:rFonts w:hint="eastAsia" w:ascii="微软雅黑" w:hAnsi="微软雅黑" w:eastAsia="微软雅黑" w:cs="宋体"/>
                <w:b/>
                <w:bCs/>
                <w:kern w:val="0"/>
                <w:sz w:val="20"/>
                <w:szCs w:val="20"/>
                <w:lang w:eastAsia="zh-CN"/>
              </w:rPr>
            </w:pPr>
            <w:bookmarkStart w:id="97" w:name="_Toc90475310"/>
            <w:bookmarkStart w:id="98" w:name="_Toc90759980"/>
            <w:r>
              <w:rPr>
                <w:rFonts w:hint="eastAsia" w:ascii="微软雅黑" w:hAnsi="微软雅黑" w:eastAsia="微软雅黑" w:cs="宋体"/>
                <w:b/>
                <w:bCs/>
                <w:kern w:val="0"/>
                <w:sz w:val="20"/>
                <w:szCs w:val="20"/>
                <w:lang w:val="en-US" w:eastAsia="zh-CN"/>
              </w:rPr>
              <w:t>序号</w:t>
            </w:r>
          </w:p>
        </w:tc>
        <w:tc>
          <w:tcPr>
            <w:tcW w:w="1935" w:type="dxa"/>
            <w:tcBorders>
              <w:top w:val="single" w:color="auto" w:sz="4" w:space="0"/>
              <w:left w:val="single" w:color="auto" w:sz="4" w:space="0"/>
              <w:bottom w:val="single" w:color="auto" w:sz="4" w:space="0"/>
              <w:right w:val="single" w:color="auto" w:sz="4" w:space="0"/>
            </w:tcBorders>
            <w:noWrap/>
            <w:vAlign w:val="center"/>
          </w:tcPr>
          <w:p w14:paraId="0B7C2CFA">
            <w:pPr>
              <w:widowControl/>
              <w:jc w:val="center"/>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rPr>
              <w:t>名称</w:t>
            </w:r>
          </w:p>
        </w:tc>
        <w:tc>
          <w:tcPr>
            <w:tcW w:w="1110" w:type="dxa"/>
            <w:tcBorders>
              <w:top w:val="single" w:color="auto" w:sz="4" w:space="0"/>
              <w:left w:val="single" w:color="auto" w:sz="4" w:space="0"/>
              <w:bottom w:val="single" w:color="auto" w:sz="4" w:space="0"/>
              <w:right w:val="single" w:color="auto" w:sz="4" w:space="0"/>
            </w:tcBorders>
            <w:noWrap/>
            <w:vAlign w:val="center"/>
          </w:tcPr>
          <w:p w14:paraId="357B435A">
            <w:pPr>
              <w:widowControl/>
              <w:jc w:val="center"/>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rPr>
              <w:t>层数</w:t>
            </w:r>
          </w:p>
        </w:tc>
        <w:tc>
          <w:tcPr>
            <w:tcW w:w="2055" w:type="dxa"/>
            <w:tcBorders>
              <w:top w:val="single" w:color="auto" w:sz="4" w:space="0"/>
              <w:left w:val="single" w:color="auto" w:sz="4" w:space="0"/>
              <w:bottom w:val="single" w:color="auto" w:sz="4" w:space="0"/>
              <w:right w:val="single" w:color="auto" w:sz="4" w:space="0"/>
            </w:tcBorders>
            <w:noWrap/>
            <w:vAlign w:val="center"/>
          </w:tcPr>
          <w:p w14:paraId="451016C2">
            <w:pPr>
              <w:keepNext w:val="0"/>
              <w:keepLines w:val="0"/>
              <w:widowControl/>
              <w:suppressLineNumbers w:val="0"/>
              <w:jc w:val="center"/>
              <w:textAlignment w:val="center"/>
              <w:rPr>
                <w:rFonts w:hint="eastAsia" w:ascii="微软雅黑" w:hAnsi="微软雅黑" w:eastAsia="微软雅黑" w:cs="宋体"/>
                <w:b/>
                <w:bCs/>
                <w:kern w:val="0"/>
                <w:sz w:val="20"/>
                <w:szCs w:val="20"/>
              </w:rPr>
            </w:pPr>
            <w:r>
              <w:rPr>
                <w:rFonts w:hint="eastAsia" w:ascii="微软雅黑" w:hAnsi="微软雅黑" w:eastAsia="微软雅黑" w:cs="微软雅黑"/>
                <w:b/>
                <w:bCs/>
                <w:i w:val="0"/>
                <w:iCs w:val="0"/>
                <w:color w:val="000000"/>
                <w:kern w:val="0"/>
                <w:sz w:val="20"/>
                <w:szCs w:val="20"/>
                <w:u w:val="none"/>
                <w:lang w:val="en-US" w:eastAsia="zh-CN" w:bidi="ar"/>
              </w:rPr>
              <w:t>地上建筑面积㎡</w:t>
            </w:r>
          </w:p>
        </w:tc>
        <w:tc>
          <w:tcPr>
            <w:tcW w:w="2017" w:type="dxa"/>
            <w:tcBorders>
              <w:top w:val="single" w:color="auto" w:sz="4" w:space="0"/>
              <w:left w:val="single" w:color="auto" w:sz="4" w:space="0"/>
              <w:bottom w:val="single" w:color="auto" w:sz="4" w:space="0"/>
              <w:right w:val="single" w:color="auto" w:sz="4" w:space="0"/>
            </w:tcBorders>
            <w:vAlign w:val="center"/>
          </w:tcPr>
          <w:p w14:paraId="1AA4E168">
            <w:pPr>
              <w:keepNext w:val="0"/>
              <w:keepLines w:val="0"/>
              <w:widowControl/>
              <w:suppressLineNumbers w:val="0"/>
              <w:jc w:val="center"/>
              <w:textAlignment w:val="center"/>
              <w:rPr>
                <w:rFonts w:hint="eastAsia" w:ascii="微软雅黑" w:hAnsi="微软雅黑" w:eastAsia="微软雅黑" w:cs="宋体"/>
                <w:b/>
                <w:bCs/>
                <w:kern w:val="0"/>
                <w:sz w:val="20"/>
                <w:szCs w:val="20"/>
              </w:rPr>
            </w:pPr>
            <w:r>
              <w:rPr>
                <w:rFonts w:hint="eastAsia" w:ascii="微软雅黑" w:hAnsi="微软雅黑" w:eastAsia="微软雅黑" w:cs="微软雅黑"/>
                <w:b/>
                <w:bCs/>
                <w:i w:val="0"/>
                <w:iCs w:val="0"/>
                <w:color w:val="000000"/>
                <w:kern w:val="0"/>
                <w:sz w:val="20"/>
                <w:szCs w:val="20"/>
                <w:u w:val="none"/>
                <w:lang w:val="en-US" w:eastAsia="zh-CN" w:bidi="ar"/>
              </w:rPr>
              <w:t>地下建筑面积㎡</w:t>
            </w:r>
          </w:p>
        </w:tc>
      </w:tr>
      <w:tr w14:paraId="5532AE7A">
        <w:tblPrEx>
          <w:tblCellMar>
            <w:top w:w="0" w:type="dxa"/>
            <w:left w:w="108" w:type="dxa"/>
            <w:bottom w:w="0" w:type="dxa"/>
            <w:right w:w="108" w:type="dxa"/>
          </w:tblCellMar>
        </w:tblPrEx>
        <w:trPr>
          <w:trHeight w:val="342"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51339782">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1</w:t>
            </w:r>
          </w:p>
        </w:tc>
        <w:tc>
          <w:tcPr>
            <w:tcW w:w="1935" w:type="dxa"/>
            <w:tcBorders>
              <w:top w:val="single" w:color="auto" w:sz="4" w:space="0"/>
              <w:left w:val="single" w:color="auto" w:sz="4" w:space="0"/>
              <w:bottom w:val="single" w:color="auto" w:sz="4" w:space="0"/>
              <w:right w:val="single" w:color="auto" w:sz="4" w:space="0"/>
            </w:tcBorders>
            <w:noWrap/>
            <w:vAlign w:val="center"/>
          </w:tcPr>
          <w:p w14:paraId="62F41D9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1号楼</w:t>
            </w:r>
            <w:r>
              <w:rPr>
                <w:rFonts w:hint="eastAsia" w:ascii="宋体" w:hAnsi="宋体" w:eastAsia="宋体" w:cs="宋体"/>
                <w:color w:val="000000"/>
                <w:kern w:val="0"/>
                <w:sz w:val="18"/>
                <w:szCs w:val="18"/>
              </w:rPr>
              <w:t>学生活动中心</w:t>
            </w:r>
          </w:p>
        </w:tc>
        <w:tc>
          <w:tcPr>
            <w:tcW w:w="1110" w:type="dxa"/>
            <w:tcBorders>
              <w:top w:val="single" w:color="auto" w:sz="4" w:space="0"/>
              <w:left w:val="single" w:color="auto" w:sz="4" w:space="0"/>
              <w:bottom w:val="single" w:color="auto" w:sz="4" w:space="0"/>
              <w:right w:val="single" w:color="auto" w:sz="4" w:space="0"/>
            </w:tcBorders>
            <w:noWrap/>
            <w:vAlign w:val="center"/>
          </w:tcPr>
          <w:p w14:paraId="03C8659D">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4F</w:t>
            </w:r>
          </w:p>
        </w:tc>
        <w:tc>
          <w:tcPr>
            <w:tcW w:w="2055" w:type="dxa"/>
            <w:tcBorders>
              <w:top w:val="single" w:color="auto" w:sz="4" w:space="0"/>
              <w:left w:val="single" w:color="auto" w:sz="4" w:space="0"/>
              <w:bottom w:val="single" w:color="auto" w:sz="4" w:space="0"/>
              <w:right w:val="single" w:color="auto" w:sz="4" w:space="0"/>
            </w:tcBorders>
            <w:noWrap/>
            <w:vAlign w:val="center"/>
          </w:tcPr>
          <w:p w14:paraId="443CF1B0">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7509.18</w:t>
            </w:r>
          </w:p>
        </w:tc>
        <w:tc>
          <w:tcPr>
            <w:tcW w:w="2017" w:type="dxa"/>
            <w:tcBorders>
              <w:top w:val="single" w:color="auto" w:sz="4" w:space="0"/>
              <w:left w:val="single" w:color="auto" w:sz="4" w:space="0"/>
              <w:bottom w:val="single" w:color="auto" w:sz="4" w:space="0"/>
              <w:right w:val="single" w:color="auto" w:sz="4" w:space="0"/>
            </w:tcBorders>
            <w:vAlign w:val="center"/>
          </w:tcPr>
          <w:p w14:paraId="7BF11101">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r>
      <w:tr w14:paraId="78EEDB95">
        <w:tblPrEx>
          <w:tblCellMar>
            <w:top w:w="0" w:type="dxa"/>
            <w:left w:w="108" w:type="dxa"/>
            <w:bottom w:w="0" w:type="dxa"/>
            <w:right w:w="108" w:type="dxa"/>
          </w:tblCellMar>
        </w:tblPrEx>
        <w:trPr>
          <w:trHeight w:val="342"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26F9F7A4">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2</w:t>
            </w:r>
          </w:p>
        </w:tc>
        <w:tc>
          <w:tcPr>
            <w:tcW w:w="1935" w:type="dxa"/>
            <w:tcBorders>
              <w:top w:val="single" w:color="auto" w:sz="4" w:space="0"/>
              <w:left w:val="single" w:color="auto" w:sz="4" w:space="0"/>
              <w:bottom w:val="single" w:color="auto" w:sz="4" w:space="0"/>
              <w:right w:val="single" w:color="auto" w:sz="4" w:space="0"/>
            </w:tcBorders>
            <w:noWrap/>
            <w:vAlign w:val="center"/>
          </w:tcPr>
          <w:p w14:paraId="34708D5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2号楼</w:t>
            </w:r>
            <w:r>
              <w:rPr>
                <w:rFonts w:hint="eastAsia" w:ascii="宋体" w:hAnsi="宋体" w:eastAsia="宋体" w:cs="宋体"/>
                <w:color w:val="000000"/>
                <w:kern w:val="0"/>
                <w:sz w:val="18"/>
                <w:szCs w:val="18"/>
              </w:rPr>
              <w:t>体育馆</w:t>
            </w:r>
          </w:p>
        </w:tc>
        <w:tc>
          <w:tcPr>
            <w:tcW w:w="1110" w:type="dxa"/>
            <w:tcBorders>
              <w:top w:val="single" w:color="auto" w:sz="4" w:space="0"/>
              <w:left w:val="single" w:color="auto" w:sz="4" w:space="0"/>
              <w:bottom w:val="single" w:color="auto" w:sz="4" w:space="0"/>
              <w:right w:val="single" w:color="auto" w:sz="4" w:space="0"/>
            </w:tcBorders>
            <w:noWrap/>
            <w:vAlign w:val="center"/>
          </w:tcPr>
          <w:p w14:paraId="27CF8AFF">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3F</w:t>
            </w:r>
          </w:p>
        </w:tc>
        <w:tc>
          <w:tcPr>
            <w:tcW w:w="2055" w:type="dxa"/>
            <w:tcBorders>
              <w:top w:val="single" w:color="auto" w:sz="4" w:space="0"/>
              <w:left w:val="single" w:color="auto" w:sz="4" w:space="0"/>
              <w:bottom w:val="single" w:color="auto" w:sz="4" w:space="0"/>
              <w:right w:val="single" w:color="auto" w:sz="4" w:space="0"/>
            </w:tcBorders>
            <w:noWrap/>
            <w:vAlign w:val="center"/>
          </w:tcPr>
          <w:p w14:paraId="0AACD85C">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13714.84</w:t>
            </w:r>
          </w:p>
        </w:tc>
        <w:tc>
          <w:tcPr>
            <w:tcW w:w="2017" w:type="dxa"/>
            <w:tcBorders>
              <w:top w:val="single" w:color="auto" w:sz="4" w:space="0"/>
              <w:left w:val="single" w:color="auto" w:sz="4" w:space="0"/>
              <w:bottom w:val="single" w:color="auto" w:sz="4" w:space="0"/>
              <w:right w:val="single" w:color="auto" w:sz="4" w:space="0"/>
            </w:tcBorders>
            <w:vAlign w:val="center"/>
          </w:tcPr>
          <w:p w14:paraId="7ADBF95E">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r>
      <w:tr w14:paraId="19F0873B">
        <w:tblPrEx>
          <w:tblCellMar>
            <w:top w:w="0" w:type="dxa"/>
            <w:left w:w="108" w:type="dxa"/>
            <w:bottom w:w="0" w:type="dxa"/>
            <w:right w:w="108" w:type="dxa"/>
          </w:tblCellMar>
        </w:tblPrEx>
        <w:trPr>
          <w:trHeight w:val="342"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7C13E764">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3</w:t>
            </w:r>
          </w:p>
        </w:tc>
        <w:tc>
          <w:tcPr>
            <w:tcW w:w="1935" w:type="dxa"/>
            <w:tcBorders>
              <w:top w:val="single" w:color="auto" w:sz="4" w:space="0"/>
              <w:left w:val="single" w:color="auto" w:sz="4" w:space="0"/>
              <w:bottom w:val="single" w:color="auto" w:sz="4" w:space="0"/>
              <w:right w:val="single" w:color="auto" w:sz="4" w:space="0"/>
            </w:tcBorders>
            <w:noWrap/>
            <w:vAlign w:val="center"/>
          </w:tcPr>
          <w:p w14:paraId="7AD86BA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3号楼</w:t>
            </w:r>
            <w:r>
              <w:rPr>
                <w:rFonts w:hint="eastAsia" w:ascii="宋体" w:hAnsi="宋体" w:eastAsia="宋体" w:cs="宋体"/>
                <w:color w:val="000000"/>
                <w:kern w:val="0"/>
                <w:sz w:val="18"/>
                <w:szCs w:val="18"/>
              </w:rPr>
              <w:t>图书馆</w:t>
            </w:r>
          </w:p>
        </w:tc>
        <w:tc>
          <w:tcPr>
            <w:tcW w:w="1110" w:type="dxa"/>
            <w:tcBorders>
              <w:top w:val="single" w:color="auto" w:sz="4" w:space="0"/>
              <w:left w:val="single" w:color="auto" w:sz="4" w:space="0"/>
              <w:bottom w:val="single" w:color="auto" w:sz="4" w:space="0"/>
              <w:right w:val="single" w:color="auto" w:sz="4" w:space="0"/>
            </w:tcBorders>
            <w:noWrap/>
            <w:vAlign w:val="center"/>
          </w:tcPr>
          <w:p w14:paraId="4C238955">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9F/-1F</w:t>
            </w:r>
          </w:p>
        </w:tc>
        <w:tc>
          <w:tcPr>
            <w:tcW w:w="2055" w:type="dxa"/>
            <w:tcBorders>
              <w:top w:val="single" w:color="auto" w:sz="4" w:space="0"/>
              <w:left w:val="single" w:color="auto" w:sz="4" w:space="0"/>
              <w:bottom w:val="single" w:color="auto" w:sz="4" w:space="0"/>
              <w:right w:val="single" w:color="auto" w:sz="4" w:space="0"/>
            </w:tcBorders>
            <w:noWrap/>
            <w:vAlign w:val="center"/>
          </w:tcPr>
          <w:p w14:paraId="4B73B17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24176.95</w:t>
            </w:r>
          </w:p>
        </w:tc>
        <w:tc>
          <w:tcPr>
            <w:tcW w:w="2017" w:type="dxa"/>
            <w:vMerge w:val="restart"/>
            <w:tcBorders>
              <w:top w:val="single" w:color="auto" w:sz="4" w:space="0"/>
              <w:left w:val="single" w:color="auto" w:sz="4" w:space="0"/>
              <w:bottom w:val="single" w:color="auto" w:sz="4" w:space="0"/>
              <w:right w:val="single" w:color="auto" w:sz="4" w:space="0"/>
            </w:tcBorders>
            <w:vAlign w:val="center"/>
          </w:tcPr>
          <w:p w14:paraId="10F5DA6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11933.37</w:t>
            </w:r>
          </w:p>
        </w:tc>
      </w:tr>
      <w:tr w14:paraId="241D91DD">
        <w:tblPrEx>
          <w:tblCellMar>
            <w:top w:w="0" w:type="dxa"/>
            <w:left w:w="108" w:type="dxa"/>
            <w:bottom w:w="0" w:type="dxa"/>
            <w:right w:w="108" w:type="dxa"/>
          </w:tblCellMar>
        </w:tblPrEx>
        <w:trPr>
          <w:trHeight w:val="342"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2F525F91">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4</w:t>
            </w:r>
          </w:p>
        </w:tc>
        <w:tc>
          <w:tcPr>
            <w:tcW w:w="1935" w:type="dxa"/>
            <w:tcBorders>
              <w:top w:val="single" w:color="auto" w:sz="4" w:space="0"/>
              <w:left w:val="single" w:color="auto" w:sz="4" w:space="0"/>
              <w:bottom w:val="single" w:color="auto" w:sz="4" w:space="0"/>
              <w:right w:val="single" w:color="auto" w:sz="4" w:space="0"/>
            </w:tcBorders>
            <w:noWrap/>
            <w:vAlign w:val="center"/>
          </w:tcPr>
          <w:p w14:paraId="35CE386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4号楼</w:t>
            </w:r>
            <w:r>
              <w:rPr>
                <w:rFonts w:hint="eastAsia" w:ascii="宋体" w:hAnsi="宋体" w:eastAsia="宋体" w:cs="宋体"/>
                <w:color w:val="000000"/>
                <w:kern w:val="0"/>
                <w:sz w:val="18"/>
                <w:szCs w:val="18"/>
              </w:rPr>
              <w:t>公共教学楼</w:t>
            </w:r>
          </w:p>
        </w:tc>
        <w:tc>
          <w:tcPr>
            <w:tcW w:w="1110" w:type="dxa"/>
            <w:tcBorders>
              <w:top w:val="single" w:color="auto" w:sz="4" w:space="0"/>
              <w:left w:val="single" w:color="auto" w:sz="4" w:space="0"/>
              <w:bottom w:val="single" w:color="auto" w:sz="4" w:space="0"/>
              <w:right w:val="single" w:color="auto" w:sz="4" w:space="0"/>
            </w:tcBorders>
            <w:noWrap/>
            <w:vAlign w:val="center"/>
          </w:tcPr>
          <w:p w14:paraId="48E55D7F">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5F</w:t>
            </w:r>
          </w:p>
        </w:tc>
        <w:tc>
          <w:tcPr>
            <w:tcW w:w="2055" w:type="dxa"/>
            <w:tcBorders>
              <w:top w:val="single" w:color="auto" w:sz="4" w:space="0"/>
              <w:left w:val="single" w:color="auto" w:sz="4" w:space="0"/>
              <w:bottom w:val="single" w:color="auto" w:sz="4" w:space="0"/>
              <w:right w:val="single" w:color="auto" w:sz="4" w:space="0"/>
            </w:tcBorders>
            <w:noWrap/>
            <w:vAlign w:val="center"/>
          </w:tcPr>
          <w:p w14:paraId="7E7237D9">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25478.26</w:t>
            </w:r>
          </w:p>
        </w:tc>
        <w:tc>
          <w:tcPr>
            <w:tcW w:w="2017" w:type="dxa"/>
            <w:vMerge w:val="continue"/>
            <w:tcBorders>
              <w:top w:val="single" w:color="auto" w:sz="4" w:space="0"/>
              <w:left w:val="single" w:color="auto" w:sz="4" w:space="0"/>
              <w:bottom w:val="single" w:color="auto" w:sz="4" w:space="0"/>
              <w:right w:val="single" w:color="auto" w:sz="4" w:space="0"/>
            </w:tcBorders>
            <w:vAlign w:val="center"/>
          </w:tcPr>
          <w:p w14:paraId="2EF55E18">
            <w:pPr>
              <w:jc w:val="center"/>
              <w:rPr>
                <w:rFonts w:hint="eastAsia" w:ascii="宋体" w:hAnsi="宋体" w:eastAsia="宋体" w:cs="宋体"/>
                <w:kern w:val="0"/>
                <w:sz w:val="18"/>
                <w:szCs w:val="18"/>
              </w:rPr>
            </w:pPr>
          </w:p>
        </w:tc>
      </w:tr>
      <w:tr w14:paraId="7BF6DAD7">
        <w:tblPrEx>
          <w:tblCellMar>
            <w:top w:w="0" w:type="dxa"/>
            <w:left w:w="108" w:type="dxa"/>
            <w:bottom w:w="0" w:type="dxa"/>
            <w:right w:w="108" w:type="dxa"/>
          </w:tblCellMar>
        </w:tblPrEx>
        <w:trPr>
          <w:trHeight w:val="342"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1DF63143">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5</w:t>
            </w:r>
          </w:p>
        </w:tc>
        <w:tc>
          <w:tcPr>
            <w:tcW w:w="1935" w:type="dxa"/>
            <w:tcBorders>
              <w:top w:val="single" w:color="auto" w:sz="4" w:space="0"/>
              <w:left w:val="single" w:color="auto" w:sz="4" w:space="0"/>
              <w:bottom w:val="single" w:color="auto" w:sz="4" w:space="0"/>
              <w:right w:val="single" w:color="auto" w:sz="4" w:space="0"/>
            </w:tcBorders>
            <w:noWrap/>
            <w:vAlign w:val="center"/>
          </w:tcPr>
          <w:p w14:paraId="536CB023">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5号楼</w:t>
            </w:r>
            <w:r>
              <w:rPr>
                <w:rFonts w:hint="eastAsia" w:ascii="宋体" w:hAnsi="宋体" w:eastAsia="宋体" w:cs="宋体"/>
                <w:color w:val="000000"/>
                <w:kern w:val="0"/>
                <w:sz w:val="18"/>
                <w:szCs w:val="18"/>
              </w:rPr>
              <w:t>学院</w:t>
            </w:r>
            <w:r>
              <w:rPr>
                <w:rFonts w:hint="eastAsia" w:ascii="宋体" w:hAnsi="宋体" w:eastAsia="宋体" w:cs="宋体"/>
                <w:color w:val="000000"/>
                <w:kern w:val="0"/>
                <w:sz w:val="18"/>
                <w:szCs w:val="18"/>
                <w:lang w:val="en-US" w:eastAsia="zh-CN"/>
              </w:rPr>
              <w:t>楼</w:t>
            </w:r>
          </w:p>
        </w:tc>
        <w:tc>
          <w:tcPr>
            <w:tcW w:w="1110" w:type="dxa"/>
            <w:tcBorders>
              <w:top w:val="single" w:color="auto" w:sz="4" w:space="0"/>
              <w:left w:val="single" w:color="auto" w:sz="4" w:space="0"/>
              <w:bottom w:val="single" w:color="auto" w:sz="4" w:space="0"/>
              <w:right w:val="single" w:color="auto" w:sz="4" w:space="0"/>
            </w:tcBorders>
            <w:noWrap/>
            <w:vAlign w:val="center"/>
          </w:tcPr>
          <w:p w14:paraId="47101070">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5F</w:t>
            </w:r>
          </w:p>
        </w:tc>
        <w:tc>
          <w:tcPr>
            <w:tcW w:w="2055" w:type="dxa"/>
            <w:tcBorders>
              <w:top w:val="single" w:color="auto" w:sz="4" w:space="0"/>
              <w:left w:val="single" w:color="auto" w:sz="4" w:space="0"/>
              <w:bottom w:val="single" w:color="auto" w:sz="4" w:space="0"/>
              <w:right w:val="single" w:color="auto" w:sz="4" w:space="0"/>
            </w:tcBorders>
            <w:noWrap/>
            <w:vAlign w:val="center"/>
          </w:tcPr>
          <w:p w14:paraId="0BB5E6D3">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16300.62</w:t>
            </w:r>
          </w:p>
        </w:tc>
        <w:tc>
          <w:tcPr>
            <w:tcW w:w="2017" w:type="dxa"/>
            <w:vMerge w:val="continue"/>
            <w:tcBorders>
              <w:top w:val="single" w:color="auto" w:sz="4" w:space="0"/>
              <w:left w:val="single" w:color="auto" w:sz="4" w:space="0"/>
              <w:bottom w:val="single" w:color="auto" w:sz="4" w:space="0"/>
              <w:right w:val="single" w:color="auto" w:sz="4" w:space="0"/>
            </w:tcBorders>
            <w:vAlign w:val="center"/>
          </w:tcPr>
          <w:p w14:paraId="24EF8AA7">
            <w:pPr>
              <w:jc w:val="center"/>
              <w:rPr>
                <w:rFonts w:hint="eastAsia" w:ascii="宋体" w:hAnsi="宋体" w:eastAsia="宋体" w:cs="宋体"/>
                <w:kern w:val="0"/>
                <w:sz w:val="18"/>
                <w:szCs w:val="18"/>
              </w:rPr>
            </w:pPr>
          </w:p>
        </w:tc>
      </w:tr>
      <w:tr w14:paraId="14C7E47A">
        <w:tblPrEx>
          <w:tblCellMar>
            <w:top w:w="0" w:type="dxa"/>
            <w:left w:w="108" w:type="dxa"/>
            <w:bottom w:w="0" w:type="dxa"/>
            <w:right w:w="108" w:type="dxa"/>
          </w:tblCellMar>
        </w:tblPrEx>
        <w:trPr>
          <w:trHeight w:val="342"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1282C5B9">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6</w:t>
            </w:r>
          </w:p>
        </w:tc>
        <w:tc>
          <w:tcPr>
            <w:tcW w:w="1935" w:type="dxa"/>
            <w:tcBorders>
              <w:top w:val="single" w:color="auto" w:sz="4" w:space="0"/>
              <w:left w:val="single" w:color="auto" w:sz="4" w:space="0"/>
              <w:bottom w:val="single" w:color="auto" w:sz="4" w:space="0"/>
              <w:right w:val="single" w:color="auto" w:sz="4" w:space="0"/>
            </w:tcBorders>
            <w:noWrap/>
            <w:vAlign w:val="center"/>
          </w:tcPr>
          <w:p w14:paraId="5CAB53F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6号楼</w:t>
            </w:r>
            <w:r>
              <w:rPr>
                <w:rFonts w:hint="eastAsia" w:ascii="宋体" w:hAnsi="宋体" w:eastAsia="宋体" w:cs="宋体"/>
                <w:color w:val="000000"/>
                <w:kern w:val="0"/>
                <w:sz w:val="18"/>
                <w:szCs w:val="18"/>
              </w:rPr>
              <w:t>学院</w:t>
            </w:r>
            <w:r>
              <w:rPr>
                <w:rFonts w:hint="eastAsia" w:ascii="宋体" w:hAnsi="宋体" w:eastAsia="宋体" w:cs="宋体"/>
                <w:color w:val="000000"/>
                <w:kern w:val="0"/>
                <w:sz w:val="18"/>
                <w:szCs w:val="18"/>
                <w:lang w:val="en-US" w:eastAsia="zh-CN"/>
              </w:rPr>
              <w:t>楼</w:t>
            </w:r>
          </w:p>
        </w:tc>
        <w:tc>
          <w:tcPr>
            <w:tcW w:w="1110" w:type="dxa"/>
            <w:tcBorders>
              <w:top w:val="single" w:color="auto" w:sz="4" w:space="0"/>
              <w:left w:val="single" w:color="auto" w:sz="4" w:space="0"/>
              <w:bottom w:val="single" w:color="auto" w:sz="4" w:space="0"/>
              <w:right w:val="single" w:color="auto" w:sz="4" w:space="0"/>
            </w:tcBorders>
            <w:noWrap/>
            <w:vAlign w:val="center"/>
          </w:tcPr>
          <w:p w14:paraId="64B616CC">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6F</w:t>
            </w:r>
          </w:p>
        </w:tc>
        <w:tc>
          <w:tcPr>
            <w:tcW w:w="2055" w:type="dxa"/>
            <w:tcBorders>
              <w:top w:val="single" w:color="auto" w:sz="4" w:space="0"/>
              <w:left w:val="single" w:color="auto" w:sz="4" w:space="0"/>
              <w:bottom w:val="single" w:color="auto" w:sz="4" w:space="0"/>
              <w:right w:val="single" w:color="auto" w:sz="4" w:space="0"/>
            </w:tcBorders>
            <w:noWrap/>
            <w:vAlign w:val="center"/>
          </w:tcPr>
          <w:p w14:paraId="2D57E16C">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20660.95</w:t>
            </w:r>
          </w:p>
        </w:tc>
        <w:tc>
          <w:tcPr>
            <w:tcW w:w="2017" w:type="dxa"/>
            <w:tcBorders>
              <w:top w:val="single" w:color="auto" w:sz="4" w:space="0"/>
              <w:left w:val="single" w:color="auto" w:sz="4" w:space="0"/>
              <w:bottom w:val="single" w:color="auto" w:sz="4" w:space="0"/>
              <w:right w:val="single" w:color="auto" w:sz="4" w:space="0"/>
            </w:tcBorders>
            <w:vAlign w:val="center"/>
          </w:tcPr>
          <w:p w14:paraId="479AA735">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r>
      <w:tr w14:paraId="58A3DC54">
        <w:tblPrEx>
          <w:tblCellMar>
            <w:top w:w="0" w:type="dxa"/>
            <w:left w:w="108" w:type="dxa"/>
            <w:bottom w:w="0" w:type="dxa"/>
            <w:right w:w="108" w:type="dxa"/>
          </w:tblCellMar>
        </w:tblPrEx>
        <w:trPr>
          <w:trHeight w:val="342"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56E7E020">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7</w:t>
            </w:r>
          </w:p>
        </w:tc>
        <w:tc>
          <w:tcPr>
            <w:tcW w:w="1935" w:type="dxa"/>
            <w:tcBorders>
              <w:top w:val="single" w:color="auto" w:sz="4" w:space="0"/>
              <w:left w:val="single" w:color="auto" w:sz="4" w:space="0"/>
              <w:bottom w:val="single" w:color="auto" w:sz="4" w:space="0"/>
              <w:right w:val="single" w:color="auto" w:sz="4" w:space="0"/>
            </w:tcBorders>
            <w:noWrap/>
            <w:vAlign w:val="center"/>
          </w:tcPr>
          <w:p w14:paraId="5EE4159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7号楼</w:t>
            </w:r>
            <w:r>
              <w:rPr>
                <w:rFonts w:hint="eastAsia" w:ascii="宋体" w:hAnsi="宋体" w:eastAsia="宋体" w:cs="宋体"/>
                <w:color w:val="000000"/>
                <w:kern w:val="0"/>
                <w:sz w:val="18"/>
                <w:szCs w:val="18"/>
              </w:rPr>
              <w:t>学院</w:t>
            </w:r>
            <w:r>
              <w:rPr>
                <w:rFonts w:hint="eastAsia" w:ascii="宋体" w:hAnsi="宋体" w:eastAsia="宋体" w:cs="宋体"/>
                <w:color w:val="000000"/>
                <w:kern w:val="0"/>
                <w:sz w:val="18"/>
                <w:szCs w:val="18"/>
                <w:lang w:val="en-US" w:eastAsia="zh-CN"/>
              </w:rPr>
              <w:t>楼</w:t>
            </w:r>
          </w:p>
        </w:tc>
        <w:tc>
          <w:tcPr>
            <w:tcW w:w="1110" w:type="dxa"/>
            <w:tcBorders>
              <w:top w:val="single" w:color="auto" w:sz="4" w:space="0"/>
              <w:left w:val="single" w:color="auto" w:sz="4" w:space="0"/>
              <w:bottom w:val="single" w:color="auto" w:sz="4" w:space="0"/>
              <w:right w:val="single" w:color="auto" w:sz="4" w:space="0"/>
            </w:tcBorders>
            <w:noWrap/>
            <w:vAlign w:val="center"/>
          </w:tcPr>
          <w:p w14:paraId="0F5B9C69">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7F/-1F</w:t>
            </w:r>
          </w:p>
        </w:tc>
        <w:tc>
          <w:tcPr>
            <w:tcW w:w="2055" w:type="dxa"/>
            <w:tcBorders>
              <w:top w:val="single" w:color="auto" w:sz="4" w:space="0"/>
              <w:left w:val="single" w:color="auto" w:sz="4" w:space="0"/>
              <w:bottom w:val="single" w:color="auto" w:sz="4" w:space="0"/>
              <w:right w:val="single" w:color="auto" w:sz="4" w:space="0"/>
            </w:tcBorders>
            <w:noWrap/>
            <w:vAlign w:val="center"/>
          </w:tcPr>
          <w:p w14:paraId="4BB1054D">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19283.24</w:t>
            </w:r>
          </w:p>
        </w:tc>
        <w:tc>
          <w:tcPr>
            <w:tcW w:w="2017" w:type="dxa"/>
            <w:tcBorders>
              <w:top w:val="single" w:color="auto" w:sz="4" w:space="0"/>
              <w:left w:val="single" w:color="auto" w:sz="4" w:space="0"/>
              <w:bottom w:val="single" w:color="auto" w:sz="4" w:space="0"/>
              <w:right w:val="single" w:color="auto" w:sz="4" w:space="0"/>
            </w:tcBorders>
            <w:vAlign w:val="center"/>
          </w:tcPr>
          <w:p w14:paraId="36299005">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55.12</w:t>
            </w:r>
          </w:p>
        </w:tc>
      </w:tr>
      <w:tr w14:paraId="5094620F">
        <w:tblPrEx>
          <w:tblCellMar>
            <w:top w:w="0" w:type="dxa"/>
            <w:left w:w="108" w:type="dxa"/>
            <w:bottom w:w="0" w:type="dxa"/>
            <w:right w:w="108" w:type="dxa"/>
          </w:tblCellMar>
        </w:tblPrEx>
        <w:trPr>
          <w:trHeight w:val="342"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0C68EE0F">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8</w:t>
            </w:r>
          </w:p>
        </w:tc>
        <w:tc>
          <w:tcPr>
            <w:tcW w:w="1935" w:type="dxa"/>
            <w:tcBorders>
              <w:top w:val="single" w:color="auto" w:sz="4" w:space="0"/>
              <w:left w:val="single" w:color="auto" w:sz="4" w:space="0"/>
              <w:bottom w:val="single" w:color="auto" w:sz="4" w:space="0"/>
              <w:right w:val="single" w:color="auto" w:sz="4" w:space="0"/>
            </w:tcBorders>
            <w:noWrap/>
            <w:vAlign w:val="center"/>
          </w:tcPr>
          <w:p w14:paraId="3A0140A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 号楼</w:t>
            </w:r>
            <w:r>
              <w:rPr>
                <w:rFonts w:hint="eastAsia" w:ascii="宋体" w:hAnsi="宋体" w:eastAsia="宋体" w:cs="宋体"/>
                <w:color w:val="000000"/>
                <w:kern w:val="0"/>
                <w:sz w:val="18"/>
                <w:szCs w:val="18"/>
              </w:rPr>
              <w:t>食堂</w:t>
            </w:r>
          </w:p>
        </w:tc>
        <w:tc>
          <w:tcPr>
            <w:tcW w:w="1110" w:type="dxa"/>
            <w:tcBorders>
              <w:top w:val="single" w:color="auto" w:sz="4" w:space="0"/>
              <w:left w:val="single" w:color="auto" w:sz="4" w:space="0"/>
              <w:bottom w:val="single" w:color="auto" w:sz="4" w:space="0"/>
              <w:right w:val="single" w:color="auto" w:sz="4" w:space="0"/>
            </w:tcBorders>
            <w:noWrap/>
            <w:vAlign w:val="center"/>
          </w:tcPr>
          <w:p w14:paraId="697C3298">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4F</w:t>
            </w:r>
          </w:p>
        </w:tc>
        <w:tc>
          <w:tcPr>
            <w:tcW w:w="2055" w:type="dxa"/>
            <w:tcBorders>
              <w:top w:val="single" w:color="auto" w:sz="4" w:space="0"/>
              <w:left w:val="single" w:color="auto" w:sz="4" w:space="0"/>
              <w:bottom w:val="single" w:color="auto" w:sz="4" w:space="0"/>
              <w:right w:val="single" w:color="auto" w:sz="4" w:space="0"/>
            </w:tcBorders>
            <w:noWrap/>
            <w:vAlign w:val="center"/>
          </w:tcPr>
          <w:p w14:paraId="58EC6756">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12087.71</w:t>
            </w:r>
          </w:p>
        </w:tc>
        <w:tc>
          <w:tcPr>
            <w:tcW w:w="2017" w:type="dxa"/>
            <w:tcBorders>
              <w:top w:val="single" w:color="auto" w:sz="4" w:space="0"/>
              <w:left w:val="single" w:color="auto" w:sz="4" w:space="0"/>
              <w:bottom w:val="single" w:color="auto" w:sz="4" w:space="0"/>
              <w:right w:val="single" w:color="auto" w:sz="4" w:space="0"/>
            </w:tcBorders>
            <w:vAlign w:val="center"/>
          </w:tcPr>
          <w:p w14:paraId="760010D1">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r>
      <w:tr w14:paraId="710C9911">
        <w:tblPrEx>
          <w:tblCellMar>
            <w:top w:w="0" w:type="dxa"/>
            <w:left w:w="108" w:type="dxa"/>
            <w:bottom w:w="0" w:type="dxa"/>
            <w:right w:w="108" w:type="dxa"/>
          </w:tblCellMar>
        </w:tblPrEx>
        <w:trPr>
          <w:trHeight w:val="342"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5802A5D2">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9</w:t>
            </w:r>
          </w:p>
        </w:tc>
        <w:tc>
          <w:tcPr>
            <w:tcW w:w="1935" w:type="dxa"/>
            <w:tcBorders>
              <w:top w:val="single" w:color="auto" w:sz="4" w:space="0"/>
              <w:left w:val="single" w:color="auto" w:sz="4" w:space="0"/>
              <w:bottom w:val="single" w:color="auto" w:sz="4" w:space="0"/>
              <w:right w:val="single" w:color="auto" w:sz="4" w:space="0"/>
            </w:tcBorders>
            <w:noWrap/>
            <w:vAlign w:val="center"/>
          </w:tcPr>
          <w:p w14:paraId="2D1FB40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11号楼</w:t>
            </w:r>
            <w:r>
              <w:rPr>
                <w:rFonts w:hint="eastAsia" w:ascii="宋体" w:hAnsi="宋体" w:eastAsia="宋体" w:cs="宋体"/>
                <w:color w:val="000000"/>
                <w:kern w:val="0"/>
                <w:sz w:val="18"/>
                <w:szCs w:val="18"/>
              </w:rPr>
              <w:t>蚕学馆</w:t>
            </w:r>
          </w:p>
        </w:tc>
        <w:tc>
          <w:tcPr>
            <w:tcW w:w="1110" w:type="dxa"/>
            <w:tcBorders>
              <w:top w:val="single" w:color="auto" w:sz="4" w:space="0"/>
              <w:left w:val="single" w:color="auto" w:sz="4" w:space="0"/>
              <w:bottom w:val="single" w:color="auto" w:sz="4" w:space="0"/>
              <w:right w:val="single" w:color="auto" w:sz="4" w:space="0"/>
            </w:tcBorders>
            <w:noWrap/>
            <w:vAlign w:val="center"/>
          </w:tcPr>
          <w:p w14:paraId="51AE25F0">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2F</w:t>
            </w:r>
          </w:p>
        </w:tc>
        <w:tc>
          <w:tcPr>
            <w:tcW w:w="2055" w:type="dxa"/>
            <w:tcBorders>
              <w:top w:val="single" w:color="auto" w:sz="4" w:space="0"/>
              <w:left w:val="single" w:color="auto" w:sz="4" w:space="0"/>
              <w:bottom w:val="single" w:color="auto" w:sz="4" w:space="0"/>
              <w:right w:val="single" w:color="auto" w:sz="4" w:space="0"/>
            </w:tcBorders>
            <w:noWrap/>
            <w:vAlign w:val="center"/>
          </w:tcPr>
          <w:p w14:paraId="443A81FD">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1194.03</w:t>
            </w:r>
          </w:p>
        </w:tc>
        <w:tc>
          <w:tcPr>
            <w:tcW w:w="2017" w:type="dxa"/>
            <w:tcBorders>
              <w:top w:val="single" w:color="auto" w:sz="4" w:space="0"/>
              <w:left w:val="single" w:color="auto" w:sz="4" w:space="0"/>
              <w:bottom w:val="single" w:color="auto" w:sz="4" w:space="0"/>
              <w:right w:val="single" w:color="auto" w:sz="4" w:space="0"/>
            </w:tcBorders>
            <w:vAlign w:val="center"/>
          </w:tcPr>
          <w:p w14:paraId="6779AFDB">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r>
      <w:tr w14:paraId="1B485713">
        <w:tblPrEx>
          <w:tblCellMar>
            <w:top w:w="0" w:type="dxa"/>
            <w:left w:w="108" w:type="dxa"/>
            <w:bottom w:w="0" w:type="dxa"/>
            <w:right w:w="108" w:type="dxa"/>
          </w:tblCellMar>
        </w:tblPrEx>
        <w:trPr>
          <w:trHeight w:val="342"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543E80AC">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0</w:t>
            </w:r>
          </w:p>
        </w:tc>
        <w:tc>
          <w:tcPr>
            <w:tcW w:w="1935" w:type="dxa"/>
            <w:tcBorders>
              <w:top w:val="single" w:color="auto" w:sz="4" w:space="0"/>
              <w:left w:val="single" w:color="auto" w:sz="4" w:space="0"/>
              <w:bottom w:val="single" w:color="auto" w:sz="4" w:space="0"/>
              <w:right w:val="single" w:color="auto" w:sz="4" w:space="0"/>
            </w:tcBorders>
            <w:noWrap/>
            <w:vAlign w:val="center"/>
          </w:tcPr>
          <w:p w14:paraId="7164B968">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12号宿舍楼</w:t>
            </w:r>
          </w:p>
        </w:tc>
        <w:tc>
          <w:tcPr>
            <w:tcW w:w="1110" w:type="dxa"/>
            <w:tcBorders>
              <w:top w:val="single" w:color="auto" w:sz="4" w:space="0"/>
              <w:left w:val="single" w:color="auto" w:sz="4" w:space="0"/>
              <w:bottom w:val="single" w:color="auto" w:sz="4" w:space="0"/>
              <w:right w:val="single" w:color="auto" w:sz="4" w:space="0"/>
            </w:tcBorders>
            <w:noWrap/>
            <w:vAlign w:val="center"/>
          </w:tcPr>
          <w:p w14:paraId="33C24C0B">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15F</w:t>
            </w:r>
          </w:p>
        </w:tc>
        <w:tc>
          <w:tcPr>
            <w:tcW w:w="2055" w:type="dxa"/>
            <w:tcBorders>
              <w:top w:val="single" w:color="auto" w:sz="4" w:space="0"/>
              <w:left w:val="single" w:color="auto" w:sz="4" w:space="0"/>
              <w:bottom w:val="single" w:color="auto" w:sz="4" w:space="0"/>
              <w:right w:val="single" w:color="auto" w:sz="4" w:space="0"/>
            </w:tcBorders>
            <w:noWrap/>
            <w:vAlign w:val="center"/>
          </w:tcPr>
          <w:p w14:paraId="62350A3B">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28139.98</w:t>
            </w:r>
          </w:p>
        </w:tc>
        <w:tc>
          <w:tcPr>
            <w:tcW w:w="2017" w:type="dxa"/>
            <w:tcBorders>
              <w:top w:val="single" w:color="auto" w:sz="4" w:space="0"/>
              <w:left w:val="single" w:color="auto" w:sz="4" w:space="0"/>
              <w:bottom w:val="single" w:color="auto" w:sz="4" w:space="0"/>
              <w:right w:val="single" w:color="auto" w:sz="4" w:space="0"/>
            </w:tcBorders>
            <w:vAlign w:val="center"/>
          </w:tcPr>
          <w:p w14:paraId="36BB36CB">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r>
      <w:tr w14:paraId="0DB34008">
        <w:tblPrEx>
          <w:tblCellMar>
            <w:top w:w="0" w:type="dxa"/>
            <w:left w:w="108" w:type="dxa"/>
            <w:bottom w:w="0" w:type="dxa"/>
            <w:right w:w="108" w:type="dxa"/>
          </w:tblCellMar>
        </w:tblPrEx>
        <w:trPr>
          <w:trHeight w:val="342"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29921F31">
            <w:pPr>
              <w:widowControl/>
              <w:jc w:val="center"/>
              <w:rPr>
                <w:rFonts w:hint="eastAsia" w:ascii="宋体" w:hAnsi="宋体" w:eastAsia="宋体" w:cs="宋体"/>
                <w:color w:val="000000"/>
                <w:kern w:val="0"/>
                <w:sz w:val="18"/>
                <w:szCs w:val="18"/>
                <w:lang w:eastAsia="zh-CN"/>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1</w:t>
            </w:r>
          </w:p>
        </w:tc>
        <w:tc>
          <w:tcPr>
            <w:tcW w:w="1935" w:type="dxa"/>
            <w:tcBorders>
              <w:top w:val="single" w:color="auto" w:sz="4" w:space="0"/>
              <w:left w:val="single" w:color="auto" w:sz="4" w:space="0"/>
              <w:bottom w:val="single" w:color="auto" w:sz="4" w:space="0"/>
              <w:right w:val="single" w:color="auto" w:sz="4" w:space="0"/>
            </w:tcBorders>
            <w:noWrap/>
            <w:vAlign w:val="center"/>
          </w:tcPr>
          <w:p w14:paraId="592D2DAB">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13号宿舍楼</w:t>
            </w:r>
          </w:p>
        </w:tc>
        <w:tc>
          <w:tcPr>
            <w:tcW w:w="1110" w:type="dxa"/>
            <w:tcBorders>
              <w:top w:val="single" w:color="auto" w:sz="4" w:space="0"/>
              <w:left w:val="single" w:color="auto" w:sz="4" w:space="0"/>
              <w:bottom w:val="single" w:color="auto" w:sz="4" w:space="0"/>
              <w:right w:val="single" w:color="auto" w:sz="4" w:space="0"/>
            </w:tcBorders>
            <w:noWrap/>
            <w:vAlign w:val="center"/>
          </w:tcPr>
          <w:p w14:paraId="573552B7">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15F</w:t>
            </w:r>
          </w:p>
        </w:tc>
        <w:tc>
          <w:tcPr>
            <w:tcW w:w="2055" w:type="dxa"/>
            <w:tcBorders>
              <w:top w:val="single" w:color="auto" w:sz="4" w:space="0"/>
              <w:left w:val="single" w:color="auto" w:sz="4" w:space="0"/>
              <w:bottom w:val="single" w:color="auto" w:sz="4" w:space="0"/>
              <w:right w:val="single" w:color="auto" w:sz="4" w:space="0"/>
            </w:tcBorders>
            <w:noWrap/>
            <w:vAlign w:val="center"/>
          </w:tcPr>
          <w:p w14:paraId="06981D5B">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28139.98</w:t>
            </w:r>
          </w:p>
        </w:tc>
        <w:tc>
          <w:tcPr>
            <w:tcW w:w="2017" w:type="dxa"/>
            <w:tcBorders>
              <w:top w:val="single" w:color="auto" w:sz="4" w:space="0"/>
              <w:left w:val="single" w:color="auto" w:sz="4" w:space="0"/>
              <w:bottom w:val="single" w:color="auto" w:sz="4" w:space="0"/>
              <w:right w:val="single" w:color="auto" w:sz="4" w:space="0"/>
            </w:tcBorders>
            <w:vAlign w:val="center"/>
          </w:tcPr>
          <w:p w14:paraId="6A231522">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r>
      <w:tr w14:paraId="74BDC882">
        <w:tblPrEx>
          <w:tblCellMar>
            <w:top w:w="0" w:type="dxa"/>
            <w:left w:w="108" w:type="dxa"/>
            <w:bottom w:w="0" w:type="dxa"/>
            <w:right w:w="108" w:type="dxa"/>
          </w:tblCellMar>
        </w:tblPrEx>
        <w:trPr>
          <w:trHeight w:val="342"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07991333">
            <w:pPr>
              <w:widowControl/>
              <w:jc w:val="center"/>
              <w:rPr>
                <w:rFonts w:hint="eastAsia" w:ascii="宋体" w:hAnsi="宋体" w:eastAsia="宋体" w:cs="宋体"/>
                <w:color w:val="000000"/>
                <w:kern w:val="0"/>
                <w:sz w:val="18"/>
                <w:szCs w:val="18"/>
                <w:lang w:eastAsia="zh-CN"/>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2</w:t>
            </w:r>
          </w:p>
        </w:tc>
        <w:tc>
          <w:tcPr>
            <w:tcW w:w="1935" w:type="dxa"/>
            <w:tcBorders>
              <w:top w:val="single" w:color="auto" w:sz="4" w:space="0"/>
              <w:left w:val="single" w:color="auto" w:sz="4" w:space="0"/>
              <w:bottom w:val="single" w:color="auto" w:sz="4" w:space="0"/>
              <w:right w:val="single" w:color="auto" w:sz="4" w:space="0"/>
            </w:tcBorders>
            <w:noWrap/>
            <w:vAlign w:val="center"/>
          </w:tcPr>
          <w:p w14:paraId="0DFD08F2">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14号宿舍楼</w:t>
            </w:r>
          </w:p>
        </w:tc>
        <w:tc>
          <w:tcPr>
            <w:tcW w:w="1110" w:type="dxa"/>
            <w:tcBorders>
              <w:top w:val="single" w:color="auto" w:sz="4" w:space="0"/>
              <w:left w:val="single" w:color="auto" w:sz="4" w:space="0"/>
              <w:bottom w:val="single" w:color="auto" w:sz="4" w:space="0"/>
              <w:right w:val="single" w:color="auto" w:sz="4" w:space="0"/>
            </w:tcBorders>
            <w:noWrap/>
            <w:vAlign w:val="center"/>
          </w:tcPr>
          <w:p w14:paraId="5FE42451">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15F/-1F</w:t>
            </w:r>
          </w:p>
        </w:tc>
        <w:tc>
          <w:tcPr>
            <w:tcW w:w="2055" w:type="dxa"/>
            <w:tcBorders>
              <w:top w:val="single" w:color="auto" w:sz="4" w:space="0"/>
              <w:left w:val="single" w:color="auto" w:sz="4" w:space="0"/>
              <w:bottom w:val="single" w:color="auto" w:sz="4" w:space="0"/>
              <w:right w:val="single" w:color="auto" w:sz="4" w:space="0"/>
            </w:tcBorders>
            <w:noWrap/>
            <w:vAlign w:val="center"/>
          </w:tcPr>
          <w:p w14:paraId="474EF5C8">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16315.03</w:t>
            </w:r>
          </w:p>
        </w:tc>
        <w:tc>
          <w:tcPr>
            <w:tcW w:w="2017" w:type="dxa"/>
            <w:tcBorders>
              <w:top w:val="single" w:color="auto" w:sz="4" w:space="0"/>
              <w:left w:val="single" w:color="auto" w:sz="4" w:space="0"/>
              <w:bottom w:val="single" w:color="auto" w:sz="4" w:space="0"/>
              <w:right w:val="single" w:color="auto" w:sz="4" w:space="0"/>
            </w:tcBorders>
            <w:vAlign w:val="center"/>
          </w:tcPr>
          <w:p w14:paraId="27D771A4">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331.79</w:t>
            </w:r>
          </w:p>
        </w:tc>
      </w:tr>
      <w:tr w14:paraId="200FB0A4">
        <w:tblPrEx>
          <w:tblCellMar>
            <w:top w:w="0" w:type="dxa"/>
            <w:left w:w="108" w:type="dxa"/>
            <w:bottom w:w="0" w:type="dxa"/>
            <w:right w:w="108" w:type="dxa"/>
          </w:tblCellMar>
        </w:tblPrEx>
        <w:trPr>
          <w:trHeight w:val="342"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202B9239">
            <w:pPr>
              <w:widowControl/>
              <w:jc w:val="center"/>
              <w:rPr>
                <w:rFonts w:hint="eastAsia" w:ascii="宋体" w:hAnsi="宋体" w:eastAsia="宋体" w:cs="宋体"/>
                <w:color w:val="000000"/>
                <w:kern w:val="0"/>
                <w:sz w:val="18"/>
                <w:szCs w:val="18"/>
                <w:lang w:eastAsia="zh-CN"/>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3</w:t>
            </w:r>
          </w:p>
        </w:tc>
        <w:tc>
          <w:tcPr>
            <w:tcW w:w="1935" w:type="dxa"/>
            <w:tcBorders>
              <w:top w:val="single" w:color="auto" w:sz="4" w:space="0"/>
              <w:left w:val="single" w:color="auto" w:sz="4" w:space="0"/>
              <w:bottom w:val="single" w:color="auto" w:sz="4" w:space="0"/>
              <w:right w:val="single" w:color="auto" w:sz="4" w:space="0"/>
            </w:tcBorders>
            <w:noWrap/>
            <w:vAlign w:val="center"/>
          </w:tcPr>
          <w:p w14:paraId="4FB16FDB">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15号宿舍楼</w:t>
            </w:r>
          </w:p>
        </w:tc>
        <w:tc>
          <w:tcPr>
            <w:tcW w:w="1110" w:type="dxa"/>
            <w:tcBorders>
              <w:top w:val="single" w:color="auto" w:sz="4" w:space="0"/>
              <w:left w:val="single" w:color="auto" w:sz="4" w:space="0"/>
              <w:bottom w:val="single" w:color="auto" w:sz="4" w:space="0"/>
              <w:right w:val="single" w:color="auto" w:sz="4" w:space="0"/>
            </w:tcBorders>
            <w:noWrap/>
            <w:vAlign w:val="center"/>
          </w:tcPr>
          <w:p w14:paraId="34053C08">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12F</w:t>
            </w:r>
          </w:p>
        </w:tc>
        <w:tc>
          <w:tcPr>
            <w:tcW w:w="2055" w:type="dxa"/>
            <w:tcBorders>
              <w:top w:val="single" w:color="auto" w:sz="4" w:space="0"/>
              <w:left w:val="single" w:color="auto" w:sz="4" w:space="0"/>
              <w:bottom w:val="single" w:color="auto" w:sz="4" w:space="0"/>
              <w:right w:val="single" w:color="auto" w:sz="4" w:space="0"/>
            </w:tcBorders>
            <w:noWrap/>
            <w:vAlign w:val="center"/>
          </w:tcPr>
          <w:p w14:paraId="73DBDC1E">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33132.93</w:t>
            </w:r>
          </w:p>
        </w:tc>
        <w:tc>
          <w:tcPr>
            <w:tcW w:w="2017" w:type="dxa"/>
            <w:tcBorders>
              <w:top w:val="single" w:color="auto" w:sz="4" w:space="0"/>
              <w:left w:val="single" w:color="auto" w:sz="4" w:space="0"/>
              <w:bottom w:val="single" w:color="auto" w:sz="4" w:space="0"/>
              <w:right w:val="single" w:color="auto" w:sz="4" w:space="0"/>
            </w:tcBorders>
            <w:vAlign w:val="center"/>
          </w:tcPr>
          <w:p w14:paraId="44CF6343">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r>
      <w:tr w14:paraId="6FE7531C">
        <w:tblPrEx>
          <w:tblCellMar>
            <w:top w:w="0" w:type="dxa"/>
            <w:left w:w="108" w:type="dxa"/>
            <w:bottom w:w="0" w:type="dxa"/>
            <w:right w:w="108" w:type="dxa"/>
          </w:tblCellMar>
        </w:tblPrEx>
        <w:trPr>
          <w:trHeight w:val="342"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2723A3E8">
            <w:pPr>
              <w:widowControl/>
              <w:jc w:val="center"/>
              <w:rPr>
                <w:rFonts w:hint="eastAsia" w:ascii="宋体" w:hAnsi="宋体" w:eastAsia="宋体" w:cs="宋体"/>
                <w:color w:val="000000"/>
                <w:kern w:val="0"/>
                <w:sz w:val="18"/>
                <w:szCs w:val="18"/>
                <w:lang w:eastAsia="zh-CN"/>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4</w:t>
            </w:r>
          </w:p>
        </w:tc>
        <w:tc>
          <w:tcPr>
            <w:tcW w:w="1935" w:type="dxa"/>
            <w:tcBorders>
              <w:top w:val="single" w:color="auto" w:sz="4" w:space="0"/>
              <w:left w:val="single" w:color="auto" w:sz="4" w:space="0"/>
              <w:bottom w:val="single" w:color="auto" w:sz="4" w:space="0"/>
              <w:right w:val="single" w:color="auto" w:sz="4" w:space="0"/>
            </w:tcBorders>
            <w:noWrap/>
            <w:vAlign w:val="center"/>
          </w:tcPr>
          <w:p w14:paraId="72096248">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16号宿舍楼</w:t>
            </w:r>
          </w:p>
        </w:tc>
        <w:tc>
          <w:tcPr>
            <w:tcW w:w="1110" w:type="dxa"/>
            <w:tcBorders>
              <w:top w:val="single" w:color="auto" w:sz="4" w:space="0"/>
              <w:left w:val="single" w:color="auto" w:sz="4" w:space="0"/>
              <w:bottom w:val="single" w:color="auto" w:sz="4" w:space="0"/>
              <w:right w:val="single" w:color="auto" w:sz="4" w:space="0"/>
            </w:tcBorders>
            <w:noWrap/>
            <w:vAlign w:val="center"/>
          </w:tcPr>
          <w:p w14:paraId="4C67DE94">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F</w:t>
            </w:r>
          </w:p>
        </w:tc>
        <w:tc>
          <w:tcPr>
            <w:tcW w:w="2055" w:type="dxa"/>
            <w:tcBorders>
              <w:top w:val="single" w:color="auto" w:sz="4" w:space="0"/>
              <w:left w:val="single" w:color="auto" w:sz="4" w:space="0"/>
              <w:bottom w:val="single" w:color="auto" w:sz="4" w:space="0"/>
              <w:right w:val="single" w:color="auto" w:sz="4" w:space="0"/>
            </w:tcBorders>
            <w:noWrap/>
            <w:vAlign w:val="center"/>
          </w:tcPr>
          <w:p w14:paraId="0FCE032B">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11141.32</w:t>
            </w:r>
          </w:p>
        </w:tc>
        <w:tc>
          <w:tcPr>
            <w:tcW w:w="2017" w:type="dxa"/>
            <w:tcBorders>
              <w:top w:val="single" w:color="auto" w:sz="4" w:space="0"/>
              <w:left w:val="single" w:color="auto" w:sz="4" w:space="0"/>
              <w:bottom w:val="single" w:color="auto" w:sz="4" w:space="0"/>
              <w:right w:val="single" w:color="auto" w:sz="4" w:space="0"/>
            </w:tcBorders>
            <w:vAlign w:val="center"/>
          </w:tcPr>
          <w:p w14:paraId="41C5FFD5">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r>
      <w:tr w14:paraId="2CC0A88B">
        <w:tblPrEx>
          <w:tblCellMar>
            <w:top w:w="0" w:type="dxa"/>
            <w:left w:w="108" w:type="dxa"/>
            <w:bottom w:w="0" w:type="dxa"/>
            <w:right w:w="108" w:type="dxa"/>
          </w:tblCellMar>
        </w:tblPrEx>
        <w:trPr>
          <w:trHeight w:val="342"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6822B301">
            <w:pPr>
              <w:widowControl/>
              <w:jc w:val="center"/>
              <w:rPr>
                <w:rFonts w:hint="eastAsia" w:ascii="宋体" w:hAnsi="宋体" w:eastAsia="宋体" w:cs="宋体"/>
                <w:color w:val="000000"/>
                <w:kern w:val="0"/>
                <w:sz w:val="18"/>
                <w:szCs w:val="18"/>
                <w:lang w:eastAsia="zh-CN"/>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5</w:t>
            </w:r>
          </w:p>
        </w:tc>
        <w:tc>
          <w:tcPr>
            <w:tcW w:w="1935" w:type="dxa"/>
            <w:tcBorders>
              <w:top w:val="single" w:color="auto" w:sz="4" w:space="0"/>
              <w:left w:val="single" w:color="auto" w:sz="4" w:space="0"/>
              <w:bottom w:val="single" w:color="auto" w:sz="4" w:space="0"/>
              <w:right w:val="single" w:color="auto" w:sz="4" w:space="0"/>
            </w:tcBorders>
            <w:noWrap/>
            <w:vAlign w:val="center"/>
          </w:tcPr>
          <w:p w14:paraId="02654EF5">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17号宿舍楼</w:t>
            </w:r>
          </w:p>
        </w:tc>
        <w:tc>
          <w:tcPr>
            <w:tcW w:w="1110" w:type="dxa"/>
            <w:tcBorders>
              <w:top w:val="single" w:color="auto" w:sz="4" w:space="0"/>
              <w:left w:val="single" w:color="auto" w:sz="4" w:space="0"/>
              <w:bottom w:val="single" w:color="auto" w:sz="4" w:space="0"/>
              <w:right w:val="single" w:color="auto" w:sz="4" w:space="0"/>
            </w:tcBorders>
            <w:noWrap/>
            <w:vAlign w:val="center"/>
          </w:tcPr>
          <w:p w14:paraId="3F17A8EA">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12F</w:t>
            </w:r>
          </w:p>
        </w:tc>
        <w:tc>
          <w:tcPr>
            <w:tcW w:w="2055" w:type="dxa"/>
            <w:tcBorders>
              <w:top w:val="single" w:color="auto" w:sz="4" w:space="0"/>
              <w:left w:val="single" w:color="auto" w:sz="4" w:space="0"/>
              <w:bottom w:val="single" w:color="auto" w:sz="4" w:space="0"/>
              <w:right w:val="single" w:color="auto" w:sz="4" w:space="0"/>
            </w:tcBorders>
            <w:noWrap/>
            <w:vAlign w:val="center"/>
          </w:tcPr>
          <w:p w14:paraId="732A8ED9">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33132.93</w:t>
            </w:r>
          </w:p>
        </w:tc>
        <w:tc>
          <w:tcPr>
            <w:tcW w:w="2017" w:type="dxa"/>
            <w:tcBorders>
              <w:top w:val="single" w:color="auto" w:sz="4" w:space="0"/>
              <w:left w:val="single" w:color="auto" w:sz="4" w:space="0"/>
              <w:bottom w:val="single" w:color="auto" w:sz="4" w:space="0"/>
              <w:right w:val="single" w:color="auto" w:sz="4" w:space="0"/>
            </w:tcBorders>
            <w:vAlign w:val="center"/>
          </w:tcPr>
          <w:p w14:paraId="22168534">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r>
      <w:tr w14:paraId="0844DEA5">
        <w:tblPrEx>
          <w:tblCellMar>
            <w:top w:w="0" w:type="dxa"/>
            <w:left w:w="108" w:type="dxa"/>
            <w:bottom w:w="0" w:type="dxa"/>
            <w:right w:w="108" w:type="dxa"/>
          </w:tblCellMar>
        </w:tblPrEx>
        <w:trPr>
          <w:trHeight w:val="342"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542A4ADC">
            <w:pPr>
              <w:widowControl/>
              <w:jc w:val="center"/>
              <w:rPr>
                <w:rFonts w:hint="eastAsia" w:ascii="宋体" w:hAnsi="宋体" w:eastAsia="宋体" w:cs="宋体"/>
                <w:color w:val="000000"/>
                <w:kern w:val="0"/>
                <w:sz w:val="18"/>
                <w:szCs w:val="18"/>
                <w:lang w:eastAsia="zh-CN"/>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6</w:t>
            </w:r>
          </w:p>
        </w:tc>
        <w:tc>
          <w:tcPr>
            <w:tcW w:w="1935" w:type="dxa"/>
            <w:tcBorders>
              <w:top w:val="single" w:color="auto" w:sz="4" w:space="0"/>
              <w:left w:val="single" w:color="auto" w:sz="4" w:space="0"/>
              <w:bottom w:val="single" w:color="auto" w:sz="4" w:space="0"/>
              <w:right w:val="single" w:color="auto" w:sz="4" w:space="0"/>
            </w:tcBorders>
            <w:noWrap/>
            <w:vAlign w:val="center"/>
          </w:tcPr>
          <w:p w14:paraId="6204E939">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18号宿舍楼</w:t>
            </w:r>
          </w:p>
        </w:tc>
        <w:tc>
          <w:tcPr>
            <w:tcW w:w="1110" w:type="dxa"/>
            <w:tcBorders>
              <w:top w:val="single" w:color="auto" w:sz="4" w:space="0"/>
              <w:left w:val="single" w:color="auto" w:sz="4" w:space="0"/>
              <w:bottom w:val="single" w:color="auto" w:sz="4" w:space="0"/>
              <w:right w:val="single" w:color="auto" w:sz="4" w:space="0"/>
            </w:tcBorders>
            <w:noWrap/>
            <w:vAlign w:val="center"/>
          </w:tcPr>
          <w:p w14:paraId="45025E93">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12F</w:t>
            </w:r>
          </w:p>
        </w:tc>
        <w:tc>
          <w:tcPr>
            <w:tcW w:w="2055" w:type="dxa"/>
            <w:tcBorders>
              <w:top w:val="single" w:color="auto" w:sz="4" w:space="0"/>
              <w:left w:val="single" w:color="auto" w:sz="4" w:space="0"/>
              <w:bottom w:val="single" w:color="auto" w:sz="4" w:space="0"/>
              <w:right w:val="single" w:color="auto" w:sz="4" w:space="0"/>
            </w:tcBorders>
            <w:noWrap/>
            <w:vAlign w:val="center"/>
          </w:tcPr>
          <w:p w14:paraId="7E266689">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33132.93</w:t>
            </w:r>
          </w:p>
        </w:tc>
        <w:tc>
          <w:tcPr>
            <w:tcW w:w="2017" w:type="dxa"/>
            <w:tcBorders>
              <w:top w:val="single" w:color="auto" w:sz="4" w:space="0"/>
              <w:left w:val="single" w:color="auto" w:sz="4" w:space="0"/>
              <w:bottom w:val="single" w:color="auto" w:sz="4" w:space="0"/>
              <w:right w:val="single" w:color="auto" w:sz="4" w:space="0"/>
            </w:tcBorders>
            <w:vAlign w:val="center"/>
          </w:tcPr>
          <w:p w14:paraId="37CDF765">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w:t>
            </w:r>
          </w:p>
        </w:tc>
      </w:tr>
      <w:tr w14:paraId="1D847010">
        <w:tblPrEx>
          <w:tblCellMar>
            <w:top w:w="0" w:type="dxa"/>
            <w:left w:w="108" w:type="dxa"/>
            <w:bottom w:w="0" w:type="dxa"/>
            <w:right w:w="108" w:type="dxa"/>
          </w:tblCellMar>
        </w:tblPrEx>
        <w:trPr>
          <w:trHeight w:val="342"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6A125857">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7</w:t>
            </w:r>
          </w:p>
        </w:tc>
        <w:tc>
          <w:tcPr>
            <w:tcW w:w="1935" w:type="dxa"/>
            <w:tcBorders>
              <w:top w:val="single" w:color="auto" w:sz="4" w:space="0"/>
              <w:left w:val="single" w:color="auto" w:sz="4" w:space="0"/>
              <w:bottom w:val="single" w:color="auto" w:sz="4" w:space="0"/>
              <w:right w:val="single" w:color="auto" w:sz="4" w:space="0"/>
            </w:tcBorders>
            <w:noWrap/>
            <w:vAlign w:val="center"/>
          </w:tcPr>
          <w:p w14:paraId="3681B95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19号楼</w:t>
            </w:r>
            <w:r>
              <w:rPr>
                <w:rFonts w:hint="eastAsia" w:ascii="宋体" w:hAnsi="宋体" w:eastAsia="宋体" w:cs="宋体"/>
                <w:color w:val="000000"/>
                <w:kern w:val="0"/>
                <w:sz w:val="18"/>
                <w:szCs w:val="18"/>
              </w:rPr>
              <w:t>体育场看台</w:t>
            </w:r>
          </w:p>
        </w:tc>
        <w:tc>
          <w:tcPr>
            <w:tcW w:w="1110" w:type="dxa"/>
            <w:tcBorders>
              <w:top w:val="single" w:color="auto" w:sz="4" w:space="0"/>
              <w:left w:val="single" w:color="auto" w:sz="4" w:space="0"/>
              <w:bottom w:val="single" w:color="auto" w:sz="4" w:space="0"/>
              <w:right w:val="single" w:color="auto" w:sz="4" w:space="0"/>
            </w:tcBorders>
            <w:noWrap/>
            <w:vAlign w:val="center"/>
          </w:tcPr>
          <w:p w14:paraId="1F73B23E">
            <w:pPr>
              <w:widowControl/>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2F</w:t>
            </w:r>
          </w:p>
        </w:tc>
        <w:tc>
          <w:tcPr>
            <w:tcW w:w="2055" w:type="dxa"/>
            <w:tcBorders>
              <w:top w:val="single" w:color="auto" w:sz="4" w:space="0"/>
              <w:left w:val="single" w:color="auto" w:sz="4" w:space="0"/>
              <w:bottom w:val="single" w:color="auto" w:sz="4" w:space="0"/>
              <w:right w:val="single" w:color="auto" w:sz="4" w:space="0"/>
            </w:tcBorders>
            <w:noWrap/>
            <w:vAlign w:val="center"/>
          </w:tcPr>
          <w:p w14:paraId="4E9892DC">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1072.63</w:t>
            </w:r>
          </w:p>
        </w:tc>
        <w:tc>
          <w:tcPr>
            <w:tcW w:w="2017" w:type="dxa"/>
            <w:tcBorders>
              <w:top w:val="single" w:color="auto" w:sz="4" w:space="0"/>
              <w:left w:val="single" w:color="auto" w:sz="4" w:space="0"/>
              <w:bottom w:val="single" w:color="auto" w:sz="4" w:space="0"/>
              <w:right w:val="single" w:color="auto" w:sz="4" w:space="0"/>
            </w:tcBorders>
            <w:vAlign w:val="center"/>
          </w:tcPr>
          <w:p w14:paraId="19968E5B">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w:t>
            </w:r>
          </w:p>
        </w:tc>
      </w:tr>
      <w:bookmarkEnd w:id="97"/>
      <w:bookmarkEnd w:id="98"/>
    </w:tbl>
    <w:p w14:paraId="211F4B18">
      <w:pPr>
        <w:rPr>
          <w:rFonts w:ascii="Calibri" w:hAnsi="Calibri" w:eastAsia="宋体" w:cs="Times New Roman"/>
          <w:highlight w:val="yellow"/>
        </w:rPr>
      </w:pPr>
    </w:p>
    <w:p w14:paraId="4474D426">
      <w:pPr>
        <w:keepNext/>
        <w:keepLines/>
        <w:spacing w:before="260" w:after="260" w:line="416" w:lineRule="auto"/>
        <w:outlineLvl w:val="2"/>
        <w:rPr>
          <w:rFonts w:ascii="Calibri" w:hAnsi="Calibri" w:eastAsia="宋体" w:cs="Times New Roman"/>
          <w:b/>
          <w:bCs/>
          <w:sz w:val="32"/>
          <w:szCs w:val="32"/>
        </w:rPr>
      </w:pPr>
      <w:r>
        <w:rPr>
          <w:rFonts w:hint="eastAsia" w:ascii="Calibri" w:hAnsi="Calibri" w:eastAsia="宋体" w:cs="Times New Roman"/>
          <w:b/>
          <w:bCs/>
          <w:sz w:val="32"/>
          <w:szCs w:val="32"/>
        </w:rPr>
        <w:t>附件2： 各类设施设备质保及维保情况表</w:t>
      </w:r>
    </w:p>
    <w:tbl>
      <w:tblPr>
        <w:tblStyle w:val="6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410"/>
        <w:gridCol w:w="1417"/>
        <w:gridCol w:w="3623"/>
      </w:tblGrid>
      <w:tr w14:paraId="2319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14:paraId="790D706B">
            <w:pPr>
              <w:widowControl/>
              <w:jc w:val="center"/>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2410" w:type="dxa"/>
          </w:tcPr>
          <w:p w14:paraId="16CEC91D">
            <w:pPr>
              <w:widowControl/>
              <w:jc w:val="center"/>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rPr>
              <w:t>设施设备</w:t>
            </w:r>
          </w:p>
        </w:tc>
        <w:tc>
          <w:tcPr>
            <w:tcW w:w="1417" w:type="dxa"/>
          </w:tcPr>
          <w:p w14:paraId="5EDE0D76">
            <w:pPr>
              <w:widowControl/>
              <w:jc w:val="center"/>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rPr>
              <w:t>质保或维保</w:t>
            </w:r>
          </w:p>
        </w:tc>
        <w:tc>
          <w:tcPr>
            <w:tcW w:w="3623" w:type="dxa"/>
          </w:tcPr>
          <w:p w14:paraId="0A9DD961">
            <w:pPr>
              <w:widowControl/>
              <w:jc w:val="center"/>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rPr>
              <w:t>备注</w:t>
            </w:r>
          </w:p>
        </w:tc>
      </w:tr>
      <w:tr w14:paraId="264D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tcPr>
          <w:p w14:paraId="18C0099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410" w:type="dxa"/>
          </w:tcPr>
          <w:p w14:paraId="1B322E7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中央空调</w:t>
            </w:r>
          </w:p>
        </w:tc>
        <w:tc>
          <w:tcPr>
            <w:tcW w:w="1417" w:type="dxa"/>
          </w:tcPr>
          <w:p w14:paraId="6C3620C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2026.7.30</w:t>
            </w:r>
          </w:p>
        </w:tc>
        <w:tc>
          <w:tcPr>
            <w:tcW w:w="3623" w:type="dxa"/>
          </w:tcPr>
          <w:p w14:paraId="01517BF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2年维保2024.7.31-2026.7.30</w:t>
            </w:r>
          </w:p>
        </w:tc>
      </w:tr>
      <w:tr w14:paraId="1041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tcPr>
          <w:p w14:paraId="122BAB8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410" w:type="dxa"/>
            <w:shd w:val="clear" w:color="auto" w:fill="auto"/>
          </w:tcPr>
          <w:p w14:paraId="3E745B6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学生公寓智能电表管理平台维修维保服务</w:t>
            </w:r>
          </w:p>
        </w:tc>
        <w:tc>
          <w:tcPr>
            <w:tcW w:w="1417" w:type="dxa"/>
            <w:shd w:val="clear" w:color="auto" w:fill="auto"/>
          </w:tcPr>
          <w:p w14:paraId="1CB3EAF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2025.8.31</w:t>
            </w:r>
          </w:p>
        </w:tc>
        <w:tc>
          <w:tcPr>
            <w:tcW w:w="3623" w:type="dxa"/>
            <w:shd w:val="clear" w:color="auto" w:fill="auto"/>
          </w:tcPr>
          <w:p w14:paraId="2C04BEA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1年维保2024.9.1-2025.8.31</w:t>
            </w:r>
          </w:p>
        </w:tc>
      </w:tr>
      <w:tr w14:paraId="061F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tcPr>
          <w:p w14:paraId="00A58D8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410" w:type="dxa"/>
            <w:shd w:val="clear" w:color="auto" w:fill="auto"/>
          </w:tcPr>
          <w:p w14:paraId="722D45F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校区智能门锁、门禁等维修服务</w:t>
            </w:r>
          </w:p>
        </w:tc>
        <w:tc>
          <w:tcPr>
            <w:tcW w:w="1417" w:type="dxa"/>
            <w:shd w:val="clear" w:color="auto" w:fill="auto"/>
          </w:tcPr>
          <w:p w14:paraId="3855C89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2025.8.31</w:t>
            </w:r>
          </w:p>
        </w:tc>
        <w:tc>
          <w:tcPr>
            <w:tcW w:w="3623" w:type="dxa"/>
            <w:shd w:val="clear" w:color="auto" w:fill="auto"/>
          </w:tcPr>
          <w:p w14:paraId="277FF43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1年维保2024.9.1-2025.8.31</w:t>
            </w:r>
          </w:p>
        </w:tc>
      </w:tr>
      <w:tr w14:paraId="1E28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tcPr>
          <w:p w14:paraId="3CE1383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410" w:type="dxa"/>
            <w:shd w:val="clear" w:color="auto" w:fill="auto"/>
          </w:tcPr>
          <w:p w14:paraId="5D180AE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智能灯控</w:t>
            </w:r>
          </w:p>
        </w:tc>
        <w:tc>
          <w:tcPr>
            <w:tcW w:w="1417" w:type="dxa"/>
            <w:shd w:val="clear" w:color="auto" w:fill="auto"/>
          </w:tcPr>
          <w:p w14:paraId="6A7743B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2025.7.25</w:t>
            </w:r>
          </w:p>
        </w:tc>
        <w:tc>
          <w:tcPr>
            <w:tcW w:w="3623" w:type="dxa"/>
            <w:shd w:val="clear" w:color="auto" w:fill="auto"/>
          </w:tcPr>
          <w:p w14:paraId="56FA97D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1年维保2024.7.26-2025.7.25</w:t>
            </w:r>
          </w:p>
        </w:tc>
      </w:tr>
      <w:tr w14:paraId="416D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tcPr>
          <w:p w14:paraId="746B5C3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2410" w:type="dxa"/>
            <w:shd w:val="clear" w:color="auto" w:fill="auto"/>
          </w:tcPr>
          <w:p w14:paraId="02A7FB6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空调集控</w:t>
            </w:r>
          </w:p>
        </w:tc>
        <w:tc>
          <w:tcPr>
            <w:tcW w:w="1417" w:type="dxa"/>
            <w:shd w:val="clear" w:color="auto" w:fill="auto"/>
          </w:tcPr>
          <w:p w14:paraId="6FED85B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2025.12.22</w:t>
            </w:r>
          </w:p>
        </w:tc>
        <w:tc>
          <w:tcPr>
            <w:tcW w:w="3623" w:type="dxa"/>
            <w:shd w:val="clear" w:color="auto" w:fill="auto"/>
          </w:tcPr>
          <w:p w14:paraId="49496C0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1年维保2024.12.23-2025.12.22</w:t>
            </w:r>
          </w:p>
        </w:tc>
      </w:tr>
      <w:tr w14:paraId="2342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tcPr>
          <w:p w14:paraId="40E45E0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2410" w:type="dxa"/>
            <w:shd w:val="clear" w:color="auto" w:fill="auto"/>
          </w:tcPr>
          <w:p w14:paraId="3A8CC95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能耗平台</w:t>
            </w:r>
          </w:p>
        </w:tc>
        <w:tc>
          <w:tcPr>
            <w:tcW w:w="1417" w:type="dxa"/>
            <w:shd w:val="clear" w:color="auto" w:fill="auto"/>
          </w:tcPr>
          <w:p w14:paraId="71A753C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未移交</w:t>
            </w:r>
          </w:p>
        </w:tc>
        <w:tc>
          <w:tcPr>
            <w:tcW w:w="3623" w:type="dxa"/>
            <w:shd w:val="clear" w:color="auto" w:fill="auto"/>
          </w:tcPr>
          <w:p w14:paraId="660925C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平台软件整体（除水电表）1年；采集器等硬件2年</w:t>
            </w:r>
          </w:p>
        </w:tc>
      </w:tr>
      <w:tr w14:paraId="7E38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tcPr>
          <w:p w14:paraId="0769004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2410" w:type="dxa"/>
            <w:shd w:val="clear" w:color="auto" w:fill="auto"/>
          </w:tcPr>
          <w:p w14:paraId="2A4F64A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电梯</w:t>
            </w:r>
          </w:p>
        </w:tc>
        <w:tc>
          <w:tcPr>
            <w:tcW w:w="1417" w:type="dxa"/>
            <w:shd w:val="clear" w:color="auto" w:fill="auto"/>
          </w:tcPr>
          <w:p w14:paraId="0D84C25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2026.3.27</w:t>
            </w:r>
          </w:p>
        </w:tc>
        <w:tc>
          <w:tcPr>
            <w:tcW w:w="3623" w:type="dxa"/>
            <w:shd w:val="clear" w:color="auto" w:fill="auto"/>
          </w:tcPr>
          <w:p w14:paraId="28F850E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2年维保2024.3.28-2026.3.27</w:t>
            </w:r>
          </w:p>
        </w:tc>
      </w:tr>
    </w:tbl>
    <w:p w14:paraId="142F978C">
      <w:pPr>
        <w:rPr>
          <w:rFonts w:ascii="Calibri" w:hAnsi="Calibri" w:eastAsia="宋体" w:cs="Times New Roman"/>
        </w:rPr>
      </w:pPr>
    </w:p>
    <w:p w14:paraId="7722C046">
      <w:pPr>
        <w:keepNext/>
        <w:keepLines/>
        <w:spacing w:before="260" w:after="260" w:line="416" w:lineRule="auto"/>
        <w:outlineLvl w:val="2"/>
        <w:rPr>
          <w:rFonts w:ascii="Calibri" w:hAnsi="Calibri" w:eastAsia="宋体" w:cs="Times New Roman"/>
          <w:b/>
          <w:bCs/>
          <w:sz w:val="32"/>
          <w:szCs w:val="32"/>
        </w:rPr>
      </w:pPr>
      <w:bookmarkStart w:id="99" w:name="_Toc97303169"/>
      <w:r>
        <w:rPr>
          <w:rFonts w:hint="eastAsia" w:ascii="Calibri" w:hAnsi="Calibri" w:eastAsia="宋体" w:cs="Times New Roman"/>
          <w:b/>
          <w:bCs/>
          <w:sz w:val="32"/>
          <w:szCs w:val="32"/>
        </w:rPr>
        <w:t>附件3：物业人员分配</w:t>
      </w:r>
      <w:bookmarkEnd w:id="99"/>
      <w:r>
        <w:rPr>
          <w:rFonts w:hint="eastAsia" w:ascii="Calibri" w:hAnsi="Calibri" w:eastAsia="宋体" w:cs="Times New Roman"/>
          <w:b/>
          <w:bCs/>
          <w:sz w:val="32"/>
          <w:szCs w:val="32"/>
        </w:rPr>
        <w:t>（最低标准）</w:t>
      </w:r>
    </w:p>
    <w:tbl>
      <w:tblPr>
        <w:tblStyle w:val="59"/>
        <w:tblW w:w="5540" w:type="dxa"/>
        <w:tblInd w:w="0" w:type="dxa"/>
        <w:tblLayout w:type="fixed"/>
        <w:tblCellMar>
          <w:top w:w="0" w:type="dxa"/>
          <w:left w:w="108" w:type="dxa"/>
          <w:bottom w:w="0" w:type="dxa"/>
          <w:right w:w="108" w:type="dxa"/>
        </w:tblCellMar>
      </w:tblPr>
      <w:tblGrid>
        <w:gridCol w:w="1271"/>
        <w:gridCol w:w="2749"/>
        <w:gridCol w:w="1520"/>
      </w:tblGrid>
      <w:tr w14:paraId="6451C09E">
        <w:tblPrEx>
          <w:tblCellMar>
            <w:top w:w="0" w:type="dxa"/>
            <w:left w:w="108" w:type="dxa"/>
            <w:bottom w:w="0" w:type="dxa"/>
            <w:right w:w="108" w:type="dxa"/>
          </w:tblCellMar>
        </w:tblPrEx>
        <w:trPr>
          <w:trHeight w:val="330"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3F9AC039">
            <w:pPr>
              <w:widowControl/>
              <w:jc w:val="center"/>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rPr>
              <w:t>部门</w:t>
            </w:r>
          </w:p>
        </w:tc>
        <w:tc>
          <w:tcPr>
            <w:tcW w:w="2749" w:type="dxa"/>
            <w:tcBorders>
              <w:top w:val="single" w:color="auto" w:sz="4" w:space="0"/>
              <w:left w:val="nil"/>
              <w:bottom w:val="single" w:color="auto" w:sz="4" w:space="0"/>
              <w:right w:val="single" w:color="auto" w:sz="4" w:space="0"/>
            </w:tcBorders>
            <w:shd w:val="clear" w:color="auto" w:fill="auto"/>
            <w:vAlign w:val="center"/>
          </w:tcPr>
          <w:p w14:paraId="5B90BAD2">
            <w:pPr>
              <w:widowControl/>
              <w:jc w:val="center"/>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rPr>
              <w:t>岗位</w:t>
            </w:r>
          </w:p>
        </w:tc>
        <w:tc>
          <w:tcPr>
            <w:tcW w:w="1520" w:type="dxa"/>
            <w:tcBorders>
              <w:top w:val="single" w:color="auto" w:sz="4" w:space="0"/>
              <w:left w:val="nil"/>
              <w:bottom w:val="single" w:color="auto" w:sz="4" w:space="0"/>
              <w:right w:val="single" w:color="auto" w:sz="4" w:space="0"/>
            </w:tcBorders>
            <w:shd w:val="clear" w:color="auto" w:fill="auto"/>
            <w:vAlign w:val="center"/>
          </w:tcPr>
          <w:p w14:paraId="1EC0FBE4">
            <w:pPr>
              <w:widowControl/>
              <w:jc w:val="center"/>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rPr>
              <w:t>人数</w:t>
            </w:r>
          </w:p>
        </w:tc>
      </w:tr>
      <w:tr w14:paraId="0FA87993">
        <w:tblPrEx>
          <w:tblCellMar>
            <w:top w:w="0" w:type="dxa"/>
            <w:left w:w="108" w:type="dxa"/>
            <w:bottom w:w="0" w:type="dxa"/>
            <w:right w:w="108" w:type="dxa"/>
          </w:tblCellMar>
        </w:tblPrEx>
        <w:trPr>
          <w:trHeight w:val="330" w:hRule="atLeast"/>
        </w:trPr>
        <w:tc>
          <w:tcPr>
            <w:tcW w:w="1271" w:type="dxa"/>
            <w:vMerge w:val="restart"/>
            <w:tcBorders>
              <w:top w:val="nil"/>
              <w:left w:val="single" w:color="auto" w:sz="4" w:space="0"/>
              <w:right w:val="single" w:color="auto" w:sz="4" w:space="0"/>
            </w:tcBorders>
            <w:shd w:val="clear" w:color="auto" w:fill="auto"/>
            <w:vAlign w:val="center"/>
          </w:tcPr>
          <w:p w14:paraId="7E0D34B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综合管理部</w:t>
            </w:r>
          </w:p>
        </w:tc>
        <w:tc>
          <w:tcPr>
            <w:tcW w:w="2749" w:type="dxa"/>
            <w:tcBorders>
              <w:top w:val="nil"/>
              <w:left w:val="nil"/>
              <w:bottom w:val="single" w:color="auto" w:sz="4" w:space="0"/>
              <w:right w:val="single" w:color="auto" w:sz="4" w:space="0"/>
            </w:tcBorders>
            <w:shd w:val="clear" w:color="auto" w:fill="auto"/>
            <w:vAlign w:val="center"/>
          </w:tcPr>
          <w:p w14:paraId="6431736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项目经理</w:t>
            </w:r>
          </w:p>
        </w:tc>
        <w:tc>
          <w:tcPr>
            <w:tcW w:w="1520" w:type="dxa"/>
            <w:tcBorders>
              <w:top w:val="nil"/>
              <w:left w:val="nil"/>
              <w:bottom w:val="single" w:color="auto" w:sz="4" w:space="0"/>
              <w:right w:val="single" w:color="auto" w:sz="4" w:space="0"/>
            </w:tcBorders>
            <w:shd w:val="clear" w:color="auto" w:fill="auto"/>
            <w:vAlign w:val="center"/>
          </w:tcPr>
          <w:p w14:paraId="6EEE6FF9">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 </w:t>
            </w:r>
          </w:p>
        </w:tc>
      </w:tr>
      <w:tr w14:paraId="3CCCBAB4">
        <w:tblPrEx>
          <w:tblCellMar>
            <w:top w:w="0" w:type="dxa"/>
            <w:left w:w="108" w:type="dxa"/>
            <w:bottom w:w="0" w:type="dxa"/>
            <w:right w:w="108" w:type="dxa"/>
          </w:tblCellMar>
        </w:tblPrEx>
        <w:trPr>
          <w:trHeight w:val="90" w:hRule="atLeast"/>
        </w:trPr>
        <w:tc>
          <w:tcPr>
            <w:tcW w:w="1271" w:type="dxa"/>
            <w:vMerge w:val="continue"/>
            <w:tcBorders>
              <w:left w:val="single" w:color="auto" w:sz="4" w:space="0"/>
              <w:right w:val="single" w:color="auto" w:sz="4" w:space="0"/>
            </w:tcBorders>
            <w:vAlign w:val="center"/>
          </w:tcPr>
          <w:p w14:paraId="6A6DCFF9">
            <w:pPr>
              <w:widowControl/>
              <w:jc w:val="center"/>
              <w:rPr>
                <w:rFonts w:hint="eastAsia" w:ascii="宋体" w:hAnsi="宋体" w:eastAsia="宋体" w:cs="宋体"/>
                <w:color w:val="000000"/>
                <w:kern w:val="0"/>
                <w:sz w:val="18"/>
                <w:szCs w:val="18"/>
              </w:rPr>
            </w:pPr>
          </w:p>
        </w:tc>
        <w:tc>
          <w:tcPr>
            <w:tcW w:w="2749" w:type="dxa"/>
            <w:tcBorders>
              <w:top w:val="nil"/>
              <w:left w:val="nil"/>
              <w:bottom w:val="single" w:color="auto" w:sz="4" w:space="0"/>
              <w:right w:val="single" w:color="auto" w:sz="4" w:space="0"/>
            </w:tcBorders>
            <w:shd w:val="clear" w:color="auto" w:fill="auto"/>
            <w:vAlign w:val="center"/>
          </w:tcPr>
          <w:p w14:paraId="0CA1C6D6">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副经理</w:t>
            </w:r>
          </w:p>
        </w:tc>
        <w:tc>
          <w:tcPr>
            <w:tcW w:w="1520" w:type="dxa"/>
            <w:tcBorders>
              <w:top w:val="nil"/>
              <w:left w:val="nil"/>
              <w:bottom w:val="single" w:color="auto" w:sz="4" w:space="0"/>
              <w:right w:val="single" w:color="auto" w:sz="4" w:space="0"/>
            </w:tcBorders>
            <w:shd w:val="clear" w:color="auto" w:fill="auto"/>
            <w:vAlign w:val="center"/>
          </w:tcPr>
          <w:p w14:paraId="7AC13019">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1</w:t>
            </w:r>
          </w:p>
        </w:tc>
      </w:tr>
      <w:tr w14:paraId="7FD624C7">
        <w:tblPrEx>
          <w:tblCellMar>
            <w:top w:w="0" w:type="dxa"/>
            <w:left w:w="108" w:type="dxa"/>
            <w:bottom w:w="0" w:type="dxa"/>
            <w:right w:w="108" w:type="dxa"/>
          </w:tblCellMar>
        </w:tblPrEx>
        <w:trPr>
          <w:trHeight w:val="360" w:hRule="atLeast"/>
        </w:trPr>
        <w:tc>
          <w:tcPr>
            <w:tcW w:w="1271" w:type="dxa"/>
            <w:vMerge w:val="continue"/>
            <w:tcBorders>
              <w:left w:val="single" w:color="auto" w:sz="4" w:space="0"/>
              <w:bottom w:val="single" w:color="auto" w:sz="4" w:space="0"/>
              <w:right w:val="single" w:color="auto" w:sz="4" w:space="0"/>
            </w:tcBorders>
            <w:vAlign w:val="center"/>
          </w:tcPr>
          <w:p w14:paraId="55DC8D25">
            <w:pPr>
              <w:widowControl/>
              <w:jc w:val="center"/>
              <w:rPr>
                <w:rFonts w:hint="eastAsia" w:ascii="宋体" w:hAnsi="宋体" w:eastAsia="宋体" w:cs="宋体"/>
                <w:color w:val="000000"/>
                <w:kern w:val="0"/>
                <w:sz w:val="18"/>
                <w:szCs w:val="18"/>
              </w:rPr>
            </w:pPr>
          </w:p>
        </w:tc>
        <w:tc>
          <w:tcPr>
            <w:tcW w:w="2749" w:type="dxa"/>
            <w:tcBorders>
              <w:top w:val="nil"/>
              <w:left w:val="nil"/>
              <w:bottom w:val="single" w:color="auto" w:sz="4" w:space="0"/>
              <w:right w:val="single" w:color="auto" w:sz="4" w:space="0"/>
            </w:tcBorders>
            <w:shd w:val="clear" w:color="auto" w:fill="auto"/>
            <w:vAlign w:val="center"/>
          </w:tcPr>
          <w:p w14:paraId="75FF809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内勤（财务+综管）</w:t>
            </w:r>
          </w:p>
        </w:tc>
        <w:tc>
          <w:tcPr>
            <w:tcW w:w="1520" w:type="dxa"/>
            <w:tcBorders>
              <w:top w:val="nil"/>
              <w:left w:val="nil"/>
              <w:bottom w:val="single" w:color="auto" w:sz="4" w:space="0"/>
              <w:right w:val="single" w:color="auto" w:sz="4" w:space="0"/>
            </w:tcBorders>
            <w:shd w:val="clear" w:color="auto" w:fill="auto"/>
            <w:vAlign w:val="center"/>
          </w:tcPr>
          <w:p w14:paraId="361A2AC4">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w:t>
            </w:r>
          </w:p>
        </w:tc>
      </w:tr>
      <w:tr w14:paraId="446B9A0E">
        <w:tblPrEx>
          <w:tblCellMar>
            <w:top w:w="0" w:type="dxa"/>
            <w:left w:w="108" w:type="dxa"/>
            <w:bottom w:w="0" w:type="dxa"/>
            <w:right w:w="108" w:type="dxa"/>
          </w:tblCellMar>
        </w:tblPrEx>
        <w:trPr>
          <w:trHeight w:val="330" w:hRule="atLeast"/>
        </w:trPr>
        <w:tc>
          <w:tcPr>
            <w:tcW w:w="402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C5A3B1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520" w:type="dxa"/>
            <w:tcBorders>
              <w:top w:val="nil"/>
              <w:left w:val="nil"/>
              <w:bottom w:val="single" w:color="auto" w:sz="4" w:space="0"/>
              <w:right w:val="single" w:color="auto" w:sz="4" w:space="0"/>
            </w:tcBorders>
            <w:shd w:val="clear" w:color="auto" w:fill="auto"/>
            <w:vAlign w:val="center"/>
          </w:tcPr>
          <w:p w14:paraId="5339F229">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3 </w:t>
            </w:r>
          </w:p>
        </w:tc>
      </w:tr>
      <w:tr w14:paraId="0A1F1700">
        <w:tblPrEx>
          <w:tblCellMar>
            <w:top w:w="0" w:type="dxa"/>
            <w:left w:w="108" w:type="dxa"/>
            <w:bottom w:w="0" w:type="dxa"/>
            <w:right w:w="108" w:type="dxa"/>
          </w:tblCellMar>
        </w:tblPrEx>
        <w:trPr>
          <w:trHeight w:val="330" w:hRule="atLeast"/>
        </w:trPr>
        <w:tc>
          <w:tcPr>
            <w:tcW w:w="1271" w:type="dxa"/>
            <w:vMerge w:val="restart"/>
            <w:tcBorders>
              <w:top w:val="nil"/>
              <w:left w:val="single" w:color="auto" w:sz="4" w:space="0"/>
              <w:bottom w:val="single" w:color="auto" w:sz="4" w:space="0"/>
              <w:right w:val="single" w:color="auto" w:sz="4" w:space="0"/>
            </w:tcBorders>
            <w:shd w:val="clear" w:color="auto" w:fill="auto"/>
            <w:vAlign w:val="center"/>
          </w:tcPr>
          <w:p w14:paraId="425D0E07">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楼宇部</w:t>
            </w:r>
          </w:p>
        </w:tc>
        <w:tc>
          <w:tcPr>
            <w:tcW w:w="2749" w:type="dxa"/>
            <w:tcBorders>
              <w:top w:val="nil"/>
              <w:left w:val="nil"/>
              <w:bottom w:val="single" w:color="auto" w:sz="4" w:space="0"/>
              <w:right w:val="single" w:color="auto" w:sz="4" w:space="0"/>
            </w:tcBorders>
            <w:shd w:val="clear" w:color="auto" w:fill="auto"/>
            <w:vAlign w:val="center"/>
          </w:tcPr>
          <w:p w14:paraId="001A312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楼宇</w:t>
            </w:r>
            <w:r>
              <w:rPr>
                <w:rFonts w:hint="eastAsia" w:ascii="宋体" w:hAnsi="宋体" w:eastAsia="宋体" w:cs="宋体"/>
                <w:color w:val="000000"/>
                <w:kern w:val="0"/>
                <w:sz w:val="18"/>
                <w:szCs w:val="18"/>
              </w:rPr>
              <w:t>主管</w:t>
            </w:r>
          </w:p>
        </w:tc>
        <w:tc>
          <w:tcPr>
            <w:tcW w:w="1520" w:type="dxa"/>
            <w:tcBorders>
              <w:top w:val="nil"/>
              <w:left w:val="nil"/>
              <w:bottom w:val="single" w:color="auto" w:sz="4" w:space="0"/>
              <w:right w:val="single" w:color="auto" w:sz="4" w:space="0"/>
            </w:tcBorders>
            <w:shd w:val="clear" w:color="auto" w:fill="auto"/>
            <w:vAlign w:val="center"/>
          </w:tcPr>
          <w:p w14:paraId="2A738F4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 </w:t>
            </w:r>
          </w:p>
        </w:tc>
      </w:tr>
      <w:tr w14:paraId="547653B4">
        <w:tblPrEx>
          <w:tblCellMar>
            <w:top w:w="0" w:type="dxa"/>
            <w:left w:w="108" w:type="dxa"/>
            <w:bottom w:w="0" w:type="dxa"/>
            <w:right w:w="108" w:type="dxa"/>
          </w:tblCellMar>
        </w:tblPrEx>
        <w:trPr>
          <w:trHeight w:val="330" w:hRule="atLeast"/>
        </w:trPr>
        <w:tc>
          <w:tcPr>
            <w:tcW w:w="1271" w:type="dxa"/>
            <w:vMerge w:val="continue"/>
            <w:tcBorders>
              <w:top w:val="nil"/>
              <w:left w:val="single" w:color="auto" w:sz="4" w:space="0"/>
              <w:bottom w:val="single" w:color="auto" w:sz="4" w:space="0"/>
              <w:right w:val="single" w:color="auto" w:sz="4" w:space="0"/>
            </w:tcBorders>
            <w:vAlign w:val="center"/>
          </w:tcPr>
          <w:p w14:paraId="2FC293F1">
            <w:pPr>
              <w:widowControl/>
              <w:jc w:val="center"/>
              <w:rPr>
                <w:rFonts w:hint="eastAsia" w:ascii="宋体" w:hAnsi="宋体" w:eastAsia="宋体" w:cs="宋体"/>
                <w:color w:val="000000"/>
                <w:kern w:val="0"/>
                <w:sz w:val="18"/>
                <w:szCs w:val="18"/>
              </w:rPr>
            </w:pPr>
          </w:p>
        </w:tc>
        <w:tc>
          <w:tcPr>
            <w:tcW w:w="2749" w:type="dxa"/>
            <w:tcBorders>
              <w:top w:val="nil"/>
              <w:left w:val="nil"/>
              <w:bottom w:val="single" w:color="auto" w:sz="4" w:space="0"/>
              <w:right w:val="single" w:color="auto" w:sz="4" w:space="0"/>
            </w:tcBorders>
            <w:shd w:val="clear" w:color="auto" w:fill="auto"/>
            <w:vAlign w:val="center"/>
          </w:tcPr>
          <w:p w14:paraId="5E7693D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楼宇管理员</w:t>
            </w:r>
          </w:p>
        </w:tc>
        <w:tc>
          <w:tcPr>
            <w:tcW w:w="1520" w:type="dxa"/>
            <w:tcBorders>
              <w:top w:val="nil"/>
              <w:left w:val="nil"/>
              <w:bottom w:val="single" w:color="auto" w:sz="4" w:space="0"/>
              <w:right w:val="single" w:color="auto" w:sz="4" w:space="0"/>
            </w:tcBorders>
            <w:shd w:val="clear" w:color="auto" w:fill="auto"/>
            <w:vAlign w:val="center"/>
          </w:tcPr>
          <w:p w14:paraId="4032B816">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w:t>
            </w:r>
          </w:p>
        </w:tc>
      </w:tr>
      <w:tr w14:paraId="54B297FB">
        <w:tblPrEx>
          <w:tblCellMar>
            <w:top w:w="0" w:type="dxa"/>
            <w:left w:w="108" w:type="dxa"/>
            <w:bottom w:w="0" w:type="dxa"/>
            <w:right w:w="108" w:type="dxa"/>
          </w:tblCellMar>
        </w:tblPrEx>
        <w:trPr>
          <w:trHeight w:val="330" w:hRule="atLeast"/>
        </w:trPr>
        <w:tc>
          <w:tcPr>
            <w:tcW w:w="402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352E09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520" w:type="dxa"/>
            <w:tcBorders>
              <w:top w:val="nil"/>
              <w:left w:val="nil"/>
              <w:bottom w:val="single" w:color="auto" w:sz="4" w:space="0"/>
              <w:right w:val="single" w:color="auto" w:sz="4" w:space="0"/>
            </w:tcBorders>
            <w:shd w:val="clear" w:color="auto" w:fill="auto"/>
            <w:vAlign w:val="center"/>
          </w:tcPr>
          <w:p w14:paraId="3905D212">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4</w:t>
            </w:r>
          </w:p>
        </w:tc>
      </w:tr>
      <w:tr w14:paraId="11F49E13">
        <w:tblPrEx>
          <w:tblCellMar>
            <w:top w:w="0" w:type="dxa"/>
            <w:left w:w="108" w:type="dxa"/>
            <w:bottom w:w="0" w:type="dxa"/>
            <w:right w:w="108" w:type="dxa"/>
          </w:tblCellMar>
        </w:tblPrEx>
        <w:trPr>
          <w:trHeight w:val="330" w:hRule="atLeast"/>
        </w:trPr>
        <w:tc>
          <w:tcPr>
            <w:tcW w:w="1271" w:type="dxa"/>
            <w:vMerge w:val="restart"/>
            <w:tcBorders>
              <w:top w:val="nil"/>
              <w:left w:val="single" w:color="auto" w:sz="4" w:space="0"/>
              <w:bottom w:val="nil"/>
              <w:right w:val="single" w:color="auto" w:sz="4" w:space="0"/>
            </w:tcBorders>
            <w:shd w:val="clear" w:color="auto" w:fill="auto"/>
            <w:noWrap/>
            <w:vAlign w:val="center"/>
          </w:tcPr>
          <w:p w14:paraId="2B89191C">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公寓部</w:t>
            </w:r>
          </w:p>
        </w:tc>
        <w:tc>
          <w:tcPr>
            <w:tcW w:w="2749" w:type="dxa"/>
            <w:tcBorders>
              <w:top w:val="nil"/>
              <w:left w:val="nil"/>
              <w:bottom w:val="single" w:color="auto" w:sz="4" w:space="0"/>
              <w:right w:val="single" w:color="auto" w:sz="4" w:space="0"/>
            </w:tcBorders>
            <w:shd w:val="clear" w:color="auto" w:fill="auto"/>
            <w:vAlign w:val="center"/>
          </w:tcPr>
          <w:p w14:paraId="7622B50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公寓</w:t>
            </w:r>
            <w:r>
              <w:rPr>
                <w:rFonts w:hint="eastAsia" w:ascii="宋体" w:hAnsi="宋体" w:eastAsia="宋体" w:cs="宋体"/>
                <w:color w:val="000000"/>
                <w:kern w:val="0"/>
                <w:sz w:val="18"/>
                <w:szCs w:val="18"/>
              </w:rPr>
              <w:t>主管</w:t>
            </w:r>
          </w:p>
        </w:tc>
        <w:tc>
          <w:tcPr>
            <w:tcW w:w="1520" w:type="dxa"/>
            <w:tcBorders>
              <w:top w:val="nil"/>
              <w:left w:val="nil"/>
              <w:bottom w:val="single" w:color="auto" w:sz="4" w:space="0"/>
              <w:right w:val="single" w:color="auto" w:sz="4" w:space="0"/>
            </w:tcBorders>
            <w:shd w:val="clear" w:color="auto" w:fill="auto"/>
            <w:vAlign w:val="center"/>
          </w:tcPr>
          <w:p w14:paraId="2848E57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 </w:t>
            </w:r>
          </w:p>
        </w:tc>
      </w:tr>
      <w:tr w14:paraId="021AFB75">
        <w:tblPrEx>
          <w:tblCellMar>
            <w:top w:w="0" w:type="dxa"/>
            <w:left w:w="108" w:type="dxa"/>
            <w:bottom w:w="0" w:type="dxa"/>
            <w:right w:w="108" w:type="dxa"/>
          </w:tblCellMar>
        </w:tblPrEx>
        <w:trPr>
          <w:trHeight w:val="330" w:hRule="atLeast"/>
        </w:trPr>
        <w:tc>
          <w:tcPr>
            <w:tcW w:w="1271" w:type="dxa"/>
            <w:vMerge w:val="continue"/>
            <w:tcBorders>
              <w:top w:val="nil"/>
              <w:left w:val="single" w:color="auto" w:sz="4" w:space="0"/>
              <w:bottom w:val="nil"/>
              <w:right w:val="single" w:color="auto" w:sz="4" w:space="0"/>
            </w:tcBorders>
            <w:vAlign w:val="center"/>
          </w:tcPr>
          <w:p w14:paraId="375AF183">
            <w:pPr>
              <w:widowControl/>
              <w:jc w:val="center"/>
              <w:rPr>
                <w:rFonts w:hint="eastAsia" w:ascii="宋体" w:hAnsi="宋体" w:eastAsia="宋体" w:cs="宋体"/>
                <w:color w:val="000000"/>
                <w:kern w:val="0"/>
                <w:sz w:val="18"/>
                <w:szCs w:val="18"/>
              </w:rPr>
            </w:pPr>
          </w:p>
        </w:tc>
        <w:tc>
          <w:tcPr>
            <w:tcW w:w="2749" w:type="dxa"/>
            <w:tcBorders>
              <w:top w:val="nil"/>
              <w:left w:val="nil"/>
              <w:bottom w:val="single" w:color="auto" w:sz="4" w:space="0"/>
              <w:right w:val="single" w:color="auto" w:sz="4" w:space="0"/>
            </w:tcBorders>
            <w:shd w:val="clear" w:color="auto" w:fill="auto"/>
            <w:vAlign w:val="center"/>
          </w:tcPr>
          <w:p w14:paraId="561BE95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楼长</w:t>
            </w:r>
          </w:p>
        </w:tc>
        <w:tc>
          <w:tcPr>
            <w:tcW w:w="1520" w:type="dxa"/>
            <w:tcBorders>
              <w:top w:val="nil"/>
              <w:left w:val="nil"/>
              <w:bottom w:val="single" w:color="auto" w:sz="4" w:space="0"/>
              <w:right w:val="single" w:color="auto" w:sz="4" w:space="0"/>
            </w:tcBorders>
            <w:shd w:val="clear" w:color="auto" w:fill="auto"/>
            <w:vAlign w:val="center"/>
          </w:tcPr>
          <w:p w14:paraId="7F1B50D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7</w:t>
            </w:r>
            <w:r>
              <w:rPr>
                <w:rFonts w:hint="eastAsia" w:ascii="宋体" w:hAnsi="宋体" w:eastAsia="宋体" w:cs="宋体"/>
                <w:color w:val="000000"/>
                <w:kern w:val="0"/>
                <w:szCs w:val="21"/>
              </w:rPr>
              <w:t xml:space="preserve"> </w:t>
            </w:r>
          </w:p>
        </w:tc>
      </w:tr>
      <w:tr w14:paraId="7BDAA54E">
        <w:tblPrEx>
          <w:tblCellMar>
            <w:top w:w="0" w:type="dxa"/>
            <w:left w:w="108" w:type="dxa"/>
            <w:bottom w:w="0" w:type="dxa"/>
            <w:right w:w="108" w:type="dxa"/>
          </w:tblCellMar>
        </w:tblPrEx>
        <w:trPr>
          <w:trHeight w:val="330" w:hRule="atLeast"/>
        </w:trPr>
        <w:tc>
          <w:tcPr>
            <w:tcW w:w="1271" w:type="dxa"/>
            <w:vMerge w:val="continue"/>
            <w:tcBorders>
              <w:top w:val="nil"/>
              <w:left w:val="single" w:color="auto" w:sz="4" w:space="0"/>
              <w:bottom w:val="nil"/>
              <w:right w:val="single" w:color="auto" w:sz="4" w:space="0"/>
            </w:tcBorders>
            <w:vAlign w:val="center"/>
          </w:tcPr>
          <w:p w14:paraId="1B1AA0A9">
            <w:pPr>
              <w:widowControl/>
              <w:jc w:val="center"/>
              <w:rPr>
                <w:rFonts w:hint="eastAsia" w:ascii="宋体" w:hAnsi="宋体" w:eastAsia="宋体" w:cs="宋体"/>
                <w:color w:val="000000"/>
                <w:kern w:val="0"/>
                <w:sz w:val="18"/>
                <w:szCs w:val="18"/>
              </w:rPr>
            </w:pPr>
          </w:p>
        </w:tc>
        <w:tc>
          <w:tcPr>
            <w:tcW w:w="2749" w:type="dxa"/>
            <w:tcBorders>
              <w:top w:val="nil"/>
              <w:left w:val="nil"/>
              <w:bottom w:val="single" w:color="auto" w:sz="4" w:space="0"/>
              <w:right w:val="single" w:color="auto" w:sz="4" w:space="0"/>
            </w:tcBorders>
            <w:shd w:val="clear" w:color="auto" w:fill="auto"/>
            <w:vAlign w:val="center"/>
          </w:tcPr>
          <w:p w14:paraId="62F0D53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宿管</w:t>
            </w:r>
          </w:p>
        </w:tc>
        <w:tc>
          <w:tcPr>
            <w:tcW w:w="1520" w:type="dxa"/>
            <w:tcBorders>
              <w:top w:val="nil"/>
              <w:left w:val="nil"/>
              <w:bottom w:val="single" w:color="auto" w:sz="4" w:space="0"/>
              <w:right w:val="single" w:color="auto" w:sz="4" w:space="0"/>
            </w:tcBorders>
            <w:shd w:val="clear" w:color="auto" w:fill="auto"/>
            <w:vAlign w:val="center"/>
          </w:tcPr>
          <w:p w14:paraId="22A34F8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16 </w:t>
            </w:r>
          </w:p>
        </w:tc>
      </w:tr>
      <w:tr w14:paraId="02541922">
        <w:tblPrEx>
          <w:tblCellMar>
            <w:top w:w="0" w:type="dxa"/>
            <w:left w:w="108" w:type="dxa"/>
            <w:bottom w:w="0" w:type="dxa"/>
            <w:right w:w="108" w:type="dxa"/>
          </w:tblCellMar>
        </w:tblPrEx>
        <w:trPr>
          <w:trHeight w:val="330" w:hRule="atLeast"/>
        </w:trPr>
        <w:tc>
          <w:tcPr>
            <w:tcW w:w="402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10DEB9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520" w:type="dxa"/>
            <w:tcBorders>
              <w:top w:val="nil"/>
              <w:left w:val="nil"/>
              <w:bottom w:val="single" w:color="auto" w:sz="4" w:space="0"/>
              <w:right w:val="single" w:color="auto" w:sz="4" w:space="0"/>
            </w:tcBorders>
            <w:shd w:val="clear" w:color="auto" w:fill="auto"/>
            <w:vAlign w:val="center"/>
          </w:tcPr>
          <w:p w14:paraId="494B326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 xml:space="preserve"> </w:t>
            </w:r>
          </w:p>
        </w:tc>
      </w:tr>
      <w:tr w14:paraId="136D3BCB">
        <w:tblPrEx>
          <w:tblCellMar>
            <w:top w:w="0" w:type="dxa"/>
            <w:left w:w="108" w:type="dxa"/>
            <w:bottom w:w="0" w:type="dxa"/>
            <w:right w:w="108" w:type="dxa"/>
          </w:tblCellMar>
        </w:tblPrEx>
        <w:trPr>
          <w:trHeight w:val="330" w:hRule="atLeast"/>
        </w:trPr>
        <w:tc>
          <w:tcPr>
            <w:tcW w:w="1271" w:type="dxa"/>
            <w:vMerge w:val="restart"/>
            <w:tcBorders>
              <w:top w:val="nil"/>
              <w:left w:val="single" w:color="auto" w:sz="4" w:space="0"/>
              <w:bottom w:val="nil"/>
              <w:right w:val="nil"/>
            </w:tcBorders>
            <w:shd w:val="clear" w:color="auto" w:fill="auto"/>
            <w:vAlign w:val="center"/>
          </w:tcPr>
          <w:p w14:paraId="5737330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工程维修部</w:t>
            </w:r>
          </w:p>
        </w:tc>
        <w:tc>
          <w:tcPr>
            <w:tcW w:w="2749" w:type="dxa"/>
            <w:tcBorders>
              <w:top w:val="nil"/>
              <w:left w:val="single" w:color="auto" w:sz="4" w:space="0"/>
              <w:bottom w:val="single" w:color="auto" w:sz="4" w:space="0"/>
              <w:right w:val="single" w:color="auto" w:sz="4" w:space="0"/>
            </w:tcBorders>
            <w:shd w:val="clear" w:color="auto" w:fill="auto"/>
            <w:vAlign w:val="center"/>
          </w:tcPr>
          <w:p w14:paraId="5D79BD9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工程主管</w:t>
            </w:r>
          </w:p>
        </w:tc>
        <w:tc>
          <w:tcPr>
            <w:tcW w:w="1520" w:type="dxa"/>
            <w:tcBorders>
              <w:top w:val="nil"/>
              <w:left w:val="nil"/>
              <w:bottom w:val="single" w:color="auto" w:sz="4" w:space="0"/>
              <w:right w:val="single" w:color="auto" w:sz="4" w:space="0"/>
            </w:tcBorders>
            <w:shd w:val="clear" w:color="auto" w:fill="auto"/>
            <w:vAlign w:val="center"/>
          </w:tcPr>
          <w:p w14:paraId="1CAF2D8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 </w:t>
            </w:r>
          </w:p>
        </w:tc>
      </w:tr>
      <w:tr w14:paraId="0EB5D71C">
        <w:tblPrEx>
          <w:tblCellMar>
            <w:top w:w="0" w:type="dxa"/>
            <w:left w:w="108" w:type="dxa"/>
            <w:bottom w:w="0" w:type="dxa"/>
            <w:right w:w="108" w:type="dxa"/>
          </w:tblCellMar>
        </w:tblPrEx>
        <w:trPr>
          <w:trHeight w:val="330" w:hRule="atLeast"/>
        </w:trPr>
        <w:tc>
          <w:tcPr>
            <w:tcW w:w="1271" w:type="dxa"/>
            <w:vMerge w:val="continue"/>
            <w:tcBorders>
              <w:top w:val="nil"/>
              <w:left w:val="single" w:color="auto" w:sz="4" w:space="0"/>
              <w:bottom w:val="nil"/>
              <w:right w:val="nil"/>
            </w:tcBorders>
            <w:vAlign w:val="center"/>
          </w:tcPr>
          <w:p w14:paraId="3840D7D4">
            <w:pPr>
              <w:widowControl/>
              <w:jc w:val="center"/>
              <w:rPr>
                <w:rFonts w:hint="eastAsia" w:ascii="宋体" w:hAnsi="宋体" w:eastAsia="宋体" w:cs="宋体"/>
                <w:color w:val="000000"/>
                <w:kern w:val="0"/>
                <w:sz w:val="18"/>
                <w:szCs w:val="18"/>
              </w:rPr>
            </w:pPr>
          </w:p>
        </w:tc>
        <w:tc>
          <w:tcPr>
            <w:tcW w:w="2749" w:type="dxa"/>
            <w:tcBorders>
              <w:top w:val="nil"/>
              <w:left w:val="single" w:color="auto" w:sz="4" w:space="0"/>
              <w:bottom w:val="single" w:color="auto" w:sz="4" w:space="0"/>
              <w:right w:val="single" w:color="auto" w:sz="4" w:space="0"/>
            </w:tcBorders>
            <w:shd w:val="clear" w:color="auto" w:fill="auto"/>
            <w:vAlign w:val="center"/>
          </w:tcPr>
          <w:p w14:paraId="07C8CEB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零星维修</w:t>
            </w:r>
          </w:p>
        </w:tc>
        <w:tc>
          <w:tcPr>
            <w:tcW w:w="1520" w:type="dxa"/>
            <w:tcBorders>
              <w:top w:val="nil"/>
              <w:left w:val="nil"/>
              <w:bottom w:val="single" w:color="auto" w:sz="4" w:space="0"/>
              <w:right w:val="single" w:color="auto" w:sz="4" w:space="0"/>
            </w:tcBorders>
            <w:shd w:val="clear" w:color="auto" w:fill="auto"/>
            <w:vAlign w:val="center"/>
          </w:tcPr>
          <w:p w14:paraId="4633D3A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10 </w:t>
            </w:r>
          </w:p>
        </w:tc>
      </w:tr>
      <w:tr w14:paraId="5363B7F8">
        <w:tblPrEx>
          <w:tblCellMar>
            <w:top w:w="0" w:type="dxa"/>
            <w:left w:w="108" w:type="dxa"/>
            <w:bottom w:w="0" w:type="dxa"/>
            <w:right w:w="108" w:type="dxa"/>
          </w:tblCellMar>
        </w:tblPrEx>
        <w:trPr>
          <w:trHeight w:val="330" w:hRule="atLeast"/>
        </w:trPr>
        <w:tc>
          <w:tcPr>
            <w:tcW w:w="1271" w:type="dxa"/>
            <w:vMerge w:val="continue"/>
            <w:tcBorders>
              <w:top w:val="nil"/>
              <w:left w:val="single" w:color="auto" w:sz="4" w:space="0"/>
              <w:bottom w:val="nil"/>
              <w:right w:val="nil"/>
            </w:tcBorders>
            <w:vAlign w:val="center"/>
          </w:tcPr>
          <w:p w14:paraId="1618DEC2">
            <w:pPr>
              <w:widowControl/>
              <w:jc w:val="center"/>
              <w:rPr>
                <w:rFonts w:hint="eastAsia" w:ascii="宋体" w:hAnsi="宋体" w:eastAsia="宋体" w:cs="宋体"/>
                <w:color w:val="000000"/>
                <w:kern w:val="0"/>
                <w:sz w:val="18"/>
                <w:szCs w:val="18"/>
              </w:rPr>
            </w:pPr>
          </w:p>
        </w:tc>
        <w:tc>
          <w:tcPr>
            <w:tcW w:w="2749" w:type="dxa"/>
            <w:tcBorders>
              <w:top w:val="nil"/>
              <w:left w:val="single" w:color="auto" w:sz="4" w:space="0"/>
              <w:bottom w:val="single" w:color="auto" w:sz="4" w:space="0"/>
              <w:right w:val="single" w:color="auto" w:sz="4" w:space="0"/>
            </w:tcBorders>
            <w:shd w:val="clear" w:color="auto" w:fill="auto"/>
            <w:vAlign w:val="center"/>
          </w:tcPr>
          <w:p w14:paraId="46738FE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高配值班</w:t>
            </w:r>
          </w:p>
        </w:tc>
        <w:tc>
          <w:tcPr>
            <w:tcW w:w="1520" w:type="dxa"/>
            <w:tcBorders>
              <w:top w:val="nil"/>
              <w:left w:val="nil"/>
              <w:bottom w:val="single" w:color="auto" w:sz="4" w:space="0"/>
              <w:right w:val="single" w:color="auto" w:sz="4" w:space="0"/>
            </w:tcBorders>
            <w:shd w:val="clear" w:color="auto" w:fill="auto"/>
            <w:vAlign w:val="center"/>
          </w:tcPr>
          <w:p w14:paraId="61E0E3F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8 </w:t>
            </w:r>
          </w:p>
        </w:tc>
      </w:tr>
      <w:tr w14:paraId="735720A1">
        <w:tblPrEx>
          <w:tblCellMar>
            <w:top w:w="0" w:type="dxa"/>
            <w:left w:w="108" w:type="dxa"/>
            <w:bottom w:w="0" w:type="dxa"/>
            <w:right w:w="108" w:type="dxa"/>
          </w:tblCellMar>
        </w:tblPrEx>
        <w:trPr>
          <w:trHeight w:val="330" w:hRule="atLeast"/>
        </w:trPr>
        <w:tc>
          <w:tcPr>
            <w:tcW w:w="1271" w:type="dxa"/>
            <w:vMerge w:val="continue"/>
            <w:tcBorders>
              <w:top w:val="nil"/>
              <w:left w:val="single" w:color="auto" w:sz="4" w:space="0"/>
              <w:bottom w:val="nil"/>
              <w:right w:val="nil"/>
            </w:tcBorders>
            <w:vAlign w:val="center"/>
          </w:tcPr>
          <w:p w14:paraId="26B5195E">
            <w:pPr>
              <w:widowControl/>
              <w:jc w:val="center"/>
              <w:rPr>
                <w:rFonts w:hint="eastAsia" w:ascii="宋体" w:hAnsi="宋体" w:eastAsia="宋体" w:cs="宋体"/>
                <w:color w:val="000000"/>
                <w:kern w:val="0"/>
                <w:sz w:val="18"/>
                <w:szCs w:val="18"/>
              </w:rPr>
            </w:pPr>
          </w:p>
        </w:tc>
        <w:tc>
          <w:tcPr>
            <w:tcW w:w="2749" w:type="dxa"/>
            <w:tcBorders>
              <w:top w:val="nil"/>
              <w:left w:val="single" w:color="auto" w:sz="4" w:space="0"/>
              <w:bottom w:val="single" w:color="auto" w:sz="4" w:space="0"/>
              <w:right w:val="single" w:color="auto" w:sz="4" w:space="0"/>
            </w:tcBorders>
            <w:shd w:val="clear" w:color="auto" w:fill="auto"/>
            <w:vAlign w:val="center"/>
          </w:tcPr>
          <w:p w14:paraId="5469C3A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设备</w:t>
            </w:r>
            <w:r>
              <w:rPr>
                <w:rFonts w:hint="eastAsia" w:ascii="宋体" w:hAnsi="宋体" w:eastAsia="宋体" w:cs="宋体"/>
                <w:color w:val="000000"/>
                <w:kern w:val="0"/>
                <w:sz w:val="18"/>
                <w:szCs w:val="18"/>
              </w:rPr>
              <w:t>运行</w:t>
            </w:r>
          </w:p>
        </w:tc>
        <w:tc>
          <w:tcPr>
            <w:tcW w:w="1520" w:type="dxa"/>
            <w:tcBorders>
              <w:top w:val="nil"/>
              <w:left w:val="nil"/>
              <w:bottom w:val="single" w:color="auto" w:sz="4" w:space="0"/>
              <w:right w:val="single" w:color="auto" w:sz="4" w:space="0"/>
            </w:tcBorders>
            <w:shd w:val="clear" w:color="auto" w:fill="auto"/>
            <w:vAlign w:val="center"/>
          </w:tcPr>
          <w:p w14:paraId="5ADC717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7</w:t>
            </w:r>
            <w:r>
              <w:rPr>
                <w:rFonts w:hint="eastAsia" w:ascii="宋体" w:hAnsi="宋体" w:eastAsia="宋体" w:cs="宋体"/>
                <w:color w:val="000000"/>
                <w:kern w:val="0"/>
                <w:szCs w:val="21"/>
              </w:rPr>
              <w:t xml:space="preserve"> </w:t>
            </w:r>
          </w:p>
        </w:tc>
      </w:tr>
      <w:tr w14:paraId="79C12909">
        <w:tblPrEx>
          <w:tblCellMar>
            <w:top w:w="0" w:type="dxa"/>
            <w:left w:w="108" w:type="dxa"/>
            <w:bottom w:w="0" w:type="dxa"/>
            <w:right w:w="108" w:type="dxa"/>
          </w:tblCellMar>
        </w:tblPrEx>
        <w:trPr>
          <w:trHeight w:val="330" w:hRule="atLeast"/>
        </w:trPr>
        <w:tc>
          <w:tcPr>
            <w:tcW w:w="402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8F5F73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520" w:type="dxa"/>
            <w:tcBorders>
              <w:top w:val="nil"/>
              <w:left w:val="nil"/>
              <w:bottom w:val="single" w:color="auto" w:sz="4" w:space="0"/>
              <w:right w:val="single" w:color="auto" w:sz="4" w:space="0"/>
            </w:tcBorders>
            <w:shd w:val="clear" w:color="auto" w:fill="auto"/>
            <w:vAlign w:val="center"/>
          </w:tcPr>
          <w:p w14:paraId="6F26F39F">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6</w:t>
            </w:r>
          </w:p>
        </w:tc>
      </w:tr>
      <w:tr w14:paraId="2E2F6EDA">
        <w:tblPrEx>
          <w:tblCellMar>
            <w:top w:w="0" w:type="dxa"/>
            <w:left w:w="108" w:type="dxa"/>
            <w:bottom w:w="0" w:type="dxa"/>
            <w:right w:w="108" w:type="dxa"/>
          </w:tblCellMar>
        </w:tblPrEx>
        <w:trPr>
          <w:trHeight w:val="330" w:hRule="atLeast"/>
        </w:trPr>
        <w:tc>
          <w:tcPr>
            <w:tcW w:w="1271" w:type="dxa"/>
            <w:vMerge w:val="restart"/>
            <w:tcBorders>
              <w:top w:val="nil"/>
              <w:left w:val="single" w:color="auto" w:sz="4" w:space="0"/>
              <w:bottom w:val="nil"/>
              <w:right w:val="single" w:color="auto" w:sz="4" w:space="0"/>
            </w:tcBorders>
            <w:shd w:val="clear" w:color="auto" w:fill="auto"/>
            <w:vAlign w:val="center"/>
          </w:tcPr>
          <w:p w14:paraId="35CB2E8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客服会务部</w:t>
            </w:r>
          </w:p>
        </w:tc>
        <w:tc>
          <w:tcPr>
            <w:tcW w:w="2749" w:type="dxa"/>
            <w:tcBorders>
              <w:top w:val="nil"/>
              <w:left w:val="nil"/>
              <w:bottom w:val="single" w:color="auto" w:sz="4" w:space="0"/>
              <w:right w:val="single" w:color="auto" w:sz="4" w:space="0"/>
            </w:tcBorders>
            <w:shd w:val="clear" w:color="auto" w:fill="auto"/>
            <w:vAlign w:val="center"/>
          </w:tcPr>
          <w:p w14:paraId="145AC45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客服</w:t>
            </w:r>
            <w:r>
              <w:rPr>
                <w:rFonts w:hint="eastAsia" w:ascii="宋体" w:hAnsi="宋体" w:eastAsia="宋体" w:cs="宋体"/>
                <w:color w:val="000000"/>
                <w:kern w:val="0"/>
                <w:sz w:val="18"/>
                <w:szCs w:val="18"/>
              </w:rPr>
              <w:t>主管</w:t>
            </w:r>
          </w:p>
        </w:tc>
        <w:tc>
          <w:tcPr>
            <w:tcW w:w="1520" w:type="dxa"/>
            <w:tcBorders>
              <w:top w:val="nil"/>
              <w:left w:val="nil"/>
              <w:bottom w:val="single" w:color="auto" w:sz="4" w:space="0"/>
              <w:right w:val="single" w:color="auto" w:sz="4" w:space="0"/>
            </w:tcBorders>
            <w:shd w:val="clear" w:color="auto" w:fill="auto"/>
            <w:vAlign w:val="center"/>
          </w:tcPr>
          <w:p w14:paraId="51570E8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 </w:t>
            </w:r>
          </w:p>
        </w:tc>
      </w:tr>
      <w:tr w14:paraId="53FFD67A">
        <w:tblPrEx>
          <w:tblCellMar>
            <w:top w:w="0" w:type="dxa"/>
            <w:left w:w="108" w:type="dxa"/>
            <w:bottom w:w="0" w:type="dxa"/>
            <w:right w:w="108" w:type="dxa"/>
          </w:tblCellMar>
        </w:tblPrEx>
        <w:trPr>
          <w:trHeight w:val="330" w:hRule="atLeast"/>
        </w:trPr>
        <w:tc>
          <w:tcPr>
            <w:tcW w:w="1271" w:type="dxa"/>
            <w:vMerge w:val="continue"/>
            <w:tcBorders>
              <w:top w:val="nil"/>
              <w:left w:val="single" w:color="auto" w:sz="4" w:space="0"/>
              <w:bottom w:val="nil"/>
              <w:right w:val="single" w:color="auto" w:sz="4" w:space="0"/>
            </w:tcBorders>
            <w:vAlign w:val="center"/>
          </w:tcPr>
          <w:p w14:paraId="01C11A70">
            <w:pPr>
              <w:widowControl/>
              <w:jc w:val="center"/>
              <w:rPr>
                <w:rFonts w:hint="eastAsia" w:ascii="宋体" w:hAnsi="宋体" w:eastAsia="宋体" w:cs="宋体"/>
                <w:color w:val="000000"/>
                <w:kern w:val="0"/>
                <w:sz w:val="18"/>
                <w:szCs w:val="18"/>
              </w:rPr>
            </w:pPr>
          </w:p>
        </w:tc>
        <w:tc>
          <w:tcPr>
            <w:tcW w:w="2749" w:type="dxa"/>
            <w:tcBorders>
              <w:top w:val="nil"/>
              <w:left w:val="nil"/>
              <w:bottom w:val="single" w:color="auto" w:sz="4" w:space="0"/>
              <w:right w:val="single" w:color="auto" w:sz="4" w:space="0"/>
            </w:tcBorders>
            <w:shd w:val="clear" w:color="auto" w:fill="auto"/>
            <w:vAlign w:val="center"/>
          </w:tcPr>
          <w:p w14:paraId="4F727CE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客服岗</w:t>
            </w:r>
          </w:p>
        </w:tc>
        <w:tc>
          <w:tcPr>
            <w:tcW w:w="1520" w:type="dxa"/>
            <w:tcBorders>
              <w:top w:val="nil"/>
              <w:left w:val="nil"/>
              <w:bottom w:val="single" w:color="auto" w:sz="4" w:space="0"/>
              <w:right w:val="single" w:color="auto" w:sz="4" w:space="0"/>
            </w:tcBorders>
            <w:shd w:val="clear" w:color="auto" w:fill="auto"/>
            <w:vAlign w:val="center"/>
          </w:tcPr>
          <w:p w14:paraId="734A931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3 </w:t>
            </w:r>
          </w:p>
        </w:tc>
      </w:tr>
      <w:tr w14:paraId="3C817281">
        <w:tblPrEx>
          <w:tblCellMar>
            <w:top w:w="0" w:type="dxa"/>
            <w:left w:w="108" w:type="dxa"/>
            <w:bottom w:w="0" w:type="dxa"/>
            <w:right w:w="108" w:type="dxa"/>
          </w:tblCellMar>
        </w:tblPrEx>
        <w:trPr>
          <w:trHeight w:val="330" w:hRule="atLeast"/>
        </w:trPr>
        <w:tc>
          <w:tcPr>
            <w:tcW w:w="1271" w:type="dxa"/>
            <w:vMerge w:val="continue"/>
            <w:tcBorders>
              <w:top w:val="nil"/>
              <w:left w:val="single" w:color="auto" w:sz="4" w:space="0"/>
              <w:bottom w:val="nil"/>
              <w:right w:val="single" w:color="auto" w:sz="4" w:space="0"/>
            </w:tcBorders>
            <w:vAlign w:val="center"/>
          </w:tcPr>
          <w:p w14:paraId="7C36E69D">
            <w:pPr>
              <w:widowControl/>
              <w:jc w:val="center"/>
              <w:rPr>
                <w:rFonts w:hint="eastAsia" w:ascii="宋体" w:hAnsi="宋体" w:eastAsia="宋体" w:cs="宋体"/>
                <w:color w:val="000000"/>
                <w:kern w:val="0"/>
                <w:sz w:val="18"/>
                <w:szCs w:val="18"/>
              </w:rPr>
            </w:pPr>
          </w:p>
        </w:tc>
        <w:tc>
          <w:tcPr>
            <w:tcW w:w="2749" w:type="dxa"/>
            <w:tcBorders>
              <w:top w:val="nil"/>
              <w:left w:val="nil"/>
              <w:bottom w:val="single" w:color="auto" w:sz="4" w:space="0"/>
              <w:right w:val="single" w:color="auto" w:sz="4" w:space="0"/>
            </w:tcBorders>
            <w:shd w:val="clear" w:color="auto" w:fill="auto"/>
            <w:vAlign w:val="center"/>
          </w:tcPr>
          <w:p w14:paraId="5CB10D8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会务岗</w:t>
            </w:r>
          </w:p>
        </w:tc>
        <w:tc>
          <w:tcPr>
            <w:tcW w:w="1520" w:type="dxa"/>
            <w:tcBorders>
              <w:top w:val="nil"/>
              <w:left w:val="nil"/>
              <w:bottom w:val="single" w:color="auto" w:sz="4" w:space="0"/>
              <w:right w:val="single" w:color="auto" w:sz="4" w:space="0"/>
            </w:tcBorders>
            <w:shd w:val="clear" w:color="auto" w:fill="auto"/>
            <w:vAlign w:val="center"/>
          </w:tcPr>
          <w:p w14:paraId="1A5133A6">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2 </w:t>
            </w:r>
          </w:p>
        </w:tc>
      </w:tr>
      <w:tr w14:paraId="62D7005C">
        <w:tblPrEx>
          <w:tblCellMar>
            <w:top w:w="0" w:type="dxa"/>
            <w:left w:w="108" w:type="dxa"/>
            <w:bottom w:w="0" w:type="dxa"/>
            <w:right w:w="108" w:type="dxa"/>
          </w:tblCellMar>
        </w:tblPrEx>
        <w:trPr>
          <w:trHeight w:val="330" w:hRule="atLeast"/>
        </w:trPr>
        <w:tc>
          <w:tcPr>
            <w:tcW w:w="402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D04804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520" w:type="dxa"/>
            <w:tcBorders>
              <w:top w:val="nil"/>
              <w:left w:val="nil"/>
              <w:bottom w:val="single" w:color="auto" w:sz="4" w:space="0"/>
              <w:right w:val="single" w:color="auto" w:sz="4" w:space="0"/>
            </w:tcBorders>
            <w:shd w:val="clear" w:color="auto" w:fill="auto"/>
            <w:vAlign w:val="center"/>
          </w:tcPr>
          <w:p w14:paraId="082413D6">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6 </w:t>
            </w:r>
          </w:p>
        </w:tc>
      </w:tr>
      <w:tr w14:paraId="670F7878">
        <w:tblPrEx>
          <w:tblCellMar>
            <w:top w:w="0" w:type="dxa"/>
            <w:left w:w="108" w:type="dxa"/>
            <w:bottom w:w="0" w:type="dxa"/>
            <w:right w:w="108" w:type="dxa"/>
          </w:tblCellMar>
        </w:tblPrEx>
        <w:trPr>
          <w:trHeight w:val="330" w:hRule="atLeast"/>
        </w:trPr>
        <w:tc>
          <w:tcPr>
            <w:tcW w:w="1271" w:type="dxa"/>
            <w:vMerge w:val="restart"/>
            <w:tcBorders>
              <w:top w:val="nil"/>
              <w:left w:val="single" w:color="auto" w:sz="4" w:space="0"/>
              <w:bottom w:val="single" w:color="000000" w:sz="4" w:space="0"/>
              <w:right w:val="single" w:color="auto" w:sz="4" w:space="0"/>
            </w:tcBorders>
            <w:shd w:val="clear" w:color="auto" w:fill="auto"/>
            <w:vAlign w:val="center"/>
          </w:tcPr>
          <w:p w14:paraId="1ACA407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环境维护部</w:t>
            </w:r>
          </w:p>
        </w:tc>
        <w:tc>
          <w:tcPr>
            <w:tcW w:w="2749" w:type="dxa"/>
            <w:tcBorders>
              <w:top w:val="nil"/>
              <w:left w:val="nil"/>
              <w:bottom w:val="single" w:color="auto" w:sz="4" w:space="0"/>
              <w:right w:val="single" w:color="auto" w:sz="4" w:space="0"/>
            </w:tcBorders>
            <w:shd w:val="clear" w:color="auto" w:fill="auto"/>
            <w:vAlign w:val="center"/>
          </w:tcPr>
          <w:p w14:paraId="100765D0">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保洁主管</w:t>
            </w:r>
          </w:p>
        </w:tc>
        <w:tc>
          <w:tcPr>
            <w:tcW w:w="1520" w:type="dxa"/>
            <w:tcBorders>
              <w:top w:val="nil"/>
              <w:left w:val="nil"/>
              <w:bottom w:val="single" w:color="auto" w:sz="4" w:space="0"/>
              <w:right w:val="single" w:color="auto" w:sz="4" w:space="0"/>
            </w:tcBorders>
            <w:shd w:val="clear" w:color="auto" w:fill="auto"/>
            <w:vAlign w:val="center"/>
          </w:tcPr>
          <w:p w14:paraId="2156F3A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 </w:t>
            </w:r>
          </w:p>
        </w:tc>
      </w:tr>
      <w:tr w14:paraId="6088F9A5">
        <w:tblPrEx>
          <w:tblCellMar>
            <w:top w:w="0" w:type="dxa"/>
            <w:left w:w="108" w:type="dxa"/>
            <w:bottom w:w="0" w:type="dxa"/>
            <w:right w:w="108" w:type="dxa"/>
          </w:tblCellMar>
        </w:tblPrEx>
        <w:trPr>
          <w:trHeight w:val="330" w:hRule="atLeast"/>
        </w:trPr>
        <w:tc>
          <w:tcPr>
            <w:tcW w:w="1271" w:type="dxa"/>
            <w:vMerge w:val="continue"/>
            <w:tcBorders>
              <w:left w:val="single" w:color="auto" w:sz="4" w:space="0"/>
              <w:right w:val="single" w:color="auto" w:sz="4" w:space="0"/>
            </w:tcBorders>
            <w:shd w:val="clear" w:color="auto" w:fill="auto"/>
            <w:vAlign w:val="center"/>
          </w:tcPr>
          <w:p w14:paraId="675F1D22">
            <w:pPr>
              <w:widowControl/>
              <w:jc w:val="center"/>
              <w:rPr>
                <w:rFonts w:hint="eastAsia" w:ascii="宋体" w:hAnsi="宋体" w:eastAsia="宋体" w:cs="宋体"/>
                <w:color w:val="000000"/>
                <w:kern w:val="0"/>
                <w:sz w:val="18"/>
                <w:szCs w:val="18"/>
              </w:rPr>
            </w:pPr>
          </w:p>
        </w:tc>
        <w:tc>
          <w:tcPr>
            <w:tcW w:w="2749" w:type="dxa"/>
            <w:tcBorders>
              <w:top w:val="nil"/>
              <w:left w:val="nil"/>
              <w:bottom w:val="single" w:color="auto" w:sz="4" w:space="0"/>
              <w:right w:val="single" w:color="auto" w:sz="4" w:space="0"/>
            </w:tcBorders>
            <w:shd w:val="clear" w:color="auto" w:fill="auto"/>
            <w:vAlign w:val="center"/>
          </w:tcPr>
          <w:p w14:paraId="6B100FB4">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绿化主管</w:t>
            </w:r>
          </w:p>
        </w:tc>
        <w:tc>
          <w:tcPr>
            <w:tcW w:w="1520" w:type="dxa"/>
            <w:tcBorders>
              <w:top w:val="nil"/>
              <w:left w:val="nil"/>
              <w:bottom w:val="single" w:color="auto" w:sz="4" w:space="0"/>
              <w:right w:val="single" w:color="auto" w:sz="4" w:space="0"/>
            </w:tcBorders>
            <w:shd w:val="clear" w:color="auto" w:fill="auto"/>
            <w:vAlign w:val="center"/>
          </w:tcPr>
          <w:p w14:paraId="27DA7889">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w:t>
            </w:r>
          </w:p>
        </w:tc>
      </w:tr>
      <w:tr w14:paraId="20DBB2FB">
        <w:tblPrEx>
          <w:tblCellMar>
            <w:top w:w="0" w:type="dxa"/>
            <w:left w:w="108" w:type="dxa"/>
            <w:bottom w:w="0" w:type="dxa"/>
            <w:right w:w="108" w:type="dxa"/>
          </w:tblCellMar>
        </w:tblPrEx>
        <w:trPr>
          <w:trHeight w:val="330" w:hRule="atLeast"/>
        </w:trPr>
        <w:tc>
          <w:tcPr>
            <w:tcW w:w="1271" w:type="dxa"/>
            <w:vMerge w:val="continue"/>
            <w:tcBorders>
              <w:left w:val="single" w:color="auto" w:sz="4" w:space="0"/>
              <w:right w:val="single" w:color="auto" w:sz="4" w:space="0"/>
            </w:tcBorders>
            <w:shd w:val="clear" w:color="auto" w:fill="auto"/>
            <w:vAlign w:val="center"/>
          </w:tcPr>
          <w:p w14:paraId="0DFBF79E">
            <w:pPr>
              <w:widowControl/>
              <w:jc w:val="center"/>
              <w:rPr>
                <w:rFonts w:hint="eastAsia" w:ascii="宋体" w:hAnsi="宋体" w:eastAsia="宋体" w:cs="宋体"/>
                <w:color w:val="000000"/>
                <w:kern w:val="0"/>
                <w:sz w:val="18"/>
                <w:szCs w:val="18"/>
              </w:rPr>
            </w:pPr>
          </w:p>
        </w:tc>
        <w:tc>
          <w:tcPr>
            <w:tcW w:w="2749" w:type="dxa"/>
            <w:tcBorders>
              <w:top w:val="nil"/>
              <w:left w:val="nil"/>
              <w:bottom w:val="single" w:color="auto" w:sz="4" w:space="0"/>
              <w:right w:val="single" w:color="auto" w:sz="4" w:space="0"/>
            </w:tcBorders>
            <w:shd w:val="clear" w:color="auto" w:fill="auto"/>
            <w:vAlign w:val="center"/>
          </w:tcPr>
          <w:p w14:paraId="694B98F1">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保洁员</w:t>
            </w:r>
          </w:p>
        </w:tc>
        <w:tc>
          <w:tcPr>
            <w:tcW w:w="1520" w:type="dxa"/>
            <w:tcBorders>
              <w:top w:val="nil"/>
              <w:left w:val="nil"/>
              <w:bottom w:val="single" w:color="auto" w:sz="4" w:space="0"/>
              <w:right w:val="single" w:color="auto" w:sz="4" w:space="0"/>
            </w:tcBorders>
            <w:shd w:val="clear" w:color="auto" w:fill="auto"/>
            <w:vAlign w:val="center"/>
          </w:tcPr>
          <w:p w14:paraId="6E4FECDF">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7</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rPr>
              <w:t xml:space="preserve"> </w:t>
            </w:r>
          </w:p>
        </w:tc>
      </w:tr>
      <w:tr w14:paraId="5B7FFE17">
        <w:tblPrEx>
          <w:tblCellMar>
            <w:top w:w="0" w:type="dxa"/>
            <w:left w:w="108" w:type="dxa"/>
            <w:bottom w:w="0" w:type="dxa"/>
            <w:right w:w="108" w:type="dxa"/>
          </w:tblCellMar>
        </w:tblPrEx>
        <w:trPr>
          <w:trHeight w:val="330" w:hRule="atLeast"/>
        </w:trPr>
        <w:tc>
          <w:tcPr>
            <w:tcW w:w="1271" w:type="dxa"/>
            <w:vMerge w:val="continue"/>
            <w:tcBorders>
              <w:top w:val="nil"/>
              <w:left w:val="single" w:color="auto" w:sz="4" w:space="0"/>
              <w:bottom w:val="single" w:color="000000" w:sz="4" w:space="0"/>
              <w:right w:val="single" w:color="auto" w:sz="4" w:space="0"/>
            </w:tcBorders>
            <w:vAlign w:val="center"/>
          </w:tcPr>
          <w:p w14:paraId="68FD1774">
            <w:pPr>
              <w:widowControl/>
              <w:jc w:val="center"/>
              <w:rPr>
                <w:rFonts w:hint="eastAsia" w:ascii="宋体" w:hAnsi="宋体" w:eastAsia="宋体" w:cs="宋体"/>
                <w:color w:val="000000"/>
                <w:kern w:val="0"/>
                <w:sz w:val="18"/>
                <w:szCs w:val="18"/>
              </w:rPr>
            </w:pPr>
          </w:p>
        </w:tc>
        <w:tc>
          <w:tcPr>
            <w:tcW w:w="2749" w:type="dxa"/>
            <w:tcBorders>
              <w:top w:val="nil"/>
              <w:left w:val="nil"/>
              <w:bottom w:val="single" w:color="auto" w:sz="4" w:space="0"/>
              <w:right w:val="single" w:color="auto" w:sz="4" w:space="0"/>
            </w:tcBorders>
            <w:shd w:val="clear" w:color="auto" w:fill="auto"/>
            <w:vAlign w:val="center"/>
          </w:tcPr>
          <w:p w14:paraId="49CBBAE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绿化工</w:t>
            </w:r>
          </w:p>
        </w:tc>
        <w:tc>
          <w:tcPr>
            <w:tcW w:w="1520" w:type="dxa"/>
            <w:tcBorders>
              <w:top w:val="nil"/>
              <w:left w:val="nil"/>
              <w:bottom w:val="single" w:color="auto" w:sz="4" w:space="0"/>
              <w:right w:val="single" w:color="auto" w:sz="4" w:space="0"/>
            </w:tcBorders>
            <w:shd w:val="clear" w:color="auto" w:fill="auto"/>
            <w:vAlign w:val="center"/>
          </w:tcPr>
          <w:p w14:paraId="7E1FE324">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w:t>
            </w:r>
          </w:p>
        </w:tc>
      </w:tr>
      <w:tr w14:paraId="04788ABC">
        <w:tblPrEx>
          <w:tblCellMar>
            <w:top w:w="0" w:type="dxa"/>
            <w:left w:w="108" w:type="dxa"/>
            <w:bottom w:w="0" w:type="dxa"/>
            <w:right w:w="108" w:type="dxa"/>
          </w:tblCellMar>
        </w:tblPrEx>
        <w:trPr>
          <w:trHeight w:val="330" w:hRule="atLeast"/>
        </w:trPr>
        <w:tc>
          <w:tcPr>
            <w:tcW w:w="402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041564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520" w:type="dxa"/>
            <w:tcBorders>
              <w:top w:val="nil"/>
              <w:left w:val="nil"/>
              <w:bottom w:val="single" w:color="auto" w:sz="4" w:space="0"/>
              <w:right w:val="single" w:color="auto" w:sz="4" w:space="0"/>
            </w:tcBorders>
            <w:shd w:val="clear" w:color="auto" w:fill="auto"/>
            <w:vAlign w:val="center"/>
          </w:tcPr>
          <w:p w14:paraId="32A1AB1A">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80</w:t>
            </w:r>
          </w:p>
        </w:tc>
      </w:tr>
      <w:tr w14:paraId="2A00CB36">
        <w:tblPrEx>
          <w:tblCellMar>
            <w:top w:w="0" w:type="dxa"/>
            <w:left w:w="108" w:type="dxa"/>
            <w:bottom w:w="0" w:type="dxa"/>
            <w:right w:w="108" w:type="dxa"/>
          </w:tblCellMar>
        </w:tblPrEx>
        <w:trPr>
          <w:trHeight w:val="330" w:hRule="atLeast"/>
        </w:trPr>
        <w:tc>
          <w:tcPr>
            <w:tcW w:w="402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80FCF5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520" w:type="dxa"/>
            <w:tcBorders>
              <w:top w:val="nil"/>
              <w:left w:val="nil"/>
              <w:bottom w:val="single" w:color="auto" w:sz="4" w:space="0"/>
              <w:right w:val="single" w:color="auto" w:sz="4" w:space="0"/>
            </w:tcBorders>
            <w:shd w:val="clear" w:color="auto" w:fill="auto"/>
            <w:vAlign w:val="center"/>
          </w:tcPr>
          <w:p w14:paraId="7AE50E79">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14</w:t>
            </w:r>
            <w:r>
              <w:rPr>
                <w:rFonts w:hint="eastAsia" w:ascii="宋体" w:hAnsi="宋体" w:eastAsia="宋体" w:cs="宋体"/>
                <w:color w:val="000000"/>
                <w:kern w:val="0"/>
                <w:szCs w:val="21"/>
                <w:lang w:val="en-US" w:eastAsia="zh-CN"/>
              </w:rPr>
              <w:t>3</w:t>
            </w:r>
          </w:p>
        </w:tc>
      </w:tr>
    </w:tbl>
    <w:p w14:paraId="06DB559C">
      <w:pPr>
        <w:widowControl/>
        <w:jc w:val="center"/>
        <w:rPr>
          <w:rFonts w:hint="eastAsia" w:ascii="宋体" w:hAnsi="宋体" w:eastAsia="宋体" w:cs="宋体"/>
          <w:color w:val="000000"/>
          <w:kern w:val="0"/>
          <w:sz w:val="18"/>
          <w:szCs w:val="18"/>
        </w:rPr>
      </w:pPr>
    </w:p>
    <w:p w14:paraId="12D08741">
      <w:pPr>
        <w:widowControl/>
        <w:jc w:val="center"/>
        <w:rPr>
          <w:rFonts w:hint="eastAsia" w:ascii="宋体" w:hAnsi="宋体" w:eastAsia="宋体" w:cs="宋体"/>
          <w:color w:val="000000"/>
          <w:kern w:val="0"/>
          <w:sz w:val="18"/>
          <w:szCs w:val="18"/>
        </w:rPr>
      </w:pPr>
    </w:p>
    <w:p w14:paraId="3330BED6">
      <w:pPr>
        <w:spacing w:line="360" w:lineRule="auto"/>
        <w:rPr>
          <w:rFonts w:hint="eastAsia" w:ascii="仿宋" w:hAnsi="仿宋" w:eastAsia="仿宋" w:cs="Times New Roman"/>
          <w:b/>
          <w:bCs/>
          <w:sz w:val="28"/>
          <w:szCs w:val="28"/>
        </w:rPr>
      </w:pPr>
    </w:p>
    <w:p w14:paraId="22BDC79D">
      <w:pPr>
        <w:pStyle w:val="334"/>
        <w:rPr>
          <w:rFonts w:hint="eastAsia"/>
        </w:rPr>
      </w:pPr>
    </w:p>
    <w:p w14:paraId="438F953D">
      <w:pPr>
        <w:rPr>
          <w:rFonts w:hint="eastAsia"/>
        </w:rPr>
      </w:pPr>
    </w:p>
    <w:p w14:paraId="4FB9F32F">
      <w:pPr>
        <w:rPr>
          <w:rFonts w:hint="eastAsia" w:ascii="仿宋" w:hAnsi="仿宋" w:eastAsia="仿宋" w:cs="Times New Roman"/>
          <w:b/>
          <w:bCs/>
          <w:sz w:val="28"/>
          <w:szCs w:val="28"/>
        </w:rPr>
      </w:pPr>
    </w:p>
    <w:p w14:paraId="1B7F9BC3">
      <w:pPr>
        <w:spacing w:line="360" w:lineRule="auto"/>
        <w:rPr>
          <w:rFonts w:ascii="仿宋" w:hAnsi="仿宋" w:eastAsia="仿宋"/>
          <w:b/>
          <w:bCs/>
          <w:sz w:val="28"/>
          <w:szCs w:val="28"/>
        </w:rPr>
      </w:pPr>
      <w:r>
        <w:rPr>
          <w:rFonts w:hint="eastAsia" w:ascii="仿宋" w:hAnsi="仿宋" w:eastAsia="仿宋"/>
          <w:b/>
          <w:bCs/>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7205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672D9917">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1EF06C17">
            <w:pPr>
              <w:pStyle w:val="334"/>
              <w:ind w:left="0" w:leftChars="0" w:firstLine="0" w:firstLineChars="0"/>
              <w:rPr>
                <w:rFonts w:hint="default"/>
                <w:lang w:val="en-US" w:eastAsia="zh-CN"/>
              </w:rPr>
            </w:pPr>
            <w:r>
              <w:rPr>
                <w:rFonts w:hint="eastAsia" w:ascii="仿宋" w:hAnsi="仿宋" w:eastAsia="仿宋"/>
                <w:sz w:val="28"/>
                <w:szCs w:val="28"/>
              </w:rPr>
              <w:t>服务期为36个月，进场时间按</w:t>
            </w:r>
            <w:r>
              <w:rPr>
                <w:rFonts w:ascii="仿宋" w:hAnsi="仿宋" w:eastAsia="仿宋"/>
                <w:sz w:val="28"/>
                <w:szCs w:val="28"/>
              </w:rPr>
              <w:t>合同约定日期或校方发出书面进场通知为准。</w:t>
            </w:r>
          </w:p>
        </w:tc>
      </w:tr>
      <w:tr w14:paraId="7C78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21670A24">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3F42A3C7">
            <w:pPr>
              <w:numPr>
                <w:ilvl w:val="0"/>
                <w:numId w:val="33"/>
              </w:numPr>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货款支付：甲方每月初支付上月物业费，每月物业费为合同总价的1/36，若考核有扣款，按照考核办法执行。</w:t>
            </w:r>
          </w:p>
          <w:p w14:paraId="764D23B4">
            <w:pPr>
              <w:spacing w:line="240" w:lineRule="auto"/>
              <w:rPr>
                <w:rFonts w:ascii="仿宋" w:hAnsi="仿宋" w:eastAsia="仿宋"/>
                <w:sz w:val="28"/>
                <w:szCs w:val="28"/>
              </w:rPr>
            </w:pPr>
            <w:r>
              <w:rPr>
                <w:rFonts w:hint="eastAsia" w:ascii="仿宋" w:hAnsi="仿宋" w:eastAsia="仿宋" w:cstheme="minorBidi"/>
                <w:kern w:val="2"/>
                <w:sz w:val="28"/>
                <w:szCs w:val="28"/>
                <w:lang w:val="en-US" w:eastAsia="zh-CN" w:bidi="ar-SA"/>
              </w:rPr>
              <w:t>2.履约保证金：合同签订后5日内，中标人应向采购人提交合同总价的1%作为履约保证金。中标单位根据合同规定完成服务并验收合格后由采购人无息返还履约保证金至中标人。</w:t>
            </w:r>
          </w:p>
        </w:tc>
      </w:tr>
      <w:tr w14:paraId="1771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79FD2E93">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30312E75">
            <w:pPr>
              <w:rPr>
                <w:rFonts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r w14:paraId="783B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0909A9D4">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售</w:t>
            </w:r>
          </w:p>
          <w:p w14:paraId="33F784D2">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后</w:t>
            </w:r>
          </w:p>
          <w:p w14:paraId="65BE0FB5">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服务</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A837A52">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1E0D2D57">
            <w:pPr>
              <w:numPr>
                <w:ilvl w:val="0"/>
                <w:numId w:val="0"/>
              </w:numPr>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按招标需求</w:t>
            </w:r>
          </w:p>
        </w:tc>
      </w:tr>
      <w:tr w14:paraId="3228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331D654">
            <w:pPr>
              <w:widowControl/>
              <w:jc w:val="left"/>
              <w:rPr>
                <w:rFonts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5737E1F">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响应情况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5A934375">
            <w:pPr>
              <w:numPr>
                <w:ilvl w:val="0"/>
                <w:numId w:val="0"/>
              </w:numPr>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按招标需求</w:t>
            </w:r>
          </w:p>
        </w:tc>
      </w:tr>
      <w:tr w14:paraId="626E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2CF9F09">
            <w:pPr>
              <w:widowControl/>
              <w:jc w:val="left"/>
              <w:rPr>
                <w:rFonts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92DAE67">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技术培训</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61C173D6">
            <w:pP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协助学校完成校区的验收及移交工作，建立各类房屋、设备设施、水电管网的技术档案，培训各类设备设施的运行管理，提出合理建议。</w:t>
            </w:r>
          </w:p>
          <w:p w14:paraId="14409D14">
            <w:pPr>
              <w:rPr>
                <w:rFonts w:ascii="仿宋" w:hAnsi="仿宋" w:eastAsia="仿宋"/>
                <w:sz w:val="28"/>
                <w:szCs w:val="28"/>
              </w:rPr>
            </w:pPr>
            <w:r>
              <w:rPr>
                <w:rFonts w:hint="eastAsia" w:ascii="仿宋" w:hAnsi="仿宋" w:eastAsia="仿宋"/>
                <w:sz w:val="28"/>
                <w:szCs w:val="28"/>
              </w:rPr>
              <w:t>2、中标单位必须对上岗人员按规定进行岗位培训，并对上岗人员定期进行职业道德教育，端正服务态度，提高服务质量。</w:t>
            </w:r>
          </w:p>
          <w:p w14:paraId="0D4F1D54">
            <w:pPr>
              <w:rPr>
                <w:rFonts w:ascii="仿宋" w:hAnsi="仿宋" w:eastAsia="仿宋"/>
                <w:color w:val="000000"/>
                <w:sz w:val="28"/>
                <w:szCs w:val="28"/>
              </w:rPr>
            </w:pPr>
            <w:r>
              <w:rPr>
                <w:rFonts w:hint="eastAsia" w:ascii="仿宋" w:hAnsi="仿宋" w:eastAsia="仿宋"/>
                <w:sz w:val="28"/>
                <w:szCs w:val="28"/>
              </w:rPr>
              <w:t>3、</w:t>
            </w:r>
            <w:r>
              <w:rPr>
                <w:rFonts w:ascii="仿宋" w:hAnsi="仿宋" w:eastAsia="仿宋"/>
                <w:sz w:val="28"/>
                <w:szCs w:val="28"/>
              </w:rPr>
              <w:t>定期对员工进行岗前培训；服务满意率9</w:t>
            </w:r>
            <w:r>
              <w:rPr>
                <w:rFonts w:hint="eastAsia" w:ascii="仿宋" w:hAnsi="仿宋" w:eastAsia="仿宋"/>
                <w:sz w:val="28"/>
                <w:szCs w:val="28"/>
              </w:rPr>
              <w:t>5</w:t>
            </w:r>
            <w:r>
              <w:rPr>
                <w:rFonts w:ascii="仿宋" w:hAnsi="仿宋" w:eastAsia="仿宋"/>
                <w:sz w:val="28"/>
                <w:szCs w:val="28"/>
              </w:rPr>
              <w:t>%以上；</w:t>
            </w:r>
            <w:r>
              <w:rPr>
                <w:rFonts w:hint="eastAsia" w:ascii="仿宋" w:hAnsi="仿宋" w:eastAsia="仿宋"/>
                <w:sz w:val="28"/>
                <w:szCs w:val="28"/>
              </w:rPr>
              <w:t>培训机制与运行机制是否科学；培训内容与项目定位和管理目标是否相符；</w:t>
            </w:r>
          </w:p>
        </w:tc>
      </w:tr>
      <w:tr w14:paraId="40B0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6FE50E43">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1BC4228">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533ADBC0">
            <w:pPr>
              <w:rPr>
                <w:rFonts w:ascii="仿宋" w:hAnsi="仿宋" w:eastAsia="仿宋"/>
                <w:sz w:val="28"/>
                <w:szCs w:val="28"/>
              </w:rPr>
            </w:pPr>
            <w:r>
              <w:rPr>
                <w:rFonts w:hint="eastAsia" w:ascii="仿宋" w:hAnsi="仿宋" w:eastAsia="仿宋"/>
                <w:sz w:val="28"/>
                <w:szCs w:val="28"/>
                <w:lang w:val="en-US" w:eastAsia="zh-CN"/>
              </w:rPr>
              <w:t>1、投标人</w:t>
            </w:r>
            <w:r>
              <w:rPr>
                <w:rFonts w:hint="eastAsia" w:ascii="仿宋" w:hAnsi="仿宋" w:eastAsia="仿宋"/>
                <w:sz w:val="28"/>
                <w:szCs w:val="28"/>
              </w:rPr>
              <w:t>获得的</w:t>
            </w:r>
            <w:r>
              <w:rPr>
                <w:rFonts w:hint="eastAsia" w:ascii="仿宋" w:hAnsi="仿宋" w:eastAsia="仿宋"/>
                <w:sz w:val="28"/>
                <w:szCs w:val="28"/>
                <w:lang w:val="en-US" w:eastAsia="zh-CN"/>
              </w:rPr>
              <w:t>相关证书情况：具有</w:t>
            </w:r>
            <w:r>
              <w:rPr>
                <w:rFonts w:hint="eastAsia" w:ascii="仿宋" w:hAnsi="仿宋" w:eastAsia="仿宋"/>
                <w:sz w:val="28"/>
                <w:szCs w:val="28"/>
              </w:rPr>
              <w:t>有效</w:t>
            </w:r>
            <w:r>
              <w:rPr>
                <w:rFonts w:hint="eastAsia" w:ascii="仿宋" w:hAnsi="仿宋" w:eastAsia="仿宋"/>
                <w:sz w:val="28"/>
                <w:szCs w:val="28"/>
                <w:lang w:val="en-US" w:eastAsia="zh-CN"/>
              </w:rPr>
              <w:t>的</w:t>
            </w:r>
            <w:r>
              <w:rPr>
                <w:rFonts w:hint="eastAsia" w:ascii="仿宋" w:hAnsi="仿宋" w:eastAsia="仿宋"/>
                <w:sz w:val="28"/>
                <w:szCs w:val="28"/>
              </w:rPr>
              <w:t>质量管理体系、环境管理体系、职业健康安全管理体系、能源管理体系、信息安全管理体系、信息技术服务管理体系认证证书情况，每提供一个得0.5分，最高的3分。（提供证书原件扫描件，全国认证认可信息公共服务平台可查，提供查询截图）</w:t>
            </w:r>
          </w:p>
        </w:tc>
      </w:tr>
      <w:tr w14:paraId="7222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0855670D">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6DB2039">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57D54180">
            <w:pPr>
              <w:jc w:val="left"/>
              <w:rPr>
                <w:rFonts w:ascii="仿宋" w:hAnsi="仿宋" w:eastAsia="仿宋"/>
                <w:sz w:val="28"/>
                <w:szCs w:val="28"/>
              </w:rPr>
            </w:pPr>
            <w:r>
              <w:rPr>
                <w:rFonts w:hint="eastAsia" w:ascii="仿宋" w:hAnsi="仿宋" w:eastAsia="仿宋"/>
                <w:sz w:val="28"/>
                <w:szCs w:val="28"/>
                <w:lang w:val="en-US" w:eastAsia="zh-CN"/>
              </w:rPr>
              <w:t>投标人</w:t>
            </w:r>
            <w:r>
              <w:rPr>
                <w:rFonts w:hint="eastAsia" w:ascii="仿宋" w:hAnsi="仿宋" w:eastAsia="仿宋"/>
                <w:sz w:val="28"/>
                <w:szCs w:val="28"/>
              </w:rPr>
              <w:t>提供自2022年1月1日</w:t>
            </w:r>
            <w:r>
              <w:rPr>
                <w:rFonts w:hint="eastAsia" w:ascii="仿宋" w:hAnsi="仿宋" w:eastAsia="仿宋"/>
                <w:sz w:val="28"/>
                <w:szCs w:val="28"/>
                <w:highlight w:val="none"/>
              </w:rPr>
              <w:t>以来，具有类似物业管理经验的</w:t>
            </w:r>
            <w:r>
              <w:rPr>
                <w:rFonts w:hint="eastAsia" w:ascii="仿宋" w:hAnsi="仿宋" w:eastAsia="仿宋"/>
                <w:sz w:val="28"/>
                <w:szCs w:val="28"/>
                <w:highlight w:val="none"/>
                <w:lang w:val="en-US" w:eastAsia="zh-CN"/>
              </w:rPr>
              <w:t>(业绩必须同时包含保洁、绿化、会务、设施设备维修、宿舍管理服务）</w:t>
            </w:r>
            <w:r>
              <w:rPr>
                <w:rFonts w:hint="eastAsia" w:ascii="仿宋" w:hAnsi="仿宋" w:eastAsia="仿宋"/>
                <w:sz w:val="28"/>
                <w:szCs w:val="28"/>
                <w:highlight w:val="none"/>
              </w:rPr>
              <w:t>，每提供1个得0.5分，满分为</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分。</w:t>
            </w:r>
          </w:p>
        </w:tc>
      </w:tr>
    </w:tbl>
    <w:p w14:paraId="43C156C9">
      <w:pPr>
        <w:spacing w:line="360" w:lineRule="auto"/>
        <w:rPr>
          <w:rFonts w:hint="eastAsia" w:ascii="Times New Roman" w:hAnsi="Times New Roman"/>
          <w:spacing w:val="-6"/>
          <w:sz w:val="24"/>
          <w:szCs w:val="21"/>
        </w:rPr>
      </w:pPr>
    </w:p>
    <w:p w14:paraId="180A0087">
      <w:pPr>
        <w:shd w:val="clear"/>
        <w:spacing w:line="360" w:lineRule="auto"/>
        <w:rPr>
          <w:rFonts w:ascii="仿宋" w:hAnsi="仿宋" w:eastAsia="仿宋" w:cs="Times New Roman"/>
          <w:b/>
          <w:bCs/>
          <w:sz w:val="28"/>
          <w:szCs w:val="28"/>
        </w:rPr>
      </w:pPr>
    </w:p>
    <w:p w14:paraId="034DC2E4">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154FDE13">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60F6B5D0">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第五章浙江省政府采购合同主要条款指引</w:t>
      </w:r>
      <w:bookmarkEnd w:id="26"/>
      <w:bookmarkEnd w:id="27"/>
    </w:p>
    <w:p w14:paraId="1F61A328">
      <w:pPr>
        <w:rPr>
          <w:color w:val="000000" w:themeColor="text1"/>
          <w14:textFill>
            <w14:solidFill>
              <w14:schemeClr w14:val="tx1"/>
            </w14:solidFill>
          </w14:textFill>
        </w:rPr>
      </w:pPr>
    </w:p>
    <w:p w14:paraId="341ABD0C">
      <w:pPr>
        <w:pStyle w:val="31"/>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467AE722">
      <w:pPr>
        <w:pStyle w:val="31"/>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14D501A9">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49FF9892">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43427634">
      <w:pPr>
        <w:pStyle w:val="31"/>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763DA70F">
      <w:pPr>
        <w:pStyle w:val="31"/>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548B5C48">
      <w:pPr>
        <w:pStyle w:val="31"/>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7628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14:paraId="2B9E3A00">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14:paraId="26C595FE">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2354EFE6">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5333DA95">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1540F005">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49DF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14:paraId="41A3027D">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39" w:type="dxa"/>
            <w:tcBorders>
              <w:top w:val="single" w:color="auto" w:sz="4" w:space="0"/>
              <w:left w:val="single" w:color="auto" w:sz="4" w:space="0"/>
              <w:bottom w:val="single" w:color="auto" w:sz="4" w:space="0"/>
              <w:right w:val="single" w:color="auto" w:sz="4" w:space="0"/>
            </w:tcBorders>
          </w:tcPr>
          <w:p w14:paraId="47240F72">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238BD243">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DF6776A">
            <w:pPr>
              <w:pStyle w:val="433"/>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48C61A81">
            <w:pPr>
              <w:pStyle w:val="433"/>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490D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14:paraId="251AB8A8">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115A2BBF">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6C0510F8">
            <w:pPr>
              <w:pStyle w:val="433"/>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2325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14:paraId="472358B6">
            <w:pPr>
              <w:pStyle w:val="31"/>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366B3B1C">
      <w:pPr>
        <w:pStyle w:val="31"/>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25B68BE8">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5F85A8D6">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60545423">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19896EB5">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303EC21">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5957B036">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09ADCC44">
      <w:pPr>
        <w:pStyle w:val="31"/>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109F7CBD">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7A7F8064">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347C5D66">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158E5624">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3BB52198">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287CCFE0">
      <w:pPr>
        <w:pStyle w:val="31"/>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0876F0F3">
      <w:pPr>
        <w:pStyle w:val="31"/>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603C9B60">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020C1AA4">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6B9CB338">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748E8864">
      <w:pPr>
        <w:pStyle w:val="31"/>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18BFD7A8">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195C579B">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w:t>
      </w:r>
      <w:r>
        <w:rPr>
          <w:rFonts w:hint="eastAsia" w:ascii="仿宋" w:hAnsi="仿宋" w:eastAsia="仿宋"/>
          <w:bCs/>
          <w:snapToGrid w:val="0"/>
          <w:color w:val="000000" w:themeColor="text1"/>
          <w:sz w:val="30"/>
          <w:szCs w:val="30"/>
          <w:lang w:eastAsia="zh-CN"/>
          <w14:textFill>
            <w14:solidFill>
              <w14:schemeClr w14:val="tx1"/>
            </w14:solidFill>
          </w14:textFill>
        </w:rPr>
        <w:t>招标</w:t>
      </w:r>
      <w:r>
        <w:rPr>
          <w:rFonts w:hint="eastAsia" w:ascii="仿宋" w:hAnsi="仿宋" w:eastAsia="仿宋"/>
          <w:bCs/>
          <w:snapToGrid w:val="0"/>
          <w:color w:val="000000" w:themeColor="text1"/>
          <w:sz w:val="30"/>
          <w:szCs w:val="30"/>
          <w14:textFill>
            <w14:solidFill>
              <w14:schemeClr w14:val="tx1"/>
            </w14:solidFill>
          </w14:textFill>
        </w:rPr>
        <w:t>文件“第四部分商务要求表付款条件”内容填写）</w:t>
      </w:r>
    </w:p>
    <w:p w14:paraId="6C3EC697">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4FF58FCA">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78073A14">
      <w:pPr>
        <w:pStyle w:val="31"/>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21F2C82C">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640DBD67">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4013559E">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65067D7F">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59771F3A">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587AF51D">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0F902AFB">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53E6FCB8">
      <w:pPr>
        <w:pStyle w:val="31"/>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w:t>
      </w:r>
      <w:r>
        <w:rPr>
          <w:rFonts w:hint="eastAsia" w:ascii="仿宋" w:hAnsi="仿宋" w:eastAsia="仿宋"/>
          <w:b/>
          <w:snapToGrid w:val="0"/>
          <w:color w:val="000000" w:themeColor="text1"/>
          <w:sz w:val="30"/>
          <w:szCs w:val="30"/>
          <w:lang w:val="en-US" w:eastAsia="zh-CN"/>
          <w14:textFill>
            <w14:solidFill>
              <w14:schemeClr w14:val="tx1"/>
            </w14:solidFill>
          </w14:textFill>
        </w:rPr>
        <w:t>七个工作日</w:t>
      </w:r>
      <w:r>
        <w:rPr>
          <w:rFonts w:hint="eastAsia" w:ascii="仿宋" w:hAnsi="仿宋" w:eastAsia="仿宋"/>
          <w:b/>
          <w:snapToGrid w:val="0"/>
          <w:color w:val="000000" w:themeColor="text1"/>
          <w:sz w:val="30"/>
          <w:szCs w:val="30"/>
          <w14:textFill>
            <w14:solidFill>
              <w14:schemeClr w14:val="tx1"/>
            </w14:solidFill>
          </w14:textFill>
        </w:rPr>
        <w:t>内将采购资金支付到乙方约定账户。</w:t>
      </w:r>
    </w:p>
    <w:p w14:paraId="5FA1FB90">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64754E4D">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78E8F8F">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2E2573B">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68B0669B">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522DC4AC">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0B683022">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672024AE">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0C6A4DB5">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3147F465">
      <w:pPr>
        <w:pStyle w:val="31"/>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42089F58">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62612902">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2A51DEAD">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5F81ED9F">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7F66BD0B">
      <w:pPr>
        <w:pStyle w:val="31"/>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1A4F19A">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284BFDB0">
      <w:pPr>
        <w:pStyle w:val="31"/>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76D7C5D8">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0222981A">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19577BBC">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117C56FF">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6BD94EF4">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05B8F728">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4B9E848A">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72493985">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685DCB8B">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71A6D466">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11A50D3A">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16F532BA">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44B5019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34B7A272">
      <w:pPr>
        <w:rPr>
          <w:color w:val="000000" w:themeColor="text1"/>
          <w:szCs w:val="30"/>
          <w14:textFill>
            <w14:solidFill>
              <w14:schemeClr w14:val="tx1"/>
            </w14:solidFill>
          </w14:textFill>
        </w:rPr>
      </w:pPr>
    </w:p>
    <w:p w14:paraId="28E022BB">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100" w:name="_Toc22013"/>
      <w:r>
        <w:rPr>
          <w:rFonts w:hint="eastAsia" w:hAnsi="宋体"/>
          <w:b/>
          <w:color w:val="000000" w:themeColor="text1"/>
          <w:sz w:val="36"/>
          <w:szCs w:val="36"/>
          <w14:textFill>
            <w14:solidFill>
              <w14:schemeClr w14:val="tx1"/>
            </w14:solidFill>
          </w14:textFill>
        </w:rPr>
        <w:t>第六章投标文件格式附件</w:t>
      </w:r>
      <w:bookmarkEnd w:id="100"/>
    </w:p>
    <w:p w14:paraId="6E7DABE9">
      <w:pPr>
        <w:pStyle w:val="31"/>
        <w:spacing w:before="156" w:after="156" w:line="360" w:lineRule="auto"/>
        <w:jc w:val="center"/>
        <w:rPr>
          <w:rFonts w:hAnsi="宋体" w:eastAsia="仿宋_GB2312"/>
          <w:b/>
          <w:color w:val="000000" w:themeColor="text1"/>
          <w:sz w:val="36"/>
          <w:szCs w:val="36"/>
          <w14:textFill>
            <w14:solidFill>
              <w14:schemeClr w14:val="tx1"/>
            </w14:solidFill>
          </w14:textFill>
        </w:rPr>
      </w:pPr>
    </w:p>
    <w:p w14:paraId="26AB071F">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32A9545">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FA26E43">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023258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C3E2B52">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25804D7">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618BCC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9BF6C0B">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C985BF0">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2C6309F">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97BE8D7">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7A69AFA">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BB920C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EAE6776">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3B74229">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ACC956A">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B0621C6">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6F2D752">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75B805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BC9AAEB">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1A30858">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4F0EBAC">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54605A71">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101" w:name="PO_1000000445_PM002_2"/>
      <w:r>
        <w:rPr>
          <w:rFonts w:hint="eastAsia" w:ascii="仿宋" w:hAnsi="仿宋" w:eastAsia="仿宋"/>
          <w:b/>
          <w:color w:val="000000" w:themeColor="text1"/>
          <w:spacing w:val="40"/>
          <w:sz w:val="52"/>
          <w:szCs w:val="52"/>
          <w:lang w:eastAsia="zh-CN"/>
          <w14:textFill>
            <w14:solidFill>
              <w14:schemeClr w14:val="tx1"/>
            </w14:solidFill>
          </w14:textFill>
        </w:rPr>
        <w:t>浙江理工大学2025-2028年临平校区物业服务项目</w:t>
      </w:r>
      <w:bookmarkEnd w:id="101"/>
    </w:p>
    <w:p w14:paraId="28C6884A">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102" w:name="PO_15528_PM001_2"/>
      <w:r>
        <w:rPr>
          <w:rFonts w:hint="eastAsia" w:ascii="仿宋" w:hAnsi="仿宋" w:eastAsia="仿宋"/>
          <w:color w:val="000000" w:themeColor="text1"/>
          <w:sz w:val="36"/>
          <w:szCs w:val="36"/>
          <w:lang w:eastAsia="zh-CN"/>
          <w14:textFill>
            <w14:solidFill>
              <w14:schemeClr w14:val="tx1"/>
            </w14:solidFill>
          </w14:textFill>
        </w:rPr>
        <w:t>ZZCG2025H-GK-115</w:t>
      </w:r>
      <w:bookmarkEnd w:id="102"/>
      <w:r>
        <w:rPr>
          <w:rFonts w:hint="eastAsia" w:ascii="仿宋" w:hAnsi="仿宋" w:eastAsia="仿宋"/>
          <w:color w:val="000000" w:themeColor="text1"/>
          <w:sz w:val="36"/>
          <w:szCs w:val="36"/>
          <w14:textFill>
            <w14:solidFill>
              <w14:schemeClr w14:val="tx1"/>
            </w14:solidFill>
          </w14:textFill>
        </w:rPr>
        <w:t>（标项  ）</w:t>
      </w:r>
    </w:p>
    <w:p w14:paraId="587A7AEB">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774E8E7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1D84E875">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7A64592E">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79C96BC7">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2754B8AB">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46B11959">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51BB887">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3C0D0F0F">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1EBBF719">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295D6959">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53717304">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sz w:val="36"/>
          <w:szCs w:val="36"/>
          <w:lang w:val="en-US" w:eastAsia="zh-CN"/>
        </w:rPr>
        <w:t>.</w:t>
      </w:r>
      <w:r>
        <w:rPr>
          <w:rFonts w:hint="eastAsia" w:ascii="仿宋" w:hAnsi="仿宋" w:eastAsia="仿宋"/>
          <w:b/>
          <w:bCs/>
          <w:sz w:val="36"/>
          <w:szCs w:val="36"/>
        </w:rPr>
        <w:t>资格文件目录</w:t>
      </w:r>
    </w:p>
    <w:p w14:paraId="4236D60F">
      <w:pPr>
        <w:snapToGrid w:val="0"/>
        <w:spacing w:before="50" w:after="50"/>
        <w:rPr>
          <w:rFonts w:ascii="仿宋" w:hAnsi="仿宋" w:eastAsia="仿宋"/>
          <w:sz w:val="30"/>
          <w:szCs w:val="30"/>
        </w:rPr>
      </w:pPr>
    </w:p>
    <w:p w14:paraId="10883C3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68E5577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5E32D68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4EACD8E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5D6836F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57C91B6C">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4DD15C38">
      <w:pPr>
        <w:pStyle w:val="34"/>
        <w:snapToGrid w:val="0"/>
        <w:spacing w:after="120" w:line="460" w:lineRule="exact"/>
        <w:ind w:left="5250" w:firstLine="600" w:firstLineChars="200"/>
        <w:rPr>
          <w:rFonts w:ascii="仿宋" w:hAnsi="仿宋" w:eastAsia="仿宋"/>
          <w:sz w:val="30"/>
          <w:szCs w:val="30"/>
        </w:rPr>
      </w:pPr>
    </w:p>
    <w:p w14:paraId="68193159">
      <w:pPr>
        <w:snapToGrid w:val="0"/>
        <w:spacing w:line="460" w:lineRule="exact"/>
        <w:ind w:firstLine="588" w:firstLineChars="196"/>
        <w:jc w:val="left"/>
        <w:rPr>
          <w:rFonts w:ascii="仿宋" w:hAnsi="仿宋" w:eastAsia="仿宋"/>
          <w:sz w:val="30"/>
          <w:szCs w:val="30"/>
        </w:rPr>
      </w:pPr>
    </w:p>
    <w:p w14:paraId="08F00BE7">
      <w:pPr>
        <w:widowControl/>
        <w:jc w:val="left"/>
        <w:rPr>
          <w:rFonts w:ascii="仿宋" w:hAnsi="仿宋" w:eastAsia="仿宋"/>
          <w:bCs/>
          <w:sz w:val="28"/>
          <w:szCs w:val="28"/>
        </w:rPr>
      </w:pPr>
      <w:r>
        <w:rPr>
          <w:rFonts w:ascii="仿宋" w:hAnsi="仿宋" w:eastAsia="仿宋"/>
          <w:bCs/>
          <w:sz w:val="28"/>
          <w:szCs w:val="28"/>
        </w:rPr>
        <w:br w:type="page"/>
      </w:r>
    </w:p>
    <w:p w14:paraId="391F0AD3">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1FBF0DAC">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33C4269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754ABA0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78F4166D">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7D3E9CA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6BF1EFE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67F12D63">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57E2A4C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620BFA27">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513744D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1D32FDA5">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2D373F53">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7CB995EB">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0671DBD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69989939">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41CC18CC">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1112468E">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0D071F0C">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758C3496">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359294EF">
      <w:pPr>
        <w:pStyle w:val="31"/>
        <w:snapToGrid w:val="0"/>
        <w:spacing w:before="156" w:after="156" w:line="240" w:lineRule="auto"/>
        <w:rPr>
          <w:rFonts w:ascii="仿宋" w:hAnsi="仿宋" w:eastAsia="仿宋"/>
          <w:sz w:val="30"/>
          <w:szCs w:val="30"/>
        </w:rPr>
      </w:pPr>
    </w:p>
    <w:p w14:paraId="43E75BD9">
      <w:pPr>
        <w:pStyle w:val="31"/>
        <w:snapToGrid w:val="0"/>
        <w:spacing w:before="156" w:after="156" w:line="240" w:lineRule="auto"/>
        <w:rPr>
          <w:rFonts w:ascii="仿宋" w:hAnsi="仿宋" w:eastAsia="仿宋"/>
          <w:sz w:val="30"/>
          <w:szCs w:val="30"/>
        </w:rPr>
      </w:pPr>
    </w:p>
    <w:p w14:paraId="3DAC050D">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49BD7DEC">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3F2420AE">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436F7CA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103" w:name="PO_3000002632_PM002"/>
      <w:r>
        <w:rPr>
          <w:rFonts w:hint="eastAsia" w:ascii="仿宋" w:hAnsi="仿宋" w:eastAsia="仿宋"/>
          <w:b/>
          <w:sz w:val="30"/>
          <w:szCs w:val="30"/>
          <w:u w:val="single"/>
          <w:lang w:eastAsia="zh-CN"/>
        </w:rPr>
        <w:t>浙江理工大学2025-2028年临平校区物业服务项目</w:t>
      </w:r>
      <w:bookmarkEnd w:id="103"/>
      <w:r>
        <w:rPr>
          <w:rFonts w:hint="eastAsia" w:ascii="仿宋" w:hAnsi="仿宋" w:eastAsia="仿宋"/>
          <w:sz w:val="30"/>
          <w:szCs w:val="30"/>
          <w:u w:val="single"/>
        </w:rPr>
        <w:t>（编号为</w:t>
      </w:r>
      <w:bookmarkStart w:id="104" w:name="PO_15528_PM001_3"/>
      <w:r>
        <w:rPr>
          <w:rFonts w:hint="eastAsia" w:ascii="仿宋" w:hAnsi="仿宋" w:eastAsia="仿宋"/>
          <w:sz w:val="30"/>
          <w:szCs w:val="30"/>
          <w:u w:val="single"/>
          <w:lang w:eastAsia="zh-CN"/>
        </w:rPr>
        <w:t>ZZCG2025H-GK-115</w:t>
      </w:r>
      <w:bookmarkEnd w:id="104"/>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0FA043F5">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71C70D93">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74D876C2">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6766A204">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79228A84">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03DF6452">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32658C35">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3707B9D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657D47F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62AAD858">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48E45276">
      <w:pPr>
        <w:snapToGrid w:val="0"/>
        <w:spacing w:before="156" w:beforeLines="50" w:after="50" w:line="460" w:lineRule="exact"/>
        <w:ind w:right="600" w:firstLine="150" w:firstLineChars="50"/>
        <w:rPr>
          <w:rFonts w:ascii="仿宋" w:hAnsi="仿宋" w:eastAsia="仿宋"/>
          <w:sz w:val="30"/>
          <w:szCs w:val="30"/>
        </w:rPr>
      </w:pPr>
    </w:p>
    <w:p w14:paraId="5DD83DD7">
      <w:pPr>
        <w:snapToGrid w:val="0"/>
        <w:spacing w:before="156" w:beforeLines="50" w:after="50" w:line="460" w:lineRule="exact"/>
        <w:ind w:right="600" w:firstLine="150" w:firstLineChars="50"/>
        <w:rPr>
          <w:rFonts w:ascii="仿宋" w:hAnsi="仿宋" w:eastAsia="仿宋"/>
          <w:sz w:val="30"/>
          <w:szCs w:val="30"/>
        </w:rPr>
      </w:pPr>
    </w:p>
    <w:p w14:paraId="5A2F5109">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3CD682CB">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66E75269">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0A02FB48">
      <w:pPr>
        <w:snapToGrid w:val="0"/>
        <w:spacing w:before="156" w:beforeLines="50" w:after="50"/>
        <w:jc w:val="center"/>
        <w:rPr>
          <w:rFonts w:ascii="仿宋" w:hAnsi="仿宋" w:eastAsia="仿宋"/>
          <w:b/>
          <w:sz w:val="30"/>
          <w:szCs w:val="30"/>
        </w:rPr>
      </w:pPr>
    </w:p>
    <w:p w14:paraId="4F507AB4">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3392C42F">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105" w:name="PO_3000002632_PM002_1"/>
      <w:r>
        <w:rPr>
          <w:rFonts w:hint="eastAsia" w:ascii="仿宋" w:hAnsi="仿宋" w:eastAsia="仿宋"/>
          <w:b/>
          <w:sz w:val="30"/>
          <w:szCs w:val="30"/>
          <w:u w:val="single"/>
          <w:lang w:eastAsia="zh-CN"/>
        </w:rPr>
        <w:t>浙江理工大学2025-2028年临平校区物业服务项目</w:t>
      </w:r>
      <w:bookmarkEnd w:id="105"/>
      <w:r>
        <w:rPr>
          <w:rFonts w:hint="eastAsia" w:ascii="仿宋" w:hAnsi="仿宋" w:eastAsia="仿宋"/>
          <w:sz w:val="30"/>
          <w:szCs w:val="30"/>
        </w:rPr>
        <w:t xml:space="preserve"> 项目编号：</w:t>
      </w:r>
      <w:bookmarkStart w:id="106" w:name="PO_3000002632_PM001"/>
      <w:r>
        <w:rPr>
          <w:rFonts w:hint="eastAsia" w:ascii="仿宋" w:hAnsi="仿宋" w:eastAsia="仿宋"/>
          <w:b/>
          <w:sz w:val="30"/>
          <w:szCs w:val="30"/>
          <w:u w:val="single"/>
          <w:lang w:eastAsia="zh-CN"/>
        </w:rPr>
        <w:t>ZZCG2025H-GK-115</w:t>
      </w:r>
      <w:bookmarkEnd w:id="106"/>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5D9F1E81">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3B33BFA0">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47E8CD3D">
      <w:pPr>
        <w:snapToGrid w:val="0"/>
        <w:spacing w:before="156" w:beforeLines="50" w:after="50" w:line="460" w:lineRule="exact"/>
        <w:ind w:firstLine="480"/>
        <w:rPr>
          <w:rFonts w:ascii="仿宋" w:hAnsi="仿宋" w:eastAsia="仿宋"/>
          <w:sz w:val="30"/>
          <w:szCs w:val="30"/>
        </w:rPr>
      </w:pPr>
    </w:p>
    <w:p w14:paraId="23EB6D8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BC0303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3458B5F8">
      <w:pPr>
        <w:snapToGrid w:val="0"/>
        <w:spacing w:before="156" w:beforeLines="50" w:after="50" w:line="460" w:lineRule="exact"/>
        <w:rPr>
          <w:rFonts w:ascii="仿宋" w:hAnsi="仿宋" w:eastAsia="仿宋"/>
          <w:sz w:val="30"/>
          <w:szCs w:val="30"/>
        </w:rPr>
      </w:pPr>
    </w:p>
    <w:p w14:paraId="2E06785B">
      <w:pPr>
        <w:snapToGrid w:val="0"/>
        <w:spacing w:before="156" w:beforeLines="50" w:after="50" w:line="460" w:lineRule="exact"/>
        <w:rPr>
          <w:rFonts w:ascii="仿宋" w:hAnsi="仿宋" w:eastAsia="仿宋"/>
          <w:sz w:val="30"/>
          <w:szCs w:val="30"/>
        </w:rPr>
      </w:pPr>
    </w:p>
    <w:p w14:paraId="27A35E6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618CCCF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19AE29F6">
      <w:pPr>
        <w:snapToGrid w:val="0"/>
        <w:spacing w:before="156" w:beforeLines="50" w:after="50" w:line="460" w:lineRule="exact"/>
        <w:ind w:firstLine="6150" w:firstLineChars="2050"/>
        <w:rPr>
          <w:rFonts w:ascii="仿宋" w:hAnsi="仿宋" w:eastAsia="仿宋"/>
          <w:sz w:val="30"/>
          <w:szCs w:val="30"/>
        </w:rPr>
      </w:pPr>
    </w:p>
    <w:p w14:paraId="46F6EC6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48CA292">
      <w:pPr>
        <w:snapToGrid w:val="0"/>
        <w:spacing w:before="156" w:beforeLines="50" w:after="50" w:line="460" w:lineRule="exact"/>
        <w:rPr>
          <w:rFonts w:ascii="仿宋" w:hAnsi="仿宋" w:eastAsia="仿宋"/>
          <w:sz w:val="30"/>
          <w:szCs w:val="30"/>
        </w:rPr>
      </w:pPr>
    </w:p>
    <w:p w14:paraId="3AE04A1D">
      <w:pPr>
        <w:snapToGrid w:val="0"/>
        <w:spacing w:before="156" w:beforeLines="50" w:after="50" w:line="460" w:lineRule="exact"/>
        <w:rPr>
          <w:rFonts w:ascii="仿宋" w:hAnsi="仿宋" w:eastAsia="仿宋"/>
          <w:sz w:val="30"/>
          <w:szCs w:val="30"/>
        </w:rPr>
      </w:pPr>
    </w:p>
    <w:p w14:paraId="28E02C4B">
      <w:pPr>
        <w:widowControl/>
        <w:jc w:val="left"/>
        <w:rPr>
          <w:rFonts w:ascii="仿宋" w:hAnsi="仿宋" w:eastAsia="仿宋"/>
          <w:sz w:val="30"/>
          <w:szCs w:val="30"/>
        </w:rPr>
      </w:pPr>
    </w:p>
    <w:p w14:paraId="6307AF9D">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462D1D4A">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20840EA8">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635BDC23">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6544F19A">
      <w:pPr>
        <w:snapToGrid w:val="0"/>
        <w:spacing w:before="156" w:beforeLines="50" w:after="50" w:line="460" w:lineRule="exact"/>
        <w:rPr>
          <w:rFonts w:ascii="仿宋" w:hAnsi="仿宋" w:eastAsia="仿宋"/>
          <w:sz w:val="30"/>
          <w:szCs w:val="30"/>
        </w:rPr>
      </w:pPr>
    </w:p>
    <w:p w14:paraId="6464F662">
      <w:pPr>
        <w:snapToGrid w:val="0"/>
        <w:spacing w:before="156" w:beforeLines="50" w:after="50" w:line="460" w:lineRule="exact"/>
        <w:rPr>
          <w:rFonts w:ascii="仿宋" w:hAnsi="仿宋" w:eastAsia="仿宋"/>
          <w:sz w:val="30"/>
          <w:szCs w:val="30"/>
        </w:rPr>
      </w:pPr>
    </w:p>
    <w:p w14:paraId="09472BAD">
      <w:pPr>
        <w:snapToGrid w:val="0"/>
        <w:spacing w:before="156" w:beforeLines="50" w:after="50" w:line="460" w:lineRule="exact"/>
        <w:rPr>
          <w:rFonts w:ascii="仿宋" w:hAnsi="仿宋" w:eastAsia="仿宋"/>
          <w:sz w:val="30"/>
          <w:szCs w:val="30"/>
        </w:rPr>
      </w:pPr>
    </w:p>
    <w:p w14:paraId="6B1E302F">
      <w:pPr>
        <w:snapToGrid w:val="0"/>
        <w:spacing w:before="156" w:beforeLines="50" w:after="50" w:line="460" w:lineRule="exact"/>
        <w:rPr>
          <w:rFonts w:ascii="仿宋" w:hAnsi="仿宋" w:eastAsia="仿宋"/>
          <w:sz w:val="30"/>
          <w:szCs w:val="30"/>
        </w:rPr>
      </w:pPr>
    </w:p>
    <w:p w14:paraId="73212A9E">
      <w:pPr>
        <w:snapToGrid w:val="0"/>
        <w:spacing w:before="156" w:beforeLines="50" w:after="50" w:line="460" w:lineRule="exact"/>
        <w:rPr>
          <w:rFonts w:ascii="仿宋" w:hAnsi="仿宋" w:eastAsia="仿宋"/>
          <w:sz w:val="30"/>
          <w:szCs w:val="30"/>
        </w:rPr>
      </w:pPr>
    </w:p>
    <w:p w14:paraId="11E71201">
      <w:pPr>
        <w:snapToGrid w:val="0"/>
        <w:spacing w:before="156" w:beforeLines="50" w:after="50" w:line="460" w:lineRule="exact"/>
        <w:rPr>
          <w:rFonts w:ascii="仿宋" w:hAnsi="仿宋" w:eastAsia="仿宋"/>
          <w:sz w:val="30"/>
          <w:szCs w:val="30"/>
        </w:rPr>
      </w:pPr>
    </w:p>
    <w:p w14:paraId="688ED28F">
      <w:pPr>
        <w:snapToGrid w:val="0"/>
        <w:spacing w:before="156" w:beforeLines="50" w:after="50" w:line="460" w:lineRule="exact"/>
        <w:rPr>
          <w:rFonts w:ascii="仿宋" w:hAnsi="仿宋" w:eastAsia="仿宋"/>
          <w:sz w:val="30"/>
          <w:szCs w:val="30"/>
        </w:rPr>
      </w:pPr>
    </w:p>
    <w:p w14:paraId="0D9F1C73">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2AAB9A3F">
      <w:pPr>
        <w:widowControl/>
        <w:jc w:val="left"/>
        <w:rPr>
          <w:rFonts w:hAnsi="宋体" w:cs="宋体"/>
          <w:bCs/>
          <w:sz w:val="24"/>
        </w:rPr>
      </w:pPr>
    </w:p>
    <w:p w14:paraId="224E70E2">
      <w:pPr>
        <w:widowControl/>
        <w:jc w:val="left"/>
        <w:rPr>
          <w:rFonts w:hAnsi="宋体" w:cs="宋体"/>
          <w:bCs/>
          <w:sz w:val="24"/>
        </w:rPr>
      </w:pPr>
    </w:p>
    <w:p w14:paraId="2446E47B">
      <w:pPr>
        <w:widowControl/>
        <w:jc w:val="left"/>
        <w:rPr>
          <w:rFonts w:hAnsi="宋体" w:cs="宋体"/>
          <w:bCs/>
          <w:sz w:val="24"/>
        </w:rPr>
      </w:pPr>
    </w:p>
    <w:p w14:paraId="7CA8D795">
      <w:pPr>
        <w:snapToGrid w:val="0"/>
        <w:spacing w:before="156" w:beforeLines="50" w:after="50" w:line="460" w:lineRule="exact"/>
        <w:rPr>
          <w:rFonts w:ascii="仿宋" w:hAnsi="仿宋" w:eastAsia="仿宋"/>
          <w:sz w:val="30"/>
          <w:szCs w:val="30"/>
        </w:rPr>
      </w:pPr>
    </w:p>
    <w:p w14:paraId="25E4F697">
      <w:pPr>
        <w:snapToGrid w:val="0"/>
        <w:spacing w:before="156" w:beforeLines="50" w:after="50" w:line="460" w:lineRule="exact"/>
        <w:rPr>
          <w:rFonts w:ascii="仿宋" w:hAnsi="仿宋" w:eastAsia="仿宋"/>
          <w:sz w:val="30"/>
          <w:szCs w:val="30"/>
        </w:rPr>
      </w:pPr>
    </w:p>
    <w:p w14:paraId="2B01879C">
      <w:pPr>
        <w:widowControl/>
        <w:jc w:val="left"/>
        <w:rPr>
          <w:rFonts w:hAnsi="宋体" w:cs="宋体"/>
          <w:bCs/>
          <w:sz w:val="24"/>
        </w:rPr>
      </w:pPr>
    </w:p>
    <w:p w14:paraId="3B8624FB">
      <w:pPr>
        <w:widowControl/>
        <w:jc w:val="left"/>
        <w:rPr>
          <w:rFonts w:hAnsi="宋体" w:cs="宋体"/>
          <w:bCs/>
          <w:sz w:val="24"/>
        </w:rPr>
      </w:pPr>
    </w:p>
    <w:p w14:paraId="717A9DC1">
      <w:pPr>
        <w:widowControl/>
        <w:jc w:val="left"/>
        <w:rPr>
          <w:rFonts w:hAnsi="宋体" w:cs="宋体"/>
          <w:bCs/>
          <w:sz w:val="24"/>
        </w:rPr>
      </w:pPr>
    </w:p>
    <w:p w14:paraId="569BCCA3">
      <w:pPr>
        <w:widowControl/>
        <w:jc w:val="left"/>
        <w:rPr>
          <w:rFonts w:hAnsi="宋体" w:cs="宋体"/>
          <w:bCs/>
          <w:sz w:val="24"/>
        </w:rPr>
      </w:pPr>
    </w:p>
    <w:p w14:paraId="6B9AE2C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45B6985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1E81A5A">
      <w:pPr>
        <w:widowControl/>
        <w:jc w:val="left"/>
        <w:rPr>
          <w:rFonts w:hAnsi="宋体" w:cs="宋体"/>
          <w:bCs/>
          <w:sz w:val="24"/>
        </w:rPr>
      </w:pPr>
    </w:p>
    <w:p w14:paraId="65E1CE2B">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37A9062">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34883008">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23DA0914">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1AB88B56">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0FA27E5A">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22665BB8">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107" w:name="PO_3000002632_PM001_1"/>
      <w:r>
        <w:rPr>
          <w:rFonts w:hint="eastAsia" w:ascii="仿宋" w:hAnsi="仿宋" w:eastAsia="仿宋"/>
          <w:b/>
          <w:sz w:val="30"/>
          <w:szCs w:val="30"/>
          <w:u w:val="single"/>
          <w:lang w:eastAsia="zh-CN"/>
        </w:rPr>
        <w:t>ZZCG2025H-GK-115</w:t>
      </w:r>
      <w:bookmarkEnd w:id="107"/>
      <w:r>
        <w:rPr>
          <w:rFonts w:hint="eastAsia" w:ascii="仿宋" w:hAnsi="仿宋" w:eastAsia="仿宋"/>
          <w:sz w:val="30"/>
          <w:szCs w:val="30"/>
        </w:rPr>
        <w:t>的招标活动联合进行投标之事宜，达成如下协议：</w:t>
      </w:r>
    </w:p>
    <w:p w14:paraId="55B2BC0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39CF2B5E">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73ED7BDB">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3D25D767">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7C73B896">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6A8D43A5">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0DF1CB3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5786583F">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321722F4">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3048D8AD">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007C35F9">
        <w:tblPrEx>
          <w:tblCellMar>
            <w:top w:w="0" w:type="dxa"/>
            <w:left w:w="108" w:type="dxa"/>
            <w:bottom w:w="0" w:type="dxa"/>
            <w:right w:w="108" w:type="dxa"/>
          </w:tblCellMar>
        </w:tblPrEx>
        <w:trPr>
          <w:jc w:val="center"/>
        </w:trPr>
        <w:tc>
          <w:tcPr>
            <w:tcW w:w="4265" w:type="dxa"/>
          </w:tcPr>
          <w:p w14:paraId="75AA159F">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1D4CD1D">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35C24F5">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7F26D40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FF1BF4C">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B20EE6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346D4271">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24273AB7">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45D7A37A">
      <w:pPr>
        <w:pStyle w:val="17"/>
        <w:overflowPunct w:val="0"/>
        <w:spacing w:line="460" w:lineRule="exact"/>
        <w:rPr>
          <w:rFonts w:ascii="仿宋" w:hAnsi="仿宋" w:eastAsia="仿宋"/>
          <w:sz w:val="30"/>
          <w:szCs w:val="30"/>
        </w:rPr>
      </w:pPr>
    </w:p>
    <w:p w14:paraId="2E9CDB05">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046B5617">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2AE4D556">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40301F00">
      <w:pPr>
        <w:pStyle w:val="17"/>
        <w:overflowPunct w:val="0"/>
        <w:spacing w:line="460" w:lineRule="exact"/>
        <w:rPr>
          <w:rFonts w:ascii="仿宋" w:hAnsi="仿宋" w:eastAsia="仿宋"/>
          <w:sz w:val="30"/>
          <w:szCs w:val="30"/>
        </w:rPr>
      </w:pPr>
    </w:p>
    <w:p w14:paraId="39D92855">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A8C94AF">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6CF47121">
      <w:pPr>
        <w:tabs>
          <w:tab w:val="left" w:pos="606"/>
        </w:tabs>
        <w:spacing w:line="460" w:lineRule="exact"/>
        <w:rPr>
          <w:rFonts w:ascii="仿宋" w:hAnsi="仿宋" w:eastAsia="仿宋"/>
          <w:spacing w:val="20"/>
          <w:sz w:val="30"/>
          <w:szCs w:val="30"/>
        </w:rPr>
      </w:pPr>
    </w:p>
    <w:p w14:paraId="05E80A5C">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41BF5C48">
        <w:tblPrEx>
          <w:tblCellMar>
            <w:top w:w="0" w:type="dxa"/>
            <w:left w:w="108" w:type="dxa"/>
            <w:bottom w:w="0" w:type="dxa"/>
            <w:right w:w="108" w:type="dxa"/>
          </w:tblCellMar>
        </w:tblPrEx>
        <w:trPr>
          <w:jc w:val="center"/>
        </w:trPr>
        <w:tc>
          <w:tcPr>
            <w:tcW w:w="4265" w:type="dxa"/>
          </w:tcPr>
          <w:p w14:paraId="0B2A0ED9">
            <w:pPr>
              <w:pStyle w:val="17"/>
              <w:overflowPunct w:val="0"/>
              <w:spacing w:line="460" w:lineRule="exact"/>
              <w:ind w:firstLine="0"/>
              <w:rPr>
                <w:rFonts w:ascii="仿宋" w:hAnsi="仿宋" w:eastAsia="仿宋"/>
                <w:sz w:val="30"/>
                <w:szCs w:val="30"/>
              </w:rPr>
            </w:pPr>
          </w:p>
          <w:p w14:paraId="743EC5A0">
            <w:pPr>
              <w:pStyle w:val="17"/>
              <w:overflowPunct w:val="0"/>
              <w:spacing w:line="460" w:lineRule="exact"/>
              <w:ind w:firstLine="0"/>
              <w:rPr>
                <w:rFonts w:ascii="仿宋" w:hAnsi="仿宋" w:eastAsia="仿宋"/>
                <w:sz w:val="30"/>
                <w:szCs w:val="30"/>
              </w:rPr>
            </w:pPr>
          </w:p>
          <w:p w14:paraId="029A76C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8E9325C">
            <w:pPr>
              <w:pStyle w:val="17"/>
              <w:overflowPunct w:val="0"/>
              <w:spacing w:line="460" w:lineRule="exact"/>
              <w:ind w:firstLine="0"/>
              <w:rPr>
                <w:rFonts w:ascii="仿宋" w:hAnsi="仿宋" w:eastAsia="仿宋"/>
                <w:sz w:val="30"/>
                <w:szCs w:val="30"/>
              </w:rPr>
            </w:pPr>
          </w:p>
          <w:p w14:paraId="16839A16">
            <w:pPr>
              <w:pStyle w:val="17"/>
              <w:overflowPunct w:val="0"/>
              <w:spacing w:line="460" w:lineRule="exact"/>
              <w:ind w:firstLine="0"/>
              <w:rPr>
                <w:rFonts w:ascii="仿宋" w:hAnsi="仿宋" w:eastAsia="仿宋"/>
                <w:sz w:val="30"/>
                <w:szCs w:val="30"/>
              </w:rPr>
            </w:pPr>
          </w:p>
          <w:p w14:paraId="434031BC">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D0C2983">
            <w:pPr>
              <w:pStyle w:val="17"/>
              <w:overflowPunct w:val="0"/>
              <w:spacing w:line="460" w:lineRule="exact"/>
              <w:ind w:firstLine="0"/>
              <w:rPr>
                <w:rFonts w:ascii="仿宋" w:hAnsi="仿宋" w:eastAsia="仿宋"/>
                <w:sz w:val="30"/>
                <w:szCs w:val="30"/>
              </w:rPr>
            </w:pPr>
          </w:p>
          <w:p w14:paraId="48CB07BA">
            <w:pPr>
              <w:pStyle w:val="17"/>
              <w:overflowPunct w:val="0"/>
              <w:spacing w:line="460" w:lineRule="exact"/>
              <w:ind w:firstLine="0"/>
              <w:rPr>
                <w:rFonts w:ascii="仿宋" w:hAnsi="仿宋" w:eastAsia="仿宋"/>
                <w:sz w:val="30"/>
                <w:szCs w:val="30"/>
              </w:rPr>
            </w:pPr>
          </w:p>
          <w:p w14:paraId="036DFD7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6595131E">
            <w:pPr>
              <w:pStyle w:val="17"/>
              <w:overflowPunct w:val="0"/>
              <w:spacing w:line="460" w:lineRule="exact"/>
              <w:ind w:firstLine="0"/>
              <w:rPr>
                <w:rFonts w:ascii="仿宋" w:hAnsi="仿宋" w:eastAsia="仿宋"/>
                <w:sz w:val="30"/>
                <w:szCs w:val="30"/>
              </w:rPr>
            </w:pPr>
          </w:p>
          <w:p w14:paraId="0A0119CC">
            <w:pPr>
              <w:pStyle w:val="17"/>
              <w:overflowPunct w:val="0"/>
              <w:spacing w:line="460" w:lineRule="exact"/>
              <w:ind w:firstLine="0"/>
              <w:rPr>
                <w:rFonts w:ascii="仿宋" w:hAnsi="仿宋" w:eastAsia="仿宋"/>
                <w:sz w:val="30"/>
                <w:szCs w:val="30"/>
              </w:rPr>
            </w:pPr>
          </w:p>
          <w:p w14:paraId="2720DAA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62A2665F">
            <w:pPr>
              <w:pStyle w:val="17"/>
              <w:overflowPunct w:val="0"/>
              <w:spacing w:line="460" w:lineRule="exact"/>
              <w:ind w:firstLine="0"/>
              <w:rPr>
                <w:rFonts w:ascii="仿宋" w:hAnsi="仿宋" w:eastAsia="仿宋"/>
                <w:sz w:val="30"/>
                <w:szCs w:val="30"/>
              </w:rPr>
            </w:pPr>
          </w:p>
          <w:p w14:paraId="52B49D79">
            <w:pPr>
              <w:pStyle w:val="17"/>
              <w:overflowPunct w:val="0"/>
              <w:spacing w:line="460" w:lineRule="exact"/>
              <w:ind w:firstLine="0"/>
              <w:rPr>
                <w:rFonts w:ascii="仿宋" w:hAnsi="仿宋" w:eastAsia="仿宋"/>
                <w:sz w:val="30"/>
                <w:szCs w:val="30"/>
              </w:rPr>
            </w:pPr>
          </w:p>
          <w:p w14:paraId="693D595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9DE33A4">
            <w:pPr>
              <w:pStyle w:val="17"/>
              <w:overflowPunct w:val="0"/>
              <w:spacing w:line="460" w:lineRule="exact"/>
              <w:ind w:firstLine="0"/>
              <w:rPr>
                <w:rFonts w:ascii="仿宋" w:hAnsi="仿宋" w:eastAsia="仿宋"/>
                <w:sz w:val="30"/>
                <w:szCs w:val="30"/>
              </w:rPr>
            </w:pPr>
          </w:p>
          <w:p w14:paraId="060DC4FC">
            <w:pPr>
              <w:pStyle w:val="17"/>
              <w:overflowPunct w:val="0"/>
              <w:spacing w:line="460" w:lineRule="exact"/>
              <w:ind w:firstLine="0"/>
              <w:rPr>
                <w:rFonts w:ascii="仿宋" w:hAnsi="仿宋" w:eastAsia="仿宋"/>
                <w:sz w:val="30"/>
                <w:szCs w:val="30"/>
              </w:rPr>
            </w:pPr>
          </w:p>
          <w:p w14:paraId="6E59F4D7">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794EE404">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7D49B518">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10EF9D02">
      <w:pPr>
        <w:pStyle w:val="58"/>
        <w:spacing w:before="156" w:after="156" w:line="400" w:lineRule="exact"/>
      </w:pPr>
    </w:p>
    <w:p w14:paraId="34E5652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6482F70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lang w:val="en-US" w:eastAsia="zh-CN"/>
        </w:rPr>
        <w:t>招标</w:t>
      </w:r>
      <w:r>
        <w:rPr>
          <w:rFonts w:hint="eastAsia" w:ascii="仿宋" w:hAnsi="仿宋" w:eastAsia="仿宋"/>
          <w:sz w:val="28"/>
          <w:szCs w:val="28"/>
          <w:lang w:val="zh-CN"/>
        </w:rPr>
        <w:t>文件分包要求的范围内，并符合相关法律规定等</w:t>
      </w:r>
    </w:p>
    <w:p w14:paraId="64B458D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631ADFC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2EC6CEA4">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3A83D66E">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384AC4AB">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2CECF049">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68C678FF">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4BBF1C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6CCE4613">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418A1E7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6D14D8E6">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543B522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4839B493">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C155E5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263A185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2CC625D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0AB1619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32E55B9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373B7148">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12F9E066">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31F2501F">
      <w:pPr>
        <w:snapToGrid w:val="0"/>
        <w:spacing w:before="50" w:after="50"/>
        <w:jc w:val="left"/>
        <w:rPr>
          <w:rFonts w:ascii="仿宋" w:hAnsi="仿宋" w:eastAsia="仿宋"/>
          <w:sz w:val="30"/>
          <w:szCs w:val="30"/>
        </w:rPr>
      </w:pPr>
      <w:r>
        <w:rPr>
          <w:rFonts w:hint="eastAsia" w:ascii="仿宋" w:hAnsi="仿宋" w:eastAsia="仿宋"/>
          <w:sz w:val="30"/>
          <w:szCs w:val="30"/>
        </w:rPr>
        <w:t>附件7：</w:t>
      </w:r>
    </w:p>
    <w:p w14:paraId="02C3D095">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40FDEB28">
      <w:pPr>
        <w:snapToGrid w:val="0"/>
        <w:spacing w:line="360" w:lineRule="auto"/>
        <w:rPr>
          <w:rFonts w:ascii="仿宋" w:hAnsi="仿宋" w:eastAsia="仿宋"/>
          <w:sz w:val="28"/>
          <w:szCs w:val="28"/>
        </w:rPr>
      </w:pPr>
    </w:p>
    <w:p w14:paraId="265A806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233C3B5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7A9B714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733BBFB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65DF19C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24F98F1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4B65D631">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69DFB9D9">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378BACA9">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526496A2">
      <w:pPr>
        <w:snapToGrid w:val="0"/>
        <w:spacing w:line="360" w:lineRule="auto"/>
        <w:jc w:val="right"/>
        <w:rPr>
          <w:rFonts w:ascii="仿宋" w:hAnsi="仿宋" w:eastAsia="仿宋"/>
          <w:sz w:val="28"/>
          <w:szCs w:val="28"/>
        </w:rPr>
      </w:pPr>
    </w:p>
    <w:p w14:paraId="3B7424CD">
      <w:pPr>
        <w:widowControl/>
        <w:jc w:val="left"/>
        <w:rPr>
          <w:rFonts w:ascii="仿宋" w:hAnsi="仿宋" w:eastAsia="仿宋"/>
          <w:b/>
          <w:sz w:val="36"/>
          <w:szCs w:val="36"/>
        </w:rPr>
      </w:pPr>
      <w:r>
        <w:rPr>
          <w:rFonts w:hint="eastAsia" w:ascii="仿宋" w:hAnsi="仿宋" w:eastAsia="仿宋"/>
          <w:b/>
          <w:kern w:val="0"/>
          <w:sz w:val="36"/>
          <w:szCs w:val="36"/>
        </w:rPr>
        <w:br w:type="page"/>
      </w:r>
    </w:p>
    <w:p w14:paraId="28C1B00F">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6CCF2116">
      <w:pPr>
        <w:snapToGrid w:val="0"/>
        <w:spacing w:line="312" w:lineRule="auto"/>
        <w:ind w:firstLine="560" w:firstLineChars="200"/>
        <w:rPr>
          <w:rFonts w:ascii="仿宋" w:hAnsi="仿宋" w:eastAsia="仿宋"/>
          <w:sz w:val="28"/>
          <w:szCs w:val="28"/>
        </w:rPr>
      </w:pPr>
    </w:p>
    <w:p w14:paraId="414EE78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2DCDF86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0DE1A89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72BE1216">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08FF2183">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2072D6F9">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00C95DB2">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2845B68E">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4316F18F">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47371D19">
      <w:pPr>
        <w:widowControl/>
        <w:jc w:val="left"/>
        <w:rPr>
          <w:rFonts w:ascii="仿宋" w:hAnsi="仿宋" w:eastAsia="仿宋"/>
          <w:sz w:val="28"/>
          <w:szCs w:val="28"/>
        </w:rPr>
      </w:pPr>
      <w:r>
        <w:rPr>
          <w:rFonts w:ascii="仿宋" w:hAnsi="仿宋" w:eastAsia="仿宋"/>
          <w:sz w:val="28"/>
          <w:szCs w:val="28"/>
        </w:rPr>
        <w:br w:type="page"/>
      </w:r>
    </w:p>
    <w:p w14:paraId="0C8D9AD5">
      <w:pPr>
        <w:widowControl/>
        <w:jc w:val="left"/>
        <w:rPr>
          <w:rFonts w:ascii="仿宋" w:hAnsi="仿宋" w:eastAsia="仿宋"/>
          <w:sz w:val="28"/>
          <w:szCs w:val="28"/>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2DA53888">
      <w:pPr>
        <w:jc w:val="left"/>
        <w:rPr>
          <w:rFonts w:ascii="仿宋" w:hAnsi="仿宋" w:eastAsia="仿宋"/>
        </w:rPr>
      </w:pPr>
      <w:r>
        <w:rPr>
          <w:rFonts w:hint="eastAsia" w:ascii="仿宋" w:hAnsi="仿宋" w:eastAsia="仿宋"/>
          <w:sz w:val="30"/>
          <w:szCs w:val="30"/>
        </w:rPr>
        <w:t>附件8：</w:t>
      </w:r>
    </w:p>
    <w:p w14:paraId="6B4E1293">
      <w:pPr>
        <w:rPr>
          <w:rFonts w:ascii="仿宋" w:hAnsi="仿宋" w:eastAsia="仿宋"/>
        </w:rPr>
      </w:pPr>
    </w:p>
    <w:p w14:paraId="432D9EAC">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1F720058">
      <w:pPr>
        <w:spacing w:line="588" w:lineRule="exact"/>
        <w:rPr>
          <w:rFonts w:ascii="仿宋_GB2312" w:eastAsia="仿宋_GB2312"/>
          <w:b/>
          <w:spacing w:val="6"/>
          <w:sz w:val="30"/>
          <w:szCs w:val="30"/>
        </w:rPr>
      </w:pPr>
    </w:p>
    <w:p w14:paraId="7E08DFE2">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8DB67B">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48D16192">
      <w:pPr>
        <w:snapToGrid w:val="0"/>
        <w:spacing w:line="360" w:lineRule="auto"/>
        <w:ind w:firstLine="560" w:firstLineChars="200"/>
        <w:rPr>
          <w:rFonts w:ascii="仿宋" w:hAnsi="仿宋" w:eastAsia="仿宋"/>
          <w:sz w:val="28"/>
          <w:szCs w:val="28"/>
        </w:rPr>
      </w:pPr>
    </w:p>
    <w:p w14:paraId="1DDF5D02">
      <w:pPr>
        <w:spacing w:line="588" w:lineRule="exact"/>
        <w:ind w:firstLine="624" w:firstLineChars="200"/>
        <w:rPr>
          <w:rFonts w:ascii="仿宋_GB2312" w:eastAsia="仿宋_GB2312"/>
          <w:spacing w:val="6"/>
          <w:sz w:val="30"/>
          <w:szCs w:val="30"/>
        </w:rPr>
      </w:pPr>
    </w:p>
    <w:p w14:paraId="15ACFC52">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4FBAE72F">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64B502B8">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034E88C4">
      <w:pPr>
        <w:rPr>
          <w:color w:val="000000" w:themeColor="text1"/>
          <w14:textFill>
            <w14:solidFill>
              <w14:schemeClr w14:val="tx1"/>
            </w14:solidFill>
          </w14:textFill>
        </w:rPr>
      </w:pPr>
    </w:p>
    <w:p w14:paraId="37F408DF">
      <w:pPr>
        <w:rPr>
          <w:color w:val="000000" w:themeColor="text1"/>
          <w14:textFill>
            <w14:solidFill>
              <w14:schemeClr w14:val="tx1"/>
            </w14:solidFill>
          </w14:textFill>
        </w:rPr>
      </w:pPr>
    </w:p>
    <w:p w14:paraId="35CBD5C0">
      <w:pPr>
        <w:widowControl/>
        <w:jc w:val="left"/>
        <w:rPr>
          <w:rFonts w:ascii="仿宋" w:hAnsi="仿宋" w:eastAsia="仿宋"/>
          <w:color w:val="000000" w:themeColor="text1"/>
          <w:sz w:val="30"/>
          <w:szCs w:val="30"/>
          <w14:textFill>
            <w14:solidFill>
              <w14:schemeClr w14:val="tx1"/>
            </w14:solidFill>
          </w14:textFill>
        </w:rPr>
      </w:pPr>
    </w:p>
    <w:p w14:paraId="5A1590EB">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1B5A6158">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14:paraId="1AA9F551">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108"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浙江理工大学2025-2028年临平校区物业服务项目</w:t>
      </w:r>
      <w:bookmarkEnd w:id="108"/>
    </w:p>
    <w:p w14:paraId="1F818380">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109" w:name="PO_15528_PM001_4"/>
      <w:r>
        <w:rPr>
          <w:rFonts w:hint="eastAsia" w:ascii="仿宋" w:hAnsi="仿宋" w:eastAsia="仿宋"/>
          <w:color w:val="000000" w:themeColor="text1"/>
          <w:sz w:val="36"/>
          <w:szCs w:val="36"/>
          <w:lang w:eastAsia="zh-CN"/>
          <w14:textFill>
            <w14:solidFill>
              <w14:schemeClr w14:val="tx1"/>
            </w14:solidFill>
          </w14:textFill>
        </w:rPr>
        <w:t>ZZCG2025H-GK-115</w:t>
      </w:r>
      <w:bookmarkEnd w:id="109"/>
      <w:r>
        <w:rPr>
          <w:rFonts w:hint="eastAsia" w:ascii="仿宋" w:hAnsi="仿宋" w:eastAsia="仿宋"/>
          <w:color w:val="000000" w:themeColor="text1"/>
          <w:sz w:val="36"/>
          <w:szCs w:val="36"/>
          <w14:textFill>
            <w14:solidFill>
              <w14:schemeClr w14:val="tx1"/>
            </w14:solidFill>
          </w14:textFill>
        </w:rPr>
        <w:t>（标项  ）</w:t>
      </w:r>
    </w:p>
    <w:p w14:paraId="514E59A8">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71BF9032">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0D1031CE">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42103850">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452A6227">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76E3A23B">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63177317">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63DECE7">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25ADEA72">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59F96BE9">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774E61DA">
      <w:pPr>
        <w:snapToGrid w:val="0"/>
        <w:spacing w:before="50" w:after="50"/>
        <w:rPr>
          <w:rFonts w:ascii="仿宋" w:hAnsi="仿宋" w:eastAsia="仿宋"/>
          <w:color w:val="000000" w:themeColor="text1"/>
          <w:sz w:val="30"/>
          <w:szCs w:val="30"/>
          <w14:textFill>
            <w14:solidFill>
              <w14:schemeClr w14:val="tx1"/>
            </w14:solidFill>
          </w14:textFill>
        </w:rPr>
      </w:pPr>
    </w:p>
    <w:p w14:paraId="2FC03007">
      <w:pPr>
        <w:snapToGrid w:val="0"/>
        <w:spacing w:before="50" w:after="50"/>
        <w:rPr>
          <w:rFonts w:ascii="仿宋" w:hAnsi="仿宋" w:eastAsia="仿宋"/>
          <w:color w:val="000000" w:themeColor="text1"/>
          <w:sz w:val="30"/>
          <w:szCs w:val="30"/>
          <w14:textFill>
            <w14:solidFill>
              <w14:schemeClr w14:val="tx1"/>
            </w14:solidFill>
          </w14:textFill>
        </w:rPr>
      </w:pPr>
    </w:p>
    <w:p w14:paraId="415BD508">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bCs/>
          <w:color w:val="000000" w:themeColor="text1"/>
          <w:sz w:val="36"/>
          <w:szCs w:val="36"/>
          <w14:textFill>
            <w14:solidFill>
              <w14:schemeClr w14:val="tx1"/>
            </w14:solidFill>
          </w14:textFill>
        </w:rPr>
        <w:t>技术及商务文件目录</w:t>
      </w:r>
    </w:p>
    <w:p w14:paraId="285B61E4">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584D1F74">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1509D63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0FDD41D9">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5815FAA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30E5E5B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0EEE83A7">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2D8EC94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79A3136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568AB9A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38A1160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4709123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37C06A6F">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096AAAC9">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14C7EA7C">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3B71AD2B">
      <w:pPr>
        <w:snapToGrid w:val="0"/>
        <w:spacing w:before="50"/>
        <w:jc w:val="center"/>
        <w:rPr>
          <w:rFonts w:ascii="仿宋" w:hAnsi="仿宋" w:eastAsia="仿宋"/>
          <w:b/>
          <w:color w:val="000000" w:themeColor="text1"/>
          <w:sz w:val="32"/>
          <w:szCs w:val="32"/>
          <w14:textFill>
            <w14:solidFill>
              <w14:schemeClr w14:val="tx1"/>
            </w14:solidFill>
          </w14:textFill>
        </w:rPr>
      </w:pPr>
    </w:p>
    <w:p w14:paraId="4C8C17FF">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2165D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14:paraId="3A5BB47B">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14:paraId="27B654D8">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7354E47F">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4E663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3ACBC6E0">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14:paraId="2E153FA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38CF591">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58F2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F6EF64B">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1" w:type="dxa"/>
            <w:tcBorders>
              <w:top w:val="single" w:color="auto" w:sz="4" w:space="0"/>
              <w:left w:val="single" w:color="auto" w:sz="4" w:space="0"/>
              <w:bottom w:val="single" w:color="auto" w:sz="4" w:space="0"/>
              <w:right w:val="single" w:color="auto" w:sz="4" w:space="0"/>
            </w:tcBorders>
          </w:tcPr>
          <w:p w14:paraId="631F066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F33A7C5">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72AB0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7C3B221">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577BD80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B503724">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52AB1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1972B727">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29579CF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14D7668">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63A89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15D7BDFA">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78049E6B">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65D986C">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2B24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50A6591">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7A3A5ED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4784740">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5329E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B8B2B8E">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6A61883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C964848">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4456B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0BE82AB1">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131AF9B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2E01395">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2722C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2074F9C">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70AFB3C2">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2951226">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6E464B08">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7F9961D4">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65073583">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65AF2FD1">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09C78F79">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371ADAE1">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7D5BA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1E8A7AD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4E4C60F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2A7155B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2C44776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5A7744B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0D655AA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14FA6B6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14D8625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3095686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696EE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1F6EFA3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48E7101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74C022B9">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1B49B43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07B1108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03506AE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3293FA25">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387B5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44BB491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048AA4A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12B60F15">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587A110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7E82FC7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5C7E2FE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6121095">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411D08C1">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7C30C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2B33787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8" w:type="dxa"/>
            <w:tcBorders>
              <w:top w:val="single" w:color="auto" w:sz="4" w:space="0"/>
              <w:left w:val="single" w:color="auto" w:sz="4" w:space="0"/>
              <w:bottom w:val="single" w:color="auto" w:sz="4" w:space="0"/>
              <w:right w:val="single" w:color="auto" w:sz="4" w:space="0"/>
            </w:tcBorders>
            <w:vAlign w:val="center"/>
          </w:tcPr>
          <w:p w14:paraId="2D69D79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3AC1812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7F39C54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01CDD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22E2B48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246B3F5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36FE4A41">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31846BB">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650B4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67792C9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24BDF9A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13A14DD4">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D7CFB52">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485414E4">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16D9FFCA">
      <w:pPr>
        <w:snapToGrid w:val="0"/>
        <w:spacing w:before="120" w:beforeLines="50"/>
        <w:rPr>
          <w:rFonts w:ascii="仿宋" w:hAnsi="仿宋" w:eastAsia="仿宋"/>
          <w:color w:val="000000" w:themeColor="text1"/>
          <w:sz w:val="30"/>
          <w:szCs w:val="30"/>
          <w14:textFill>
            <w14:solidFill>
              <w14:schemeClr w14:val="tx1"/>
            </w14:solidFill>
          </w14:textFill>
        </w:rPr>
      </w:pPr>
    </w:p>
    <w:p w14:paraId="17FB154D">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55A72A19">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05A215B6">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75563229">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00249FCC">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443BA3DB">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77314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453A1022">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7" w:type="dxa"/>
            <w:tcBorders>
              <w:top w:val="single" w:color="auto" w:sz="4" w:space="0"/>
              <w:left w:val="single" w:color="auto" w:sz="4" w:space="0"/>
              <w:bottom w:val="single" w:color="auto" w:sz="4" w:space="0"/>
              <w:right w:val="single" w:color="auto" w:sz="4" w:space="0"/>
            </w:tcBorders>
          </w:tcPr>
          <w:p w14:paraId="7ADCE0B5">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4" w:type="dxa"/>
            <w:tcBorders>
              <w:top w:val="single" w:color="auto" w:sz="4" w:space="0"/>
              <w:left w:val="single" w:color="auto" w:sz="4" w:space="0"/>
              <w:bottom w:val="single" w:color="auto" w:sz="4" w:space="0"/>
              <w:right w:val="single" w:color="auto" w:sz="4" w:space="0"/>
            </w:tcBorders>
          </w:tcPr>
          <w:p w14:paraId="4A61A48B">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40F56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64BC4A1">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4C889033">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33A63308">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1312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AD9F957">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4F464AF4">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660AC142">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2F5F8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9564D38">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41355CD8">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0A6AE81A">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58C0B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147020D8">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191B0DD9">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nil"/>
              <w:right w:val="single" w:color="auto" w:sz="4" w:space="0"/>
            </w:tcBorders>
          </w:tcPr>
          <w:p w14:paraId="4815A327">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38867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864919D">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2985BE8A">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19479D5E">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27E0B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0941017E">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0896FFF0">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2C3200CA">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49829FA7">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72161138">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0707A728">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18F48D54">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3C94A45E">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14:paraId="0EF97483">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041E7421">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2BAC3A0D">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474C9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14:paraId="73F9411F">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6A12521">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428AB68B">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23B4BBF7">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5DE94429">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71E737B7">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04B1CA36">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001CF45B">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08F057FA">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45269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D6CB34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A936B0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A7B487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B2A0A4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B9F25A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B03062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12D0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B547CD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1B3197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4124CF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A15BF5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8EFDB7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12EA05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6827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9EA497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4456DE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795CB46">
            <w:pPr>
              <w:pStyle w:val="34"/>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276036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F90C03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54F620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9D88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2D899CD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A2B062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92F381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7CFEE7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274B32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E5002A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F88A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404C16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F7A313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F54552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0AADE9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F55C57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93AA2E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5E85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5B6AE6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A583CD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160253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41BB00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FB9448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025066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4336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1A735CC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91CF89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179D46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F33024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8EEFB7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ECCB21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7D1F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6DA700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121DE0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02BDB5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030103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8ED834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B5E38D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1148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83FD67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BD1B15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7975AF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5E4E3A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B4810A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D6C35A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11FE18ED">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368CBD35">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6219BDA7">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7614FFBB">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38CA32C4">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23D3FF7F">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附件14：</w:t>
      </w:r>
    </w:p>
    <w:p w14:paraId="0C1C76D5">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2AEBD3AA">
      <w:pPr>
        <w:snapToGrid w:val="0"/>
        <w:spacing w:before="50"/>
        <w:jc w:val="center"/>
        <w:rPr>
          <w:rFonts w:ascii="仿宋" w:hAnsi="仿宋" w:eastAsia="仿宋"/>
          <w:b/>
          <w:color w:val="000000" w:themeColor="text1"/>
          <w:sz w:val="32"/>
          <w:szCs w:val="32"/>
          <w14:textFill>
            <w14:solidFill>
              <w14:schemeClr w14:val="tx1"/>
            </w14:solidFill>
          </w14:textFill>
        </w:rPr>
      </w:pPr>
    </w:p>
    <w:p w14:paraId="0BACADD3">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1C56C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3419FB5E">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6EBB8EDF">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42524448">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072257C9">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7E4844D7">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164C4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0809394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4DDA8D85">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8A92EF7">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4F0A1C0">
            <w:pPr>
              <w:snapToGrid w:val="0"/>
              <w:jc w:val="left"/>
              <w:rPr>
                <w:rFonts w:ascii="仿宋" w:hAnsi="仿宋" w:eastAsia="仿宋"/>
                <w:color w:val="000000" w:themeColor="text1"/>
                <w:sz w:val="28"/>
                <w:szCs w:val="28"/>
                <w14:textFill>
                  <w14:solidFill>
                    <w14:schemeClr w14:val="tx1"/>
                  </w14:solidFill>
                </w14:textFill>
              </w:rPr>
            </w:pPr>
          </w:p>
        </w:tc>
      </w:tr>
      <w:tr w14:paraId="1E693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7ED2CD4B">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1D1DB3EC">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75BECBD">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B77DC98">
            <w:pPr>
              <w:snapToGrid w:val="0"/>
              <w:jc w:val="left"/>
              <w:rPr>
                <w:rFonts w:ascii="仿宋" w:hAnsi="仿宋" w:eastAsia="仿宋"/>
                <w:color w:val="000000" w:themeColor="text1"/>
                <w:sz w:val="28"/>
                <w:szCs w:val="28"/>
                <w14:textFill>
                  <w14:solidFill>
                    <w14:schemeClr w14:val="tx1"/>
                  </w14:solidFill>
                </w14:textFill>
              </w:rPr>
            </w:pPr>
          </w:p>
        </w:tc>
      </w:tr>
      <w:tr w14:paraId="175CA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F7B6D40">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2677172A">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05B0AAB">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30D95B4">
            <w:pPr>
              <w:snapToGrid w:val="0"/>
              <w:jc w:val="left"/>
              <w:rPr>
                <w:rFonts w:ascii="仿宋" w:hAnsi="仿宋" w:eastAsia="仿宋"/>
                <w:color w:val="000000" w:themeColor="text1"/>
                <w:sz w:val="28"/>
                <w:szCs w:val="28"/>
                <w14:textFill>
                  <w14:solidFill>
                    <w14:schemeClr w14:val="tx1"/>
                  </w14:solidFill>
                </w14:textFill>
              </w:rPr>
            </w:pPr>
          </w:p>
        </w:tc>
      </w:tr>
      <w:tr w14:paraId="03F81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3F4ED5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7EA252D9">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4512DB6">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07F9D84">
            <w:pPr>
              <w:snapToGrid w:val="0"/>
              <w:jc w:val="left"/>
              <w:rPr>
                <w:rFonts w:ascii="仿宋" w:hAnsi="仿宋" w:eastAsia="仿宋"/>
                <w:color w:val="000000" w:themeColor="text1"/>
                <w:sz w:val="28"/>
                <w:szCs w:val="28"/>
                <w14:textFill>
                  <w14:solidFill>
                    <w14:schemeClr w14:val="tx1"/>
                  </w14:solidFill>
                </w14:textFill>
              </w:rPr>
            </w:pPr>
          </w:p>
        </w:tc>
      </w:tr>
      <w:tr w14:paraId="49C1F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2373BDEB">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1AC43462">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B4961DD">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844EED0">
            <w:pPr>
              <w:snapToGrid w:val="0"/>
              <w:jc w:val="left"/>
              <w:rPr>
                <w:rFonts w:ascii="仿宋" w:hAnsi="仿宋" w:eastAsia="仿宋"/>
                <w:color w:val="000000" w:themeColor="text1"/>
                <w:sz w:val="28"/>
                <w:szCs w:val="28"/>
                <w14:textFill>
                  <w14:solidFill>
                    <w14:schemeClr w14:val="tx1"/>
                  </w14:solidFill>
                </w14:textFill>
              </w:rPr>
            </w:pPr>
          </w:p>
        </w:tc>
      </w:tr>
      <w:tr w14:paraId="1C7B4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EE9266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02BB8803">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54E74D3">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677F187">
            <w:pPr>
              <w:snapToGrid w:val="0"/>
              <w:jc w:val="left"/>
              <w:rPr>
                <w:rFonts w:ascii="仿宋" w:hAnsi="仿宋" w:eastAsia="仿宋"/>
                <w:color w:val="000000" w:themeColor="text1"/>
                <w:sz w:val="28"/>
                <w:szCs w:val="28"/>
                <w14:textFill>
                  <w14:solidFill>
                    <w14:schemeClr w14:val="tx1"/>
                  </w14:solidFill>
                </w14:textFill>
              </w:rPr>
            </w:pPr>
          </w:p>
        </w:tc>
      </w:tr>
      <w:tr w14:paraId="4FCDD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60AFF97A">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455F2742">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B35E82C">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C90D4F5">
            <w:pPr>
              <w:snapToGrid w:val="0"/>
              <w:jc w:val="left"/>
              <w:rPr>
                <w:rFonts w:ascii="仿宋" w:hAnsi="仿宋" w:eastAsia="仿宋"/>
                <w:color w:val="000000" w:themeColor="text1"/>
                <w:sz w:val="28"/>
                <w:szCs w:val="28"/>
                <w14:textFill>
                  <w14:solidFill>
                    <w14:schemeClr w14:val="tx1"/>
                  </w14:solidFill>
                </w14:textFill>
              </w:rPr>
            </w:pPr>
          </w:p>
        </w:tc>
      </w:tr>
      <w:tr w14:paraId="5C3DD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2339E9A">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0C7CD6D2">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15A57F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7455BC7">
            <w:pPr>
              <w:snapToGrid w:val="0"/>
              <w:jc w:val="left"/>
              <w:rPr>
                <w:rFonts w:ascii="仿宋" w:hAnsi="仿宋" w:eastAsia="仿宋"/>
                <w:color w:val="000000" w:themeColor="text1"/>
                <w:sz w:val="28"/>
                <w:szCs w:val="28"/>
                <w14:textFill>
                  <w14:solidFill>
                    <w14:schemeClr w14:val="tx1"/>
                  </w14:solidFill>
                </w14:textFill>
              </w:rPr>
            </w:pPr>
          </w:p>
        </w:tc>
      </w:tr>
      <w:tr w14:paraId="63010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2427B3BE">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107D8742">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24946C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A569535">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6636E3C5">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027781B1">
      <w:pPr>
        <w:widowControl/>
        <w:jc w:val="left"/>
        <w:rPr>
          <w:rFonts w:ascii="仿宋" w:hAnsi="仿宋" w:eastAsia="仿宋"/>
          <w:color w:val="000000" w:themeColor="text1"/>
          <w:kern w:val="0"/>
          <w:sz w:val="30"/>
          <w:szCs w:val="30"/>
          <w14:textFill>
            <w14:solidFill>
              <w14:schemeClr w14:val="tx1"/>
            </w14:solidFill>
          </w14:textFill>
        </w:rPr>
        <w:sectPr>
          <w:footerReference r:id="rId7" w:type="default"/>
          <w:pgSz w:w="11906" w:h="16838"/>
          <w:pgMar w:top="1474" w:right="1797" w:bottom="1247" w:left="1797" w:header="851" w:footer="851" w:gutter="0"/>
          <w:cols w:space="720" w:num="1"/>
        </w:sectPr>
      </w:pPr>
    </w:p>
    <w:p w14:paraId="28DCD4DB">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14:paraId="2E8D2944">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4BD1B771">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62265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5B4576D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6C4F314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09FCD5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1CAAF0A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1CAEF6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75E849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2ADBE82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43239A0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5401B6C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1ED01A2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79E6DF8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5ED1D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74EDA37E">
            <w:pPr>
              <w:widowControl/>
              <w:jc w:val="left"/>
              <w:rPr>
                <w:rFonts w:ascii="仿宋" w:hAnsi="仿宋" w:eastAsia="仿宋"/>
                <w:color w:val="000000" w:themeColor="text1"/>
                <w:sz w:val="30"/>
                <w:szCs w:val="30"/>
                <w14:textFill>
                  <w14:solidFill>
                    <w14:schemeClr w14:val="tx1"/>
                  </w14:solidFill>
                </w14:textFill>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0B2473DF">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0B9B500">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606C90F">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BBCDE80">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E185CB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3235AC5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39A39B9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12AC539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75D3BAEB">
            <w:pPr>
              <w:widowControl/>
              <w:jc w:val="left"/>
              <w:rPr>
                <w:rFonts w:ascii="仿宋" w:hAnsi="仿宋" w:eastAsia="仿宋"/>
                <w:color w:val="000000" w:themeColor="text1"/>
                <w:sz w:val="30"/>
                <w:szCs w:val="30"/>
                <w14:textFill>
                  <w14:solidFill>
                    <w14:schemeClr w14:val="tx1"/>
                  </w14:solidFill>
                </w14:textFill>
              </w:rPr>
            </w:pPr>
          </w:p>
        </w:tc>
      </w:tr>
      <w:tr w14:paraId="50FBD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1A0EEB87">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2232A9C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FA4ED8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125730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ADC13B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9BD995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DCDFD4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A0B778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7A4B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4AD67CEE">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6255C0E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8E8E3A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E909E4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B710F8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DB9FEF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044127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84A53C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2572A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2A1930CC">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3F1B866E">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596D8B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FD7168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826CA2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1C9980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C0F78A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088DB0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67D8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4BE18D0E">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1C50CA67">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57C344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48C5C2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CE69D1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695B35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23B828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3F1E8D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55507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5BEEFE0E">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1" w:type="dxa"/>
            <w:gridSpan w:val="7"/>
            <w:tcBorders>
              <w:top w:val="single" w:color="auto" w:sz="4" w:space="0"/>
              <w:left w:val="single" w:color="auto" w:sz="4" w:space="0"/>
              <w:bottom w:val="single" w:color="auto" w:sz="4" w:space="0"/>
              <w:right w:val="single" w:color="auto" w:sz="4" w:space="0"/>
            </w:tcBorders>
          </w:tcPr>
          <w:p w14:paraId="17C97A2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7E0473A4">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7BC24C03">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651389B4">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14:paraId="25578169">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110"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浙江理工大学2025-2028年临平校区物业服务项目</w:t>
      </w:r>
      <w:bookmarkEnd w:id="110"/>
    </w:p>
    <w:p w14:paraId="1165499B">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111" w:name="PO_1000000445_PM001"/>
      <w:r>
        <w:rPr>
          <w:rFonts w:hint="eastAsia" w:ascii="仿宋" w:hAnsi="仿宋" w:eastAsia="仿宋"/>
          <w:b/>
          <w:color w:val="000000" w:themeColor="text1"/>
          <w:sz w:val="36"/>
          <w:szCs w:val="36"/>
          <w:lang w:eastAsia="zh-CN"/>
          <w14:textFill>
            <w14:solidFill>
              <w14:schemeClr w14:val="tx1"/>
            </w14:solidFill>
          </w14:textFill>
        </w:rPr>
        <w:t>ZZCG2025H-GK-115</w:t>
      </w:r>
      <w:bookmarkEnd w:id="111"/>
      <w:r>
        <w:rPr>
          <w:rFonts w:hint="eastAsia" w:ascii="仿宋" w:hAnsi="仿宋" w:eastAsia="仿宋"/>
          <w:color w:val="000000" w:themeColor="text1"/>
          <w:sz w:val="36"/>
          <w:szCs w:val="36"/>
          <w14:textFill>
            <w14:solidFill>
              <w14:schemeClr w14:val="tx1"/>
            </w14:solidFill>
          </w14:textFill>
        </w:rPr>
        <w:t>（标项  ）</w:t>
      </w:r>
    </w:p>
    <w:p w14:paraId="23496C46">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F07B4C9">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4A44CBA2">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0F1F39A9">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E1E719C">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8D7EFD0">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64D06CF5">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1165DB32">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695883B0">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7A9FF12F">
      <w:pPr>
        <w:snapToGrid w:val="0"/>
        <w:spacing w:before="50" w:after="50"/>
        <w:rPr>
          <w:rFonts w:ascii="仿宋" w:hAnsi="仿宋" w:eastAsia="仿宋"/>
          <w:color w:val="000000" w:themeColor="text1"/>
          <w:sz w:val="30"/>
          <w:szCs w:val="30"/>
          <w14:textFill>
            <w14:solidFill>
              <w14:schemeClr w14:val="tx1"/>
            </w14:solidFill>
          </w14:textFill>
        </w:rPr>
      </w:pPr>
    </w:p>
    <w:p w14:paraId="421375C2">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color w:val="000000" w:themeColor="text1"/>
          <w:sz w:val="36"/>
          <w:szCs w:val="36"/>
          <w14:textFill>
            <w14:solidFill>
              <w14:schemeClr w14:val="tx1"/>
            </w14:solidFill>
          </w14:textFill>
        </w:rPr>
        <w:t>报价文件目录</w:t>
      </w:r>
    </w:p>
    <w:p w14:paraId="15E23C26">
      <w:pPr>
        <w:rPr>
          <w:rFonts w:ascii="仿宋" w:hAnsi="仿宋" w:eastAsia="仿宋"/>
          <w:color w:val="000000" w:themeColor="text1"/>
          <w14:textFill>
            <w14:solidFill>
              <w14:schemeClr w14:val="tx1"/>
            </w14:solidFill>
          </w14:textFill>
        </w:rPr>
      </w:pPr>
    </w:p>
    <w:p w14:paraId="48B12AAC">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14:paraId="2076D7C4">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63B0F316">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）中小企业声明函（若需要，格式见附件7）；</w:t>
      </w:r>
    </w:p>
    <w:p w14:paraId="737FB8F9">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）残疾人福利企业声明函（若需要，格式见附件8）；</w:t>
      </w:r>
    </w:p>
    <w:p w14:paraId="7D0302DB">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51A79C0B">
      <w:pPr>
        <w:pStyle w:val="31"/>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51A32084">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7951F4B6">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309B651E">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58BD1276">
      <w:pPr>
        <w:snapToGrid w:val="0"/>
        <w:rPr>
          <w:rFonts w:ascii="仿宋" w:hAnsi="仿宋" w:eastAsia="仿宋"/>
          <w:color w:val="000000" w:themeColor="text1"/>
          <w:sz w:val="28"/>
          <w:szCs w:val="28"/>
          <w14:textFill>
            <w14:solidFill>
              <w14:schemeClr w14:val="tx1"/>
            </w14:solidFill>
          </w14:textFill>
        </w:rPr>
      </w:pPr>
    </w:p>
    <w:p w14:paraId="202FCDCD">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23694EC2">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1EE38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6A59ECA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016AB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2088F34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0CE99ED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1331" w:type="dxa"/>
            <w:vMerge w:val="restart"/>
            <w:tcBorders>
              <w:top w:val="single" w:color="auto" w:sz="4" w:space="0"/>
              <w:left w:val="single" w:color="auto" w:sz="4" w:space="0"/>
              <w:bottom w:val="nil"/>
              <w:right w:val="single" w:color="auto" w:sz="4" w:space="0"/>
            </w:tcBorders>
            <w:vAlign w:val="center"/>
          </w:tcPr>
          <w:p w14:paraId="6D00267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1245" w:type="dxa"/>
            <w:vMerge w:val="restart"/>
            <w:tcBorders>
              <w:top w:val="single" w:color="auto" w:sz="4" w:space="0"/>
              <w:left w:val="single" w:color="auto" w:sz="4" w:space="0"/>
              <w:bottom w:val="nil"/>
              <w:right w:val="single" w:color="auto" w:sz="4" w:space="0"/>
            </w:tcBorders>
            <w:vAlign w:val="center"/>
          </w:tcPr>
          <w:p w14:paraId="00AE3F0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245" w:type="dxa"/>
            <w:vMerge w:val="restart"/>
            <w:tcBorders>
              <w:top w:val="single" w:color="auto" w:sz="4" w:space="0"/>
              <w:left w:val="single" w:color="auto" w:sz="4" w:space="0"/>
              <w:bottom w:val="nil"/>
              <w:right w:val="single" w:color="auto" w:sz="4" w:space="0"/>
            </w:tcBorders>
            <w:vAlign w:val="center"/>
          </w:tcPr>
          <w:p w14:paraId="32B1025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19D4888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1515" w:type="dxa"/>
            <w:vMerge w:val="restart"/>
            <w:tcBorders>
              <w:top w:val="single" w:color="auto" w:sz="4" w:space="0"/>
              <w:left w:val="single" w:color="auto" w:sz="4" w:space="0"/>
              <w:bottom w:val="nil"/>
              <w:right w:val="single" w:color="auto" w:sz="4" w:space="0"/>
            </w:tcBorders>
            <w:vAlign w:val="center"/>
          </w:tcPr>
          <w:p w14:paraId="048FAC6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1455" w:type="dxa"/>
            <w:vMerge w:val="restart"/>
            <w:tcBorders>
              <w:top w:val="single" w:color="auto" w:sz="4" w:space="0"/>
              <w:left w:val="single" w:color="auto" w:sz="4" w:space="0"/>
              <w:bottom w:val="nil"/>
              <w:right w:val="single" w:color="auto" w:sz="4" w:space="0"/>
            </w:tcBorders>
            <w:vAlign w:val="center"/>
          </w:tcPr>
          <w:p w14:paraId="02E584A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1A3F1EE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1293" w:type="dxa"/>
            <w:vMerge w:val="restart"/>
            <w:tcBorders>
              <w:top w:val="single" w:color="auto" w:sz="4" w:space="0"/>
              <w:left w:val="single" w:color="auto" w:sz="4" w:space="0"/>
              <w:bottom w:val="nil"/>
              <w:right w:val="single" w:color="auto" w:sz="4" w:space="0"/>
            </w:tcBorders>
            <w:vAlign w:val="center"/>
          </w:tcPr>
          <w:p w14:paraId="7E7F349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192D5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0F65E2D2">
            <w:pPr>
              <w:widowControl/>
              <w:jc w:val="left"/>
              <w:rPr>
                <w:rFonts w:ascii="仿宋" w:hAnsi="仿宋" w:eastAsia="仿宋"/>
                <w:b/>
                <w:color w:val="000000" w:themeColor="text1"/>
                <w:sz w:val="24"/>
                <w:szCs w:val="24"/>
                <w14:textFill>
                  <w14:solidFill>
                    <w14:schemeClr w14:val="tx1"/>
                  </w14:solidFill>
                </w14:textFill>
              </w:rPr>
            </w:pPr>
          </w:p>
        </w:tc>
        <w:tc>
          <w:tcPr>
            <w:tcW w:w="1331" w:type="dxa"/>
            <w:vMerge w:val="continue"/>
            <w:tcBorders>
              <w:top w:val="single" w:color="auto" w:sz="4" w:space="0"/>
              <w:left w:val="single" w:color="auto" w:sz="4" w:space="0"/>
              <w:bottom w:val="nil"/>
              <w:right w:val="single" w:color="auto" w:sz="4" w:space="0"/>
            </w:tcBorders>
            <w:vAlign w:val="center"/>
          </w:tcPr>
          <w:p w14:paraId="0D6789E3">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715A978B">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648C2A23">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7C419BC3">
            <w:pPr>
              <w:widowControl/>
              <w:jc w:val="left"/>
              <w:rPr>
                <w:rFonts w:ascii="仿宋" w:hAnsi="仿宋" w:eastAsia="仿宋"/>
                <w:b/>
                <w:color w:val="000000" w:themeColor="text1"/>
                <w:sz w:val="24"/>
                <w:szCs w:val="24"/>
                <w14:textFill>
                  <w14:solidFill>
                    <w14:schemeClr w14:val="tx1"/>
                  </w14:solidFill>
                </w14:textFill>
              </w:rPr>
            </w:pPr>
          </w:p>
        </w:tc>
        <w:tc>
          <w:tcPr>
            <w:tcW w:w="1455" w:type="dxa"/>
            <w:vMerge w:val="continue"/>
            <w:tcBorders>
              <w:top w:val="single" w:color="auto" w:sz="4" w:space="0"/>
              <w:left w:val="single" w:color="auto" w:sz="4" w:space="0"/>
              <w:bottom w:val="nil"/>
              <w:right w:val="single" w:color="auto" w:sz="4" w:space="0"/>
            </w:tcBorders>
            <w:vAlign w:val="center"/>
          </w:tcPr>
          <w:p w14:paraId="61A1A20B">
            <w:pPr>
              <w:widowControl/>
              <w:jc w:val="left"/>
              <w:rPr>
                <w:rFonts w:ascii="仿宋" w:hAnsi="仿宋" w:eastAsia="仿宋"/>
                <w:b/>
                <w:color w:val="000000" w:themeColor="text1"/>
                <w:sz w:val="24"/>
                <w:szCs w:val="24"/>
                <w14:textFill>
                  <w14:solidFill>
                    <w14:schemeClr w14:val="tx1"/>
                  </w14:solidFill>
                </w14:textFill>
              </w:rPr>
            </w:pPr>
          </w:p>
        </w:tc>
        <w:tc>
          <w:tcPr>
            <w:tcW w:w="1293" w:type="dxa"/>
            <w:vMerge w:val="continue"/>
            <w:tcBorders>
              <w:top w:val="single" w:color="auto" w:sz="4" w:space="0"/>
              <w:left w:val="single" w:color="auto" w:sz="4" w:space="0"/>
              <w:bottom w:val="nil"/>
              <w:right w:val="single" w:color="auto" w:sz="4" w:space="0"/>
            </w:tcBorders>
            <w:vAlign w:val="center"/>
          </w:tcPr>
          <w:p w14:paraId="10CD0560">
            <w:pPr>
              <w:widowControl/>
              <w:jc w:val="left"/>
              <w:rPr>
                <w:rFonts w:ascii="仿宋" w:hAnsi="仿宋" w:eastAsia="仿宋"/>
                <w:b/>
                <w:color w:val="000000" w:themeColor="text1"/>
                <w:sz w:val="24"/>
                <w:szCs w:val="24"/>
                <w14:textFill>
                  <w14:solidFill>
                    <w14:schemeClr w14:val="tx1"/>
                  </w14:solidFill>
                </w14:textFill>
              </w:rPr>
            </w:pPr>
          </w:p>
        </w:tc>
      </w:tr>
      <w:tr w14:paraId="0207B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0D022DE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1" w:type="dxa"/>
            <w:tcBorders>
              <w:top w:val="single" w:color="auto" w:sz="4" w:space="0"/>
              <w:left w:val="single" w:color="auto" w:sz="4" w:space="0"/>
              <w:bottom w:val="single" w:color="auto" w:sz="4" w:space="0"/>
              <w:right w:val="single" w:color="auto" w:sz="4" w:space="0"/>
            </w:tcBorders>
            <w:vAlign w:val="center"/>
          </w:tcPr>
          <w:p w14:paraId="33C5A6C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70F2188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509B64D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4418BCD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14:paraId="0D98556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14:paraId="06D13D7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12A09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5AF59515">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5C819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2CBEE2B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6DF00D0A">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3FDB5425">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3D524207">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4D9B32D4">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0199C352">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0372843F">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43B55E5F">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467DC9FE">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3CB1C8F1">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5B39F6FB">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50719880">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45314B4F">
      <w:pPr>
        <w:snapToGrid w:val="0"/>
        <w:rPr>
          <w:rFonts w:ascii="仿宋" w:hAnsi="仿宋" w:eastAsia="仿宋"/>
          <w:color w:val="000000" w:themeColor="text1"/>
          <w:sz w:val="28"/>
          <w:szCs w:val="28"/>
          <w14:textFill>
            <w14:solidFill>
              <w14:schemeClr w14:val="tx1"/>
            </w14:solidFill>
          </w14:textFill>
        </w:rPr>
      </w:pPr>
    </w:p>
    <w:p w14:paraId="6B690219">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1365F391">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76E01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2FDC9AF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5CBF7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2904F27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4E190CC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1E842EC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1740" w:type="dxa"/>
            <w:vMerge w:val="restart"/>
            <w:tcBorders>
              <w:top w:val="single" w:color="auto" w:sz="4" w:space="0"/>
              <w:left w:val="single" w:color="auto" w:sz="4" w:space="0"/>
              <w:bottom w:val="nil"/>
              <w:right w:val="single" w:color="auto" w:sz="4" w:space="0"/>
            </w:tcBorders>
            <w:vAlign w:val="center"/>
          </w:tcPr>
          <w:p w14:paraId="060ED3C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584BDAE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2043" w:type="dxa"/>
            <w:vMerge w:val="restart"/>
            <w:tcBorders>
              <w:top w:val="single" w:color="auto" w:sz="4" w:space="0"/>
              <w:left w:val="single" w:color="auto" w:sz="4" w:space="0"/>
              <w:bottom w:val="nil"/>
              <w:right w:val="single" w:color="auto" w:sz="4" w:space="0"/>
            </w:tcBorders>
            <w:vAlign w:val="center"/>
          </w:tcPr>
          <w:p w14:paraId="3DA330C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227E1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600B274A">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74924DD3">
            <w:pPr>
              <w:widowControl/>
              <w:jc w:val="left"/>
              <w:rPr>
                <w:rFonts w:ascii="仿宋" w:hAnsi="仿宋" w:eastAsia="仿宋"/>
                <w:b/>
                <w:color w:val="000000" w:themeColor="text1"/>
                <w:sz w:val="24"/>
                <w:szCs w:val="24"/>
                <w14:textFill>
                  <w14:solidFill>
                    <w14:schemeClr w14:val="tx1"/>
                  </w14:solidFill>
                </w14:textFill>
              </w:rPr>
            </w:pPr>
          </w:p>
        </w:tc>
        <w:tc>
          <w:tcPr>
            <w:tcW w:w="1748" w:type="dxa"/>
            <w:vMerge w:val="continue"/>
            <w:tcBorders>
              <w:top w:val="single" w:color="auto" w:sz="4" w:space="0"/>
              <w:left w:val="single" w:color="auto" w:sz="4" w:space="0"/>
              <w:bottom w:val="nil"/>
              <w:right w:val="single" w:color="auto" w:sz="4" w:space="0"/>
            </w:tcBorders>
            <w:vAlign w:val="center"/>
          </w:tcPr>
          <w:p w14:paraId="7BCF09EF">
            <w:pPr>
              <w:widowControl/>
              <w:jc w:val="left"/>
              <w:rPr>
                <w:rFonts w:ascii="仿宋" w:hAnsi="仿宋" w:eastAsia="仿宋"/>
                <w:b/>
                <w:color w:val="000000" w:themeColor="text1"/>
                <w:sz w:val="24"/>
                <w:szCs w:val="24"/>
                <w14:textFill>
                  <w14:solidFill>
                    <w14:schemeClr w14:val="tx1"/>
                  </w14:solidFill>
                </w14:textFill>
              </w:rPr>
            </w:pPr>
          </w:p>
        </w:tc>
        <w:tc>
          <w:tcPr>
            <w:tcW w:w="1740" w:type="dxa"/>
            <w:vMerge w:val="continue"/>
            <w:tcBorders>
              <w:top w:val="single" w:color="auto" w:sz="4" w:space="0"/>
              <w:left w:val="single" w:color="auto" w:sz="4" w:space="0"/>
              <w:bottom w:val="nil"/>
              <w:right w:val="single" w:color="auto" w:sz="4" w:space="0"/>
            </w:tcBorders>
            <w:vAlign w:val="center"/>
          </w:tcPr>
          <w:p w14:paraId="19A92C95">
            <w:pPr>
              <w:widowControl/>
              <w:jc w:val="left"/>
              <w:rPr>
                <w:rFonts w:ascii="仿宋" w:hAnsi="仿宋" w:eastAsia="仿宋"/>
                <w:b/>
                <w:color w:val="000000" w:themeColor="text1"/>
                <w:sz w:val="24"/>
                <w:szCs w:val="24"/>
                <w14:textFill>
                  <w14:solidFill>
                    <w14:schemeClr w14:val="tx1"/>
                  </w14:solidFill>
                </w14:textFill>
              </w:rPr>
            </w:pPr>
          </w:p>
        </w:tc>
        <w:tc>
          <w:tcPr>
            <w:tcW w:w="2043" w:type="dxa"/>
            <w:vMerge w:val="continue"/>
            <w:tcBorders>
              <w:top w:val="single" w:color="auto" w:sz="4" w:space="0"/>
              <w:left w:val="single" w:color="auto" w:sz="4" w:space="0"/>
              <w:bottom w:val="nil"/>
              <w:right w:val="single" w:color="auto" w:sz="4" w:space="0"/>
            </w:tcBorders>
            <w:vAlign w:val="center"/>
          </w:tcPr>
          <w:p w14:paraId="1C92FBAF">
            <w:pPr>
              <w:widowControl/>
              <w:jc w:val="left"/>
              <w:rPr>
                <w:rFonts w:ascii="仿宋" w:hAnsi="仿宋" w:eastAsia="仿宋"/>
                <w:b/>
                <w:color w:val="000000" w:themeColor="text1"/>
                <w:sz w:val="24"/>
                <w:szCs w:val="24"/>
                <w14:textFill>
                  <w14:solidFill>
                    <w14:schemeClr w14:val="tx1"/>
                  </w14:solidFill>
                </w14:textFill>
              </w:rPr>
            </w:pPr>
          </w:p>
        </w:tc>
      </w:tr>
      <w:tr w14:paraId="01C65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1C8EC92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2348AAC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8" w:type="dxa"/>
            <w:tcBorders>
              <w:top w:val="single" w:color="auto" w:sz="4" w:space="0"/>
              <w:left w:val="single" w:color="auto" w:sz="4" w:space="0"/>
              <w:bottom w:val="single" w:color="auto" w:sz="4" w:space="0"/>
              <w:right w:val="single" w:color="auto" w:sz="4" w:space="0"/>
            </w:tcBorders>
            <w:vAlign w:val="center"/>
          </w:tcPr>
          <w:p w14:paraId="253AEF6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1892F68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vAlign w:val="center"/>
          </w:tcPr>
          <w:p w14:paraId="02416BF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7C8FE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77DFCFAE">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11A4C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E459AA2">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065DE1AD">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12E2304A">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38306D76">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0F3FC02B">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08C43BC9">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23644E74">
      <w:pPr>
        <w:snapToGrid w:val="0"/>
        <w:spacing w:line="360" w:lineRule="auto"/>
        <w:rPr>
          <w:rFonts w:ascii="仿宋" w:hAnsi="仿宋" w:eastAsia="仿宋"/>
          <w:color w:val="000000" w:themeColor="text1"/>
          <w:sz w:val="30"/>
          <w:szCs w:val="30"/>
          <w14:textFill>
            <w14:solidFill>
              <w14:schemeClr w14:val="tx1"/>
            </w14:solidFill>
          </w14:textFill>
        </w:rPr>
      </w:pPr>
    </w:p>
    <w:p w14:paraId="0677127A">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4BDFFC6C">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08D9D51E">
      <w:pPr>
        <w:pStyle w:val="31"/>
        <w:snapToGrid w:val="0"/>
        <w:spacing w:before="120" w:after="120"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38D83965">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1E58A525">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14020B32">
      <w:pPr>
        <w:snapToGrid w:val="0"/>
        <w:rPr>
          <w:rFonts w:ascii="仿宋" w:hAnsi="仿宋" w:eastAsia="仿宋"/>
          <w:color w:val="000000" w:themeColor="text1"/>
          <w:sz w:val="28"/>
          <w:szCs w:val="28"/>
          <w14:textFill>
            <w14:solidFill>
              <w14:schemeClr w14:val="tx1"/>
            </w14:solidFill>
          </w14:textFill>
        </w:rPr>
      </w:pPr>
    </w:p>
    <w:p w14:paraId="7480D725">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5F05EF9A">
      <w:pPr>
        <w:snapToGrid w:val="0"/>
        <w:rPr>
          <w:rFonts w:ascii="仿宋" w:hAnsi="仿宋" w:eastAsia="仿宋"/>
          <w:b/>
          <w:color w:val="000000" w:themeColor="text1"/>
          <w:sz w:val="24"/>
          <w:szCs w:val="24"/>
          <w:u w:val="single"/>
          <w14:textFill>
            <w14:solidFill>
              <w14:schemeClr w14:val="tx1"/>
            </w14:solidFill>
          </w14:textFill>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1332"/>
        <w:gridCol w:w="1515"/>
        <w:gridCol w:w="1560"/>
        <w:gridCol w:w="1710"/>
        <w:gridCol w:w="1838"/>
      </w:tblGrid>
      <w:tr w14:paraId="1150F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210B5D1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1F391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78698A7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工程项目名称</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14:paraId="61C075B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1515" w:type="dxa"/>
            <w:vMerge w:val="restart"/>
            <w:tcBorders>
              <w:top w:val="single" w:color="auto" w:sz="4" w:space="0"/>
              <w:left w:val="single" w:color="auto" w:sz="4" w:space="0"/>
              <w:bottom w:val="nil"/>
              <w:right w:val="single" w:color="auto" w:sz="4" w:space="0"/>
            </w:tcBorders>
            <w:vAlign w:val="center"/>
          </w:tcPr>
          <w:p w14:paraId="7D6E5EB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1560" w:type="dxa"/>
            <w:vMerge w:val="restart"/>
            <w:tcBorders>
              <w:top w:val="single" w:color="auto" w:sz="4" w:space="0"/>
              <w:left w:val="single" w:color="auto" w:sz="4" w:space="0"/>
              <w:bottom w:val="nil"/>
              <w:right w:val="single" w:color="auto" w:sz="4" w:space="0"/>
            </w:tcBorders>
            <w:vAlign w:val="center"/>
          </w:tcPr>
          <w:p w14:paraId="21F2C76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1710" w:type="dxa"/>
            <w:vMerge w:val="restart"/>
            <w:tcBorders>
              <w:top w:val="single" w:color="auto" w:sz="4" w:space="0"/>
              <w:left w:val="single" w:color="auto" w:sz="4" w:space="0"/>
              <w:bottom w:val="nil"/>
              <w:right w:val="single" w:color="auto" w:sz="4" w:space="0"/>
            </w:tcBorders>
            <w:vAlign w:val="center"/>
          </w:tcPr>
          <w:p w14:paraId="2AD3D60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838" w:type="dxa"/>
            <w:vMerge w:val="restart"/>
            <w:tcBorders>
              <w:top w:val="single" w:color="auto" w:sz="4" w:space="0"/>
              <w:left w:val="single" w:color="auto" w:sz="4" w:space="0"/>
              <w:bottom w:val="nil"/>
              <w:right w:val="single" w:color="auto" w:sz="4" w:space="0"/>
            </w:tcBorders>
            <w:vAlign w:val="center"/>
          </w:tcPr>
          <w:p w14:paraId="0A35608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4B64A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1101AEF0">
            <w:pPr>
              <w:widowControl/>
              <w:jc w:val="left"/>
              <w:rPr>
                <w:rFonts w:ascii="仿宋" w:hAnsi="仿宋" w:eastAsia="仿宋"/>
                <w:b/>
                <w:color w:val="000000" w:themeColor="text1"/>
                <w:sz w:val="24"/>
                <w:szCs w:val="24"/>
                <w14:textFill>
                  <w14:solidFill>
                    <w14:schemeClr w14:val="tx1"/>
                  </w14:solidFill>
                </w14:textFill>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14:paraId="079FF313">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7C8F1143">
            <w:pPr>
              <w:widowControl/>
              <w:jc w:val="left"/>
              <w:rPr>
                <w:rFonts w:ascii="仿宋" w:hAnsi="仿宋" w:eastAsia="仿宋"/>
                <w:b/>
                <w:color w:val="000000" w:themeColor="text1"/>
                <w:sz w:val="24"/>
                <w:szCs w:val="24"/>
                <w14:textFill>
                  <w14:solidFill>
                    <w14:schemeClr w14:val="tx1"/>
                  </w14:solidFill>
                </w14:textFill>
              </w:rPr>
            </w:pPr>
          </w:p>
        </w:tc>
        <w:tc>
          <w:tcPr>
            <w:tcW w:w="1560" w:type="dxa"/>
            <w:vMerge w:val="continue"/>
            <w:tcBorders>
              <w:top w:val="single" w:color="auto" w:sz="4" w:space="0"/>
              <w:left w:val="single" w:color="auto" w:sz="4" w:space="0"/>
              <w:bottom w:val="nil"/>
              <w:right w:val="single" w:color="auto" w:sz="4" w:space="0"/>
            </w:tcBorders>
            <w:vAlign w:val="center"/>
          </w:tcPr>
          <w:p w14:paraId="1C192A1E">
            <w:pPr>
              <w:widowControl/>
              <w:jc w:val="left"/>
              <w:rPr>
                <w:rFonts w:ascii="仿宋" w:hAnsi="仿宋" w:eastAsia="仿宋"/>
                <w:b/>
                <w:color w:val="000000" w:themeColor="text1"/>
                <w:sz w:val="24"/>
                <w:szCs w:val="24"/>
                <w14:textFill>
                  <w14:solidFill>
                    <w14:schemeClr w14:val="tx1"/>
                  </w14:solidFill>
                </w14:textFill>
              </w:rPr>
            </w:pPr>
          </w:p>
        </w:tc>
        <w:tc>
          <w:tcPr>
            <w:tcW w:w="1710" w:type="dxa"/>
            <w:vMerge w:val="continue"/>
            <w:tcBorders>
              <w:top w:val="single" w:color="auto" w:sz="4" w:space="0"/>
              <w:left w:val="single" w:color="auto" w:sz="4" w:space="0"/>
              <w:bottom w:val="nil"/>
              <w:right w:val="single" w:color="auto" w:sz="4" w:space="0"/>
            </w:tcBorders>
            <w:vAlign w:val="center"/>
          </w:tcPr>
          <w:p w14:paraId="06866063">
            <w:pPr>
              <w:widowControl/>
              <w:jc w:val="left"/>
              <w:rPr>
                <w:rFonts w:ascii="仿宋" w:hAnsi="仿宋" w:eastAsia="仿宋"/>
                <w:b/>
                <w:color w:val="000000" w:themeColor="text1"/>
                <w:sz w:val="24"/>
                <w:szCs w:val="24"/>
                <w14:textFill>
                  <w14:solidFill>
                    <w14:schemeClr w14:val="tx1"/>
                  </w14:solidFill>
                </w14:textFill>
              </w:rPr>
            </w:pPr>
          </w:p>
        </w:tc>
        <w:tc>
          <w:tcPr>
            <w:tcW w:w="1838" w:type="dxa"/>
            <w:vMerge w:val="continue"/>
            <w:tcBorders>
              <w:top w:val="single" w:color="auto" w:sz="4" w:space="0"/>
              <w:left w:val="single" w:color="auto" w:sz="4" w:space="0"/>
              <w:bottom w:val="nil"/>
              <w:right w:val="single" w:color="auto" w:sz="4" w:space="0"/>
            </w:tcBorders>
            <w:vAlign w:val="center"/>
          </w:tcPr>
          <w:p w14:paraId="21EE34FB">
            <w:pPr>
              <w:widowControl/>
              <w:jc w:val="left"/>
              <w:rPr>
                <w:rFonts w:ascii="仿宋" w:hAnsi="仿宋" w:eastAsia="仿宋"/>
                <w:b/>
                <w:color w:val="000000" w:themeColor="text1"/>
                <w:sz w:val="24"/>
                <w:szCs w:val="24"/>
                <w14:textFill>
                  <w14:solidFill>
                    <w14:schemeClr w14:val="tx1"/>
                  </w14:solidFill>
                </w14:textFill>
              </w:rPr>
            </w:pPr>
          </w:p>
        </w:tc>
      </w:tr>
      <w:tr w14:paraId="2C3EE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409EDBAF">
            <w:pPr>
              <w:widowControl/>
              <w:jc w:val="left"/>
              <w:rPr>
                <w:rFonts w:ascii="仿宋" w:hAnsi="仿宋" w:eastAsia="仿宋"/>
                <w:b/>
                <w:color w:val="000000" w:themeColor="text1"/>
                <w:sz w:val="24"/>
                <w:szCs w:val="24"/>
                <w14:textFill>
                  <w14:solidFill>
                    <w14:schemeClr w14:val="tx1"/>
                  </w14:solidFill>
                </w14:textFill>
              </w:rPr>
            </w:pPr>
          </w:p>
        </w:tc>
        <w:tc>
          <w:tcPr>
            <w:tcW w:w="1332" w:type="dxa"/>
            <w:tcBorders>
              <w:top w:val="single" w:color="auto" w:sz="4" w:space="0"/>
              <w:left w:val="single" w:color="auto" w:sz="4" w:space="0"/>
              <w:bottom w:val="nil"/>
              <w:right w:val="single" w:color="auto" w:sz="4" w:space="0"/>
            </w:tcBorders>
            <w:vAlign w:val="center"/>
          </w:tcPr>
          <w:p w14:paraId="179D2351">
            <w:pPr>
              <w:widowControl/>
              <w:jc w:val="left"/>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nil"/>
              <w:right w:val="single" w:color="auto" w:sz="4" w:space="0"/>
            </w:tcBorders>
            <w:vAlign w:val="center"/>
          </w:tcPr>
          <w:p w14:paraId="1A0D987E">
            <w:pPr>
              <w:widowControl/>
              <w:jc w:val="left"/>
              <w:rPr>
                <w:rFonts w:ascii="仿宋" w:hAnsi="仿宋" w:eastAsia="仿宋"/>
                <w:b/>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nil"/>
              <w:right w:val="single" w:color="auto" w:sz="4" w:space="0"/>
            </w:tcBorders>
            <w:vAlign w:val="center"/>
          </w:tcPr>
          <w:p w14:paraId="2140556E">
            <w:pPr>
              <w:widowControl/>
              <w:jc w:val="left"/>
              <w:rPr>
                <w:rFonts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nil"/>
              <w:right w:val="single" w:color="auto" w:sz="4" w:space="0"/>
            </w:tcBorders>
            <w:vAlign w:val="center"/>
          </w:tcPr>
          <w:p w14:paraId="7D7EB4B6">
            <w:pPr>
              <w:widowControl/>
              <w:jc w:val="left"/>
              <w:rPr>
                <w:rFonts w:ascii="仿宋" w:hAnsi="仿宋" w:eastAsia="仿宋"/>
                <w:b/>
                <w:color w:val="000000" w:themeColor="text1"/>
                <w:sz w:val="24"/>
                <w:szCs w:val="24"/>
                <w14:textFill>
                  <w14:solidFill>
                    <w14:schemeClr w14:val="tx1"/>
                  </w14:solidFill>
                </w14:textFill>
              </w:rPr>
            </w:pPr>
          </w:p>
        </w:tc>
        <w:tc>
          <w:tcPr>
            <w:tcW w:w="1838" w:type="dxa"/>
            <w:tcBorders>
              <w:top w:val="single" w:color="auto" w:sz="4" w:space="0"/>
              <w:left w:val="single" w:color="auto" w:sz="4" w:space="0"/>
              <w:bottom w:val="nil"/>
              <w:right w:val="single" w:color="auto" w:sz="4" w:space="0"/>
            </w:tcBorders>
            <w:vAlign w:val="center"/>
          </w:tcPr>
          <w:p w14:paraId="486A8680">
            <w:pPr>
              <w:widowControl/>
              <w:jc w:val="left"/>
              <w:rPr>
                <w:rFonts w:ascii="仿宋" w:hAnsi="仿宋" w:eastAsia="仿宋"/>
                <w:b/>
                <w:color w:val="000000" w:themeColor="text1"/>
                <w:sz w:val="24"/>
                <w:szCs w:val="24"/>
                <w14:textFill>
                  <w14:solidFill>
                    <w14:schemeClr w14:val="tx1"/>
                  </w14:solidFill>
                </w14:textFill>
              </w:rPr>
            </w:pPr>
          </w:p>
        </w:tc>
      </w:tr>
      <w:tr w14:paraId="73C88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7841185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2" w:type="dxa"/>
            <w:tcBorders>
              <w:top w:val="single" w:color="auto" w:sz="4" w:space="0"/>
              <w:left w:val="single" w:color="auto" w:sz="4" w:space="0"/>
              <w:bottom w:val="single" w:color="auto" w:sz="4" w:space="0"/>
              <w:right w:val="single" w:color="auto" w:sz="4" w:space="0"/>
            </w:tcBorders>
            <w:vAlign w:val="center"/>
          </w:tcPr>
          <w:p w14:paraId="196445C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7C0D59D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15E091D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vAlign w:val="center"/>
          </w:tcPr>
          <w:p w14:paraId="5624560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3DB24B5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1DEF7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445DF43F">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14:paraId="5BD80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11EDF47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8" w:type="dxa"/>
            <w:gridSpan w:val="6"/>
            <w:tcBorders>
              <w:top w:val="single" w:color="auto" w:sz="4" w:space="0"/>
              <w:left w:val="single" w:color="auto" w:sz="4" w:space="0"/>
              <w:bottom w:val="single" w:color="auto" w:sz="4" w:space="0"/>
              <w:right w:val="single" w:color="auto" w:sz="4" w:space="0"/>
            </w:tcBorders>
            <w:vAlign w:val="center"/>
          </w:tcPr>
          <w:p w14:paraId="0E7051D3">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124AB5AB">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68CA4359">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45915767">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65AC43CC">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788672C8">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7027A537">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632F6E1F">
      <w:pPr>
        <w:pStyle w:val="40"/>
        <w:spacing w:after="120"/>
        <w:rPr>
          <w:color w:val="000000" w:themeColor="text1"/>
          <w14:textFill>
            <w14:solidFill>
              <w14:schemeClr w14:val="tx1"/>
            </w14:solidFill>
          </w14:textFill>
        </w:rPr>
      </w:pPr>
    </w:p>
    <w:p w14:paraId="3178F9A7">
      <w:pPr>
        <w:rPr>
          <w:color w:val="000000" w:themeColor="text1"/>
          <w14:textFill>
            <w14:solidFill>
              <w14:schemeClr w14:val="tx1"/>
            </w14:solidFill>
          </w14:textFill>
        </w:rPr>
      </w:pPr>
    </w:p>
    <w:p w14:paraId="0402F0C4">
      <w:pPr>
        <w:snapToGrid w:val="0"/>
        <w:spacing w:line="360" w:lineRule="auto"/>
        <w:rPr>
          <w:rFonts w:ascii="仿宋" w:hAnsi="仿宋" w:eastAsia="仿宋"/>
          <w:color w:val="000000" w:themeColor="text1"/>
          <w:sz w:val="30"/>
          <w:szCs w:val="30"/>
          <w14:textFill>
            <w14:solidFill>
              <w14:schemeClr w14:val="tx1"/>
            </w14:solidFill>
          </w14:textFill>
        </w:rPr>
      </w:pPr>
    </w:p>
    <w:p w14:paraId="5C95027A">
      <w:pPr>
        <w:snapToGrid w:val="0"/>
        <w:spacing w:line="360" w:lineRule="auto"/>
        <w:rPr>
          <w:rFonts w:ascii="仿宋" w:hAnsi="仿宋" w:eastAsia="仿宋"/>
          <w:color w:val="000000" w:themeColor="text1"/>
          <w:sz w:val="30"/>
          <w:szCs w:val="30"/>
          <w14:textFill>
            <w14:solidFill>
              <w14:schemeClr w14:val="tx1"/>
            </w14:solidFill>
          </w14:textFill>
        </w:rPr>
      </w:pPr>
    </w:p>
    <w:p w14:paraId="2C5F22CB">
      <w:pPr>
        <w:snapToGrid w:val="0"/>
        <w:spacing w:line="360" w:lineRule="auto"/>
        <w:rPr>
          <w:rFonts w:ascii="仿宋" w:hAnsi="仿宋" w:eastAsia="仿宋"/>
          <w:color w:val="000000" w:themeColor="text1"/>
          <w:sz w:val="30"/>
          <w:szCs w:val="30"/>
          <w14:textFill>
            <w14:solidFill>
              <w14:schemeClr w14:val="tx1"/>
            </w14:solidFill>
          </w14:textFill>
        </w:rPr>
      </w:pPr>
    </w:p>
    <w:p w14:paraId="3945D5A6">
      <w:pPr>
        <w:rPr>
          <w:color w:val="000000" w:themeColor="text1"/>
          <w14:textFill>
            <w14:solidFill>
              <w14:schemeClr w14:val="tx1"/>
            </w14:solidFill>
          </w14:textFill>
        </w:rPr>
      </w:pPr>
    </w:p>
    <w:p w14:paraId="5A6D5C1C">
      <w:pPr>
        <w:rPr>
          <w:color w:val="000000" w:themeColor="text1"/>
          <w14:textFill>
            <w14:solidFill>
              <w14:schemeClr w14:val="tx1"/>
            </w14:solidFill>
          </w14:textFill>
        </w:rPr>
      </w:pPr>
    </w:p>
    <w:p w14:paraId="27E4447F">
      <w:pPr>
        <w:rPr>
          <w:color w:val="000000" w:themeColor="text1"/>
          <w14:textFill>
            <w14:solidFill>
              <w14:schemeClr w14:val="tx1"/>
            </w14:solidFill>
          </w14:textFill>
        </w:rPr>
      </w:pPr>
    </w:p>
    <w:p w14:paraId="14CA22F9">
      <w:pPr>
        <w:rPr>
          <w:color w:val="000000" w:themeColor="text1"/>
          <w14:textFill>
            <w14:solidFill>
              <w14:schemeClr w14:val="tx1"/>
            </w14:solidFill>
          </w14:textFill>
        </w:rPr>
      </w:pPr>
    </w:p>
    <w:p w14:paraId="6CACC056">
      <w:pPr>
        <w:rPr>
          <w:color w:val="000000" w:themeColor="text1"/>
          <w14:textFill>
            <w14:solidFill>
              <w14:schemeClr w14:val="tx1"/>
            </w14:solidFill>
          </w14:textFill>
        </w:rPr>
      </w:pPr>
    </w:p>
    <w:p w14:paraId="2F935C58"/>
    <w:p w14:paraId="67776C6C">
      <w:bookmarkStart w:id="112" w:name="_GoBack"/>
      <w:bookmarkEnd w:id="112"/>
    </w:p>
    <w:sectPr>
      <w:headerReference r:id="rId9" w:type="first"/>
      <w:footerReference r:id="rId12" w:type="first"/>
      <w:headerReference r:id="rId8" w:type="default"/>
      <w:footerReference r:id="rId10" w:type="default"/>
      <w:footerReference r:id="rId11"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FEDDD">
    <w:pPr>
      <w:pStyle w:val="38"/>
      <w:ind w:firstLine="360"/>
      <w:jc w:val="center"/>
      <w:rPr>
        <w:rFonts w:hint="eastAsia"/>
      </w:rPr>
    </w:pPr>
    <w:r>
      <w:fldChar w:fldCharType="begin"/>
    </w:r>
    <w:r>
      <w:instrText xml:space="preserve">PAGE   \* MERGEFORMAT</w:instrText>
    </w:r>
    <w:r>
      <w:fldChar w:fldCharType="separate"/>
    </w:r>
    <w:r>
      <w:rPr>
        <w:lang w:val="zh-CN"/>
      </w:rPr>
      <w:t>25</w:t>
    </w:r>
    <w:r>
      <w:rPr>
        <w:lang w:val="zh-CN"/>
      </w:rPr>
      <w:fldChar w:fldCharType="end"/>
    </w:r>
  </w:p>
  <w:p w14:paraId="489BBAA2">
    <w:pPr>
      <w:pStyle w:val="38"/>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E0CE">
    <w:pPr>
      <w:pStyle w:val="38"/>
      <w:ind w:firstLine="360"/>
      <w:jc w:val="center"/>
      <w:rPr>
        <w:rFonts w:hint="eastAsia"/>
      </w:rPr>
    </w:pPr>
    <w:r>
      <w:fldChar w:fldCharType="begin"/>
    </w:r>
    <w:r>
      <w:instrText xml:space="preserve">PAGE   \* MERGEFORMAT</w:instrText>
    </w:r>
    <w:r>
      <w:fldChar w:fldCharType="separate"/>
    </w:r>
    <w:r>
      <w:rPr>
        <w:lang w:val="zh-CN"/>
      </w:rPr>
      <w:t>25</w:t>
    </w:r>
    <w:r>
      <w:rPr>
        <w:lang w:val="zh-CN"/>
      </w:rPr>
      <w:fldChar w:fldCharType="end"/>
    </w:r>
  </w:p>
  <w:p w14:paraId="4296FF50">
    <w:pPr>
      <w:pStyle w:val="38"/>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DACAF">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39E9D">
                          <w:pPr>
                            <w:pStyle w:val="3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DD39E9D">
                    <w:pPr>
                      <w:pStyle w:val="3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EB7E">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63E60F4F">
    <w:pPr>
      <w:pStyle w:val="38"/>
      <w:ind w:right="720" w:firstLine="180" w:firstLineChars="100"/>
      <w:jc w:val="center"/>
    </w:pPr>
  </w:p>
  <w:p w14:paraId="063980B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9435D">
    <w:pPr>
      <w:pStyle w:val="38"/>
      <w:framePr w:wrap="around" w:vAnchor="text" w:hAnchor="margin" w:xAlign="outside" w:y="1"/>
      <w:rPr>
        <w:rStyle w:val="66"/>
      </w:rPr>
    </w:pPr>
    <w:r>
      <w:fldChar w:fldCharType="begin"/>
    </w:r>
    <w:r>
      <w:rPr>
        <w:rStyle w:val="66"/>
      </w:rPr>
      <w:instrText xml:space="preserve">PAGE  </w:instrText>
    </w:r>
    <w:r>
      <w:fldChar w:fldCharType="end"/>
    </w:r>
  </w:p>
  <w:p w14:paraId="29A3214B">
    <w:pPr>
      <w:pStyle w:val="38"/>
      <w:ind w:right="360" w:firstLine="360"/>
    </w:pPr>
  </w:p>
  <w:p w14:paraId="7437906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561E">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B9640">
    <w:pPr>
      <w:pStyle w:val="39"/>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ADCA1">
    <w:pPr>
      <w:pStyle w:val="39"/>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E5412">
    <w:pPr>
      <w:pStyle w:val="283"/>
    </w:pPr>
  </w:p>
  <w:p w14:paraId="36B613C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76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1C4E6919"/>
    <w:multiLevelType w:val="multilevel"/>
    <w:tmpl w:val="1C4E6919"/>
    <w:lvl w:ilvl="0" w:tentative="0">
      <w:start w:val="1"/>
      <w:numFmt w:val="decimal"/>
      <w:suff w:val="nothing"/>
      <w:lvlText w:val="（%1）"/>
      <w:lvlJc w:val="left"/>
    </w:lvl>
    <w:lvl w:ilvl="1" w:tentative="0">
      <w:start w:val="1"/>
      <w:numFmt w:val="lowerLetter"/>
      <w:lvlText w:val="%2)"/>
      <w:lvlJc w:val="left"/>
      <w:pPr>
        <w:ind w:left="2211" w:hanging="440"/>
      </w:pPr>
    </w:lvl>
    <w:lvl w:ilvl="2" w:tentative="0">
      <w:start w:val="1"/>
      <w:numFmt w:val="lowerRoman"/>
      <w:lvlText w:val="%3."/>
      <w:lvlJc w:val="right"/>
      <w:pPr>
        <w:ind w:left="2651" w:hanging="440"/>
      </w:pPr>
    </w:lvl>
    <w:lvl w:ilvl="3" w:tentative="0">
      <w:start w:val="1"/>
      <w:numFmt w:val="decimal"/>
      <w:lvlText w:val="%4."/>
      <w:lvlJc w:val="left"/>
      <w:pPr>
        <w:ind w:left="3091" w:hanging="440"/>
      </w:pPr>
    </w:lvl>
    <w:lvl w:ilvl="4" w:tentative="0">
      <w:start w:val="1"/>
      <w:numFmt w:val="lowerLetter"/>
      <w:lvlText w:val="%5)"/>
      <w:lvlJc w:val="left"/>
      <w:pPr>
        <w:ind w:left="3531" w:hanging="440"/>
      </w:pPr>
    </w:lvl>
    <w:lvl w:ilvl="5" w:tentative="0">
      <w:start w:val="1"/>
      <w:numFmt w:val="lowerRoman"/>
      <w:lvlText w:val="%6."/>
      <w:lvlJc w:val="right"/>
      <w:pPr>
        <w:ind w:left="3971" w:hanging="440"/>
      </w:pPr>
    </w:lvl>
    <w:lvl w:ilvl="6" w:tentative="0">
      <w:start w:val="1"/>
      <w:numFmt w:val="decimal"/>
      <w:lvlText w:val="%7."/>
      <w:lvlJc w:val="left"/>
      <w:pPr>
        <w:ind w:left="4411" w:hanging="440"/>
      </w:pPr>
    </w:lvl>
    <w:lvl w:ilvl="7" w:tentative="0">
      <w:start w:val="1"/>
      <w:numFmt w:val="lowerLetter"/>
      <w:lvlText w:val="%8)"/>
      <w:lvlJc w:val="left"/>
      <w:pPr>
        <w:ind w:left="4851" w:hanging="440"/>
      </w:pPr>
    </w:lvl>
    <w:lvl w:ilvl="8" w:tentative="0">
      <w:start w:val="1"/>
      <w:numFmt w:val="lowerRoman"/>
      <w:lvlText w:val="%9."/>
      <w:lvlJc w:val="right"/>
      <w:pPr>
        <w:ind w:left="5291" w:hanging="440"/>
      </w:p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6F988F6"/>
    <w:multiLevelType w:val="singleLevel"/>
    <w:tmpl w:val="36F988F6"/>
    <w:lvl w:ilvl="0" w:tentative="0">
      <w:start w:val="1"/>
      <w:numFmt w:val="decimal"/>
      <w:lvlText w:val="%1."/>
      <w:lvlJc w:val="left"/>
      <w:pPr>
        <w:tabs>
          <w:tab w:val="left" w:pos="312"/>
        </w:tabs>
      </w:pPr>
    </w:lvl>
  </w:abstractNum>
  <w:abstractNum w:abstractNumId="18">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0">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1">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2">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4">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0">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2">
    <w:nsid w:val="78ED43B3"/>
    <w:multiLevelType w:val="singleLevel"/>
    <w:tmpl w:val="78ED43B3"/>
    <w:lvl w:ilvl="0" w:tentative="0">
      <w:start w:val="1"/>
      <w:numFmt w:val="decimal"/>
      <w:suff w:val="nothing"/>
      <w:lvlText w:val="%1、"/>
      <w:lvlJc w:val="left"/>
    </w:lvl>
  </w:abstractNum>
  <w:num w:numId="1">
    <w:abstractNumId w:val="13"/>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1"/>
  </w:num>
  <w:num w:numId="8">
    <w:abstractNumId w:val="23"/>
  </w:num>
  <w:num w:numId="9">
    <w:abstractNumId w:val="28"/>
    <w:lvlOverride w:ilvl="0">
      <w:startOverride w:val="1"/>
    </w:lvlOverride>
  </w:num>
  <w:num w:numId="10">
    <w:abstractNumId w:val="8"/>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8"/>
  </w:num>
  <w:num w:numId="14">
    <w:abstractNumId w:val="26"/>
  </w:num>
  <w:num w:numId="15">
    <w:abstractNumId w:val="20"/>
  </w:num>
  <w:num w:numId="16">
    <w:abstractNumId w:val="16"/>
  </w:num>
  <w:num w:numId="17">
    <w:abstractNumId w:val="4"/>
  </w:num>
  <w:num w:numId="18">
    <w:abstractNumId w:val="24"/>
  </w:num>
  <w:num w:numId="19">
    <w:abstractNumId w:val="6"/>
  </w:num>
  <w:num w:numId="20">
    <w:abstractNumId w:val="14"/>
  </w:num>
  <w:num w:numId="21">
    <w:abstractNumId w:val="12"/>
  </w:num>
  <w:num w:numId="22">
    <w:abstractNumId w:val="21"/>
  </w:num>
  <w:num w:numId="23">
    <w:abstractNumId w:val="7"/>
  </w:num>
  <w:num w:numId="24">
    <w:abstractNumId w:val="30"/>
  </w:num>
  <w:num w:numId="25">
    <w:abstractNumId w:val="3"/>
  </w:num>
  <w:num w:numId="26">
    <w:abstractNumId w:val="27"/>
  </w:num>
  <w:num w:numId="27">
    <w:abstractNumId w:val="22"/>
  </w:num>
  <w:num w:numId="28">
    <w:abstractNumId w:val="10"/>
  </w:num>
  <w:num w:numId="29">
    <w:abstractNumId w:val="2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AF1302"/>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158F525C"/>
    <w:rsid w:val="18FE7F62"/>
    <w:rsid w:val="1B4D6E1B"/>
    <w:rsid w:val="23BA0DDD"/>
    <w:rsid w:val="2BAA429E"/>
    <w:rsid w:val="2C2C4A8C"/>
    <w:rsid w:val="5674612B"/>
    <w:rsid w:val="5B2B14B5"/>
    <w:rsid w:val="5B322BEC"/>
    <w:rsid w:val="5F023511"/>
    <w:rsid w:val="688E788F"/>
    <w:rsid w:val="6CC93838"/>
    <w:rsid w:val="6E06112F"/>
    <w:rsid w:val="78045598"/>
    <w:rsid w:val="7C417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qFormat="1"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nhideWhenUsed="0" w:uiPriority="0" w:semiHidden="0"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29"/>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995"/>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20"/>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01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996"/>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997"/>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998"/>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99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0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0" w:leftChars="400" w:hanging="200" w:hangingChars="200"/>
    </w:pPr>
    <w:rPr>
      <w:rFonts w:ascii="Times New Roman" w:hAnsi="Times New Roman"/>
      <w:szCs w:val="20"/>
    </w:rPr>
  </w:style>
  <w:style w:type="paragraph" w:styleId="12">
    <w:name w:val="toc 7"/>
    <w:basedOn w:val="1"/>
    <w:next w:val="1"/>
    <w:qFormat/>
    <w:uiPriority w:val="39"/>
    <w:pPr>
      <w:ind w:left="1260"/>
      <w:jc w:val="left"/>
    </w:pPr>
    <w:rPr>
      <w:rFonts w:ascii="Times New Roman" w:hAnsi="Times New Roman"/>
      <w:sz w:val="18"/>
      <w:szCs w:val="18"/>
    </w:rPr>
  </w:style>
  <w:style w:type="paragraph" w:styleId="13">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5">
    <w:name w:val="List Bullet 4"/>
    <w:basedOn w:val="1"/>
    <w:semiHidden/>
    <w:unhideWhenUsed/>
    <w:qFormat/>
    <w:uiPriority w:val="99"/>
    <w:pPr>
      <w:numPr>
        <w:ilvl w:val="0"/>
        <w:numId w:val="2"/>
      </w:numPr>
    </w:pPr>
    <w:rPr>
      <w:rFonts w:ascii="Times New Roman" w:hAnsi="Times New Roman"/>
      <w:szCs w:val="24"/>
    </w:rPr>
  </w:style>
  <w:style w:type="paragraph" w:styleId="16">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1014"/>
    <w:unhideWhenUsed/>
    <w:qFormat/>
    <w:uiPriority w:val="0"/>
    <w:pPr>
      <w:ind w:firstLine="420"/>
    </w:pPr>
    <w:rPr>
      <w:szCs w:val="20"/>
    </w:rPr>
  </w:style>
  <w:style w:type="paragraph" w:styleId="18">
    <w:name w:val="caption"/>
    <w:basedOn w:val="1"/>
    <w:next w:val="1"/>
    <w:link w:val="1012"/>
    <w:unhideWhenUsed/>
    <w:qFormat/>
    <w:uiPriority w:val="35"/>
    <w:pPr>
      <w:spacing w:before="152" w:after="160"/>
    </w:pPr>
    <w:rPr>
      <w:rFonts w:ascii="Arial" w:hAnsi="Arial" w:eastAsia="黑体"/>
      <w:sz w:val="20"/>
      <w:szCs w:val="20"/>
    </w:rPr>
  </w:style>
  <w:style w:type="paragraph" w:styleId="19">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1016"/>
    <w:qFormat/>
    <w:uiPriority w:val="0"/>
    <w:rPr>
      <w:rFonts w:ascii="宋体"/>
      <w:sz w:val="18"/>
      <w:szCs w:val="18"/>
    </w:rPr>
  </w:style>
  <w:style w:type="paragraph" w:styleId="21">
    <w:name w:val="annotation text"/>
    <w:basedOn w:val="1"/>
    <w:link w:val="101"/>
    <w:unhideWhenUsed/>
    <w:qFormat/>
    <w:uiPriority w:val="99"/>
    <w:pPr>
      <w:jc w:val="left"/>
    </w:pPr>
  </w:style>
  <w:style w:type="paragraph" w:styleId="22">
    <w:name w:val="Salutation"/>
    <w:basedOn w:val="1"/>
    <w:next w:val="1"/>
    <w:link w:val="1001"/>
    <w:semiHidden/>
    <w:unhideWhenUsed/>
    <w:qFormat/>
    <w:uiPriority w:val="99"/>
    <w:rPr>
      <w:rFonts w:ascii="宋体" w:hAnsi="Times New Roman"/>
      <w:b/>
      <w:sz w:val="28"/>
      <w:szCs w:val="20"/>
    </w:rPr>
  </w:style>
  <w:style w:type="paragraph" w:styleId="23">
    <w:name w:val="Body Text 3"/>
    <w:basedOn w:val="1"/>
    <w:link w:val="1002"/>
    <w:semiHidden/>
    <w:unhideWhenUsed/>
    <w:qFormat/>
    <w:uiPriority w:val="99"/>
    <w:pPr>
      <w:snapToGrid w:val="0"/>
      <w:spacing w:before="50" w:after="50"/>
    </w:pPr>
    <w:rPr>
      <w:rFonts w:ascii="Times New Roman" w:hAnsi="宋体" w:eastAsia="仿宋_GB2312"/>
      <w:b/>
      <w:bCs/>
      <w:sz w:val="24"/>
      <w:szCs w:val="20"/>
    </w:rPr>
  </w:style>
  <w:style w:type="paragraph" w:styleId="24">
    <w:name w:val="Body Text"/>
    <w:basedOn w:val="1"/>
    <w:link w:val="1011"/>
    <w:semiHidden/>
    <w:unhideWhenUsed/>
    <w:qFormat/>
    <w:uiPriority w:val="99"/>
    <w:pPr>
      <w:spacing w:after="120"/>
    </w:pPr>
    <w:rPr>
      <w:sz w:val="28"/>
      <w:szCs w:val="24"/>
    </w:rPr>
  </w:style>
  <w:style w:type="paragraph" w:styleId="25">
    <w:name w:val="Body Text Indent"/>
    <w:basedOn w:val="1"/>
    <w:link w:val="1021"/>
    <w:qFormat/>
    <w:uiPriority w:val="0"/>
    <w:pPr>
      <w:spacing w:line="200" w:lineRule="exact"/>
      <w:ind w:firstLine="301"/>
    </w:pPr>
    <w:rPr>
      <w:rFonts w:ascii="宋体" w:hAnsi="Courier New"/>
      <w:spacing w:val="-4"/>
      <w:sz w:val="18"/>
      <w:szCs w:val="20"/>
    </w:rPr>
  </w:style>
  <w:style w:type="paragraph" w:styleId="26">
    <w:name w:val="List Number 3"/>
    <w:basedOn w:val="1"/>
    <w:semiHidden/>
    <w:unhideWhenUsed/>
    <w:qFormat/>
    <w:uiPriority w:val="99"/>
    <w:pPr>
      <w:numPr>
        <w:ilvl w:val="0"/>
        <w:numId w:val="3"/>
      </w:numPr>
    </w:pPr>
    <w:rPr>
      <w:rFonts w:ascii="Times New Roman" w:hAnsi="Times New Roman"/>
      <w:szCs w:val="24"/>
    </w:rPr>
  </w:style>
  <w:style w:type="paragraph" w:styleId="27">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39"/>
    <w:pPr>
      <w:ind w:left="840" w:leftChars="400"/>
    </w:pPr>
  </w:style>
  <w:style w:type="paragraph" w:styleId="31">
    <w:name w:val="Plain Text"/>
    <w:basedOn w:val="1"/>
    <w:link w:val="808"/>
    <w:qFormat/>
    <w:uiPriority w:val="0"/>
    <w:pPr>
      <w:spacing w:beforeLines="50" w:afterLines="50" w:line="400" w:lineRule="exact"/>
    </w:pPr>
    <w:rPr>
      <w:rFonts w:ascii="宋体" w:hAnsi="Courier New"/>
      <w:sz w:val="24"/>
      <w:szCs w:val="24"/>
    </w:rPr>
  </w:style>
  <w:style w:type="paragraph" w:styleId="32">
    <w:name w:val="List Bullet 5"/>
    <w:basedOn w:val="1"/>
    <w:semiHidden/>
    <w:unhideWhenUsed/>
    <w:qFormat/>
    <w:uiPriority w:val="99"/>
    <w:pPr>
      <w:numPr>
        <w:ilvl w:val="0"/>
        <w:numId w:val="4"/>
      </w:numPr>
    </w:pPr>
    <w:rPr>
      <w:rFonts w:ascii="Times New Roman" w:hAnsi="Times New Roman"/>
      <w:szCs w:val="24"/>
    </w:rPr>
  </w:style>
  <w:style w:type="paragraph" w:styleId="33">
    <w:name w:val="toc 8"/>
    <w:basedOn w:val="1"/>
    <w:next w:val="1"/>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1027"/>
    <w:qFormat/>
    <w:uiPriority w:val="0"/>
    <w:pPr>
      <w:ind w:left="2500" w:leftChars="2500"/>
    </w:pPr>
    <w:rPr>
      <w:rFonts w:eastAsia="楷体_GB2312"/>
      <w:sz w:val="32"/>
      <w:szCs w:val="20"/>
    </w:rPr>
  </w:style>
  <w:style w:type="paragraph" w:styleId="35">
    <w:name w:val="Body Text Indent 2"/>
    <w:basedOn w:val="1"/>
    <w:link w:val="1042"/>
    <w:unhideWhenUsed/>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1003"/>
    <w:semiHidden/>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1028"/>
    <w:unhideWhenUsed/>
    <w:qFormat/>
    <w:uiPriority w:val="99"/>
    <w:rPr>
      <w:sz w:val="18"/>
      <w:szCs w:val="18"/>
    </w:rPr>
  </w:style>
  <w:style w:type="paragraph" w:styleId="38">
    <w:name w:val="footer"/>
    <w:basedOn w:val="1"/>
    <w:link w:val="994"/>
    <w:unhideWhenUsed/>
    <w:qFormat/>
    <w:uiPriority w:val="0"/>
    <w:pPr>
      <w:tabs>
        <w:tab w:val="center" w:pos="4153"/>
        <w:tab w:val="right" w:pos="8306"/>
      </w:tabs>
      <w:snapToGrid w:val="0"/>
      <w:jc w:val="left"/>
    </w:pPr>
    <w:rPr>
      <w:sz w:val="18"/>
      <w:szCs w:val="18"/>
    </w:rPr>
  </w:style>
  <w:style w:type="paragraph" w:styleId="39">
    <w:name w:val="header"/>
    <w:basedOn w:val="1"/>
    <w:link w:val="993"/>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unhideWhenUsed/>
    <w:qFormat/>
    <w:uiPriority w:val="39"/>
    <w:pPr>
      <w:spacing w:before="240" w:after="240"/>
    </w:pPr>
    <w:rPr>
      <w:rFonts w:ascii="Times New Roman" w:hAnsi="Times New Roman" w:eastAsia="仿宋"/>
      <w:sz w:val="36"/>
      <w:szCs w:val="24"/>
    </w:rPr>
  </w:style>
  <w:style w:type="paragraph" w:styleId="41">
    <w:name w:val="toc 4"/>
    <w:basedOn w:val="1"/>
    <w:next w:val="1"/>
    <w:qFormat/>
    <w:uiPriority w:val="39"/>
    <w:pPr>
      <w:ind w:left="1260" w:leftChars="600"/>
    </w:pPr>
  </w:style>
  <w:style w:type="paragraph" w:styleId="42">
    <w:name w:val="Subtitle"/>
    <w:basedOn w:val="1"/>
    <w:link w:val="1004"/>
    <w:qFormat/>
    <w:uiPriority w:val="11"/>
    <w:pPr>
      <w:spacing w:afterLines="50"/>
      <w:jc w:val="center"/>
    </w:pPr>
    <w:rPr>
      <w:rFonts w:ascii="Times New Roman" w:hAnsi="Times New Roman" w:eastAsia="Times New Roman"/>
      <w:sz w:val="18"/>
      <w:szCs w:val="18"/>
    </w:rPr>
  </w:style>
  <w:style w:type="paragraph" w:styleId="43">
    <w:name w:val="List"/>
    <w:basedOn w:val="1"/>
    <w:semiHidden/>
    <w:unhideWhenUsed/>
    <w:qFormat/>
    <w:uiPriority w:val="99"/>
    <w:pPr>
      <w:ind w:left="200" w:hanging="200" w:hangingChars="200"/>
    </w:pPr>
    <w:rPr>
      <w:rFonts w:ascii="Times New Roman" w:hAnsi="Times New Roman"/>
      <w:sz w:val="28"/>
      <w:szCs w:val="24"/>
    </w:rPr>
  </w:style>
  <w:style w:type="paragraph" w:styleId="44">
    <w:name w:val="footnote text"/>
    <w:basedOn w:val="1"/>
    <w:link w:val="1005"/>
    <w:semiHidden/>
    <w:unhideWhenUsed/>
    <w:qFormat/>
    <w:uiPriority w:val="99"/>
    <w:pPr>
      <w:snapToGrid w:val="0"/>
      <w:jc w:val="left"/>
    </w:pPr>
    <w:rPr>
      <w:sz w:val="18"/>
      <w:szCs w:val="18"/>
    </w:rPr>
  </w:style>
  <w:style w:type="paragraph" w:styleId="45">
    <w:name w:val="toc 6"/>
    <w:basedOn w:val="1"/>
    <w:next w:val="1"/>
    <w:qFormat/>
    <w:uiPriority w:val="39"/>
    <w:pPr>
      <w:ind w:left="1050"/>
      <w:jc w:val="left"/>
    </w:pPr>
    <w:rPr>
      <w:rFonts w:ascii="Times New Roman" w:hAnsi="Times New Roman"/>
      <w:sz w:val="18"/>
      <w:szCs w:val="18"/>
    </w:rPr>
  </w:style>
  <w:style w:type="paragraph" w:styleId="46">
    <w:name w:val="Body Text Indent 3"/>
    <w:basedOn w:val="1"/>
    <w:link w:val="1037"/>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39"/>
    <w:pPr>
      <w:ind w:left="1680"/>
      <w:jc w:val="left"/>
    </w:pPr>
    <w:rPr>
      <w:rFonts w:ascii="Times New Roman" w:hAnsi="Times New Roman"/>
      <w:sz w:val="18"/>
      <w:szCs w:val="18"/>
    </w:rPr>
  </w:style>
  <w:style w:type="paragraph" w:styleId="50">
    <w:name w:val="Body Text 2"/>
    <w:basedOn w:val="1"/>
    <w:link w:val="1006"/>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1007"/>
    <w:semiHidden/>
    <w:unhideWhenUsed/>
    <w:qFormat/>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qFormat/>
    <w:uiPriority w:val="99"/>
    <w:rPr>
      <w:rFonts w:ascii="Times New Roman" w:hAnsi="Times New Roman"/>
      <w:szCs w:val="20"/>
    </w:rPr>
  </w:style>
  <w:style w:type="paragraph" w:styleId="55">
    <w:name w:val="Title"/>
    <w:basedOn w:val="1"/>
    <w:link w:val="1017"/>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1008"/>
    <w:unhideWhenUsed/>
    <w:qFormat/>
    <w:uiPriority w:val="0"/>
    <w:rPr>
      <w:b/>
      <w:bCs/>
    </w:rPr>
  </w:style>
  <w:style w:type="paragraph" w:styleId="57">
    <w:name w:val="Body Text First Indent"/>
    <w:basedOn w:val="24"/>
    <w:link w:val="1009"/>
    <w:semiHidden/>
    <w:unhideWhenUsed/>
    <w:qFormat/>
    <w:uiPriority w:val="99"/>
    <w:pPr>
      <w:ind w:firstLine="420" w:firstLineChars="100"/>
    </w:pPr>
    <w:rPr>
      <w:sz w:val="21"/>
      <w:szCs w:val="22"/>
    </w:rPr>
  </w:style>
  <w:style w:type="paragraph" w:styleId="58">
    <w:name w:val="Body Text First Indent 2"/>
    <w:basedOn w:val="25"/>
    <w:link w:val="1010"/>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unhideWhenUsed/>
    <w:qFormat/>
    <w:uiPriority w:val="99"/>
    <w:rPr>
      <w:color w:val="800080"/>
      <w:u w:val="single"/>
    </w:rPr>
  </w:style>
  <w:style w:type="character" w:styleId="68">
    <w:name w:val="Emphasis"/>
    <w:qFormat/>
    <w:uiPriority w:val="0"/>
    <w:rPr>
      <w:color w:val="CC0033"/>
    </w:rPr>
  </w:style>
  <w:style w:type="character" w:styleId="69">
    <w:name w:val="Hyperlink"/>
    <w:unhideWhenUsed/>
    <w:qFormat/>
    <w:uiPriority w:val="99"/>
    <w:rPr>
      <w:color w:val="0000FF"/>
      <w:u w:val="single"/>
    </w:rPr>
  </w:style>
  <w:style w:type="character" w:styleId="70">
    <w:name w:val="annotation reference"/>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101"/>
    <w:link w:val="102"/>
    <w:qFormat/>
    <w:uiPriority w:val="99"/>
    <w:rPr>
      <w:rFonts w:ascii="Calibri" w:hAnsi="Calibri" w:eastAsia="宋体" w:cs="Times New Roman"/>
      <w:b/>
      <w:bCs/>
    </w:rPr>
  </w:style>
  <w:style w:type="character" w:customStyle="1" w:styleId="101">
    <w:name w:val="批注文字 Char"/>
    <w:basedOn w:val="64"/>
    <w:link w:val="21"/>
    <w:qFormat/>
    <w:uiPriority w:val="99"/>
    <w:rPr>
      <w:rFonts w:ascii="Calibri" w:hAnsi="Calibri" w:eastAsia="宋体" w:cs="Times New Roman"/>
    </w:rPr>
  </w:style>
  <w:style w:type="paragraph" w:customStyle="1" w:styleId="102">
    <w:name w:val="批注主题1"/>
    <w:basedOn w:val="21"/>
    <w:next w:val="21"/>
    <w:link w:val="100"/>
    <w:qFormat/>
    <w:uiPriority w:val="99"/>
    <w:rPr>
      <w:b/>
      <w:bCs/>
    </w:rPr>
  </w:style>
  <w:style w:type="character" w:customStyle="1" w:styleId="103">
    <w:name w:val="正文首行缩进 字符"/>
    <w:basedOn w:val="85"/>
    <w:link w:val="57"/>
    <w:qFormat/>
    <w:uiPriority w:val="99"/>
    <w:rPr>
      <w:rFonts w:ascii="Calibri" w:hAnsi="Calibri" w:eastAsia="宋体" w:cs="Times New Roman"/>
      <w:sz w:val="28"/>
      <w:szCs w:val="24"/>
    </w:rPr>
  </w:style>
  <w:style w:type="character" w:customStyle="1" w:styleId="104">
    <w:name w:val="正文首行缩进 2 Char"/>
    <w:basedOn w:val="86"/>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4"/>
    <w:qFormat/>
    <w:uiPriority w:val="0"/>
  </w:style>
  <w:style w:type="character" w:customStyle="1" w:styleId="108">
    <w:name w:val="题注 字符"/>
    <w:link w:val="18"/>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4"/>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4"/>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4"/>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8"/>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5"/>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4"/>
    <w:qFormat/>
    <w:uiPriority w:val="0"/>
  </w:style>
  <w:style w:type="character" w:customStyle="1" w:styleId="152">
    <w:name w:val="content"/>
    <w:basedOn w:val="64"/>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4"/>
    <w:qFormat/>
    <w:uiPriority w:val="0"/>
  </w:style>
  <w:style w:type="character" w:customStyle="1" w:styleId="160">
    <w:name w:val="p71"/>
    <w:qFormat/>
    <w:uiPriority w:val="0"/>
    <w:rPr>
      <w:sz w:val="21"/>
    </w:rPr>
  </w:style>
  <w:style w:type="character" w:customStyle="1" w:styleId="161">
    <w:name w:val="文档结构图 Char1"/>
    <w:basedOn w:val="64"/>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4"/>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4"/>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qFormat/>
    <w:uiPriority w:val="0"/>
  </w:style>
  <w:style w:type="paragraph" w:styleId="183">
    <w:name w:val="List Paragraph"/>
    <w:basedOn w:val="1"/>
    <w:link w:val="1013"/>
    <w:qFormat/>
    <w:uiPriority w:val="0"/>
    <w:pPr>
      <w:ind w:firstLine="420" w:firstLineChars="200"/>
    </w:pPr>
    <w:rPr>
      <w:rFonts w:asciiTheme="minorHAnsi" w:hAnsiTheme="minorHAnsi" w:eastAsiaTheme="minorEastAsia" w:cstheme="minorBidi"/>
    </w:rPr>
  </w:style>
  <w:style w:type="character" w:customStyle="1" w:styleId="184">
    <w:name w:val="para"/>
    <w:basedOn w:val="64"/>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4"/>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4"/>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8"/>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3"/>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basedOn w:val="64"/>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8"/>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4"/>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7"/>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4"/>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4"/>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4"/>
    <w:qFormat/>
    <w:uiPriority w:val="0"/>
  </w:style>
  <w:style w:type="character" w:customStyle="1" w:styleId="331">
    <w:name w:val="black10"/>
    <w:basedOn w:val="64"/>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qFormat/>
    <w:uiPriority w:val="0"/>
    <w:rPr>
      <w:rFonts w:ascii="宋体" w:hAnsi="Times New Roman"/>
    </w:rPr>
  </w:style>
  <w:style w:type="paragraph" w:customStyle="1" w:styleId="334">
    <w:name w:val="段"/>
    <w:next w:val="1"/>
    <w:link w:val="1039"/>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4"/>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5"/>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4"/>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4"/>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4"/>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7"/>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39"/>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18"/>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8"/>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6"/>
    <w:qFormat/>
    <w:uiPriority w:val="99"/>
    <w:pPr>
      <w:numPr>
        <w:ilvl w:val="1"/>
        <w:numId w:val="5"/>
      </w:numPr>
      <w:tabs>
        <w:tab w:val="left" w:pos="2040"/>
      </w:tabs>
      <w:spacing w:after="120"/>
      <w:ind w:left="0" w:firstLine="0"/>
    </w:pPr>
  </w:style>
  <w:style w:type="paragraph" w:customStyle="1" w:styleId="437">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0"/>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1"/>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4"/>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1"/>
    <w:next w:val="21"/>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3"/>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4"/>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7"/>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3"/>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7"/>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link w:val="1026"/>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3"/>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4"/>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4"/>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99"/>
    <w:rPr>
      <w:rFonts w:ascii="Tahoma" w:hAnsi="Tahoma"/>
      <w:sz w:val="24"/>
      <w:szCs w:val="20"/>
    </w:rPr>
  </w:style>
  <w:style w:type="paragraph" w:customStyle="1" w:styleId="677">
    <w:name w:val="样式1"/>
    <w:basedOn w:val="1"/>
    <w:qFormat/>
    <w:uiPriority w:val="99"/>
    <w:pPr>
      <w:pBdr>
        <w:bottom w:val="single" w:color="auto" w:sz="4" w:space="1"/>
      </w:pBdr>
    </w:pPr>
    <w:rPr>
      <w:rFonts w:ascii="Times New Roman" w:hAnsi="Times New Roman"/>
      <w:szCs w:val="24"/>
    </w:rPr>
  </w:style>
  <w:style w:type="paragraph" w:customStyle="1" w:styleId="67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99"/>
    <w:rPr>
      <w:rFonts w:ascii="仿宋_GB2312" w:hAnsi="Times New Roman" w:eastAsia="仿宋_GB2312"/>
      <w:b/>
      <w:sz w:val="32"/>
      <w:szCs w:val="32"/>
    </w:rPr>
  </w:style>
  <w:style w:type="paragraph" w:customStyle="1" w:styleId="680">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2">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99"/>
    <w:pPr>
      <w:spacing w:after="120"/>
      <w:ind w:left="420" w:leftChars="200"/>
    </w:pPr>
    <w:rPr>
      <w:rFonts w:cs="黑体"/>
    </w:rPr>
  </w:style>
  <w:style w:type="paragraph" w:customStyle="1" w:styleId="6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99"/>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99"/>
    <w:pPr>
      <w:widowControl/>
      <w:ind w:left="75"/>
      <w:jc w:val="left"/>
    </w:pPr>
    <w:rPr>
      <w:rFonts w:ascii="Arial" w:hAnsi="Arial" w:cs="Arial"/>
      <w:b/>
      <w:bCs/>
      <w:kern w:val="0"/>
      <w:sz w:val="20"/>
      <w:szCs w:val="20"/>
    </w:rPr>
  </w:style>
  <w:style w:type="paragraph" w:customStyle="1" w:styleId="704">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99"/>
    <w:pPr>
      <w:tabs>
        <w:tab w:val="left" w:pos="432"/>
      </w:tabs>
      <w:ind w:left="432" w:hanging="432"/>
    </w:pPr>
    <w:rPr>
      <w:rFonts w:ascii="Times New Roman" w:hAnsi="Times New Roman"/>
      <w:sz w:val="24"/>
      <w:szCs w:val="24"/>
    </w:rPr>
  </w:style>
  <w:style w:type="paragraph" w:customStyle="1" w:styleId="706">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99"/>
    <w:pPr>
      <w:spacing w:line="360" w:lineRule="auto"/>
      <w:ind w:firstLine="480" w:firstLineChars="200"/>
    </w:pPr>
    <w:rPr>
      <w:rFonts w:ascii="Arial" w:hAnsi="Arial"/>
      <w:sz w:val="24"/>
      <w:szCs w:val="21"/>
    </w:rPr>
  </w:style>
  <w:style w:type="paragraph" w:customStyle="1" w:styleId="708">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99"/>
    <w:rPr>
      <w:rFonts w:ascii="仿宋_GB2312" w:hAnsi="Times New Roman" w:eastAsia="仿宋_GB2312"/>
      <w:b/>
      <w:sz w:val="32"/>
      <w:szCs w:val="32"/>
    </w:rPr>
  </w:style>
  <w:style w:type="paragraph" w:customStyle="1" w:styleId="710">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99"/>
    <w:pPr>
      <w:ind w:firstLine="420" w:firstLineChars="200"/>
    </w:pPr>
  </w:style>
  <w:style w:type="paragraph" w:customStyle="1" w:styleId="712">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99"/>
    <w:rPr>
      <w:rFonts w:ascii="Times New Roman" w:hAnsi="Times New Roman" w:eastAsia="仿宋_GB2312" w:cs="宋体"/>
      <w:szCs w:val="20"/>
    </w:rPr>
  </w:style>
  <w:style w:type="paragraph" w:customStyle="1" w:styleId="721">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99"/>
    <w:pPr>
      <w:spacing w:line="360" w:lineRule="auto"/>
    </w:pPr>
    <w:rPr>
      <w:rFonts w:ascii="Times New Roman" w:hAnsi="Times New Roman"/>
      <w:b/>
      <w:bCs/>
      <w:sz w:val="24"/>
      <w:szCs w:val="24"/>
    </w:rPr>
  </w:style>
  <w:style w:type="paragraph" w:customStyle="1" w:styleId="730">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99"/>
    <w:rPr>
      <w:rFonts w:ascii="Tahoma" w:hAnsi="Tahoma"/>
      <w:sz w:val="24"/>
      <w:szCs w:val="20"/>
    </w:rPr>
  </w:style>
  <w:style w:type="paragraph" w:customStyle="1" w:styleId="734">
    <w:name w:val="列表（编号二级）（绿盟科技）"/>
    <w:basedOn w:val="657"/>
    <w:qFormat/>
    <w:uiPriority w:val="99"/>
    <w:pPr>
      <w:numPr>
        <w:ilvl w:val="1"/>
      </w:numPr>
      <w:spacing w:beforeLines="0"/>
      <w:ind w:left="1260"/>
    </w:pPr>
  </w:style>
  <w:style w:type="paragraph" w:customStyle="1" w:styleId="735">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99"/>
    <w:pPr>
      <w:spacing w:before="80" w:afterLines="50"/>
      <w:ind w:left="1530"/>
    </w:pPr>
    <w:rPr>
      <w:rFonts w:ascii="宋体" w:hAnsi="Times New Roman"/>
      <w:snapToGrid w:val="0"/>
      <w:kern w:val="0"/>
      <w:szCs w:val="20"/>
    </w:rPr>
  </w:style>
  <w:style w:type="paragraph" w:customStyle="1" w:styleId="738">
    <w:name w:val="正文样式"/>
    <w:basedOn w:val="1"/>
    <w:qFormat/>
    <w:uiPriority w:val="99"/>
    <w:pPr>
      <w:spacing w:line="360" w:lineRule="auto"/>
      <w:ind w:firstLine="200" w:firstLineChars="200"/>
    </w:pPr>
    <w:rPr>
      <w:rFonts w:ascii="宋体" w:hAnsi="Times New Roman"/>
      <w:sz w:val="24"/>
      <w:szCs w:val="24"/>
    </w:rPr>
  </w:style>
  <w:style w:type="paragraph" w:customStyle="1" w:styleId="73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3"/>
    <w:qFormat/>
    <w:uiPriority w:val="99"/>
    <w:pPr>
      <w:spacing w:after="0" w:line="415" w:lineRule="auto"/>
    </w:pPr>
    <w:rPr>
      <w:sz w:val="28"/>
      <w:szCs w:val="20"/>
    </w:rPr>
  </w:style>
  <w:style w:type="paragraph" w:customStyle="1" w:styleId="741">
    <w:name w:val="表格标题"/>
    <w:basedOn w:val="661"/>
    <w:qFormat/>
    <w:uiPriority w:val="99"/>
    <w:pPr>
      <w:numPr>
        <w:ilvl w:val="0"/>
        <w:numId w:val="26"/>
      </w:numPr>
      <w:tabs>
        <w:tab w:val="clear" w:pos="360"/>
      </w:tabs>
      <w:ind w:left="0" w:firstLine="0"/>
      <w:jc w:val="center"/>
    </w:pPr>
    <w:rPr>
      <w:b/>
      <w:bCs/>
      <w:i/>
      <w:iCs/>
    </w:rPr>
  </w:style>
  <w:style w:type="paragraph" w:customStyle="1" w:styleId="742">
    <w:name w:val="_Style 1181"/>
    <w:basedOn w:val="1"/>
    <w:qFormat/>
    <w:uiPriority w:val="99"/>
  </w:style>
  <w:style w:type="paragraph" w:customStyle="1" w:styleId="743">
    <w:name w:val="Char2"/>
    <w:basedOn w:val="1"/>
    <w:qFormat/>
    <w:uiPriority w:val="99"/>
    <w:rPr>
      <w:rFonts w:ascii="仿宋_GB2312" w:hAnsi="Times New Roman" w:eastAsia="仿宋_GB2312"/>
      <w:b/>
      <w:sz w:val="32"/>
      <w:szCs w:val="20"/>
    </w:rPr>
  </w:style>
  <w:style w:type="paragraph" w:customStyle="1" w:styleId="744">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99"/>
    <w:rPr>
      <w:rFonts w:ascii="Tahoma" w:hAnsi="Tahoma"/>
      <w:sz w:val="24"/>
      <w:szCs w:val="20"/>
    </w:rPr>
  </w:style>
  <w:style w:type="paragraph" w:customStyle="1" w:styleId="7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99"/>
    <w:pPr>
      <w:widowControl/>
      <w:spacing w:before="150" w:after="150"/>
      <w:jc w:val="left"/>
    </w:pPr>
    <w:rPr>
      <w:rFonts w:ascii="宋体" w:hAnsi="宋体" w:cs="宋体"/>
      <w:kern w:val="0"/>
      <w:sz w:val="24"/>
      <w:szCs w:val="24"/>
    </w:rPr>
  </w:style>
  <w:style w:type="paragraph" w:customStyle="1" w:styleId="754">
    <w:name w:val="表格_内容"/>
    <w:basedOn w:val="1"/>
    <w:qFormat/>
    <w:uiPriority w:val="99"/>
    <w:rPr>
      <w:rFonts w:ascii="宋体" w:hAnsi="宋体"/>
      <w:szCs w:val="21"/>
    </w:rPr>
  </w:style>
  <w:style w:type="paragraph" w:customStyle="1" w:styleId="755">
    <w:name w:val="MM Title"/>
    <w:basedOn w:val="55"/>
    <w:qFormat/>
    <w:uiPriority w:val="99"/>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7">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1">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7"/>
    <w:qFormat/>
    <w:uiPriority w:val="99"/>
    <w:pPr>
      <w:numPr>
        <w:ilvl w:val="4"/>
        <w:numId w:val="29"/>
      </w:numPr>
    </w:pPr>
    <w:rPr>
      <w:rFonts w:eastAsia="黑体"/>
      <w:kern w:val="0"/>
      <w:sz w:val="24"/>
      <w:szCs w:val="20"/>
    </w:rPr>
  </w:style>
  <w:style w:type="paragraph" w:customStyle="1" w:styleId="764">
    <w:name w:val="Body"/>
    <w:basedOn w:val="1"/>
    <w:qFormat/>
    <w:uiPriority w:val="99"/>
    <w:pPr>
      <w:widowControl/>
      <w:spacing w:before="120" w:afterLines="50"/>
    </w:pPr>
    <w:rPr>
      <w:rFonts w:ascii="宋体" w:hAnsi="Times New Roman"/>
      <w:snapToGrid w:val="0"/>
      <w:kern w:val="0"/>
      <w:szCs w:val="20"/>
    </w:rPr>
  </w:style>
  <w:style w:type="paragraph" w:customStyle="1" w:styleId="765">
    <w:name w:val="标准标题2"/>
    <w:basedOn w:val="3"/>
    <w:qFormat/>
    <w:uiPriority w:val="99"/>
    <w:pPr>
      <w:spacing w:line="360" w:lineRule="auto"/>
    </w:pPr>
    <w:rPr>
      <w:rFonts w:eastAsia="仿宋_GB2312"/>
      <w:bCs w:val="0"/>
      <w:sz w:val="28"/>
    </w:rPr>
  </w:style>
  <w:style w:type="paragraph" w:customStyle="1" w:styleId="766">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99"/>
    <w:rPr>
      <w:rFonts w:ascii="Times New Roman" w:hAnsi="Times New Roman"/>
      <w:szCs w:val="20"/>
    </w:rPr>
  </w:style>
  <w:style w:type="paragraph" w:customStyle="1" w:styleId="777">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0">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1">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99"/>
    <w:pPr>
      <w:tabs>
        <w:tab w:val="left" w:pos="1200"/>
      </w:tabs>
      <w:ind w:left="1200" w:hanging="360"/>
    </w:pPr>
  </w:style>
  <w:style w:type="paragraph" w:customStyle="1" w:styleId="785">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99"/>
    <w:pPr>
      <w:widowControl/>
      <w:spacing w:before="150" w:after="150"/>
      <w:jc w:val="left"/>
    </w:pPr>
    <w:rPr>
      <w:rFonts w:ascii="宋体" w:hAnsi="宋体" w:cs="宋体"/>
      <w:kern w:val="0"/>
      <w:sz w:val="24"/>
      <w:szCs w:val="24"/>
    </w:rPr>
  </w:style>
  <w:style w:type="paragraph" w:customStyle="1" w:styleId="790">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99"/>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99"/>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99"/>
    <w:pPr>
      <w:spacing w:line="360" w:lineRule="auto"/>
      <w:ind w:firstLine="0"/>
    </w:pPr>
    <w:rPr>
      <w:rFonts w:ascii="宋体" w:hAnsi="宋体" w:cs="宋体"/>
      <w:kern w:val="0"/>
    </w:rPr>
  </w:style>
  <w:style w:type="paragraph" w:customStyle="1" w:styleId="799">
    <w:name w:val="Char8"/>
    <w:basedOn w:val="1"/>
    <w:qFormat/>
    <w:uiPriority w:val="99"/>
    <w:pPr>
      <w:tabs>
        <w:tab w:val="left" w:pos="432"/>
      </w:tabs>
      <w:ind w:left="432" w:hanging="432"/>
    </w:pPr>
    <w:rPr>
      <w:rFonts w:ascii="Times New Roman" w:hAnsi="Times New Roman"/>
      <w:sz w:val="24"/>
      <w:szCs w:val="24"/>
    </w:rPr>
  </w:style>
  <w:style w:type="paragraph" w:customStyle="1" w:styleId="800">
    <w:name w:val="Char Char Char1"/>
    <w:basedOn w:val="1"/>
    <w:qFormat/>
    <w:uiPriority w:val="99"/>
    <w:rPr>
      <w:rFonts w:ascii="Times New Roman" w:hAnsi="Times New Roman" w:eastAsia="仿宋_GB2312" w:cs="宋体"/>
      <w:sz w:val="24"/>
      <w:szCs w:val="20"/>
    </w:rPr>
  </w:style>
  <w:style w:type="paragraph" w:customStyle="1" w:styleId="801">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99"/>
    <w:pPr>
      <w:jc w:val="center"/>
    </w:pPr>
    <w:rPr>
      <w:rFonts w:ascii="Arial" w:hAnsi="Arial" w:eastAsia="黑体"/>
      <w:b/>
    </w:rPr>
  </w:style>
  <w:style w:type="paragraph" w:customStyle="1" w:styleId="804">
    <w:name w:val="吉奥封面(黑体小初)"/>
    <w:basedOn w:val="192"/>
    <w:qFormat/>
    <w:uiPriority w:val="99"/>
    <w:pPr>
      <w:spacing w:before="480"/>
      <w:ind w:firstLine="0" w:firstLineChars="0"/>
      <w:jc w:val="center"/>
    </w:pPr>
    <w:rPr>
      <w:rFonts w:eastAsia="黑体"/>
      <w:sz w:val="72"/>
      <w:szCs w:val="72"/>
    </w:rPr>
  </w:style>
  <w:style w:type="paragraph" w:customStyle="1" w:styleId="805">
    <w:name w:val="样式 标题 3 + 首行缩进:  2 字符1"/>
    <w:basedOn w:val="4"/>
    <w:qFormat/>
    <w:uiPriority w:val="99"/>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1"/>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link w:val="31"/>
    <w:qFormat/>
    <w:uiPriority w:val="99"/>
    <w:rPr>
      <w:rFonts w:ascii="宋体" w:hAnsi="Courier New"/>
      <w:kern w:val="2"/>
      <w:sz w:val="24"/>
      <w:szCs w:val="24"/>
    </w:rPr>
  </w:style>
  <w:style w:type="paragraph" w:customStyle="1" w:styleId="809">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99"/>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next w:val="183"/>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basedOn w:val="64"/>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99"/>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4"/>
    <w:link w:val="821"/>
    <w:qFormat/>
    <w:uiPriority w:val="0"/>
    <w:rPr>
      <w:rFonts w:ascii="Times New Roman" w:hAnsi="Times New Roman" w:eastAsia="宋体" w:cs="Times New Roman"/>
      <w:sz w:val="24"/>
      <w:szCs w:val="20"/>
    </w:rPr>
  </w:style>
  <w:style w:type="paragraph" w:customStyle="1" w:styleId="854">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1"/>
    <w:next w:val="21"/>
    <w:qFormat/>
    <w:uiPriority w:val="99"/>
    <w:rPr>
      <w:b/>
      <w:bCs/>
      <w:kern w:val="0"/>
      <w:sz w:val="20"/>
      <w:szCs w:val="20"/>
    </w:rPr>
  </w:style>
  <w:style w:type="paragraph" w:customStyle="1" w:styleId="873">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99"/>
    <w:rPr>
      <w:rFonts w:ascii="仿宋_GB2312" w:hAnsi="Times New Roman" w:eastAsia="仿宋_GB2312"/>
      <w:b/>
      <w:sz w:val="32"/>
      <w:szCs w:val="32"/>
    </w:rPr>
  </w:style>
  <w:style w:type="paragraph" w:customStyle="1" w:styleId="87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8">
    <w:name w:val="Char Char Char11"/>
    <w:basedOn w:val="1"/>
    <w:qFormat/>
    <w:uiPriority w:val="99"/>
  </w:style>
  <w:style w:type="paragraph" w:customStyle="1" w:styleId="879">
    <w:name w:val="Char111"/>
    <w:basedOn w:val="1"/>
    <w:qFormat/>
    <w:uiPriority w:val="99"/>
    <w:rPr>
      <w:rFonts w:ascii="仿宋_GB2312" w:hAnsi="Times New Roman" w:eastAsia="仿宋_GB2312"/>
      <w:b/>
      <w:sz w:val="32"/>
      <w:szCs w:val="32"/>
    </w:rPr>
  </w:style>
  <w:style w:type="paragraph" w:customStyle="1" w:styleId="880">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99"/>
    <w:rPr>
      <w:rFonts w:ascii="仿宋_GB2312" w:hAnsi="Times New Roman" w:eastAsia="仿宋_GB2312"/>
      <w:b/>
      <w:sz w:val="32"/>
      <w:szCs w:val="32"/>
    </w:rPr>
  </w:style>
  <w:style w:type="paragraph" w:customStyle="1" w:styleId="884">
    <w:name w:val="正文文本缩进11"/>
    <w:basedOn w:val="1"/>
    <w:qFormat/>
    <w:uiPriority w:val="99"/>
    <w:pPr>
      <w:spacing w:after="120"/>
      <w:ind w:left="420" w:leftChars="200"/>
    </w:pPr>
    <w:rPr>
      <w:rFonts w:cs="黑体"/>
    </w:rPr>
  </w:style>
  <w:style w:type="paragraph" w:customStyle="1" w:styleId="885">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99"/>
    <w:rPr>
      <w:rFonts w:ascii="仿宋_GB2312" w:hAnsi="Times New Roman" w:eastAsia="仿宋_GB2312"/>
      <w:b/>
      <w:sz w:val="32"/>
      <w:szCs w:val="32"/>
    </w:rPr>
  </w:style>
  <w:style w:type="paragraph" w:customStyle="1" w:styleId="887">
    <w:name w:val="列出段落12"/>
    <w:basedOn w:val="1"/>
    <w:qFormat/>
    <w:uiPriority w:val="99"/>
    <w:pPr>
      <w:ind w:firstLine="420" w:firstLineChars="200"/>
    </w:pPr>
  </w:style>
  <w:style w:type="paragraph" w:customStyle="1" w:styleId="88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99"/>
    <w:rPr>
      <w:rFonts w:ascii="Tahoma" w:hAnsi="Tahoma"/>
      <w:sz w:val="24"/>
      <w:szCs w:val="20"/>
    </w:rPr>
  </w:style>
  <w:style w:type="paragraph" w:customStyle="1" w:styleId="89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99"/>
    <w:rPr>
      <w:rFonts w:ascii="Tahoma" w:hAnsi="Tahoma"/>
      <w:sz w:val="24"/>
      <w:szCs w:val="20"/>
    </w:rPr>
  </w:style>
  <w:style w:type="paragraph" w:customStyle="1" w:styleId="89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eastAsiaTheme="minorEastAsia"/>
      <w:vanish/>
      <w:kern w:val="0"/>
      <w:sz w:val="16"/>
      <w:szCs w:val="16"/>
    </w:rPr>
  </w:style>
  <w:style w:type="paragraph" w:customStyle="1" w:styleId="896">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paragraph" w:customStyle="1" w:styleId="897">
    <w:name w:val="z-窗体底端2"/>
    <w:basedOn w:val="1"/>
    <w:next w:val="1"/>
    <w:link w:val="895"/>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898">
    <w:name w:val="Intense Reference"/>
    <w:qFormat/>
    <w:uiPriority w:val="0"/>
    <w:rPr>
      <w:b/>
      <w:sz w:val="24"/>
      <w:u w:val="single"/>
    </w:rPr>
  </w:style>
  <w:style w:type="character" w:customStyle="1" w:styleId="899">
    <w:name w:val="z-窗体顶端 字符2"/>
    <w:link w:val="900"/>
    <w:qFormat/>
    <w:uiPriority w:val="0"/>
    <w:rPr>
      <w:rFonts w:ascii="Arial" w:hAnsi="Arial" w:cs="Arial" w:eastAsiaTheme="minorEastAsia"/>
      <w:vanish/>
      <w:kern w:val="0"/>
      <w:sz w:val="16"/>
      <w:szCs w:val="16"/>
    </w:rPr>
  </w:style>
  <w:style w:type="paragraph" w:customStyle="1" w:styleId="900">
    <w:name w:val="HTML Top of Form"/>
    <w:basedOn w:val="1"/>
    <w:next w:val="1"/>
    <w:link w:val="899"/>
    <w:qFormat/>
    <w:uiPriority w:val="0"/>
    <w:pPr>
      <w:widowControl/>
      <w:pBdr>
        <w:bottom w:val="single" w:color="auto" w:sz="6" w:space="1"/>
      </w:pBdr>
      <w:jc w:val="center"/>
    </w:pPr>
    <w:rPr>
      <w:rFonts w:ascii="Arial" w:hAnsi="Arial" w:cs="Arial" w:eastAsiaTheme="minorEastAsia"/>
      <w:vanish/>
      <w:sz w:val="16"/>
      <w:szCs w:val="16"/>
    </w:rPr>
  </w:style>
  <w:style w:type="paragraph" w:customStyle="1" w:styleId="901">
    <w:name w:val="z-窗体顶端2"/>
    <w:basedOn w:val="1"/>
    <w:next w:val="1"/>
    <w:link w:val="899"/>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02">
    <w:name w:val="Subtle Reference"/>
    <w:qFormat/>
    <w:uiPriority w:val="31"/>
    <w:rPr>
      <w:smallCaps/>
      <w:color w:val="C0504D"/>
      <w:u w:val="single"/>
    </w:rPr>
  </w:style>
  <w:style w:type="paragraph" w:customStyle="1" w:styleId="903">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4">
    <w:name w:val="z-窗体底端 Char1"/>
    <w:basedOn w:val="64"/>
    <w:semiHidden/>
    <w:qFormat/>
    <w:uiPriority w:val="99"/>
    <w:rPr>
      <w:rFonts w:ascii="Arial" w:hAnsi="Arial" w:eastAsia="宋体" w:cs="Arial"/>
      <w:vanish/>
      <w:sz w:val="16"/>
      <w:szCs w:val="16"/>
    </w:rPr>
  </w:style>
  <w:style w:type="character" w:customStyle="1" w:styleId="905">
    <w:name w:val="z-窗体顶端 Char1"/>
    <w:basedOn w:val="64"/>
    <w:semiHidden/>
    <w:qFormat/>
    <w:uiPriority w:val="99"/>
    <w:rPr>
      <w:rFonts w:ascii="Arial" w:hAnsi="Arial" w:eastAsia="宋体" w:cs="Arial"/>
      <w:vanish/>
      <w:sz w:val="16"/>
      <w:szCs w:val="16"/>
    </w:rPr>
  </w:style>
  <w:style w:type="paragraph" w:customStyle="1" w:styleId="906">
    <w:name w:val="Revision"/>
    <w:semiHidden/>
    <w:qFormat/>
    <w:uiPriority w:val="99"/>
    <w:rPr>
      <w:rFonts w:ascii="Calibri" w:hAnsi="Calibri" w:eastAsia="宋体" w:cs="Times New Roman"/>
      <w:kern w:val="2"/>
      <w:sz w:val="21"/>
      <w:szCs w:val="22"/>
      <w:lang w:val="en-US" w:eastAsia="zh-CN" w:bidi="ar-SA"/>
    </w:rPr>
  </w:style>
  <w:style w:type="paragraph" w:customStyle="1" w:styleId="907">
    <w:name w:val="列表段落"/>
    <w:basedOn w:val="1"/>
    <w:qFormat/>
    <w:uiPriority w:val="99"/>
    <w:pPr>
      <w:ind w:firstLine="420" w:firstLineChars="200"/>
    </w:pPr>
  </w:style>
  <w:style w:type="character" w:customStyle="1" w:styleId="908">
    <w:name w:val="content1"/>
    <w:qFormat/>
    <w:uiPriority w:val="0"/>
    <w:rPr>
      <w:rFonts w:hint="default" w:ascii="Tahoma" w:hAnsi="Tahoma" w:cs="Tahoma"/>
      <w:sz w:val="21"/>
      <w:szCs w:val="21"/>
    </w:rPr>
  </w:style>
  <w:style w:type="character" w:customStyle="1" w:styleId="909">
    <w:name w:val="style25"/>
    <w:basedOn w:val="64"/>
    <w:qFormat/>
    <w:uiPriority w:val="0"/>
  </w:style>
  <w:style w:type="character" w:customStyle="1" w:styleId="910">
    <w:name w:val="style281"/>
    <w:qFormat/>
    <w:uiPriority w:val="0"/>
    <w:rPr>
      <w:color w:val="0000FF"/>
      <w:sz w:val="21"/>
      <w:szCs w:val="21"/>
    </w:rPr>
  </w:style>
  <w:style w:type="character" w:customStyle="1" w:styleId="911">
    <w:name w:val="ml21"/>
    <w:qFormat/>
    <w:uiPriority w:val="0"/>
    <w:rPr>
      <w:rFonts w:hint="default"/>
      <w:color w:val="0000FF"/>
      <w:sz w:val="21"/>
      <w:szCs w:val="21"/>
    </w:rPr>
  </w:style>
  <w:style w:type="character" w:customStyle="1" w:styleId="912">
    <w:name w:val="newstyle1"/>
    <w:qFormat/>
    <w:uiPriority w:val="0"/>
    <w:rPr>
      <w:rFonts w:hint="default"/>
      <w:sz w:val="18"/>
      <w:szCs w:val="18"/>
    </w:rPr>
  </w:style>
  <w:style w:type="character" w:customStyle="1" w:styleId="913">
    <w:name w:val="center style5"/>
    <w:basedOn w:val="64"/>
    <w:qFormat/>
    <w:uiPriority w:val="0"/>
  </w:style>
  <w:style w:type="character" w:customStyle="1" w:styleId="914">
    <w:name w:val="新正文 Char"/>
    <w:link w:val="915"/>
    <w:qFormat/>
    <w:uiPriority w:val="0"/>
    <w:rPr>
      <w:szCs w:val="24"/>
    </w:rPr>
  </w:style>
  <w:style w:type="paragraph" w:customStyle="1" w:styleId="915">
    <w:name w:val="新正文"/>
    <w:basedOn w:val="1"/>
    <w:link w:val="914"/>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6">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7">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8">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9">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20">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1">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2">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3">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4">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5">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6">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7">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8">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30">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3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3">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5">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6">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7">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8">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9">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0">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41">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2">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3">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5">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6">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8">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9">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0">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1">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3">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4">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5">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6">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7">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8">
    <w:name w:val="题二"/>
    <w:basedOn w:val="927"/>
    <w:qFormat/>
    <w:uiPriority w:val="99"/>
    <w:pPr>
      <w:outlineLvl w:val="9"/>
    </w:pPr>
  </w:style>
  <w:style w:type="paragraph" w:customStyle="1" w:styleId="959">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6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61">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2">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3">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4">
    <w:name w:val="z-窗体底端 字符1"/>
    <w:qFormat/>
    <w:uiPriority w:val="0"/>
    <w:rPr>
      <w:rFonts w:ascii="Arial" w:hAnsi="Arial" w:cs="Arial"/>
      <w:vanish/>
      <w:sz w:val="16"/>
      <w:szCs w:val="16"/>
    </w:rPr>
  </w:style>
  <w:style w:type="character" w:customStyle="1" w:styleId="965">
    <w:name w:val="z-窗体顶端 字符1"/>
    <w:qFormat/>
    <w:uiPriority w:val="0"/>
    <w:rPr>
      <w:rFonts w:ascii="Arial" w:hAnsi="Arial" w:cs="Arial"/>
      <w:vanish/>
      <w:sz w:val="16"/>
      <w:szCs w:val="16"/>
    </w:rPr>
  </w:style>
  <w:style w:type="character" w:customStyle="1" w:styleId="966">
    <w:name w:val="批注主题 字符"/>
    <w:basedOn w:val="82"/>
    <w:link w:val="56"/>
    <w:qFormat/>
    <w:uiPriority w:val="99"/>
    <w:rPr>
      <w:rFonts w:ascii="Calibri" w:hAnsi="Calibri" w:eastAsia="宋体" w:cs="Times New Roman"/>
      <w:b/>
      <w:bCs/>
    </w:rPr>
  </w:style>
  <w:style w:type="character" w:customStyle="1" w:styleId="967">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8">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9">
    <w:name w:val="批注引用1"/>
    <w:qFormat/>
    <w:uiPriority w:val="0"/>
    <w:rPr>
      <w:sz w:val="21"/>
      <w:szCs w:val="21"/>
    </w:rPr>
  </w:style>
  <w:style w:type="paragraph" w:customStyle="1" w:styleId="970">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71">
    <w:name w:val="正文文本 字符"/>
    <w:basedOn w:val="64"/>
    <w:qFormat/>
    <w:uiPriority w:val="99"/>
    <w:rPr>
      <w:rFonts w:eastAsia="宋体"/>
      <w:kern w:val="2"/>
      <w:sz w:val="28"/>
      <w:szCs w:val="24"/>
      <w:lang w:val="en-US" w:eastAsia="zh-CN" w:bidi="ar-SA"/>
    </w:rPr>
  </w:style>
  <w:style w:type="character" w:customStyle="1" w:styleId="972">
    <w:name w:val="批注文字 字符"/>
    <w:basedOn w:val="64"/>
    <w:qFormat/>
    <w:uiPriority w:val="99"/>
    <w:rPr>
      <w:kern w:val="2"/>
      <w:sz w:val="21"/>
      <w:szCs w:val="22"/>
    </w:rPr>
  </w:style>
  <w:style w:type="character" w:customStyle="1" w:styleId="973">
    <w:name w:val="正文文本缩进 字符"/>
    <w:basedOn w:val="64"/>
    <w:qFormat/>
    <w:uiPriority w:val="99"/>
    <w:rPr>
      <w:rFonts w:ascii="宋体" w:hAnsi="Courier New" w:eastAsia="宋体"/>
      <w:spacing w:val="-4"/>
      <w:kern w:val="2"/>
      <w:sz w:val="18"/>
      <w:lang w:val="en-US" w:eastAsia="zh-CN" w:bidi="ar-SA"/>
    </w:rPr>
  </w:style>
  <w:style w:type="character" w:customStyle="1" w:styleId="974">
    <w:name w:val="标题 字符1"/>
    <w:basedOn w:val="64"/>
    <w:qFormat/>
    <w:uiPriority w:val="10"/>
    <w:rPr>
      <w:rFonts w:asciiTheme="majorHAnsi" w:hAnsiTheme="majorHAnsi" w:eastAsiaTheme="majorEastAsia" w:cstheme="majorBidi"/>
      <w:b/>
      <w:bCs/>
      <w:sz w:val="32"/>
      <w:szCs w:val="32"/>
    </w:rPr>
  </w:style>
  <w:style w:type="character" w:customStyle="1" w:styleId="975">
    <w:name w:val="副标题 字符1"/>
    <w:basedOn w:val="64"/>
    <w:qFormat/>
    <w:uiPriority w:val="11"/>
    <w:rPr>
      <w:b/>
      <w:bCs/>
      <w:kern w:val="28"/>
      <w:sz w:val="32"/>
      <w:szCs w:val="32"/>
    </w:rPr>
  </w:style>
  <w:style w:type="paragraph" w:customStyle="1" w:styleId="976">
    <w:name w:val="表格非标题文字"/>
    <w:link w:val="97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7">
    <w:name w:val="表格非标题文字 Char"/>
    <w:basedOn w:val="64"/>
    <w:link w:val="976"/>
    <w:qFormat/>
    <w:uiPriority w:val="0"/>
    <w:rPr>
      <w:rFonts w:ascii="Futura Bk" w:hAnsi="Futura Bk" w:eastAsia="宋体" w:cs="Times New Roman"/>
      <w:sz w:val="18"/>
      <w:szCs w:val="21"/>
    </w:rPr>
  </w:style>
  <w:style w:type="paragraph" w:customStyle="1" w:styleId="978">
    <w:name w:val="a2"/>
    <w:basedOn w:val="1"/>
    <w:qFormat/>
    <w:uiPriority w:val="99"/>
    <w:pPr>
      <w:widowControl/>
      <w:spacing w:after="150"/>
      <w:jc w:val="left"/>
    </w:pPr>
    <w:rPr>
      <w:rFonts w:ascii="宋体" w:hAnsi="宋体" w:cs="宋体"/>
      <w:kern w:val="0"/>
      <w:sz w:val="24"/>
      <w:szCs w:val="24"/>
    </w:rPr>
  </w:style>
  <w:style w:type="table" w:customStyle="1" w:styleId="979">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0">
    <w:name w:val="标题 2 Char2"/>
    <w:qFormat/>
    <w:uiPriority w:val="0"/>
    <w:rPr>
      <w:rFonts w:ascii="Arial" w:hAnsi="Arial" w:eastAsia="黑体" w:cs="Times New Roman"/>
      <w:b/>
      <w:bCs/>
      <w:sz w:val="32"/>
      <w:szCs w:val="32"/>
    </w:rPr>
  </w:style>
  <w:style w:type="character" w:customStyle="1" w:styleId="981">
    <w:name w:val="正文缩进 Char1"/>
    <w:qFormat/>
    <w:uiPriority w:val="0"/>
    <w:rPr>
      <w:rFonts w:ascii="Calibri" w:hAnsi="Calibri" w:eastAsia="宋体" w:cs="Times New Roman"/>
      <w:szCs w:val="20"/>
    </w:rPr>
  </w:style>
  <w:style w:type="paragraph" w:customStyle="1" w:styleId="982">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3">
    <w:name w:val="ref"/>
    <w:basedOn w:val="64"/>
    <w:qFormat/>
    <w:uiPriority w:val="0"/>
  </w:style>
  <w:style w:type="character" w:customStyle="1" w:styleId="984">
    <w:name w:val="书籍标题2"/>
    <w:qFormat/>
    <w:uiPriority w:val="33"/>
    <w:rPr>
      <w:b/>
      <w:bCs/>
      <w:smallCaps/>
      <w:spacing w:val="5"/>
    </w:rPr>
  </w:style>
  <w:style w:type="character" w:customStyle="1" w:styleId="985">
    <w:name w:val="明显参考2"/>
    <w:qFormat/>
    <w:uiPriority w:val="0"/>
    <w:rPr>
      <w:b/>
      <w:sz w:val="24"/>
      <w:u w:val="single"/>
    </w:rPr>
  </w:style>
  <w:style w:type="character" w:customStyle="1" w:styleId="986">
    <w:name w:val="不明显参考2"/>
    <w:qFormat/>
    <w:uiPriority w:val="31"/>
    <w:rPr>
      <w:smallCaps/>
      <w:color w:val="C0504D"/>
      <w:u w:val="single"/>
    </w:rPr>
  </w:style>
  <w:style w:type="paragraph" w:customStyle="1" w:styleId="987">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8">
    <w:name w:val="修订2"/>
    <w:semiHidden/>
    <w:qFormat/>
    <w:uiPriority w:val="99"/>
    <w:rPr>
      <w:rFonts w:ascii="Calibri" w:hAnsi="Calibri" w:eastAsia="宋体" w:cs="Times New Roman"/>
      <w:kern w:val="2"/>
      <w:sz w:val="21"/>
      <w:szCs w:val="22"/>
      <w:lang w:val="en-US" w:eastAsia="zh-CN" w:bidi="ar-SA"/>
    </w:rPr>
  </w:style>
  <w:style w:type="character" w:customStyle="1" w:styleId="989">
    <w:name w:val="日期 字符1"/>
    <w:basedOn w:val="64"/>
    <w:semiHidden/>
    <w:qFormat/>
    <w:uiPriority w:val="0"/>
    <w:rPr>
      <w:rFonts w:ascii="Calibri" w:hAnsi="Calibri" w:eastAsia="宋体" w:cs="Times New Roman"/>
    </w:rPr>
  </w:style>
  <w:style w:type="character" w:customStyle="1" w:styleId="990">
    <w:name w:val="正文文本 2 字符1"/>
    <w:basedOn w:val="64"/>
    <w:semiHidden/>
    <w:qFormat/>
    <w:uiPriority w:val="0"/>
    <w:rPr>
      <w:rFonts w:ascii="Calibri" w:hAnsi="Calibri" w:eastAsia="宋体" w:cs="Times New Roman"/>
    </w:rPr>
  </w:style>
  <w:style w:type="character" w:customStyle="1" w:styleId="991">
    <w:name w:val="纯文本 字符1"/>
    <w:basedOn w:val="64"/>
    <w:semiHidden/>
    <w:qFormat/>
    <w:uiPriority w:val="99"/>
    <w:rPr>
      <w:rFonts w:hAnsi="Courier New" w:cs="Courier New" w:asciiTheme="minorEastAsia"/>
    </w:rPr>
  </w:style>
  <w:style w:type="table" w:customStyle="1" w:styleId="992">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3">
    <w:name w:val="页眉 Char1"/>
    <w:basedOn w:val="64"/>
    <w:link w:val="39"/>
    <w:qFormat/>
    <w:uiPriority w:val="0"/>
    <w:rPr>
      <w:rFonts w:ascii="Times New Roman" w:hAnsi="Times New Roman" w:eastAsia="宋体" w:cs="Times New Roman"/>
      <w:sz w:val="18"/>
      <w:szCs w:val="18"/>
    </w:rPr>
  </w:style>
  <w:style w:type="character" w:customStyle="1" w:styleId="994">
    <w:name w:val="页脚 Char1"/>
    <w:basedOn w:val="64"/>
    <w:link w:val="38"/>
    <w:qFormat/>
    <w:uiPriority w:val="99"/>
    <w:rPr>
      <w:rFonts w:ascii="Times New Roman" w:hAnsi="Times New Roman" w:eastAsia="宋体" w:cs="Times New Roman"/>
      <w:sz w:val="18"/>
      <w:szCs w:val="18"/>
    </w:rPr>
  </w:style>
  <w:style w:type="character" w:customStyle="1" w:styleId="995">
    <w:name w:val="标题 2 Char1"/>
    <w:basedOn w:val="64"/>
    <w:link w:val="3"/>
    <w:qFormat/>
    <w:uiPriority w:val="0"/>
    <w:rPr>
      <w:rFonts w:ascii="Arial" w:hAnsi="Arial" w:eastAsia="黑体" w:cs="Times New Roman"/>
      <w:b/>
      <w:bCs/>
      <w:sz w:val="32"/>
      <w:szCs w:val="32"/>
    </w:rPr>
  </w:style>
  <w:style w:type="character" w:customStyle="1" w:styleId="996">
    <w:name w:val="标题 5 Char"/>
    <w:basedOn w:val="64"/>
    <w:link w:val="6"/>
    <w:semiHidden/>
    <w:qFormat/>
    <w:uiPriority w:val="9"/>
    <w:rPr>
      <w:rFonts w:ascii="Calibri" w:hAnsi="Calibri" w:eastAsia="宋体" w:cs="Times New Roman"/>
      <w:b/>
      <w:bCs/>
      <w:sz w:val="28"/>
      <w:szCs w:val="28"/>
    </w:rPr>
  </w:style>
  <w:style w:type="character" w:customStyle="1" w:styleId="997">
    <w:name w:val="标题 6 Char"/>
    <w:basedOn w:val="64"/>
    <w:link w:val="7"/>
    <w:semiHidden/>
    <w:qFormat/>
    <w:uiPriority w:val="9"/>
    <w:rPr>
      <w:rFonts w:ascii="Arial" w:hAnsi="Arial" w:eastAsia="黑体" w:cs="Times New Roman"/>
      <w:b/>
      <w:bCs/>
      <w:sz w:val="24"/>
      <w:szCs w:val="24"/>
    </w:rPr>
  </w:style>
  <w:style w:type="character" w:customStyle="1" w:styleId="998">
    <w:name w:val="标题 7 Char"/>
    <w:basedOn w:val="64"/>
    <w:link w:val="8"/>
    <w:semiHidden/>
    <w:qFormat/>
    <w:uiPriority w:val="9"/>
    <w:rPr>
      <w:rFonts w:ascii="Calibri" w:hAnsi="Calibri" w:eastAsia="宋体" w:cs="Times New Roman"/>
      <w:b/>
      <w:bCs/>
      <w:sz w:val="24"/>
      <w:szCs w:val="24"/>
    </w:rPr>
  </w:style>
  <w:style w:type="character" w:customStyle="1" w:styleId="999">
    <w:name w:val="标题 8 Char"/>
    <w:basedOn w:val="64"/>
    <w:link w:val="9"/>
    <w:semiHidden/>
    <w:qFormat/>
    <w:uiPriority w:val="9"/>
    <w:rPr>
      <w:rFonts w:ascii="Cambria" w:hAnsi="Cambria" w:eastAsia="宋体" w:cs="Times New Roman"/>
      <w:sz w:val="24"/>
      <w:szCs w:val="24"/>
    </w:rPr>
  </w:style>
  <w:style w:type="character" w:customStyle="1" w:styleId="1000">
    <w:name w:val="标题 9 Char"/>
    <w:basedOn w:val="64"/>
    <w:link w:val="10"/>
    <w:semiHidden/>
    <w:qFormat/>
    <w:uiPriority w:val="9"/>
    <w:rPr>
      <w:rFonts w:ascii="Cambria" w:hAnsi="Cambria" w:eastAsia="宋体" w:cs="Times New Roman"/>
      <w:szCs w:val="21"/>
    </w:rPr>
  </w:style>
  <w:style w:type="character" w:customStyle="1" w:styleId="1001">
    <w:name w:val="称呼 Char"/>
    <w:basedOn w:val="64"/>
    <w:link w:val="22"/>
    <w:semiHidden/>
    <w:qFormat/>
    <w:uiPriority w:val="99"/>
    <w:rPr>
      <w:rFonts w:ascii="宋体" w:hAnsi="Times New Roman" w:eastAsia="宋体" w:cs="Times New Roman"/>
      <w:b/>
      <w:sz w:val="28"/>
      <w:szCs w:val="20"/>
    </w:rPr>
  </w:style>
  <w:style w:type="character" w:customStyle="1" w:styleId="1002">
    <w:name w:val="正文文本 3 Char"/>
    <w:basedOn w:val="64"/>
    <w:link w:val="23"/>
    <w:semiHidden/>
    <w:qFormat/>
    <w:uiPriority w:val="99"/>
    <w:rPr>
      <w:rFonts w:ascii="Times New Roman" w:hAnsi="宋体" w:eastAsia="仿宋_GB2312" w:cs="Times New Roman"/>
      <w:b/>
      <w:bCs/>
      <w:sz w:val="24"/>
      <w:szCs w:val="20"/>
    </w:rPr>
  </w:style>
  <w:style w:type="character" w:customStyle="1" w:styleId="1003">
    <w:name w:val="尾注文本 Char"/>
    <w:basedOn w:val="64"/>
    <w:link w:val="36"/>
    <w:semiHidden/>
    <w:qFormat/>
    <w:uiPriority w:val="99"/>
    <w:rPr>
      <w:rFonts w:ascii="宋体" w:hAnsi="Calibri" w:eastAsia="宋体" w:cs="Times New Roman"/>
      <w:snapToGrid w:val="0"/>
      <w:kern w:val="0"/>
      <w:szCs w:val="20"/>
    </w:rPr>
  </w:style>
  <w:style w:type="character" w:customStyle="1" w:styleId="1004">
    <w:name w:val="副标题 Char"/>
    <w:basedOn w:val="64"/>
    <w:link w:val="42"/>
    <w:qFormat/>
    <w:uiPriority w:val="11"/>
    <w:rPr>
      <w:rFonts w:ascii="Times New Roman" w:hAnsi="Times New Roman" w:eastAsia="Times New Roman" w:cs="Times New Roman"/>
      <w:sz w:val="18"/>
      <w:szCs w:val="18"/>
    </w:rPr>
  </w:style>
  <w:style w:type="character" w:customStyle="1" w:styleId="1005">
    <w:name w:val="脚注文本 Char"/>
    <w:basedOn w:val="64"/>
    <w:link w:val="44"/>
    <w:semiHidden/>
    <w:qFormat/>
    <w:uiPriority w:val="99"/>
    <w:rPr>
      <w:rFonts w:ascii="Calibri" w:hAnsi="Calibri" w:eastAsia="宋体" w:cs="Times New Roman"/>
      <w:sz w:val="18"/>
      <w:szCs w:val="18"/>
    </w:rPr>
  </w:style>
  <w:style w:type="character" w:customStyle="1" w:styleId="1006">
    <w:name w:val="正文文本 2 Char"/>
    <w:basedOn w:val="64"/>
    <w:link w:val="50"/>
    <w:semiHidden/>
    <w:qFormat/>
    <w:uiPriority w:val="99"/>
    <w:rPr>
      <w:rFonts w:ascii="宋体" w:hAnsi="宋体" w:eastAsia="宋体" w:cs="Times New Roman"/>
      <w:color w:val="000000"/>
      <w:sz w:val="24"/>
      <w:szCs w:val="24"/>
    </w:rPr>
  </w:style>
  <w:style w:type="character" w:customStyle="1" w:styleId="1007">
    <w:name w:val="HTML 预设格式 Char"/>
    <w:basedOn w:val="64"/>
    <w:link w:val="52"/>
    <w:semiHidden/>
    <w:qFormat/>
    <w:uiPriority w:val="99"/>
    <w:rPr>
      <w:rFonts w:ascii="Courier New" w:hAnsi="Courier New" w:eastAsia="宋体" w:cs="Times New Roman"/>
      <w:sz w:val="20"/>
      <w:szCs w:val="20"/>
    </w:rPr>
  </w:style>
  <w:style w:type="character" w:customStyle="1" w:styleId="1008">
    <w:name w:val="批注主题 Char3"/>
    <w:basedOn w:val="972"/>
    <w:link w:val="56"/>
    <w:qFormat/>
    <w:uiPriority w:val="0"/>
    <w:rPr>
      <w:rFonts w:ascii="Calibri" w:hAnsi="Calibri" w:eastAsia="宋体" w:cs="Times New Roman"/>
      <w:b/>
      <w:bCs/>
      <w:kern w:val="0"/>
      <w:sz w:val="20"/>
      <w:szCs w:val="20"/>
    </w:rPr>
  </w:style>
  <w:style w:type="character" w:customStyle="1" w:styleId="1009">
    <w:name w:val="正文首行缩进 Char"/>
    <w:basedOn w:val="971"/>
    <w:link w:val="57"/>
    <w:semiHidden/>
    <w:qFormat/>
    <w:uiPriority w:val="99"/>
    <w:rPr>
      <w:rFonts w:ascii="Calibri" w:hAnsi="Calibri" w:eastAsia="宋体" w:cs="Times New Roman"/>
      <w:kern w:val="0"/>
      <w:sz w:val="20"/>
      <w:szCs w:val="20"/>
    </w:rPr>
  </w:style>
  <w:style w:type="character" w:customStyle="1" w:styleId="1010">
    <w:name w:val="正文首行缩进 2 Char1"/>
    <w:basedOn w:val="973"/>
    <w:link w:val="58"/>
    <w:semiHidden/>
    <w:qFormat/>
    <w:uiPriority w:val="99"/>
    <w:rPr>
      <w:rFonts w:ascii="Times New Roman" w:hAnsi="Times New Roman" w:eastAsia="宋体" w:cs="Times New Roman"/>
      <w:spacing w:val="0"/>
      <w:kern w:val="0"/>
      <w:sz w:val="20"/>
      <w:szCs w:val="20"/>
    </w:rPr>
  </w:style>
  <w:style w:type="character" w:customStyle="1" w:styleId="1011">
    <w:name w:val="正文文本 Char"/>
    <w:basedOn w:val="64"/>
    <w:link w:val="24"/>
    <w:semiHidden/>
    <w:qFormat/>
    <w:uiPriority w:val="99"/>
    <w:rPr>
      <w:rFonts w:ascii="Calibri" w:hAnsi="Calibri" w:eastAsia="宋体" w:cs="Times New Roman"/>
      <w:sz w:val="28"/>
      <w:szCs w:val="24"/>
    </w:rPr>
  </w:style>
  <w:style w:type="character" w:customStyle="1" w:styleId="1012">
    <w:name w:val="题注 Char"/>
    <w:link w:val="18"/>
    <w:qFormat/>
    <w:uiPriority w:val="35"/>
    <w:rPr>
      <w:rFonts w:ascii="Arial" w:hAnsi="Arial" w:eastAsia="黑体" w:cs="Times New Roman"/>
      <w:sz w:val="20"/>
      <w:szCs w:val="20"/>
    </w:rPr>
  </w:style>
  <w:style w:type="character" w:customStyle="1" w:styleId="1013">
    <w:name w:val="列出段落 Char"/>
    <w:link w:val="183"/>
    <w:qFormat/>
    <w:uiPriority w:val="0"/>
    <w:rPr>
      <w:rFonts w:ascii="Times New Roman" w:hAnsi="Times New Roman" w:eastAsia="宋体" w:cs="Times New Roman"/>
    </w:rPr>
  </w:style>
  <w:style w:type="character" w:customStyle="1" w:styleId="1014">
    <w:name w:val="正文缩进 Char"/>
    <w:link w:val="17"/>
    <w:qFormat/>
    <w:uiPriority w:val="0"/>
    <w:rPr>
      <w:rFonts w:ascii="Calibri" w:hAnsi="Calibri" w:eastAsia="宋体" w:cs="Times New Roman"/>
      <w:szCs w:val="20"/>
    </w:rPr>
  </w:style>
  <w:style w:type="paragraph" w:customStyle="1" w:styleId="1015">
    <w:name w:val="列表段落2"/>
    <w:basedOn w:val="1"/>
    <w:qFormat/>
    <w:uiPriority w:val="0"/>
    <w:pPr>
      <w:ind w:firstLine="420" w:firstLineChars="200"/>
    </w:pPr>
    <w:rPr>
      <w:rFonts w:ascii="Calibri" w:hAnsi="Calibri" w:eastAsia="宋体" w:cs="Times New Roman"/>
    </w:rPr>
  </w:style>
  <w:style w:type="character" w:customStyle="1" w:styleId="1016">
    <w:name w:val="文档结构图 Char"/>
    <w:basedOn w:val="64"/>
    <w:link w:val="20"/>
    <w:qFormat/>
    <w:uiPriority w:val="0"/>
    <w:rPr>
      <w:rFonts w:ascii="宋体" w:hAnsi="Calibri" w:eastAsia="宋体" w:cs="Times New Roman"/>
      <w:sz w:val="18"/>
      <w:szCs w:val="18"/>
    </w:rPr>
  </w:style>
  <w:style w:type="character" w:customStyle="1" w:styleId="1017">
    <w:name w:val="标题 Char"/>
    <w:basedOn w:val="64"/>
    <w:link w:val="55"/>
    <w:qFormat/>
    <w:uiPriority w:val="0"/>
    <w:rPr>
      <w:rFonts w:ascii="Arial" w:hAnsi="Arial" w:eastAsia="宋体" w:cs="Times New Roman"/>
      <w:b/>
      <w:bCs/>
      <w:sz w:val="32"/>
      <w:szCs w:val="32"/>
    </w:rPr>
  </w:style>
  <w:style w:type="character" w:customStyle="1" w:styleId="1018">
    <w:name w:val="纯文本 Char2"/>
    <w:basedOn w:val="64"/>
    <w:qFormat/>
    <w:uiPriority w:val="0"/>
    <w:rPr>
      <w:rFonts w:ascii="宋体" w:hAnsi="Courier New" w:eastAsia="等线" w:cs="Courier New"/>
      <w:kern w:val="2"/>
      <w:sz w:val="21"/>
      <w:szCs w:val="21"/>
    </w:rPr>
  </w:style>
  <w:style w:type="character" w:customStyle="1" w:styleId="1019">
    <w:name w:val="标题 4 Char"/>
    <w:basedOn w:val="64"/>
    <w:link w:val="5"/>
    <w:qFormat/>
    <w:uiPriority w:val="0"/>
    <w:rPr>
      <w:rFonts w:ascii="Arial" w:hAnsi="Arial" w:eastAsia="黑体" w:cs="Times New Roman"/>
      <w:b/>
      <w:bCs/>
      <w:sz w:val="28"/>
      <w:szCs w:val="28"/>
    </w:rPr>
  </w:style>
  <w:style w:type="character" w:customStyle="1" w:styleId="1020">
    <w:name w:val="标题 3 Char"/>
    <w:basedOn w:val="64"/>
    <w:link w:val="4"/>
    <w:qFormat/>
    <w:uiPriority w:val="0"/>
    <w:rPr>
      <w:rFonts w:ascii="Calibri" w:hAnsi="Calibri" w:eastAsia="宋体" w:cs="Times New Roman"/>
      <w:b/>
      <w:bCs/>
      <w:sz w:val="32"/>
      <w:szCs w:val="32"/>
    </w:rPr>
  </w:style>
  <w:style w:type="character" w:customStyle="1" w:styleId="1021">
    <w:name w:val="正文文本缩进 Char"/>
    <w:basedOn w:val="64"/>
    <w:link w:val="25"/>
    <w:qFormat/>
    <w:uiPriority w:val="0"/>
    <w:rPr>
      <w:rFonts w:ascii="宋体" w:hAnsi="Courier New" w:eastAsia="宋体" w:cs="Times New Roman"/>
      <w:spacing w:val="-4"/>
      <w:sz w:val="18"/>
      <w:szCs w:val="20"/>
    </w:rPr>
  </w:style>
  <w:style w:type="character" w:customStyle="1" w:styleId="1022">
    <w:name w:val="正文文本缩进 3 Char1"/>
    <w:basedOn w:val="64"/>
    <w:semiHidden/>
    <w:qFormat/>
    <w:uiPriority w:val="99"/>
    <w:rPr>
      <w:rFonts w:ascii="Tahoma" w:hAnsi="Tahoma" w:eastAsia="等线" w:cs="Times New Roman"/>
      <w:sz w:val="16"/>
      <w:szCs w:val="16"/>
    </w:rPr>
  </w:style>
  <w:style w:type="character" w:customStyle="1" w:styleId="1023">
    <w:name w:val="批注框文本 Char2"/>
    <w:basedOn w:val="64"/>
    <w:qFormat/>
    <w:uiPriority w:val="0"/>
    <w:rPr>
      <w:rFonts w:ascii="等线" w:hAnsi="等线" w:eastAsia="等线" w:cs="Times New Roman"/>
      <w:kern w:val="2"/>
      <w:sz w:val="18"/>
      <w:szCs w:val="18"/>
    </w:rPr>
  </w:style>
  <w:style w:type="character" w:customStyle="1" w:styleId="1024">
    <w:name w:val="批注框文本 Char1"/>
    <w:basedOn w:val="64"/>
    <w:semiHidden/>
    <w:qFormat/>
    <w:uiPriority w:val="99"/>
    <w:rPr>
      <w:rFonts w:ascii="Tahoma" w:hAnsi="Tahoma" w:eastAsia="等线" w:cs="Times New Roman"/>
      <w:sz w:val="18"/>
      <w:szCs w:val="18"/>
    </w:rPr>
  </w:style>
  <w:style w:type="character" w:customStyle="1" w:styleId="1025">
    <w:name w:val="标题 Char1"/>
    <w:basedOn w:val="64"/>
    <w:qFormat/>
    <w:uiPriority w:val="10"/>
    <w:rPr>
      <w:rFonts w:ascii="等线 Light" w:hAnsi="等线 Light" w:eastAsia="宋体" w:cs="Times New Roman"/>
      <w:b/>
      <w:bCs/>
      <w:sz w:val="32"/>
      <w:szCs w:val="32"/>
    </w:rPr>
  </w:style>
  <w:style w:type="character" w:customStyle="1" w:styleId="1026">
    <w:name w:val="纯文本 Char"/>
    <w:basedOn w:val="64"/>
    <w:link w:val="586"/>
    <w:qFormat/>
    <w:uiPriority w:val="0"/>
    <w:rPr>
      <w:rFonts w:ascii="宋体" w:hAnsi="Courier New" w:eastAsia="宋体" w:cs="Times New Roman"/>
      <w:szCs w:val="20"/>
    </w:rPr>
  </w:style>
  <w:style w:type="character" w:customStyle="1" w:styleId="1027">
    <w:name w:val="日期 Char"/>
    <w:link w:val="34"/>
    <w:qFormat/>
    <w:uiPriority w:val="0"/>
    <w:rPr>
      <w:rFonts w:ascii="Calibri" w:hAnsi="Calibri" w:eastAsia="楷体_GB2312" w:cs="Times New Roman"/>
      <w:sz w:val="32"/>
      <w:szCs w:val="20"/>
    </w:rPr>
  </w:style>
  <w:style w:type="character" w:customStyle="1" w:styleId="1028">
    <w:name w:val="批注框文本 Char"/>
    <w:basedOn w:val="64"/>
    <w:link w:val="37"/>
    <w:qFormat/>
    <w:uiPriority w:val="99"/>
    <w:rPr>
      <w:rFonts w:ascii="Calibri" w:hAnsi="Calibri" w:eastAsia="宋体" w:cs="Times New Roman"/>
      <w:sz w:val="18"/>
      <w:szCs w:val="18"/>
    </w:rPr>
  </w:style>
  <w:style w:type="character" w:customStyle="1" w:styleId="1029">
    <w:name w:val="标题 1 Char"/>
    <w:basedOn w:val="64"/>
    <w:link w:val="2"/>
    <w:qFormat/>
    <w:uiPriority w:val="0"/>
    <w:rPr>
      <w:rFonts w:ascii="Calibri" w:hAnsi="Calibri" w:eastAsia="隶书" w:cs="Times New Roman"/>
      <w:b/>
      <w:bCs/>
      <w:kern w:val="0"/>
      <w:sz w:val="36"/>
      <w:szCs w:val="36"/>
    </w:rPr>
  </w:style>
  <w:style w:type="character" w:customStyle="1" w:styleId="1030">
    <w:name w:val="正文文本缩进 3 Char2"/>
    <w:basedOn w:val="64"/>
    <w:qFormat/>
    <w:uiPriority w:val="0"/>
    <w:rPr>
      <w:rFonts w:ascii="等线" w:hAnsi="等线" w:eastAsia="等线" w:cs="Times New Roman"/>
      <w:kern w:val="2"/>
      <w:sz w:val="16"/>
      <w:szCs w:val="16"/>
    </w:rPr>
  </w:style>
  <w:style w:type="character" w:customStyle="1" w:styleId="1031">
    <w:name w:val="批注主题 Char1"/>
    <w:basedOn w:val="1032"/>
    <w:semiHidden/>
    <w:qFormat/>
    <w:uiPriority w:val="99"/>
    <w:rPr>
      <w:rFonts w:ascii="Tahoma" w:hAnsi="Tahoma" w:eastAsia="等线" w:cs="Times New Roman"/>
      <w:b/>
      <w:bCs/>
      <w:sz w:val="22"/>
      <w:szCs w:val="22"/>
    </w:rPr>
  </w:style>
  <w:style w:type="character" w:customStyle="1" w:styleId="1032">
    <w:name w:val="批注文字 Char1"/>
    <w:basedOn w:val="64"/>
    <w:qFormat/>
    <w:uiPriority w:val="99"/>
    <w:rPr>
      <w:rFonts w:ascii="Tahoma" w:hAnsi="Tahoma" w:eastAsia="等线" w:cs="Times New Roman"/>
      <w:sz w:val="22"/>
      <w:szCs w:val="22"/>
    </w:rPr>
  </w:style>
  <w:style w:type="character" w:customStyle="1" w:styleId="1033">
    <w:name w:val="日期 Char1"/>
    <w:basedOn w:val="64"/>
    <w:semiHidden/>
    <w:qFormat/>
    <w:uiPriority w:val="99"/>
    <w:rPr>
      <w:rFonts w:ascii="Tahoma" w:hAnsi="Tahoma" w:eastAsia="等线" w:cs="Times New Roman"/>
      <w:sz w:val="22"/>
      <w:szCs w:val="22"/>
    </w:rPr>
  </w:style>
  <w:style w:type="character" w:customStyle="1" w:styleId="1034">
    <w:name w:val="正文文本缩进 3 Char3"/>
    <w:basedOn w:val="64"/>
    <w:semiHidden/>
    <w:qFormat/>
    <w:uiPriority w:val="99"/>
    <w:rPr>
      <w:rFonts w:ascii="Times New Roman" w:hAnsi="Times New Roman" w:eastAsia="宋体" w:cs="Times New Roman"/>
      <w:sz w:val="16"/>
      <w:szCs w:val="16"/>
    </w:rPr>
  </w:style>
  <w:style w:type="character" w:customStyle="1" w:styleId="1035">
    <w:name w:val="批注文字 Char2"/>
    <w:basedOn w:val="64"/>
    <w:qFormat/>
    <w:uiPriority w:val="0"/>
    <w:rPr>
      <w:rFonts w:ascii="等线" w:hAnsi="等线" w:eastAsia="等线" w:cs="Times New Roman"/>
      <w:kern w:val="2"/>
      <w:sz w:val="21"/>
      <w:szCs w:val="21"/>
    </w:rPr>
  </w:style>
  <w:style w:type="character" w:customStyle="1" w:styleId="1036">
    <w:name w:val="正文文本缩进 Char2"/>
    <w:basedOn w:val="64"/>
    <w:semiHidden/>
    <w:qFormat/>
    <w:uiPriority w:val="99"/>
    <w:rPr>
      <w:rFonts w:ascii="Times New Roman" w:hAnsi="Times New Roman" w:eastAsia="宋体" w:cs="Times New Roman"/>
      <w:sz w:val="24"/>
    </w:rPr>
  </w:style>
  <w:style w:type="character" w:customStyle="1" w:styleId="1037">
    <w:name w:val="正文文本缩进 3 Char"/>
    <w:link w:val="46"/>
    <w:qFormat/>
    <w:uiPriority w:val="0"/>
    <w:rPr>
      <w:rFonts w:ascii="仿宋_GB2312" w:hAnsi="宋体" w:eastAsia="仿宋_GB2312" w:cs="Times New Roman"/>
      <w:color w:val="000000"/>
      <w:sz w:val="24"/>
      <w:szCs w:val="24"/>
    </w:rPr>
  </w:style>
  <w:style w:type="character" w:customStyle="1" w:styleId="1038">
    <w:name w:val="日期 Char2"/>
    <w:basedOn w:val="64"/>
    <w:qFormat/>
    <w:uiPriority w:val="0"/>
    <w:rPr>
      <w:rFonts w:ascii="等线" w:hAnsi="等线" w:eastAsia="等线" w:cs="Times New Roman"/>
      <w:kern w:val="2"/>
      <w:sz w:val="21"/>
      <w:szCs w:val="21"/>
    </w:rPr>
  </w:style>
  <w:style w:type="character" w:customStyle="1" w:styleId="1039">
    <w:name w:val="段 Char"/>
    <w:link w:val="334"/>
    <w:qFormat/>
    <w:uiPriority w:val="0"/>
    <w:rPr>
      <w:rFonts w:ascii="宋体" w:hAnsi="Times New Roman" w:eastAsia="宋体" w:cs="Times New Roman"/>
    </w:rPr>
  </w:style>
  <w:style w:type="character" w:customStyle="1" w:styleId="1040">
    <w:name w:val="批注主题 Char2"/>
    <w:basedOn w:val="1035"/>
    <w:qFormat/>
    <w:uiPriority w:val="0"/>
    <w:rPr>
      <w:rFonts w:ascii="等线" w:hAnsi="等线" w:eastAsia="等线" w:cs="Times New Roman"/>
      <w:b/>
      <w:bCs/>
      <w:kern w:val="2"/>
      <w:sz w:val="21"/>
      <w:szCs w:val="21"/>
    </w:rPr>
  </w:style>
  <w:style w:type="character" w:customStyle="1" w:styleId="1041">
    <w:name w:val="明显强调1"/>
    <w:basedOn w:val="64"/>
    <w:qFormat/>
    <w:uiPriority w:val="21"/>
    <w:rPr>
      <w:rFonts w:ascii="等线" w:hAnsi="等线" w:eastAsia="等线" w:cs="Times New Roman"/>
      <w:b/>
      <w:bCs/>
      <w:i/>
      <w:iCs/>
      <w:color w:val="4F81BD"/>
    </w:rPr>
  </w:style>
  <w:style w:type="character" w:customStyle="1" w:styleId="1042">
    <w:name w:val="正文文本缩进 2 Char"/>
    <w:link w:val="35"/>
    <w:qFormat/>
    <w:uiPriority w:val="0"/>
    <w:rPr>
      <w:rFonts w:ascii="仿宋_GB2312" w:hAnsi="宋体" w:eastAsia="宋体" w:cs="Times New Roman"/>
      <w:b/>
      <w:bCs/>
      <w:color w:val="000000"/>
      <w:sz w:val="24"/>
      <w:szCs w:val="24"/>
    </w:rPr>
  </w:style>
  <w:style w:type="character" w:customStyle="1" w:styleId="1043">
    <w:name w:val="正文文本缩进 2 Char1"/>
    <w:basedOn w:val="64"/>
    <w:semiHidden/>
    <w:qFormat/>
    <w:uiPriority w:val="99"/>
    <w:rPr>
      <w:rFonts w:ascii="Tahoma" w:hAnsi="Tahoma" w:eastAsia="等线" w:cs="Times New Roman"/>
      <w:sz w:val="22"/>
      <w:szCs w:val="22"/>
    </w:rPr>
  </w:style>
  <w:style w:type="character" w:customStyle="1" w:styleId="1044">
    <w:name w:val="文档结构图 Char2"/>
    <w:basedOn w:val="64"/>
    <w:semiHidden/>
    <w:qFormat/>
    <w:uiPriority w:val="99"/>
    <w:rPr>
      <w:rFonts w:ascii="宋体" w:hAnsi="Times New Roman" w:eastAsia="宋体" w:cs="Times New Roman"/>
      <w:sz w:val="18"/>
      <w:szCs w:val="18"/>
    </w:rPr>
  </w:style>
  <w:style w:type="character" w:customStyle="1" w:styleId="1045">
    <w:name w:val="纯文本 Char3"/>
    <w:basedOn w:val="64"/>
    <w:semiHidden/>
    <w:qFormat/>
    <w:uiPriority w:val="99"/>
    <w:rPr>
      <w:rFonts w:ascii="宋体" w:hAnsi="Courier New" w:eastAsia="宋体" w:cs="Courier New"/>
      <w:szCs w:val="21"/>
    </w:rPr>
  </w:style>
  <w:style w:type="character" w:customStyle="1" w:styleId="1046">
    <w:name w:val="日期 Char3"/>
    <w:basedOn w:val="64"/>
    <w:semiHidden/>
    <w:qFormat/>
    <w:uiPriority w:val="99"/>
    <w:rPr>
      <w:rFonts w:ascii="Times New Roman" w:hAnsi="Times New Roman" w:eastAsia="宋体" w:cs="Times New Roman"/>
      <w:sz w:val="24"/>
    </w:rPr>
  </w:style>
  <w:style w:type="character" w:customStyle="1" w:styleId="1047">
    <w:name w:val="正文文本缩进 2 Char2"/>
    <w:basedOn w:val="64"/>
    <w:semiHidden/>
    <w:qFormat/>
    <w:uiPriority w:val="99"/>
    <w:rPr>
      <w:rFonts w:ascii="Times New Roman" w:hAnsi="Times New Roman" w:eastAsia="宋体" w:cs="Times New Roman"/>
      <w:sz w:val="24"/>
    </w:rPr>
  </w:style>
  <w:style w:type="paragraph" w:customStyle="1" w:styleId="1048">
    <w:name w:val="四级条标题"/>
    <w:basedOn w:val="1049"/>
    <w:next w:val="334"/>
    <w:qFormat/>
    <w:uiPriority w:val="0"/>
    <w:pPr>
      <w:tabs>
        <w:tab w:val="left" w:pos="360"/>
        <w:tab w:val="left" w:pos="1260"/>
        <w:tab w:val="left" w:pos="1680"/>
        <w:tab w:val="left" w:pos="2100"/>
        <w:tab w:val="left" w:pos="2520"/>
      </w:tabs>
      <w:outlineLvl w:val="5"/>
    </w:pPr>
  </w:style>
  <w:style w:type="paragraph" w:customStyle="1" w:styleId="1049">
    <w:name w:val="三级条标题"/>
    <w:basedOn w:val="1050"/>
    <w:next w:val="334"/>
    <w:qFormat/>
    <w:uiPriority w:val="0"/>
    <w:pPr>
      <w:tabs>
        <w:tab w:val="left" w:pos="360"/>
        <w:tab w:val="left" w:pos="1260"/>
        <w:tab w:val="left" w:pos="1680"/>
        <w:tab w:val="left" w:pos="2100"/>
      </w:tabs>
      <w:outlineLvl w:val="4"/>
    </w:pPr>
  </w:style>
  <w:style w:type="paragraph" w:customStyle="1" w:styleId="1050">
    <w:name w:val="二级条标题"/>
    <w:basedOn w:val="1051"/>
    <w:next w:val="334"/>
    <w:qFormat/>
    <w:uiPriority w:val="0"/>
    <w:pPr>
      <w:tabs>
        <w:tab w:val="left" w:pos="360"/>
        <w:tab w:val="left" w:pos="1260"/>
        <w:tab w:val="left" w:pos="1680"/>
      </w:tabs>
      <w:spacing w:beforeLines="0" w:afterLines="0"/>
      <w:outlineLvl w:val="3"/>
    </w:pPr>
  </w:style>
  <w:style w:type="paragraph" w:customStyle="1" w:styleId="1051">
    <w:name w:val="一级条标题"/>
    <w:next w:val="334"/>
    <w:qFormat/>
    <w:uiPriority w:val="0"/>
    <w:pPr>
      <w:tabs>
        <w:tab w:val="left" w:pos="360"/>
        <w:tab w:val="left" w:pos="1260"/>
      </w:tabs>
      <w:spacing w:beforeLines="50" w:afterLines="50"/>
      <w:outlineLvl w:val="2"/>
    </w:pPr>
    <w:rPr>
      <w:rFonts w:ascii="黑体" w:hAnsi="Times New Roman" w:eastAsia="黑体" w:cs="Times New Roman"/>
      <w:sz w:val="21"/>
      <w:szCs w:val="21"/>
      <w:lang w:val="en-US" w:eastAsia="zh-CN" w:bidi="ar-SA"/>
    </w:rPr>
  </w:style>
  <w:style w:type="paragraph" w:customStyle="1" w:styleId="1052">
    <w:name w:val="二级无"/>
    <w:basedOn w:val="1050"/>
    <w:qFormat/>
    <w:uiPriority w:val="0"/>
    <w:rPr>
      <w:rFonts w:ascii="宋体" w:eastAsia="宋体"/>
    </w:rPr>
  </w:style>
  <w:style w:type="paragraph" w:customStyle="1" w:styleId="1053">
    <w:name w:val="五级条标题"/>
    <w:basedOn w:val="1048"/>
    <w:next w:val="334"/>
    <w:qFormat/>
    <w:uiPriority w:val="0"/>
    <w:pPr>
      <w:tabs>
        <w:tab w:val="left" w:pos="2940"/>
      </w:tabs>
      <w:outlineLvl w:val="6"/>
    </w:pPr>
  </w:style>
  <w:style w:type="paragraph" w:customStyle="1" w:styleId="1054">
    <w:name w:val="样式 正文（首行缩进两字） + 首行缩进:  2 字符"/>
    <w:basedOn w:val="17"/>
    <w:qFormat/>
    <w:uiPriority w:val="0"/>
    <w:pPr>
      <w:spacing w:line="460" w:lineRule="exact"/>
      <w:ind w:firstLine="536" w:firstLineChars="200"/>
    </w:pPr>
    <w:rPr>
      <w:rFonts w:eastAsia="宋体" w:cs="宋体"/>
      <w:spacing w:val="6"/>
      <w:kern w:val="24"/>
      <w:sz w:val="24"/>
      <w:szCs w:val="24"/>
    </w:rPr>
  </w:style>
  <w:style w:type="paragraph" w:customStyle="1" w:styleId="1055">
    <w:name w:val="其他发布日期"/>
    <w:basedOn w:val="1"/>
    <w:qFormat/>
    <w:uiPriority w:val="0"/>
    <w:pPr>
      <w:widowControl/>
      <w:tabs>
        <w:tab w:val="left" w:pos="315"/>
        <w:tab w:val="left" w:pos="420"/>
      </w:tabs>
      <w:ind w:left="420"/>
      <w:jc w:val="left"/>
    </w:pPr>
    <w:rPr>
      <w:rFonts w:ascii="Times New Roman" w:hAnsi="Times New Roman" w:eastAsia="黑体" w:cs="Times New Roman"/>
      <w:kern w:val="0"/>
      <w:sz w:val="28"/>
      <w:szCs w:val="20"/>
    </w:rPr>
  </w:style>
  <w:style w:type="paragraph" w:customStyle="1" w:styleId="1056">
    <w:name w:val="目次、标准名称标题"/>
    <w:basedOn w:val="1"/>
    <w:next w:val="334"/>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057">
    <w:name w:val="样式 样式 标题 2 + 宋体 行距: 最小值 20 磅 + 段前: 0.5 行 段后: 0.5 行"/>
    <w:basedOn w:val="1"/>
    <w:qFormat/>
    <w:uiPriority w:val="0"/>
    <w:pPr>
      <w:keepNext/>
      <w:keepLines/>
      <w:tabs>
        <w:tab w:val="left" w:pos="567"/>
      </w:tabs>
      <w:spacing w:before="120" w:after="120"/>
      <w:jc w:val="center"/>
      <w:outlineLvl w:val="1"/>
    </w:pPr>
    <w:rPr>
      <w:rFonts w:ascii="Times New Roman" w:hAnsi="Times New Roman" w:eastAsia="仿宋_GB2312" w:cs="Times New Roman"/>
      <w:b/>
      <w:w w:val="80"/>
      <w:sz w:val="28"/>
      <w:szCs w:val="32"/>
    </w:rPr>
  </w:style>
  <w:style w:type="paragraph" w:customStyle="1" w:styleId="1058">
    <w:name w:val="正文表标题"/>
    <w:next w:val="334"/>
    <w:qFormat/>
    <w:uiPriority w:val="0"/>
    <w:pPr>
      <w:tabs>
        <w:tab w:val="left" w:pos="360"/>
        <w:tab w:val="left" w:pos="846"/>
      </w:tabs>
      <w:spacing w:beforeLines="50" w:afterLines="50"/>
      <w:ind w:left="846" w:hanging="420"/>
      <w:jc w:val="center"/>
    </w:pPr>
    <w:rPr>
      <w:rFonts w:ascii="黑体" w:hAnsi="Times New Roman" w:eastAsia="黑体" w:cs="Times New Roman"/>
      <w:sz w:val="21"/>
      <w:lang w:val="en-US" w:eastAsia="zh-CN" w:bidi="ar-SA"/>
    </w:rPr>
  </w:style>
  <w:style w:type="paragraph" w:customStyle="1" w:styleId="1059">
    <w:name w:val="一级无"/>
    <w:basedOn w:val="1051"/>
    <w:qFormat/>
    <w:uiPriority w:val="0"/>
    <w:pPr>
      <w:spacing w:beforeLines="0" w:afterLines="0"/>
    </w:pPr>
    <w:rPr>
      <w:rFonts w:ascii="宋体" w:eastAsia="宋体"/>
    </w:rPr>
  </w:style>
  <w:style w:type="paragraph" w:customStyle="1" w:styleId="1060">
    <w:name w:val="章标题"/>
    <w:next w:val="334"/>
    <w:qFormat/>
    <w:uiPriority w:val="0"/>
    <w:pPr>
      <w:tabs>
        <w:tab w:val="left" w:pos="360"/>
        <w:tab w:val="left" w:pos="780"/>
      </w:tabs>
      <w:spacing w:beforeLines="100" w:afterLines="100"/>
      <w:jc w:val="both"/>
      <w:outlineLvl w:val="1"/>
    </w:pPr>
    <w:rPr>
      <w:rFonts w:ascii="黑体" w:hAnsi="Times New Roman" w:eastAsia="黑体" w:cs="Times New Roman"/>
      <w:sz w:val="21"/>
      <w:lang w:val="en-US" w:eastAsia="zh-CN" w:bidi="ar-SA"/>
    </w:rPr>
  </w:style>
  <w:style w:type="paragraph" w:customStyle="1" w:styleId="1061">
    <w:name w:val="正文图标题"/>
    <w:next w:val="334"/>
    <w:qFormat/>
    <w:uiPriority w:val="0"/>
    <w:pPr>
      <w:tabs>
        <w:tab w:val="left" w:pos="315"/>
        <w:tab w:val="left" w:pos="360"/>
      </w:tabs>
      <w:spacing w:beforeLines="50" w:afterLines="50"/>
      <w:ind w:hanging="315"/>
      <w:jc w:val="center"/>
    </w:pPr>
    <w:rPr>
      <w:rFonts w:ascii="黑体" w:hAnsi="Times New Roman" w:eastAsia="黑体" w:cs="Times New Roman"/>
      <w:sz w:val="21"/>
      <w:lang w:val="en-US" w:eastAsia="zh-CN" w:bidi="ar-SA"/>
    </w:rPr>
  </w:style>
  <w:style w:type="paragraph" w:customStyle="1" w:styleId="1062">
    <w:name w:val="_Style 14"/>
    <w:next w:val="1"/>
    <w:qFormat/>
    <w:uiPriority w:val="0"/>
    <w:pPr>
      <w:adjustRightInd w:val="0"/>
      <w:snapToGrid w:val="0"/>
    </w:pPr>
    <w:rPr>
      <w:rFonts w:ascii="Tahoma" w:hAnsi="Tahoma" w:eastAsia="微软雅黑" w:cs="Times New Roman"/>
      <w:sz w:val="22"/>
      <w:szCs w:val="22"/>
      <w:lang w:val="en-US" w:eastAsia="zh-CN" w:bidi="ar-SA"/>
    </w:rPr>
  </w:style>
  <w:style w:type="paragraph" w:customStyle="1" w:styleId="1063">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64">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065">
    <w:name w:val="修订5"/>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112</Pages>
  <Words>3850</Words>
  <Characters>4448</Characters>
  <Lines>1280</Lines>
  <Paragraphs>1000</Paragraphs>
  <TotalTime>2</TotalTime>
  <ScaleCrop>false</ScaleCrop>
  <LinksUpToDate>false</LinksUpToDate>
  <CharactersWithSpaces>4523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WPS_1563246556</cp:lastModifiedBy>
  <cp:lastPrinted>2021-01-25T02:12:00Z</cp:lastPrinted>
  <dcterms:modified xsi:type="dcterms:W3CDTF">2025-06-25T08:15:43Z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eyJoZGlkIjoiYzgyOGZjMWMzOWYxZTYxYTAwMWY1N2QwMjFkNjUyNGUiLCJ1c2VySWQiOiI2MTE2MDM3OTEifQ==</vt:lpwstr>
  </property>
  <property fmtid="{D5CDD505-2E9C-101B-9397-08002B2CF9AE}" pid="3" name="KSOProductBuildVer">
    <vt:lpwstr>2052-12.1.0.21541</vt:lpwstr>
  </property>
  <property fmtid="{D5CDD505-2E9C-101B-9397-08002B2CF9AE}" pid="4" name="ICV">
    <vt:lpwstr>452179FAC415465793AB23B5A1907CDE_12</vt:lpwstr>
  </property>
</Properties>
</file>