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44"/>
          <w:szCs w:val="44"/>
        </w:rPr>
      </w:pPr>
      <w:bookmarkStart w:id="0" w:name="PO_15528_PM002_1"/>
      <w:r>
        <w:rPr>
          <w:rFonts w:hint="eastAsia" w:ascii="宋体" w:hAnsi="宋体"/>
          <w:b/>
          <w:bCs/>
          <w:sz w:val="44"/>
          <w:szCs w:val="44"/>
        </w:rPr>
        <w:t>国家税务总局浙江省税务局金三社保推广上线及本地化改造项目</w:t>
      </w:r>
      <w:bookmarkEnd w:id="0"/>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bookmarkStart w:id="1" w:name="PO_15528_PM001"/>
      <w:r>
        <w:rPr>
          <w:rFonts w:hint="eastAsia" w:ascii="宋体" w:hAnsi="宋体"/>
          <w:sz w:val="36"/>
          <w:szCs w:val="36"/>
        </w:rPr>
        <w:t>ZZCG2022X-GK-101</w:t>
      </w:r>
      <w:bookmarkEnd w:id="1"/>
    </w:p>
    <w:p>
      <w:pPr>
        <w:pStyle w:val="2"/>
        <w:spacing w:before="120" w:after="120"/>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
        <w:spacing w:before="120" w:after="120" w:line="360" w:lineRule="auto"/>
        <w:jc w:val="center"/>
        <w:rPr>
          <w:rFonts w:hAnsi="宋体" w:eastAsia="仿宋_GB2312"/>
          <w:sz w:val="32"/>
          <w:szCs w:val="32"/>
        </w:rPr>
      </w:pPr>
    </w:p>
    <w:p>
      <w:pPr>
        <w:pStyle w:val="42"/>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70"/>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0"/>
          <w:rFonts w:hint="eastAsia" w:ascii="仿宋" w:hAnsi="仿宋"/>
          <w:b/>
          <w:color w:val="auto"/>
        </w:rPr>
        <w:t>第二章投标人须知</w:t>
      </w:r>
      <w:r>
        <w:tab/>
      </w:r>
      <w:r>
        <w:t>6</w:t>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0"/>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0"/>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70"/>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70"/>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ZZCG2022X-GK-101</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1"/>
        <w:tblW w:w="52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595"/>
        <w:gridCol w:w="915"/>
        <w:gridCol w:w="1079"/>
        <w:gridCol w:w="138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145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5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60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77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预算金额(万元)</w:t>
            </w:r>
          </w:p>
        </w:tc>
        <w:tc>
          <w:tcPr>
            <w:tcW w:w="118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5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145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社保标准版管理子系统推广上线及本地化改造项目</w:t>
            </w:r>
          </w:p>
        </w:tc>
        <w:tc>
          <w:tcPr>
            <w:tcW w:w="5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60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批</w:t>
            </w:r>
          </w:p>
        </w:tc>
        <w:tc>
          <w:tcPr>
            <w:tcW w:w="77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580</w:t>
            </w:r>
          </w:p>
        </w:tc>
        <w:tc>
          <w:tcPr>
            <w:tcW w:w="118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5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2</w:t>
            </w:r>
          </w:p>
        </w:tc>
        <w:tc>
          <w:tcPr>
            <w:tcW w:w="145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社保标准版征收子系统推广上线及本地化改造项目</w:t>
            </w:r>
          </w:p>
        </w:tc>
        <w:tc>
          <w:tcPr>
            <w:tcW w:w="514"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60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批</w:t>
            </w:r>
          </w:p>
        </w:tc>
        <w:tc>
          <w:tcPr>
            <w:tcW w:w="77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260</w:t>
            </w:r>
          </w:p>
        </w:tc>
        <w:tc>
          <w:tcPr>
            <w:tcW w:w="118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详见招标文件</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投标人的特定条件：无</w:t>
      </w:r>
    </w:p>
    <w:p>
      <w:pPr>
        <w:snapToGrid w:val="0"/>
        <w:spacing w:line="500" w:lineRule="exact"/>
        <w:ind w:firstLine="602" w:firstLineChars="200"/>
        <w:rPr>
          <w:rFonts w:ascii="仿宋" w:hAnsi="仿宋" w:eastAsia="仿宋"/>
          <w:sz w:val="28"/>
          <w:szCs w:val="28"/>
        </w:rPr>
      </w:pPr>
      <w:bookmarkStart w:id="5" w:name="PO_15528_PM007"/>
      <w:r>
        <w:rPr>
          <w:rFonts w:hint="eastAsia" w:ascii="仿宋" w:hAnsi="仿宋" w:eastAsia="仿宋" w:cs="Arial"/>
          <w:b/>
          <w:bCs/>
          <w:sz w:val="30"/>
          <w:szCs w:val="30"/>
        </w:rPr>
        <w:t>标项1:不允许联合体投标;标项2:不允许联合体投标</w:t>
      </w:r>
      <w:bookmarkEnd w:id="5"/>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2022-02-18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2022-02-18 09:00:00</w:t>
      </w:r>
      <w:bookmarkEnd w:id="7"/>
      <w:r>
        <w:rPr>
          <w:rFonts w:hint="eastAsia" w:hAnsi="宋体"/>
          <w:b/>
          <w:kern w:val="0"/>
          <w:sz w:val="28"/>
          <w:szCs w:val="28"/>
        </w:rPr>
        <w:t>。</w:t>
      </w:r>
    </w:p>
    <w:p>
      <w:pPr>
        <w:pStyle w:val="3"/>
        <w:adjustRightInd w:val="0"/>
        <w:snapToGrid w:val="0"/>
        <w:spacing w:beforeLines="0" w:afterLines="0" w:line="500" w:lineRule="exact"/>
        <w:ind w:firstLine="562" w:firstLineChars="201"/>
        <w:jc w:val="both"/>
        <w:rPr>
          <w:rFonts w:hint="eastAsia" w:hAnsi="宋体"/>
          <w:kern w:val="0"/>
          <w:sz w:val="28"/>
          <w:szCs w:val="28"/>
          <w:lang w:val="en-US" w:eastAsia="zh-CN"/>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adjustRightInd w:val="0"/>
        <w:snapToGrid w:val="0"/>
        <w:spacing w:beforeLines="0" w:afterLines="0" w:line="500" w:lineRule="exact"/>
        <w:ind w:firstLine="562" w:firstLineChars="201"/>
        <w:jc w:val="both"/>
        <w:rPr>
          <w:rFonts w:hint="eastAsia" w:hAnsi="宋体"/>
          <w:kern w:val="0"/>
          <w:sz w:val="28"/>
          <w:szCs w:val="28"/>
          <w:highlight w:val="yellow"/>
          <w:lang w:val="en-US" w:eastAsia="zh-CN"/>
        </w:rPr>
      </w:pPr>
      <w:r>
        <w:rPr>
          <w:rFonts w:hint="eastAsia" w:hAnsi="宋体"/>
          <w:kern w:val="0"/>
          <w:sz w:val="28"/>
          <w:szCs w:val="28"/>
          <w:highlight w:val="yellow"/>
          <w:lang w:val="en-US" w:eastAsia="zh-CN"/>
        </w:rPr>
        <w:t>本项目需提供演示文件，采用屏幕录像形式，以U盘或DVD光盘形式存储，并在投标截止时间前，通过邮寄方式，送达指定地点，逾期送达或未密封将被拒收。</w:t>
      </w:r>
    </w:p>
    <w:p>
      <w:pPr>
        <w:pStyle w:val="3"/>
        <w:adjustRightInd w:val="0"/>
        <w:snapToGrid w:val="0"/>
        <w:spacing w:beforeLines="0" w:afterLines="0" w:line="500" w:lineRule="exact"/>
        <w:ind w:firstLine="562" w:firstLineChars="201"/>
        <w:jc w:val="both"/>
        <w:rPr>
          <w:rFonts w:hint="eastAsia"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
        <w:adjustRightInd w:val="0"/>
        <w:snapToGrid w:val="0"/>
        <w:spacing w:beforeLines="0" w:afterLines="0" w:line="500" w:lineRule="exact"/>
        <w:ind w:firstLine="562" w:firstLineChars="201"/>
        <w:jc w:val="both"/>
        <w:rPr>
          <w:rFonts w:hAnsi="宋体"/>
          <w:kern w:val="0"/>
          <w:sz w:val="28"/>
          <w:szCs w:val="28"/>
        </w:rPr>
      </w:pPr>
      <w:r>
        <w:rPr>
          <w:rFonts w:hint="eastAsia" w:hAnsi="宋体"/>
          <w:kern w:val="0"/>
          <w:sz w:val="28"/>
          <w:szCs w:val="28"/>
          <w:lang w:val="en-US" w:eastAsia="zh-CN"/>
        </w:rPr>
        <w:t>演示文件和</w:t>
      </w:r>
      <w:r>
        <w:rPr>
          <w:rFonts w:hint="eastAsia" w:hAnsi="宋体"/>
          <w:kern w:val="0"/>
          <w:sz w:val="28"/>
          <w:szCs w:val="28"/>
        </w:rPr>
        <w:t>投标文件收件填写人：陶老师，联系方式：0571-88901836，收件地址：浙江省杭州市下城区环城北路305号耀江发展中心三楼浙江省政府采购中心302会议室。（疫情期间仅接收邮寄方式递交的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2022-02-18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杭州市环城北路305号耀江发展中心3A（四楼）05评标室</w:t>
      </w:r>
      <w:bookmarkEnd w:id="9"/>
      <w:r>
        <w:rPr>
          <w:rFonts w:hint="eastAsia" w:ascii="宋体" w:hAnsi="宋体" w:cs="Arial"/>
          <w:b/>
          <w:sz w:val="28"/>
          <w:szCs w:val="28"/>
        </w:rPr>
        <w:t>开标。</w:t>
      </w:r>
    </w:p>
    <w:p>
      <w:pPr>
        <w:snapToGrid w:val="0"/>
        <w:spacing w:line="500" w:lineRule="exact"/>
        <w:ind w:firstLine="562" w:firstLineChars="200"/>
      </w:pPr>
      <w:r>
        <w:rPr>
          <w:rFonts w:hint="eastAsia" w:ascii="宋体" w:hAnsi="宋体" w:cs="Arial"/>
          <w:b/>
          <w:sz w:val="28"/>
          <w:szCs w:val="28"/>
        </w:rPr>
        <w:t>本项目实行“不见面开评标”，投标人无须派人员到现场出席开标会议。</w:t>
      </w:r>
      <w:bookmarkStart w:id="68" w:name="_GoBack"/>
      <w:bookmarkEnd w:id="68"/>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
              <w:adjustRightInd w:val="0"/>
              <w:snapToGrid w:val="0"/>
              <w:spacing w:beforeLines="0" w:afterLines="0" w:line="500" w:lineRule="exact"/>
              <w:ind w:firstLine="562" w:firstLineChars="201"/>
              <w:rPr>
                <w:rFonts w:hAnsi="宋体"/>
                <w:kern w:val="0"/>
                <w:sz w:val="28"/>
                <w:szCs w:val="28"/>
              </w:rPr>
            </w:pPr>
          </w:p>
        </w:tc>
        <w:tc>
          <w:tcPr>
            <w:tcW w:w="3444" w:type="dxa"/>
          </w:tcPr>
          <w:p>
            <w:pPr>
              <w:pStyle w:val="3"/>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2"/>
            <w:r>
              <w:rPr>
                <w:rFonts w:hint="eastAsia" w:ascii="仿宋" w:hAnsi="仿宋" w:eastAsia="仿宋" w:cs="仿宋"/>
                <w:sz w:val="28"/>
                <w:szCs w:val="28"/>
              </w:rPr>
              <w:t>柯泓</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1" w:name="PO_15528_PM033"/>
            <w:r>
              <w:rPr>
                <w:rFonts w:hint="eastAsia" w:ascii="仿宋" w:hAnsi="仿宋" w:eastAsia="仿宋" w:cs="仿宋"/>
                <w:sz w:val="28"/>
                <w:szCs w:val="28"/>
              </w:rPr>
              <w:t>0571-88901833</w:t>
            </w:r>
            <w:bookmarkEnd w:id="11"/>
          </w:p>
        </w:tc>
        <w:tc>
          <w:tcPr>
            <w:tcW w:w="2066" w:type="dxa"/>
            <w:vMerge w:val="restart"/>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2" w:name="PO_409_PM001385"/>
            <w:r>
              <w:rPr>
                <w:rFonts w:hint="eastAsia" w:ascii="仿宋" w:hAnsi="仿宋" w:eastAsia="仿宋" w:cs="仿宋"/>
                <w:sz w:val="28"/>
                <w:szCs w:val="28"/>
              </w:rPr>
              <w:t xml:space="preserve"> </w:t>
            </w:r>
            <w:bookmarkEnd w:id="12"/>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bookmarkStart w:id="13" w:name="PO_TDCUS_ITEM_PRC_TABLE_1_1"/>
            <w:r>
              <w:rPr>
                <w:rFonts w:hint="eastAsia" w:ascii="仿宋_GB2312" w:hAnsi="仿宋" w:eastAsia="仿宋_GB2312"/>
                <w:sz w:val="30"/>
                <w:szCs w:val="30"/>
              </w:rPr>
              <w:t>采购单位</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国家税务总局浙江省税务局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浙江省杭州市体环二路1号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何小奇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0571-85270956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2500" w:type="pct"/>
          </w:tcPr>
          <w:p>
            <w:pPr>
              <w:snapToGrid w:val="0"/>
              <w:spacing w:line="440" w:lineRule="exact"/>
              <w:jc w:val="center"/>
              <w:rPr>
                <w:rFonts w:ascii="仿宋_GB2312" w:hAnsi="仿宋" w:eastAsia="仿宋_GB2312"/>
                <w:sz w:val="30"/>
                <w:szCs w:val="30"/>
              </w:rPr>
            </w:pPr>
          </w:p>
        </w:tc>
      </w:tr>
      <w:bookmarkEnd w:id="13"/>
    </w:tbl>
    <w:p>
      <w:pPr>
        <w:snapToGrid w:val="0"/>
        <w:spacing w:line="360" w:lineRule="auto"/>
        <w:jc w:val="center"/>
        <w:rPr>
          <w:rFonts w:hAnsi="宋体"/>
          <w:b/>
          <w:sz w:val="36"/>
          <w:szCs w:val="36"/>
        </w:rPr>
      </w:pPr>
      <w:r>
        <w:rPr>
          <w:rFonts w:ascii="仿宋" w:hAnsi="仿宋" w:eastAsia="仿宋"/>
          <w:b/>
          <w:sz w:val="36"/>
          <w:szCs w:val="36"/>
        </w:rPr>
        <w:br w:type="page"/>
      </w:r>
      <w:bookmarkStart w:id="14" w:name="_Toc496796636"/>
      <w:r>
        <w:rPr>
          <w:rFonts w:hint="eastAsia" w:ascii="宋体" w:hAnsi="宋体"/>
          <w:b/>
          <w:sz w:val="36"/>
          <w:szCs w:val="36"/>
        </w:rPr>
        <w:t>第二章  投标人须知</w:t>
      </w:r>
      <w:bookmarkEnd w:id="14"/>
    </w:p>
    <w:p>
      <w:pPr>
        <w:snapToGrid w:val="0"/>
        <w:rPr>
          <w:rFonts w:ascii="宋体" w:hAnsi="宋体"/>
          <w:sz w:val="28"/>
          <w:szCs w:val="28"/>
        </w:rPr>
      </w:pPr>
      <w:r>
        <w:rPr>
          <w:rFonts w:hint="eastAsia" w:ascii="宋体" w:hAnsi="宋体"/>
          <w:sz w:val="28"/>
          <w:szCs w:val="28"/>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660"/>
        <w:gridCol w:w="7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6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6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6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270"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采购标的：软件开发及部署服务，所属行业：软件和信息技术服务业</w:t>
            </w:r>
          </w:p>
          <w:p>
            <w:pPr>
              <w:snapToGrid w:val="0"/>
              <w:spacing w:line="460" w:lineRule="exact"/>
              <w:ind w:firstLine="602" w:firstLineChars="250"/>
              <w:rPr>
                <w:rFonts w:ascii="仿宋" w:hAnsi="仿宋" w:eastAsia="仿宋"/>
                <w:b/>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（10%）</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2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6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2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2"/>
            <w:r>
              <w:rPr>
                <w:rFonts w:hint="eastAsia" w:ascii="仿宋" w:hAnsi="仿宋" w:eastAsia="仿宋"/>
                <w:sz w:val="24"/>
                <w:szCs w:val="24"/>
              </w:rPr>
              <w:t>不允许进口产品</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是否允许转包与分包</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16" w:name="PO_15528_PM044"/>
            <w:r>
              <w:rPr>
                <w:rFonts w:hint="eastAsia" w:ascii="仿宋" w:hAnsi="仿宋" w:eastAsia="仿宋"/>
                <w:sz w:val="24"/>
                <w:szCs w:val="24"/>
              </w:rPr>
              <w:t>不允许分包</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是否接受联合体投标</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5528_PM007_1"/>
            <w:r>
              <w:rPr>
                <w:rFonts w:hint="eastAsia" w:ascii="仿宋" w:hAnsi="仿宋" w:eastAsia="仿宋"/>
                <w:sz w:val="24"/>
                <w:szCs w:val="24"/>
              </w:rPr>
              <w:t>标项1:不允许联合体投标;标项2:不允许联合体投标</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40"/>
            <w:r>
              <w:rPr>
                <w:rFonts w:hint="eastAsia" w:ascii="仿宋" w:hAnsi="仿宋" w:eastAsia="仿宋"/>
                <w:sz w:val="24"/>
                <w:szCs w:val="24"/>
              </w:rPr>
              <w:t>不组织现场踏勘</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000000445_PM041"/>
            <w:r>
              <w:rPr>
                <w:rFonts w:hint="eastAsia" w:ascii="仿宋" w:hAnsi="仿宋" w:eastAsia="仿宋"/>
                <w:sz w:val="24"/>
                <w:szCs w:val="24"/>
              </w:rPr>
              <w:t>进行演示</w:t>
            </w:r>
            <w:r>
              <w:rPr>
                <w:rFonts w:hint="eastAsia" w:ascii="仿宋" w:hAnsi="仿宋" w:eastAsia="仿宋"/>
                <w:sz w:val="24"/>
                <w:szCs w:val="24"/>
                <w:highlight w:val="yellow"/>
              </w:rPr>
              <w:t>（20分钟之内，以U盘或光盘形式提供）,</w:t>
            </w:r>
            <w:r>
              <w:rPr>
                <w:rFonts w:hint="eastAsia" w:ascii="仿宋" w:hAnsi="仿宋" w:eastAsia="仿宋"/>
                <w:sz w:val="24"/>
                <w:szCs w:val="24"/>
              </w:rPr>
              <w:t xml:space="preserve"> 详见</w:t>
            </w:r>
            <w:bookmarkEnd w:id="19"/>
            <w:r>
              <w:rPr>
                <w:rFonts w:hint="eastAsia" w:ascii="仿宋" w:hAnsi="仿宋" w:eastAsia="仿宋"/>
                <w:sz w:val="24"/>
                <w:szCs w:val="24"/>
                <w:lang w:val="en-US" w:eastAsia="zh-CN"/>
              </w:rPr>
              <w:t>招标文件</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0"/>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2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履约保证金</w:t>
            </w:r>
          </w:p>
        </w:tc>
        <w:tc>
          <w:tcPr>
            <w:tcW w:w="72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2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2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27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6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2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2"/>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20"/>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三、开、评标程序及评标委员会的评审程序</w:t>
      </w:r>
    </w:p>
    <w:p>
      <w:pPr>
        <w:pStyle w:val="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五、确定中标供应商的原则</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ascii="仿宋" w:hAnsi="仿宋" w:eastAsia="仿宋"/>
          <w:sz w:val="28"/>
          <w:szCs w:val="28"/>
        </w:rPr>
        <w:t>5</w:t>
      </w:r>
      <w:r>
        <w:rPr>
          <w:rFonts w:hint="eastAsia" w:ascii="仿宋" w:hAnsi="仿宋" w:eastAsia="仿宋"/>
          <w:sz w:val="28"/>
          <w:szCs w:val="28"/>
        </w:rPr>
        <w:t>%。</w:t>
      </w:r>
    </w:p>
    <w:p>
      <w:pPr>
        <w:pStyle w:val="3"/>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
        <w:spacing w:before="120" w:after="120" w:line="360" w:lineRule="auto"/>
        <w:jc w:val="center"/>
        <w:rPr>
          <w:rFonts w:ascii="仿宋" w:hAnsi="仿宋" w:eastAsia="仿宋"/>
          <w:b/>
          <w:sz w:val="28"/>
          <w:szCs w:val="28"/>
        </w:rPr>
      </w:pPr>
    </w:p>
    <w:p>
      <w:pPr>
        <w:pStyle w:val="3"/>
        <w:snapToGrid w:val="0"/>
        <w:spacing w:before="120" w:after="120" w:line="240" w:lineRule="auto"/>
        <w:ind w:firstLine="600" w:firstLineChars="200"/>
        <w:rPr>
          <w:rFonts w:ascii="仿宋_GB2312" w:hAnsi="仿宋" w:eastAsia="仿宋_GB2312"/>
          <w:sz w:val="30"/>
          <w:szCs w:val="30"/>
        </w:rPr>
      </w:pPr>
    </w:p>
    <w:p>
      <w:pPr>
        <w:pStyle w:val="3"/>
        <w:spacing w:before="120" w:after="120" w:line="360" w:lineRule="auto"/>
        <w:jc w:val="center"/>
        <w:outlineLvl w:val="0"/>
        <w:rPr>
          <w:rFonts w:hAnsi="宋体"/>
          <w:b/>
          <w:sz w:val="36"/>
          <w:szCs w:val="36"/>
        </w:rPr>
      </w:pPr>
      <w:r>
        <w:rPr>
          <w:rFonts w:hAnsi="宋体"/>
          <w:b/>
          <w:sz w:val="36"/>
          <w:szCs w:val="36"/>
        </w:rPr>
        <w:br w:type="page"/>
      </w:r>
      <w:bookmarkStart w:id="21" w:name="_Toc496796637"/>
      <w:r>
        <w:rPr>
          <w:rFonts w:hint="eastAsia" w:hAnsi="宋体"/>
          <w:b/>
          <w:sz w:val="36"/>
          <w:szCs w:val="36"/>
        </w:rPr>
        <w:t>第三章  评标办法及评分标准</w:t>
      </w:r>
      <w:bookmarkEnd w:id="21"/>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2" w:name="_Toc496796638"/>
    </w:p>
    <w:p>
      <w:pPr>
        <w:spacing w:before="120" w:beforeLines="50" w:after="120" w:afterLines="50" w:line="320" w:lineRule="exact"/>
        <w:rPr>
          <w:rFonts w:hAnsi="宋体"/>
          <w:b/>
          <w:sz w:val="36"/>
          <w:szCs w:val="36"/>
        </w:rPr>
      </w:pPr>
    </w:p>
    <w:p>
      <w:pPr>
        <w:spacing w:before="120" w:beforeLines="50" w:after="120" w:afterLines="50" w:line="340" w:lineRule="exact"/>
        <w:rPr>
          <w:rFonts w:ascii="仿宋_GB2312" w:hAnsi="宋体" w:eastAsia="仿宋_GB2312"/>
          <w:b/>
          <w:sz w:val="32"/>
          <w:szCs w:val="32"/>
        </w:rPr>
      </w:pPr>
      <w:bookmarkStart w:id="23" w:name="PO_15528_PM051"/>
      <w:r>
        <w:rPr>
          <w:rFonts w:hint="eastAsia" w:ascii="仿宋_GB2312" w:hAnsi="宋体" w:eastAsia="仿宋_GB2312"/>
          <w:b/>
          <w:sz w:val="32"/>
          <w:szCs w:val="32"/>
        </w:rPr>
        <w:t xml:space="preserve"> </w:t>
      </w:r>
      <w:bookmarkEnd w:id="23"/>
      <w:bookmarkStart w:id="24" w:name="PO_TDCUS_ITEM_SM_TABLE_2"/>
      <w:r>
        <w:rPr>
          <w:rFonts w:hint="eastAsia" w:ascii="仿宋_GB2312" w:hAnsi="宋体" w:eastAsia="仿宋_GB2312"/>
          <w:b/>
          <w:sz w:val="32"/>
          <w:szCs w:val="32"/>
        </w:rPr>
        <w:t>标项1的评分方法</w:t>
      </w:r>
      <w:bookmarkStart w:id="25" w:name="PO_TDCUS_ITEM_SM_TABLE_1"/>
      <w:r>
        <w:rPr>
          <w:rFonts w:hint="eastAsia" w:ascii="仿宋_GB2312" w:hAnsi="宋体" w:eastAsia="仿宋_GB2312"/>
          <w:b/>
          <w:sz w:val="32"/>
          <w:szCs w:val="32"/>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41"/>
        <w:gridCol w:w="505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序号</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评分类型</w:t>
            </w:r>
          </w:p>
        </w:tc>
        <w:tc>
          <w:tcPr>
            <w:tcW w:w="29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评分标准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报价</w:t>
            </w:r>
          </w:p>
        </w:tc>
        <w:tc>
          <w:tcPr>
            <w:tcW w:w="29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(最低报价/投标报价)*最大分值</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系统上线过程服务保障方案：</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1.针对投标文件中“总集成管控服务”方案的完整性、可行性、科学性等内容打分，满分4分；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2.针对投标文件中“环境部署”服务方案的完整性、可行性、科学性等内容打分，满分4分；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3.针对投标文件中“系统初始化”服务方案的完整性、可行性、科学性等内容打分，满分4分；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4.针对投标文件中“数据迁移服务”方案的完整性、可行性、科学性等内容打分，满分4分；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5.针对投标文件中“系统测试、上线切换、上线培训”方案的完整性、可行性、科学性等内容打分，满分4分；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需求理解充分、功能分析描述详细的，每项得4分；需求理解比较充分，但功能分析描述不够详细的，每项得2分；未描述的或无实质内容的，每项1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系统改造需求：根据每个功能需求的理解程度、功能分析描述详细程度进行打分，要求投标人提供功能性需求方案。</w:t>
            </w:r>
          </w:p>
          <w:p>
            <w:pPr>
              <w:pStyle w:val="2"/>
              <w:spacing w:before="120" w:after="120"/>
              <w:rPr>
                <w:rFonts w:ascii="仿宋_GB2312" w:hAnsi="宋体" w:eastAsia="仿宋_GB2312" w:cs="Times New Roman"/>
                <w:b/>
                <w:sz w:val="32"/>
                <w:szCs w:val="32"/>
              </w:rPr>
            </w:pPr>
            <w:r>
              <w:rPr>
                <w:rFonts w:hint="eastAsia" w:ascii="仿宋_GB2312" w:hAnsi="宋体" w:eastAsia="仿宋_GB2312" w:cs="Times New Roman"/>
                <w:b/>
                <w:sz w:val="32"/>
                <w:szCs w:val="32"/>
              </w:rPr>
              <w:t>1）单位非常户管理（1分）</w:t>
            </w:r>
          </w:p>
          <w:p>
            <w:pPr>
              <w:pStyle w:val="4"/>
              <w:spacing w:before="120"/>
              <w:rPr>
                <w:rFonts w:ascii="仿宋_GB2312" w:hAnsi="宋体" w:eastAsia="仿宋_GB2312"/>
                <w:b/>
                <w:sz w:val="32"/>
                <w:szCs w:val="32"/>
              </w:rPr>
            </w:pPr>
            <w:r>
              <w:rPr>
                <w:rFonts w:hint="eastAsia" w:ascii="仿宋_GB2312" w:hAnsi="宋体" w:eastAsia="仿宋_GB2312"/>
                <w:b/>
                <w:sz w:val="32"/>
                <w:szCs w:val="32"/>
              </w:rPr>
              <w:t>2）单位社保费优惠减免（1分）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3）单位职工社保费个人清缴（1分）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4）单位社保费逾期申报（往期双基数）（1分）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5）单位税务与社保登记注销（1分）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6）单位社保费未申报清册（1分）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7）超过缴款期限批扣不加收滞纳金（1分）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8）税务核销社保核定数据（1分）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9）社保核销明细清册（1分）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10）个人单笔实时业务实时到账（1分）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11）个人主管税务机关分配（1分）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12）缴费人端技术辅助（1分）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13）个人未缴费清册（1分）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14）社保导入（传递）核定信息查询清册（1分）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15）一人式查询（社保费）（1分）</w:t>
            </w:r>
            <w:r>
              <w:rPr>
                <w:rFonts w:hint="eastAsia" w:ascii="仿宋_GB2312" w:hAnsi="宋体" w:eastAsia="仿宋_GB2312"/>
                <w:b/>
                <w:sz w:val="32"/>
                <w:szCs w:val="32"/>
              </w:rPr>
              <w:br w:type="textWrapping"/>
            </w:r>
            <w:r>
              <w:rPr>
                <w:rFonts w:hint="eastAsia" w:ascii="仿宋_GB2312" w:hAnsi="宋体" w:eastAsia="仿宋_GB2312"/>
                <w:b/>
                <w:sz w:val="32"/>
                <w:szCs w:val="32"/>
              </w:rPr>
              <w:t>16）社保费缴费登记情况统计（1分）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17）社保费缴费申报情况统计（1分）</w:t>
            </w:r>
          </w:p>
          <w:p>
            <w:pPr>
              <w:pStyle w:val="5"/>
              <w:ind w:firstLine="0" w:firstLineChars="0"/>
              <w:rPr>
                <w:rFonts w:ascii="仿宋_GB2312" w:hAnsi="宋体" w:eastAsia="仿宋_GB2312"/>
                <w:b/>
                <w:sz w:val="32"/>
                <w:szCs w:val="32"/>
              </w:rPr>
            </w:pPr>
            <w:r>
              <w:rPr>
                <w:rFonts w:hint="eastAsia" w:ascii="仿宋_GB2312" w:hAnsi="宋体" w:eastAsia="仿宋_GB2312"/>
                <w:b/>
                <w:sz w:val="32"/>
                <w:szCs w:val="32"/>
              </w:rPr>
              <w:t>18）城乡两费征缴情况统计（1分）</w:t>
            </w:r>
          </w:p>
          <w:p>
            <w:pPr>
              <w:pStyle w:val="5"/>
              <w:ind w:firstLine="321"/>
            </w:pPr>
            <w:r>
              <w:rPr>
                <w:rFonts w:hint="eastAsia" w:ascii="仿宋_GB2312" w:hAnsi="宋体" w:eastAsia="仿宋_GB2312"/>
                <w:b/>
                <w:sz w:val="32"/>
                <w:szCs w:val="32"/>
              </w:rPr>
              <w:t>评分标准:根据实质内容的合理性、实用性、完整性及优劣进行评分。对需求理解充分、功能分析描述详细的，每项得1分；总分不超过18分。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3</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数据转化服务：根据“数据转化服务”需求的理解程度、功能实现分析描述详细程度进行打分，要求投标人提供需求解决方案。</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评分标准:根据实质内容的合理性、实用性、完整性及优劣进行评分。需求理解充分、功能分析描述详细的，得4分；需求理解比较充分，但功能分析描述不够详细的，得2分；未描述的或无实质内容的，得1分。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系统运行保障服务方案：根据“系统运行保障服务方案”需求的理解程度、方案详细程度进行打分，要求投标人提供保障服务解决方案。</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评分标准:根据实质内容的合理性、实用性、完整性及优劣进行评分。需求理解充分、功能分析描述详细的，得4分；需求理解比较充分，但功能分析描述不够详细的，得2分；未描述的或无实质内容的，得1分。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非功能需求：根据投标人对项目执行标准软件质量的易用性、稳定性、可扩展性、安全性的理解与阐述进行打分。</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1.易用性。（2分）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2.稳定性。（2分）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3.可扩展性。（2分）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4.安全性。（2分）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对非功能性需求描述详细、合理、可行的，每项得2分；对非功能性需求理解和描述比较充分，可行性一般的，每项得1分；未描述的，或有重大缺漏、缺乏可行性的，或对项目实施带来较大风险的，每项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6</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项目实施方案：根据投标人提供的实施方案中项目组织架构和人员配置的合理性，项目实施计划的科学完整性，项目周期内各个过程计划的描述详细情况，是否具有完整的质量保障活动及较好的质量控制实施等进行评分。</w:t>
            </w:r>
          </w:p>
          <w:p>
            <w:pPr>
              <w:pStyle w:val="2"/>
              <w:spacing w:before="120" w:after="120"/>
              <w:ind w:firstLine="321" w:firstLineChars="100"/>
            </w:pPr>
            <w:r>
              <w:rPr>
                <w:rFonts w:hint="eastAsia" w:ascii="仿宋_GB2312" w:hAnsi="宋体" w:eastAsia="仿宋_GB2312"/>
                <w:b/>
                <w:sz w:val="32"/>
                <w:szCs w:val="32"/>
              </w:rPr>
              <w:t>评分标准：实施方案完整详细，科学可行，有质量控制体系测试方案且，能保障项目顺利实施的，得4分；方案较为完整，有培训方案，基本可以完成项目测试的，得2分；方案简单不实用或不适用本项目或未提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7</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软件开发工程量：根据投标人提供不含价格的工程量计算清单（要求到人×天，格式自定)进行评价。</w:t>
            </w:r>
          </w:p>
          <w:p>
            <w:pPr>
              <w:pStyle w:val="2"/>
              <w:spacing w:before="120" w:after="120"/>
              <w:ind w:firstLine="321" w:firstLineChars="100"/>
            </w:pPr>
            <w:r>
              <w:rPr>
                <w:rFonts w:hint="eastAsia" w:ascii="仿宋_GB2312" w:hAnsi="宋体" w:eastAsia="仿宋_GB2312"/>
                <w:b/>
                <w:sz w:val="32"/>
                <w:szCs w:val="32"/>
              </w:rPr>
              <w:t>评分标准：能提供完整的软件开发工作量清单的，工作量合理，并能指导软件开发的,得3分；有软件工作量清单，但工作量计算不够合理，得2分；没有工作量清单的，得0分。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8</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pPr>
            <w:r>
              <w:rPr>
                <w:rFonts w:hint="eastAsia" w:ascii="仿宋_GB2312" w:hAnsi="宋体" w:eastAsia="仿宋_GB2312"/>
                <w:b/>
                <w:sz w:val="32"/>
                <w:szCs w:val="32"/>
              </w:rPr>
              <w:t>项目组人员个人、团队开发能力情况（资历及业绩）：（详见商务要求表）。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9</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4" w:type="pct"/>
          </w:tcPr>
          <w:p>
            <w:pPr>
              <w:spacing w:before="120" w:beforeLines="50" w:after="120" w:afterLines="50" w:line="340" w:lineRule="exact"/>
              <w:ind w:firstLine="321" w:firstLineChars="100"/>
            </w:pPr>
            <w:r>
              <w:rPr>
                <w:rFonts w:hint="eastAsia" w:ascii="仿宋_GB2312" w:hAnsi="宋体" w:eastAsia="仿宋_GB2312"/>
                <w:b/>
                <w:sz w:val="32"/>
                <w:szCs w:val="32"/>
                <w:highlight w:val="yellow"/>
              </w:rPr>
              <w:t>系统原型演示：演示内容（采用屏幕录像方式），根据招标文件“系统改造需求”18项需求，完成每单项内容演示的得相对应的分数；每完成一项得0.5分，最高得9分；不演示或与需求不符，单项得0分。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10</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维护计划：根据供应商项目维护计划（上门运维人员安排，定期巡检等情况）进行评分。</w:t>
            </w:r>
          </w:p>
          <w:p>
            <w:pPr>
              <w:pStyle w:val="2"/>
              <w:spacing w:before="120" w:after="120"/>
              <w:ind w:firstLine="321" w:firstLineChars="100"/>
            </w:pPr>
            <w:r>
              <w:rPr>
                <w:rFonts w:hint="eastAsia" w:ascii="仿宋_GB2312" w:hAnsi="宋体" w:eastAsia="仿宋_GB2312" w:cs="Times New Roman"/>
                <w:b/>
                <w:sz w:val="32"/>
                <w:szCs w:val="32"/>
              </w:rPr>
              <w:t>评分标准：项目维护计划详实、具体，操作性强且非常有效的，得4分；项目维护计划较为详实，操作性一般的，得2分；未提供的，得0分。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11</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技术能力：（详见商务要求表）。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12</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响应情况：根据售后服务的响应情况（对用户故障响应、处理等）进行打分（详见商务要求表）。</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评分标准:根据实质内容的合理性、实用性、完整性及针对性进行评分（无售后服务响应方案的不得分）。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13</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培训方案：根据培训方案、计划进行打分（详见商务要求表）。</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评分标准:根据实质内容的合理性、实用性、完整性及针对性进行评分（无培训方案的不得分）。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14</w:t>
            </w:r>
          </w:p>
        </w:tc>
        <w:tc>
          <w:tcPr>
            <w:tcW w:w="90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4"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经验业绩：（详见商务要求表）。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bookmarkEnd w:id="25"/>
    </w:tbl>
    <w:p>
      <w:pPr>
        <w:rPr>
          <w:rFonts w:ascii="仿宋_GB2312" w:hAnsi="宋体" w:eastAsia="仿宋_GB2312"/>
          <w:b/>
          <w:sz w:val="32"/>
          <w:szCs w:val="32"/>
        </w:rPr>
      </w:pPr>
      <w:bookmarkStart w:id="26" w:name="PO_TDCUS_ITEM_SM_TITLE_2"/>
      <w:r>
        <w:rPr>
          <w:rFonts w:hint="eastAsia" w:ascii="仿宋_GB2312" w:hAnsi="宋体" w:eastAsia="仿宋_GB2312"/>
          <w:b/>
          <w:sz w:val="32"/>
          <w:szCs w:val="32"/>
        </w:rPr>
        <w:br w:type="page"/>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标项2的评分方法</w:t>
      </w:r>
      <w:bookmarkEnd w:id="26"/>
      <w:r>
        <w:rPr>
          <w:rFonts w:hint="eastAsia" w:ascii="仿宋_GB2312" w:hAnsi="宋体" w:eastAsia="仿宋_GB2312"/>
          <w:b/>
          <w:sz w:val="32"/>
          <w:szCs w:val="32"/>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48"/>
        <w:gridCol w:w="505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序号</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评分类型</w:t>
            </w:r>
          </w:p>
        </w:tc>
        <w:tc>
          <w:tcPr>
            <w:tcW w:w="296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评分标准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报价</w:t>
            </w:r>
          </w:p>
        </w:tc>
        <w:tc>
          <w:tcPr>
            <w:tcW w:w="296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(最低报价/投标报价)*最大分值</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社保费征管信息系统(标准版)征收子系统需求理解：根据投标人对以下社保费征管信息系统(标准版)征收子系统的需求的理解程度、功能分析描述详细程度进行打分，要求投标人提供需求规格说明书。</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 金三社保费征收子系统。完成社保费的征收管理，包括银行账户信息采集、三方协议采集及验证、缴费、退费、缓缴、对账等业务，并完成对社保费未及时足额缴纳等违法行为的相关处理。对接特色软件完成社保费缴纳业务，具体包括社保费批扣清册确认设置、社保费批扣清册的生成、批扣清册查询、社保费单笔交易处理、社保费批量扣款、社保费票证补打、社保费票证重打、社保费一般征收开票、社保费票证作废、金库对账等等近百项功能用例。（4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 社保费征收查询子系统。社保费征收查询子系统，主要实现社保费征收、退费、三方协议签订相关查询分析。具体查询包括社保费催报清册查询、社保费存款账户账号（银行）信息查询、社保费税款开票查询、社保费入库查询、社保费征收税费明细清册、社保费税费欠缴明细清册、社保费退抵税（费）审批情况查询、社保费退抵税清册、社保费不予加收滞纳金查询等近四十项功能用例。（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 社保费业务工作门户平台。社保费业务工作门户平台，为社保费征管信息系统（标准版）提供统一的单点登录、统一的操作界面、统一的待办事宜、统一的消息管理等功能。社保费业务工作门户平台，利用社保费业务框架和相关标准，将社保费管理子系统、社保费征收子系统、信息共享平台（税务端）等系统进行页面级的整合，形成一个统一的界面视图，为最终用户提供所有税务业务系统的统一入口。用户只需要一次登录就能够使用其在社保费征管信息系统（标准版）各应用系统中被授权的操作功能。用户在社保费业务工作门户平台中处理金税三期社保费征管信息系统（标准版）各应用系统的业务，接收待办任务，进行业务受理、业务审批和查询统计等操作。（4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需求理解充分、功能分析描述详细的，每项得4分；需求理解较充分，功能分析描述较详细的，每项得3分；需求理解比较充分，但功能分析描述不够详细的，每项得2分；未描述的或无实质内容的，每项1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 xml:space="preserve">社保费征管信息系统(标准版)征收子系统推广上线需求：根据投标人对总局社保费征管信息系统(标准版)征收子系统推广上线的理解程度、各上线实施内容分析描述详细程度进行打分。 </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1.社保费征管信息系统(标准版)征收子系统初始化方案。（2分）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2.社保费征管信息系统(标准版)征收子系统实施部署方案。（2分）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3.社保费征管信息系统(标准版)征收子系统数据迁移方案。（2分）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4.社保费征管信息系统(标准版)征收子系统测试方案。（2分）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需求理解充分、功能分析描述详细的，每项得2分；需求理解比较充分，但功能分析描述不够详细的，每项得1分；未描述的或无实质内容的，每项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3</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本地化特色改造优化功能需求：是基于现有金税三期社保费征管信息系统(标准版)征收子系统基础上进行升级改造，满足社保费征管信息系统(标准版)征收子系统的要求。</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1.增加纳税人注销的社保费逻辑校验。（2分）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2.满足浙江特色《税收完税证明》缴费凭证开具及下载支持PDF格式。（2分）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3.批扣和银行端查询缴款进行双限制的校验，缴费人缴款时，需判断当前支付渠道已代缴的款项是否满足汇总双限要求，若不满足，则不能代缴。并给出提示，及时进行现金票汇总。（2分）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4.电子送达设计（催报+催缴），商业银行、乡镇街道、学校等虚拟户与税务机关签订《委托协议书》。委托其代征零星分散和异地缴纳的费款。（2分）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对特色改造功能业务理解及实现需求描述详细、合理、可行的，每项得2分；对特色改造功能业务理解及实现需求理解和描述比较充分，可行性一般的，每项得1分；未描述的，或有重大缺漏、缺乏可行性的，或对项目实施带来较大风险的，每项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非功能需求：根据投标人对项目执行标准软件质量的易用性、稳定性、可扩展性、安全性的理解与阐述进行打分。</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1.易用性。（2分）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2.稳定性。（2分）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3.可扩展性。（2分）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4.安全性。（2分）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实质内容的合理性、实用性、完整性及优劣进行评分。对非功能性需求描述详细、合理、可行的，每项得2分；对非功能性需求理解和描述比较充分，可行性一般的，每项得1分；未描述的，或有重大缺漏、缺乏可行性的，或对项目实施带来较大风险的，每项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系统架构：根据投标人对项目系统架构是基于对金税三期社保费征管信息系统(标准版)征收子系统项目系统架构设计、实施部署的理解与阐述进行打分。</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1.技术架构。（3分）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2.应用架构。（3分）</w:t>
            </w:r>
          </w:p>
          <w:p>
            <w:pPr>
              <w:pStyle w:val="5"/>
              <w:ind w:firstLine="321"/>
              <w:rPr>
                <w:rFonts w:ascii="仿宋_GB2312" w:hAnsi="宋体" w:eastAsia="仿宋_GB2312"/>
                <w:b/>
                <w:sz w:val="32"/>
                <w:szCs w:val="32"/>
              </w:rPr>
            </w:pPr>
            <w:r>
              <w:rPr>
                <w:rFonts w:hint="eastAsia" w:ascii="仿宋_GB2312" w:hAnsi="宋体" w:eastAsia="仿宋_GB2312"/>
                <w:b/>
                <w:sz w:val="32"/>
                <w:szCs w:val="32"/>
              </w:rPr>
              <w:t>3.数据架构。（3分）</w:t>
            </w:r>
          </w:p>
          <w:p>
            <w:pPr>
              <w:pStyle w:val="5"/>
              <w:ind w:firstLine="321"/>
              <w:rPr>
                <w:rFonts w:ascii="仿宋_GB2312" w:hAnsi="宋体" w:eastAsia="仿宋_GB2312"/>
                <w:b/>
                <w:sz w:val="32"/>
                <w:szCs w:val="32"/>
              </w:rPr>
            </w:pPr>
            <w:r>
              <w:rPr>
                <w:rFonts w:hint="eastAsia" w:ascii="仿宋_GB2312" w:hAnsi="宋体" w:eastAsia="仿宋_GB2312"/>
                <w:b/>
                <w:sz w:val="32"/>
                <w:szCs w:val="32"/>
              </w:rPr>
              <w:t>4.集成架构。（3分）</w:t>
            </w:r>
          </w:p>
          <w:p>
            <w:pPr>
              <w:pStyle w:val="5"/>
              <w:ind w:firstLine="321"/>
              <w:rPr>
                <w:rFonts w:ascii="仿宋_GB2312" w:hAnsi="宋体" w:eastAsia="仿宋_GB2312"/>
                <w:b/>
                <w:sz w:val="32"/>
                <w:szCs w:val="32"/>
              </w:rPr>
            </w:pPr>
            <w:r>
              <w:rPr>
                <w:rFonts w:hint="eastAsia" w:ascii="仿宋_GB2312" w:hAnsi="宋体" w:eastAsia="仿宋_GB2312"/>
                <w:b/>
                <w:sz w:val="32"/>
                <w:szCs w:val="32"/>
              </w:rPr>
              <w:t>5.部署架构。（3分）</w:t>
            </w:r>
          </w:p>
          <w:p>
            <w:pPr>
              <w:pStyle w:val="5"/>
              <w:ind w:firstLine="321"/>
              <w:rPr>
                <w:rFonts w:ascii="仿宋_GB2312" w:hAnsi="宋体" w:eastAsia="仿宋_GB2312"/>
                <w:b/>
                <w:sz w:val="32"/>
                <w:szCs w:val="32"/>
              </w:rPr>
            </w:pPr>
            <w:r>
              <w:rPr>
                <w:rFonts w:hint="eastAsia" w:ascii="仿宋_GB2312" w:hAnsi="宋体" w:eastAsia="仿宋_GB2312"/>
                <w:b/>
                <w:sz w:val="32"/>
                <w:szCs w:val="32"/>
              </w:rPr>
              <w:t>评分标准:根据技术方案的合理性、实用性、完整性及优劣进行评分。对技术架构需求描述详细、合理、可行的，每项得3分；对技术架构理解和描述比较充分，可行性一般的，每项得1分；未描述的，或有重大缺漏、缺乏可行性的，或对项目实施带来较大风险的，每项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6</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项目实施方案：根据投标人提供的实施方案中项目组织架构和人员配置的合理性，项目实施计划的科学完整性，项目周期内各个过程计划的描述详细情况，是否具有完整的质量保障活动及较好的质量控制实施等进行评分。</w:t>
            </w:r>
          </w:p>
          <w:p>
            <w:pPr>
              <w:pStyle w:val="2"/>
              <w:spacing w:before="120" w:after="120"/>
              <w:ind w:firstLine="321" w:firstLineChars="100"/>
            </w:pPr>
            <w:r>
              <w:rPr>
                <w:rFonts w:hint="eastAsia" w:ascii="仿宋_GB2312" w:hAnsi="宋体" w:eastAsia="仿宋_GB2312"/>
                <w:b/>
                <w:sz w:val="32"/>
                <w:szCs w:val="32"/>
              </w:rPr>
              <w:t>评分标准：实施方案完整详细，科学可行，有质量控制体系测试方案且，能保障项目顺利实施的，得5分；方案较为完整，有培训方案，基本可以完成项目测试的，得3分；方案简单不实用或不适用本项目或未提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7</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软件开发工程量：根据投标人提供不含价格的工程量计算清单（要求到人*天，格式自定)进行评价。</w:t>
            </w:r>
          </w:p>
          <w:p>
            <w:pPr>
              <w:pStyle w:val="2"/>
              <w:spacing w:before="120" w:after="120"/>
              <w:ind w:firstLine="321" w:firstLineChars="100"/>
            </w:pPr>
            <w:r>
              <w:rPr>
                <w:rFonts w:hint="eastAsia" w:ascii="仿宋_GB2312" w:hAnsi="宋体" w:eastAsia="仿宋_GB2312"/>
                <w:b/>
                <w:sz w:val="32"/>
                <w:szCs w:val="32"/>
              </w:rPr>
              <w:t>评分标准：能提供完整的软件开发工作量清单的，工作量合理，并能指导软件开发的,得4分；有软件工作量清单，但工作量计算不够合理，得2分；没有工作量清单的，得0分。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8</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pPr>
            <w:r>
              <w:rPr>
                <w:rFonts w:hint="eastAsia" w:ascii="仿宋_GB2312" w:hAnsi="宋体" w:eastAsia="仿宋_GB2312"/>
                <w:b/>
                <w:sz w:val="32"/>
                <w:szCs w:val="32"/>
              </w:rPr>
              <w:t>项目组人员个人、团队开发能力情况（资历及业绩）：（详见商务要求表）。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9</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系统原型演示：</w:t>
            </w:r>
            <w:r>
              <w:rPr>
                <w:rFonts w:hint="eastAsia" w:ascii="仿宋_GB2312" w:hAnsi="宋体" w:eastAsia="仿宋_GB2312"/>
                <w:b/>
                <w:sz w:val="32"/>
                <w:szCs w:val="32"/>
                <w:highlight w:val="yellow"/>
              </w:rPr>
              <w:t>演示内容（采用屏幕录像方式），</w:t>
            </w:r>
            <w:r>
              <w:rPr>
                <w:rFonts w:hint="eastAsia" w:ascii="仿宋_GB2312" w:hAnsi="宋体" w:eastAsia="仿宋_GB2312"/>
                <w:b/>
                <w:sz w:val="32"/>
                <w:szCs w:val="32"/>
              </w:rPr>
              <w:t>根据招标文件要求完成以下每单项内容演示的得相对应的分数；如果未完成以下某一单项全部内容演示的，单项得分为0。</w:t>
            </w:r>
          </w:p>
          <w:p>
            <w:pPr>
              <w:pStyle w:val="2"/>
              <w:spacing w:before="120" w:after="120"/>
              <w:ind w:firstLine="321" w:firstLineChars="100"/>
              <w:rPr>
                <w:rFonts w:ascii="仿宋_GB2312" w:hAnsi="宋体" w:eastAsia="仿宋_GB2312"/>
                <w:b/>
                <w:sz w:val="32"/>
                <w:szCs w:val="32"/>
              </w:rPr>
            </w:pPr>
            <w:r>
              <w:rPr>
                <w:rFonts w:hint="eastAsia" w:ascii="仿宋_GB2312" w:hAnsi="宋体" w:eastAsia="仿宋_GB2312"/>
                <w:b/>
                <w:sz w:val="32"/>
                <w:szCs w:val="32"/>
              </w:rPr>
              <w:t>1. 社保费一般征收开票功能。（最高3分）</w:t>
            </w:r>
          </w:p>
          <w:p>
            <w:pPr>
              <w:pStyle w:val="4"/>
              <w:ind w:firstLine="321" w:firstLineChars="100"/>
              <w:rPr>
                <w:rFonts w:ascii="仿宋_GB2312" w:hAnsi="宋体" w:eastAsia="仿宋_GB2312"/>
                <w:b/>
                <w:sz w:val="32"/>
                <w:szCs w:val="32"/>
              </w:rPr>
            </w:pPr>
            <w:r>
              <w:rPr>
                <w:rFonts w:hint="eastAsia" w:ascii="仿宋_GB2312" w:hAnsi="宋体" w:eastAsia="仿宋_GB2312"/>
                <w:b/>
                <w:sz w:val="32"/>
                <w:szCs w:val="32"/>
              </w:rPr>
              <w:t>2. 社保费现金票汇总功能。（最高3分）</w:t>
            </w:r>
          </w:p>
          <w:p>
            <w:pPr>
              <w:pStyle w:val="5"/>
              <w:ind w:firstLine="321"/>
            </w:pPr>
            <w:r>
              <w:rPr>
                <w:rFonts w:hint="eastAsia" w:ascii="仿宋_GB2312" w:hAnsi="宋体" w:eastAsia="仿宋_GB2312"/>
                <w:b/>
                <w:sz w:val="32"/>
                <w:szCs w:val="32"/>
              </w:rPr>
              <w:t>3. 社保费退费管理流程功能。（最高3分）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10</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维护计划：根据供应商项目维护计划（上门运维人员安排，定期巡检等情况）进行评分。</w:t>
            </w:r>
          </w:p>
          <w:p>
            <w:pPr>
              <w:pStyle w:val="2"/>
              <w:spacing w:before="120" w:after="120"/>
              <w:ind w:firstLine="321" w:firstLineChars="100"/>
            </w:pPr>
            <w:r>
              <w:rPr>
                <w:rFonts w:hint="eastAsia" w:ascii="仿宋_GB2312" w:hAnsi="宋体" w:eastAsia="仿宋_GB2312"/>
                <w:b/>
                <w:sz w:val="32"/>
                <w:szCs w:val="32"/>
              </w:rPr>
              <w:t>评分标准：项目维护计划详实、具体，操作性强且非常有效的，得4分；项目维护计划较为详实，操作性一般的，得2分；未提供的，得0分。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11</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技术能力：（详见商务要求表）。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12</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响应情况：根据售后服务的响应情况（对用户故障响应、处理等）进行打分（详见商务要求表）。</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评分标准:根据实质内容的合理性、实用性、完整性及针对性进行评分（无售后服务响应方案的不得分）。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13</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培训方案：根据培训方案、计划进行打分（详见商务要求表）。</w:t>
            </w:r>
          </w:p>
          <w:p>
            <w:pPr>
              <w:pStyle w:val="2"/>
              <w:spacing w:before="120" w:after="120"/>
              <w:ind w:firstLine="321" w:firstLineChars="100"/>
            </w:pPr>
            <w:r>
              <w:rPr>
                <w:rFonts w:hint="eastAsia" w:ascii="仿宋_GB2312" w:hAnsi="宋体" w:eastAsia="仿宋_GB2312"/>
                <w:b/>
                <w:sz w:val="32"/>
                <w:szCs w:val="32"/>
              </w:rPr>
              <w:t>评分标准:根据实质内容的合理性、实用性、完整性及针对性进行评分（无培训方案的不得分）。</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14</w:t>
            </w:r>
          </w:p>
        </w:tc>
        <w:tc>
          <w:tcPr>
            <w:tcW w:w="90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60" w:type="pct"/>
          </w:tcPr>
          <w:p>
            <w:pPr>
              <w:spacing w:before="120" w:beforeLines="50" w:after="120" w:afterLines="50" w:line="340" w:lineRule="exact"/>
              <w:ind w:firstLine="321" w:firstLineChars="100"/>
              <w:rPr>
                <w:rFonts w:ascii="仿宋_GB2312" w:hAnsi="宋体" w:eastAsia="仿宋_GB2312"/>
                <w:b/>
                <w:sz w:val="32"/>
                <w:szCs w:val="32"/>
              </w:rPr>
            </w:pPr>
            <w:r>
              <w:rPr>
                <w:rFonts w:hint="eastAsia" w:ascii="仿宋_GB2312" w:hAnsi="宋体" w:eastAsia="仿宋_GB2312"/>
                <w:b/>
                <w:sz w:val="32"/>
                <w:szCs w:val="32"/>
              </w:rPr>
              <w:t>经验业绩：（详见商务要求表）。</w:t>
            </w:r>
          </w:p>
        </w:tc>
        <w:tc>
          <w:tcPr>
            <w:tcW w:w="590"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0~3</w:t>
            </w:r>
          </w:p>
        </w:tc>
      </w:tr>
    </w:tbl>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 xml:space="preserve"> </w:t>
      </w:r>
      <w:bookmarkEnd w:id="24"/>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  招标需求</w:t>
      </w:r>
      <w:bookmarkEnd w:id="22"/>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5"/>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
        <w:spacing w:before="120" w:after="120" w:line="360" w:lineRule="auto"/>
        <w:rPr>
          <w:rFonts w:ascii="仿宋" w:hAnsi="仿宋" w:eastAsia="仿宋" w:cs="Arial"/>
          <w:b/>
          <w:sz w:val="28"/>
          <w:szCs w:val="28"/>
        </w:rPr>
      </w:pPr>
      <w:bookmarkStart w:id="27" w:name="_Toc496796639"/>
    </w:p>
    <w:p>
      <w:pPr>
        <w:pStyle w:val="4"/>
      </w:pPr>
      <w:bookmarkStart w:id="28" w:name="PO_416_PM050"/>
      <w:r>
        <w:rPr>
          <w:rFonts w:hint="eastAsia" w:hAnsi="宋体"/>
          <w:b/>
          <w:sz w:val="36"/>
          <w:szCs w:val="36"/>
        </w:rPr>
        <w:t xml:space="preserve"> </w:t>
      </w:r>
      <w:bookmarkEnd w:id="28"/>
      <w:bookmarkStart w:id="29" w:name="PO_TDCUS_ITEM_PB_REQ_FILE_1_1"/>
    </w:p>
    <w:bookmarkEnd w:id="29"/>
    <w:p>
      <w:pPr>
        <w:snapToGrid w:val="0"/>
        <w:spacing w:line="360" w:lineRule="auto"/>
        <w:rPr>
          <w:rFonts w:ascii="仿宋" w:hAnsi="仿宋" w:eastAsia="仿宋"/>
          <w:sz w:val="28"/>
          <w:szCs w:val="28"/>
        </w:rPr>
      </w:pPr>
    </w:p>
    <w:p>
      <w:pPr>
        <w:pStyle w:val="2"/>
        <w:spacing w:before="120" w:after="120"/>
        <w:rPr>
          <w:rFonts w:ascii="仿宋" w:hAnsi="仿宋" w:eastAsia="仿宋"/>
          <w:sz w:val="28"/>
          <w:szCs w:val="28"/>
        </w:rPr>
      </w:pPr>
    </w:p>
    <w:p>
      <w:pPr>
        <w:pStyle w:val="4"/>
        <w:rPr>
          <w:rFonts w:ascii="仿宋" w:hAnsi="仿宋" w:eastAsia="仿宋"/>
          <w:szCs w:val="28"/>
        </w:rPr>
      </w:pPr>
    </w:p>
    <w:p>
      <w:pPr>
        <w:pStyle w:val="5"/>
        <w:ind w:firstLine="280"/>
        <w:rPr>
          <w:rFonts w:ascii="仿宋" w:hAnsi="仿宋" w:eastAsia="仿宋"/>
          <w:sz w:val="28"/>
          <w:szCs w:val="28"/>
        </w:rPr>
      </w:pPr>
    </w:p>
    <w:p>
      <w:pPr>
        <w:pStyle w:val="5"/>
        <w:ind w:firstLine="280"/>
        <w:rPr>
          <w:rFonts w:ascii="仿宋" w:hAnsi="仿宋" w:eastAsia="仿宋"/>
          <w:sz w:val="28"/>
          <w:szCs w:val="28"/>
        </w:rPr>
      </w:pPr>
    </w:p>
    <w:p>
      <w:pPr>
        <w:pStyle w:val="5"/>
        <w:ind w:firstLine="280"/>
        <w:rPr>
          <w:rFonts w:ascii="仿宋" w:hAnsi="仿宋" w:eastAsia="仿宋"/>
          <w:sz w:val="28"/>
          <w:szCs w:val="28"/>
        </w:rPr>
      </w:pPr>
    </w:p>
    <w:p>
      <w:pPr>
        <w:pStyle w:val="5"/>
        <w:ind w:firstLine="280"/>
        <w:rPr>
          <w:rFonts w:ascii="仿宋" w:hAnsi="仿宋" w:eastAsia="仿宋"/>
          <w:sz w:val="28"/>
          <w:szCs w:val="28"/>
        </w:rPr>
      </w:pPr>
    </w:p>
    <w:p>
      <w:pPr>
        <w:snapToGrid w:val="0"/>
        <w:spacing w:line="620" w:lineRule="exact"/>
        <w:jc w:val="left"/>
        <w:outlineLvl w:val="0"/>
        <w:rPr>
          <w:rFonts w:hAnsi="宋体"/>
          <w:b/>
          <w:sz w:val="36"/>
          <w:szCs w:val="36"/>
        </w:rPr>
      </w:pPr>
      <w:r>
        <w:rPr>
          <w:rFonts w:hint="eastAsia" w:hAnsi="宋体"/>
          <w:b/>
          <w:sz w:val="36"/>
          <w:szCs w:val="36"/>
        </w:rPr>
        <w:t>标项1：社保标准版管理子系统推广上线及本地化改造项目</w:t>
      </w:r>
    </w:p>
    <w:p/>
    <w:p>
      <w:p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1.项目背景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办公厅、国务院办公厅印发了《国税地税征管体制改革方案》，明确提出为提高社会保险费征管效率、为缴费人提供更便捷的缴费服务，自2019年1月1日起，基本养老保险费、基本医疗保险费、失业保险费等各项社会保险费交由税务部门统一征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切实落实中办、国办要求，税务总局、人社部联合制定了《社会保险费和非税收入征管职责划转工作方案》，明确了工作职责，业务边界、划转关键事项和时间。为更好地完成信息系统建设任务，税务总局以金税三期系统为基础，优化形成金税三期社保费征管信息系统（标准版）（以下简称社保费标准版），由各省(市)负责该系统的实施推广。根据总局有关要求，浙江将于2022年正式上线金三社保标准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标准版建设起点高、业务耦合度紧密、技术复杂度高、项目实施难度大且安全保障建设合规性要求强。为保障我省稳妥接收社保费征管职能及系统平稳上线运行，结合全国其他省市先进、平稳成功上线经验，特采购本项目。</w:t>
      </w:r>
    </w:p>
    <w:p>
      <w:pPr>
        <w:snapToGrid w:val="0"/>
        <w:spacing w:line="360" w:lineRule="auto"/>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2.总体思路</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（1）建设目标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做好金税三期社保费征管信息系统（标准版）管理子系统以及配套系统的上线实施、本地化特色改造和运行维护工作，确保金税三期社保费征管信息系统（标准版）管理子系统以及配套系统的平稳运行。以税务总局提出的“系统运行维护工作应稳定、高效、安全”为指导方针，以“统一管理，统一平台，统一入口，统一流程”为指导思想，提供基于统一规范的运维模式，建立起国家税务总局浙江省税务局社保费征管系统的运维团队，满足社保费业务处理和系统运维工作的需要。实现金税三期社保费征管信息系统（标准版）管理子系统以及配套系统运维工作的制度化、规范化、标准化，进一步提高国家税务总局浙江省税务局信息管税能力和纳税服务水平，满足浙江省社保征收转换工作的要求，保证浙江省社保费征缴平稳。 </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（2）建设要求</w:t>
      </w:r>
    </w:p>
    <w:p>
      <w:pPr>
        <w:pStyle w:val="25"/>
        <w:widowControl/>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项目必须满足安全、便捷和高效的原则，其中安全是第一位的。</w:t>
      </w:r>
    </w:p>
    <w:p>
      <w:pPr>
        <w:pStyle w:val="25"/>
        <w:widowControl/>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安全。</w:t>
      </w:r>
      <w:r>
        <w:rPr>
          <w:rFonts w:hint="eastAsia" w:ascii="仿宋_GB2312" w:hAnsi="仿宋_GB2312" w:eastAsia="仿宋_GB2312" w:cs="仿宋_GB2312"/>
          <w:sz w:val="32"/>
          <w:szCs w:val="32"/>
        </w:rPr>
        <w:t>在满足总局安全规范的前提下，系统设计时必须要突出安全，既要做好软件层面的安全，也要做好架构、硬件、网络等环节的安全。</w:t>
      </w:r>
    </w:p>
    <w:p>
      <w:pPr>
        <w:pStyle w:val="25"/>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便捷。</w:t>
      </w:r>
      <w:r>
        <w:rPr>
          <w:rFonts w:hint="eastAsia" w:ascii="仿宋_GB2312" w:hAnsi="仿宋_GB2312" w:eastAsia="仿宋_GB2312" w:cs="仿宋_GB2312"/>
          <w:sz w:val="32"/>
          <w:szCs w:val="32"/>
        </w:rPr>
        <w:t>系统操作要简洁方便，功能一目了然，界面越简洁越好。重点突出系统的可操作性和用户体验的友好性。</w:t>
      </w:r>
    </w:p>
    <w:p>
      <w:pPr>
        <w:pStyle w:val="25"/>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高效。</w:t>
      </w:r>
      <w:r>
        <w:rPr>
          <w:rFonts w:hint="eastAsia" w:ascii="仿宋_GB2312" w:hAnsi="仿宋_GB2312" w:eastAsia="仿宋_GB2312" w:cs="仿宋_GB2312"/>
          <w:sz w:val="32"/>
          <w:szCs w:val="32"/>
        </w:rPr>
        <w:t>因平台涉及的环节和集成的系统较多，在设计时要充分考虑系统之间交互的效率和可靠性，确保性能高效。</w:t>
      </w:r>
    </w:p>
    <w:p>
      <w:pPr>
        <w:snapToGrid w:val="0"/>
        <w:spacing w:line="360" w:lineRule="auto"/>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3.项目内容</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 系统上线实施服务</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3.1.1 总集成管控服务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金三社保费征管信息系统业务复杂度高，涉及管理子系统、征收子系统、财税库银、税银子系统、信息共享平台（税务端）、信息共享平台（人社端）等系统，参与厂商众多、关联关系庞杂，上线工作面临较大的挑战。系统上线不仅需要业务上的准备和验证、技术上的实施部署，还涉及到各方面的统筹协调工作，为保证上线工作井然有序、有条不紊地进行，顺利完成系统上线切换，需要提供上线总集成管控服务，协助上线单位做好上线管控，包括协助制定上线实施方案，并根据上线实施方案要求，开展系统实施部署、系统初始化、数据迁移、环境搭建、安全测评、培训辅导、运行维护、本地特色业务需求分析和开发、全流程测试、压力测试、上线切换等上线事项的过程管控，协调和管理各方完成计划内工作，提交满足要求的工作成果，并对工作成果进行初步审查，同时对于上线实施过程中出现的问题进行分析并提供解决方案，供上线单位决策、应用软件厂商解决问题使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中标人应按照税务总局《金税三期社保费征管信息系统》业务需求以及浙江省本地特色业务需求完成社保费的征收管理各项业务功能。</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3.1.2 环境部署</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根据采购人要求完成预生产、生产环境的实施部署，保障上线过程中系统运行稳定，按期完成上线切换。主要包括：应用系统部署、数据库初始化、OGG链路部署、系统调优、系统接口联调、上线环境保障等工作。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硬件资源到位后，完成基础资源安装工作，包括：各类服务器、网络、存储、安全设备、软件安装（linux、oracle-rac、weblogic、goldengate、InforSuite Flow）等。基础软件安装要求如下：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数据迁移环境，只需准备迁移中间库，用于进行数据比对、迁移存放、清洗、转换工作，属于上线期间的临时工作环境，完成上线后可回收他用。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生产环境，上线前主要用于上线单位组织内部培训和上机练习使用，以及进行机关、人员、岗责、工作流等初始化信息采集、数据迁移的验证、数据比对等工作。上线工作开始后，用于生产环境版本发布前测试验证工作。预生产环境部署架构应与正式生产环境一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环境，用于进行全流程测试运行的各类设备准备，主要包括：数据库、应用服务器、负载均衡、网络、安全等设备，以及用户客户端环境准备等工作，满足全省范围全流程测试运行工作所需，未来将成为正式上线的生产环境。</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3.1.3 系统初始化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初始化采集准备工作。根据社保费管理子系统的参数设置表及业务功能要求，协助采购人整理各业务域涉及的代码表和参数表，分析并建立对应的参数表来满足各类业务场景，并对各参数表支撑的业务场景、采集的必要性、采集的要求、参数表间的关系描述清晰，制定初始化方案。为采购人提供初始化培训服务，确保采购人对采集要求和业务规则理解到位，保证后续初始化采集的准确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初始化采集实施工作。按照制定的初始化方案，提供初始化采集模板，协助采购人开展初始化采集工作。在采购人进行采集过程中，提供咨询服务，解答采购人的疑问。收集采购人采集的初始化信息，按照社保费管理子系统的要求，将初始化数据导入相应的验证环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初始化成果验证工作。主要是对已采集完毕的数据进行质量检查，并在测试环境中进行模拟测试，对验证发现的问题，协助采购人进行数据修正和重新采集（为满足质量要求可进行多轮验证、采集、重新导入），最终形成可导入生产环境的初始化基线版。</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3.1.4 数据迁移服务</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数据迁移工作包括制定数据迁移方案、迁移脚本开发、数据清理与补录、数据比对、验证、投放等工作。数据迁移人员应根据共享平台2.0版的数据标准，开展本地代码表的确认和对照工作，需要确认和对照的代码表包括但不限于：业务系统ID编码、社保经办机构代码、险种类型代码、身份证件类型代码等。对于身份征缴类型、险种类型代码等，存在人社、医保和税务代码一对多情况的，协商产出代码对照表。</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数据迁移的重点在于参保缴费单位与税务登记户的关联比对，参保缴费个人与自然人信息比对、参保缴费个人互斥参保险种比对，以及同一缴费单位税、费按属地原则分配后的主管税务机关是否统一等问题。针对数据迁移中发现的问题，制定数据迁移方案，组织开展多轮次的数据迁移工作。</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数据迁移工作过程中要充分沟通，深度清理垃圾数据，全面进行用户测试、数据比对和数据验证工作，确保高质量的迁移数据。每轮数据迁移工作完成后，形成《数据迁移阶段性报告》。</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3.1.5 系统测试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功能测试</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编写全业务功能测试方案和计划以及全人群全流程功能测试用例，模拟全流程系统测试数据进行系统功能测试，进行测试问题排查、处理、复测。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联调测试</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组织开展与社保费其它各子系统、本地特色软件间的全业务全流程联调测试工作。检验系统运行能力、软件功能、系统业务适应性、初始化质量等是否能够满足生产需要，促进系统功能的持续完善，确保各个系统之间能够相互连通并稳定运行，外围特色软件可以顺利接入系统并稳定运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性能、压力测试</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制定全流程测试工作方案，明确参加测试的区域范围和业务范围、工作计划等。测试服务工作包括测试方案制定、测试数据准备、测试问题分析、测试过程支持等工作，主要围绕全流程测试及系统压力测试两方面进行。</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中标人负责完成压力测试工具部署、测试数据准备等工作，完成社保费管理子系统压力测试、人海压力测试工作。</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3.1.6 上线切换</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制定详细的上线工作方案、应急预案、完成系统切换、提供业务试办跟踪服务等工作。根据上线切换方案开展系统切换工作，主要完成数据清理、最终存量数据投放、系统检查、系统切换工作，及时处理上线切换过程中遇到的问题，保障系统稳定运行，确保正常办理业务。</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组织开展对系统切换的检查和配置工作，做好生产环境迁移数据投放、初始化数据检查、环境配置检查、功能菜单检查、用户账号密码修改等工作事项。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协调本省人社、医保部门，按《企业社保费划转数据迁移方案》要求，获取最终正式数据。人社、医保部门提交最终正式数据后至系统正式切换前这段时间的增量数据（含调整的数据），从共享平台传递。</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组织完成本省金税三期社保费征管信息系统（标准版）最终数据投放。由于正式数据的数据量庞大，数据清洗、投放的时间预计为2-3天。数据投放完成后，形成《数据迁移报告》。</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组织完成本省金税三期社保费征管信息系统（标准版）切换前系统检查。包括对系统环境、参数、数据表结构、索引、业务数据等进行检查。检查完毕后，形成《系统切换检查表》。</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为防止数据冲突，自数据投放开始至完成系统切换检查期间，暂停办理社保费征收业务。</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3.1.7 上线培训</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包括制定培训方案、培训课件编写、培训、培训支持及解答工作；提供业务和技术师资培训服务，负责培训讲师、教材的准备。培训在投标方指定场地进行，提供培训讲师及培训电子材料，培训内容包括业务功能培训和维护技术培训。</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 系统改造需求</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 单位非正常户管理</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缴费单位无正当理由连续三个月未进行社保费申报的，税务机关应派员实地检查，查无下落并且无法强制其履行缴费义务的，税务机关应当发出公告，责令其1个月内改正。逾期不改正的，可以将其认定为非正常户，并及时通报社会保险经办机构。</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浙江的非正常户认定延续原有规则，涉及以下流程：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对于未发起调查巡查的缴费人，后续流程为发起调查巡查；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对于已发起调查巡查、调查巡查结果为查无下落且公告状态为未公告的缴费人，后续流程为置为拟公告状态；</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对于已发起调查巡查、调查巡查结果为查无下落且公告状态为拟公告的缴费人，各省可根据实际情况进行公告，前往社保费非正常户公告清册页面将其置为公告状态，责令其一个月内改正；</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如果公告状态为已公告且公告期满，缴费人并未改正，后续流程为前往社保费非正常户公告清册页面或者进入社保费非正常户认定页面将其认定为非正常户。</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3.2.2 单位社保费优惠减免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版系统中，人社、医保核定模式下，社会保险费的减免由人社、医保计算并将最终结果值传递给税务部门，税务部门无需进行减免计算，浙江省由税务部门计算社会保险费的优惠信息并给予减免，故需提供优惠信息采集相关功能并在申报时进行减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（1）生成社保费优惠资格清册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浙江省税务局根据最新政策文件要求明确优惠规则，并在系统中设置社保费优惠范围。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惠范围设置后，通知各区县税务局确认优惠单位规则或名单，各区县局按照行业、登记注册类型等其他信息查询单位信息（也可以是体外确认优惠单位名单，可能来源于外部门），选择省局已设置的优惠范围后发起优惠资格清册生成。</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优惠资格清册生成后不立即生效，区县局在初步确认优惠资格清册无误后将清册上报至省局，省局对优惠资格清册进行审批，可确认生效或确认不生效。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确认生效的优惠资格清册才可用于单位社保费申报时进行社保费减免。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另外，在以上流程办理完成后若税务人员识别到操作有误或数据错误，可对数据进行作废或撤销操作。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（2）社保费优惠资格减免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社保费优惠资格清册生成后，若单位缴费人前往申报优惠属期的社保费或自动批扣时，系统应进行相应减免，单位缴费人只需缴纳减免后的缴费金额。</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因人社、医保核定模式下，标准版申报功能中未展示减免金额信息，故需新增《单位社保费确认申报（浙江）》本地化功能，可在此功能实现征集信息的确认申报（待申报信息中可查看到减免金额）。</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（3）缴费信息反馈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缴费信息上解、入库后，社保费管理子系统将单位缴费信息反馈给人社、医保部门，缴费金额均为减免后的实缴费额，不体现减免费额与应缴费额，人社、医保部门若有需要，需自行根据缴费基数×缴费比例计算得出应缴费额，根据应缴费额-实缴费额得出减免费额。</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3.2.3 单位职工社保费个人清缴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员工因达到退休年龄、离职等情况需缴纳其名下欠费时，员工可以自行以单位名义清缴，允许在税务前台进行单位社保费申报或拆分缴费，拆分缴费后的数据由社会保险经办机构进行手工到账，手工到账时可从税务部门查询缴费数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个人清缴分为两种情况：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一是单位已申报社保费未缴纳，此情况下通过“一般征收开票”功能实现拆分开票，仅缴纳该职工的社保费，由社保费征收子系统处理，社保费管理本地化系统不进行改造。</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单位未申报社保费，此情况下职工个人需联系人社、医保部门，由人社、医保部门拆分征集信息（先撤销原单位征集信息，后新增拆分后的征集信息）后传递给税务部门，税务部门进行征收，标准版系统支持该模式下的社保费征收业务。</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特殊情况下，人社、医保部门核定的征集信息未传递到税务部门，税务部门需实现个人社保费清缴业务，社保费管理本地化系统提供录入申报功能，同步需支持。</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3.2.4 单位社保费逾期申报（往期双基数）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以前属期，单位社保费申报支持双基数模式，单位缴费部分的缴费基数允许不同于个人缴费部分。切换到社保费标准版后，采用单基数模式征缴社会保险费，但是对于2022年1月以前属期的社保费缴纳，仍然允许单位申报双基数。</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人社、医保核定模式下，税务部门以人社、医保部门传递的核定信息为准，不可对核定信息进行篡改。因标准版切换前浙江采用双基数模式，存在两种情况，一是人社、医保只传递个人缴费部分，单位缴费部分通过前台录入；二是人社、医保传递个人缴费部分和单位缴费部分，单位缴费部分仅作为参考，税务部门可修改单位缴费部分的缴费基数，只要求满足缴费基数比对规则即可。</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3.2.5 单位税务与社保登记注销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登记注销需强制关联社保费欠费，有社保费欠费的不允许税务登记注销。税务登记注销前需查询社保相关情况，对于没有缴费信息关联的，允许税务登记注销，有缴费信息关联的，需通过信息共享平台向人社（医保）查询是否存在未停保或未到账数据，存在时不允许税务注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缴费登记注销清算功能仅双基数模式需要，标准版上线后采用单基数模式，仅往期补缴支持双基数，因此不再需要缴费登记注销清算，无需结算申报。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次，因标准版系统中参保登记信息来源于人社、医保部门，缴费登记注销的前提是单位参保登记信息已全部终止（即停保），因此缴费登记注销根据人社、医保传递的参保登记信息全部终止进行同步。税务登记注销时要求不存在人社、医保未到账数据、欠费数据与未停保数据。系统需实现以下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（1）新增接口-税务能否注销接口</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提供方：社保费管理本地化系统，使用方：电子税务局/一网通。</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管理本地化系统调用人社、医保接口（存在未入库的应征信息或未停保即不能注销）并查询管理子系统数据（存在往期双基数的单位缴费部分已申报未缴费即不能注销），返回结果能否注销。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（2）人社、医保部门发起注销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单位基础信息终止后，若该单位社保户下全部“社保经办机构+单位编号”已终止，系统自动注销该社保户的缴费登记。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（3）税务部门受理社保登记注销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考虑人社医保无参保登记的情况，浙江税务以工商信息为准，存在大量人社、医保无参保登记税务有缴费登记的场景，需提供补偿功能，支持税务部门主动发起注销。</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新增社会保险费注销受理功能，用于税务部门受理注销并通知人社、医保部门，若该缴费人仍有有效参保登记，由人社医保部门传递参保登记信息终止数据，终止成功后税务部门自动注销；若该缴费人无参保登记，人社医保部门反馈该结果后税务部门自动注销。</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3.2.6 单位社保费未申报清册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税务部门进行催报社会保险费需要数据支撑，基于浙江模式，需定期生成社保费未申报清册，辅助税务部门的催报工作。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标准版中需结合浙江的缴费提醒、催报、催缴业务生成未申报清册，为后续管理环节提供数据支撑。</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根据未申报的核定信息生成未申报清册，主管税务机关、主管税务科所应使用社保费登记的主管税务机关和科所，非税收登记。</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3.2.7 超过缴款期限批扣不加收滞纳金</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超过缴款期限的应征数据也允许批扣，同时考虑到扣款时间与缴费人实际存款时间不一致的原因，批扣时不予加收滞纳金。</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自行申报缴费的要加收滞纳金，且缴款期限非申报日后XX天。</w:t>
      </w:r>
    </w:p>
    <w:p>
      <w:pPr>
        <w:snapToGrid w:val="0"/>
        <w:spacing w:line="360" w:lineRule="auto"/>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3.2.8 税务核销社保核定数据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对于社会保险经办机构因系统原因批量发送错误的数据，税务部门可以采取及时核销的方式，阻断大批量错征误征，避免产生舆情。</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版系统中要求人社、医保传递的征集信息由人社、医保部门发起撤销，税务部门根据人社、医保传递的撤销数据进行校验，当征集信息尚未发生后续业务（已申报或已发起批扣等）时允许撤销，否则不予撤销。浙江省考虑网络异常或其他原因导致人社、医保未发起撤销但实际税务部门已确认该笔征集信息错误的场景，故需提供《社会保险费核定数据撤销（依职权）》的功能。撤销后的数据需满足以下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（1）缴费人办理申报/缴费业务时无法查询出撤销后的数据；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（2）撤销后的数据类同于无效数据，不影响缴费人办理主管税务机关变更、停保等业务；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（3）需记录操作信息，核销人、核销税务机关、核销时间等，可通过核销人或是其他字段（操作类型）区分人社医保传递的撤销数据。</w:t>
      </w:r>
    </w:p>
    <w:p>
      <w:pPr>
        <w:snapToGrid w:val="0"/>
        <w:spacing w:line="360" w:lineRule="auto"/>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3.2.9 保费核销明细清册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社保核定数据撤销后，税务工作人员可通过前台功能查询被核销的应征明细信息，包括税务核销、社保核销与后台运维核销三类渠道。</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3.2.10 个人单笔实时业务实时到账</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缴费人通过银行查缴、银行实扣、支付宝、微信、电子税务局等非批扣渠道缴费的，缴费成功后，征收信息需实时传递给社会保险经办机构，社会保险经办机构收到征收信息后进行到账处理。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因标准版系统涉及社保费管理子系统、社保费征收子系统、税银子系统。不同渠道缴费时最新缴费数据掌握在不同的系统。</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查缴、支付宝（需确认是否调用查缴接口实现）、微信（需确认是否调用查缴接口实现）、电子税务局（需确认是否调用查缴接口实现）模式下，缴费成功后税银子系统调用扣款回执接口，可以起到通知效果，社保费管理本地化系统可在扣款回执接收成功后组织扣款信息，调用实时接口反馈给人社、医保部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现金缴费模式下，需确认是否通过税银查缴后扣款汇总的方式完成缴费，若是，与上述渠道一致；若否，需社保费征收子系统在收到扣款信息后通知社保费管理本地化系统，收到通过之后再组织扣款信息反馈。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实时调用接口发送扣款信息可能因网络异常等原因导致人社、医保到账失败，此模式下需通过批量交互（扣款信息反馈）兜底，组织FTP文件传递给人社、医保部门。</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3.2.11 个人主管税务机关分配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社保经办对应多个主管税务局机关的情况下，自然人（城乡居民、灵活就业人员）可以关联对应的主管税务机关。自然人（城乡居民、灵活就业人员）参保登记信息交互基础信息子集增加主管税务机关字段，配置社保部门、行政区划（参保地）、乡镇街道和主管税务机关一对一参数表，系统根据参数表的行政区划（参保地）等参数，自动关联主管税务机关。</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同时支持变更灵活就业人员、城乡居民的主管税务机关、主管税务所（科、分局）、税管员。允许主管税务机关、主管税务所（科、分局）突破和街道乡镇、社区村组的对照关系。 </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3.2.12 缴费人端技术辅助</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缴费人端建设依赖于标准服务清册无法满足全部的业务要求，为支撑缴费人端与核心系统解耦与其他特色功能提供各类接口支持。</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3.2.13 个人未缴费清册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税务人员在前台需查询未缴费的自然人名单，根据未缴费自然人信息可查询到联系方式、协议信息等可用于税务人员联系上缴费人进行业务指引。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标准版查询功能中未包含提出的所有数据项，需新增查询功能及接口：</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（1）未申报信息查询规则；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（2）街道乡镇社区村组查询规则；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（3）联系电话查询规则；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（4）银行卡号查询规则；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（5）批扣失败原因查询规则。</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3.2.14 社保导入（传递）核定信息查询清册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税务人员在前台可查询出符合条件的核定信息的处理状态，包括核定信息的完整业务流程，如接收成功、已申报、批扣中、已销号（入库）等状态。</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主要适用场景：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（1）征收子系统已批扣，管理子系统未同步反写申报的场景查询；可以通过核定信息查询功能状态判断。</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（2）查询所有人社、医保传递的征集信息的缴费情况。 </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3.2.15 一人式查询（社保费）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人员在前台用于查询特定自然人的缴费相关信息，根据缴费人识别号、缴费人名称、证件号码等信息可以查询到缴费人基本登记信息，参保险种信息、应征缴费信息、银行委托扣款信息、缴费入库信息等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完成数据一人式的归集，包括完成税务登记、社保费登记、核定数据、申报数据、征收数据、入库等相关社保费数据汇集；并且提供一人式管理查询功能，可以通过一屏式展示个人相关所有社保费信息。</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3.2.16 社保费缴费登记情况统计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各级税务机关人员查询下辖各地区的社保缴费登记情况，并用于基层税务机关处理未关联登记的单位参保登记信息。</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3.2.17 社保费缴费申报情况统计</w:t>
      </w:r>
    </w:p>
    <w:p>
      <w:pPr>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各级税务机关人员查询下辖各地区的社保缴费申报情况，其中企业申报率用于量化考核，并且支持基层税务机关进行催报处理。 </w:t>
      </w:r>
    </w:p>
    <w:p>
      <w:pPr>
        <w:snapToGrid w:val="0"/>
        <w:spacing w:line="360" w:lineRule="auto"/>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3.2.18 城乡两费征缴情况统计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省局、市局为掌握各地城乡居民两费征收、入库等情况，以及应征数据接收情况，便于综合判断各地的征缴进度进行通报。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县局为掌握各乡镇街道、社区或村的征缴进度，便于掌握集成进度，督促基层催缴。</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 数据转化服务</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考虑省人社、医保等部门目前无法按照信息共享标准2.0版实现税务局社保费系统对接的实际情况，省税务局先期采用数据共享交换补偿方案实现与人社、医保等部门的对接。在省人社、医保等部门具备采用信息共享标准2.0版与省税务局进行系统对接条件时，投标方需按采购人要求完成信息共享标准2.0版的系统对接。</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完成系统上线前的数据转化改造工作，主要包括</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人社、医保部门以浙江1.0标准接入，税务部门转化成标准版2.0数据进行存储；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标准版系统对存储数据进行重复、合规等相关规则校验；</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标准版完成相关征缴工作后，及时的</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标准版2.0数据转化为浙江1.0数据，与人社、医保完成后续到账等相关交互。</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 系统运行保障服务</w:t>
      </w:r>
    </w:p>
    <w:p>
      <w:pPr>
        <w:snapToGri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正式部署实施上线项目验收同通过后，提供6个月的现场运维监控服务支持以及提供远程高级技术运维服务支持。主要负责金税三期社保费管理子系统的系统监控、数据运维、业务运维、技术运维等工作。</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五</w:t>
      </w:r>
      <w:r>
        <w:rPr>
          <w:rFonts w:ascii="仿宋_GB2312" w:hAnsi="华文中宋" w:eastAsia="仿宋_GB2312" w:cs="宋体"/>
          <w:b/>
          <w:sz w:val="32"/>
          <w:szCs w:val="20"/>
        </w:rPr>
        <w:t>、</w:t>
      </w:r>
      <w:r>
        <w:rPr>
          <w:rFonts w:hint="eastAsia" w:ascii="仿宋_GB2312" w:hAnsi="华文中宋" w:eastAsia="仿宋_GB2312" w:cs="宋体"/>
          <w:b/>
          <w:sz w:val="32"/>
          <w:szCs w:val="20"/>
        </w:rPr>
        <w:t>项目执行标准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本项目依托于金三社保费标准版系统开发，需要投标人对本项目系统集成的理解；本项目需满足税务总局金三系统的相关安全管控要求。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1.易用性、可维护性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系统功能尽可能自动化，减少人工操作环节，用户操作界面应简明、实用、易于学习和掌握，操作方式应符合用户使用习惯。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系统在运行过程中所发生的任何错误都应该有明确的错误编号，并能在系统的维护手册中查到相应错误的处理方法与步骤。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整体系统设计应充分借鉴大数据计算模式，应用系统应采用组件化设计思想，系统框架与业务逻辑分离；要求具备开放的体系结构。</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2.稳定性、可控性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应用系统必须支持负载均衡能力，支持应用部署在多台服务器上，避免应用系统的单点故障。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系统维护、升级时应不影响在运系统的正常运行。</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3.可扩展性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a.系统应当适应不同的硬件环境，软硬件升级不会造成大的改动。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b.遵照开放系统的标准，确保软硬件平台的可移植性。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c.降低模块间依赖性，提高容错性。</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d.各个模块的部署也要相对独立，不能出现由于模块功能的相互依赖性而不能启动服务的情况。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4.安全性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项目应符合国家信息系统安全等级三级相关要求，系统满足《网络安全法》和《税务应用系统网络安全审核指南》等税务系统相关网络安全管理要求。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协助采购方开展软件安全功能检查、等级保护测评、风险评估、安全基线检查、漏洞扫描和渗透测试等安全评测，对发现的安全问题开展彻底整改。对于外网应用需另行提供代码审计等相关安全报告。</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六</w:t>
      </w:r>
      <w:r>
        <w:rPr>
          <w:rFonts w:ascii="仿宋_GB2312" w:hAnsi="华文中宋" w:eastAsia="仿宋_GB2312" w:cs="宋体"/>
          <w:b/>
          <w:sz w:val="32"/>
          <w:szCs w:val="20"/>
        </w:rPr>
        <w:t>、</w:t>
      </w:r>
      <w:r>
        <w:rPr>
          <w:rFonts w:hint="eastAsia" w:ascii="仿宋_GB2312" w:hAnsi="华文中宋" w:eastAsia="仿宋_GB2312" w:cs="宋体"/>
          <w:b/>
          <w:sz w:val="32"/>
          <w:szCs w:val="20"/>
        </w:rPr>
        <w:t>项目交付要求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1.项目建设过程需按投标方建设上线要求提供项目成果，含需求分析、软件开发、测试、部署、验收和培训等部分。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方需根据浙江省税务局要求提供参加开发、运维工作的技术人员不得少于20名，其中：项目管理总监1人，要求拥有本科及以上学历，具备8年以上项目管理经验，并具有高级项目经理相关资质；项目负责人1名，要求拥有本科及以上学历，具备5年以上工作经验，擅长与用户进行沟通；项目技术专家5名，从事软件开发工作年限不少于5年；专业技术人员2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3.合同签订后5日内，从事开发和运维工作的技术人员须在浙江省税务局指定地点工作。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方开发和运维技术人员在项目开发期间应严格遵守有关浙江省税务局内部规章制度，服从浙江省税务局的管理，对开发过程中涉及浙江省税务局的任何资料严格保密，不得擅自查看、复制、传播所接触的任何源代码、用户资料、数据。中标方开发技术人员中止技术服务时，不得带走任何源代码和相关数据、资料。中标方在上岗前须与技术人员签订安全保密协议书，并交一份给浙江省税务局存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5.中标方需提供包括故障排除、性能调优、技术咨询等服务，并能自行处理、协调与各系统软件、硬件等供应商。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6.中标方技术人员开发的软件中不得有安全后门、安全漏洞、逻辑炸弹等危害软件安全、影响软件正常运行的代码和设置，否则由此产生的一切责任和后果由中标方承担。</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7.中标方在项目建设期及运维期间按要求完成的软件版权归浙江省税务局所有，软件中不得以任何形式出现中标方信息。</w:t>
      </w:r>
    </w:p>
    <w:p>
      <w:pPr>
        <w:snapToGrid w:val="0"/>
        <w:spacing w:before="156" w:after="156"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七</w:t>
      </w:r>
      <w:r>
        <w:rPr>
          <w:rFonts w:ascii="仿宋_GB2312" w:hAnsi="华文中宋" w:eastAsia="仿宋_GB2312" w:cs="宋体"/>
          <w:b/>
          <w:sz w:val="32"/>
          <w:szCs w:val="20"/>
        </w:rPr>
        <w:t>、</w:t>
      </w:r>
      <w:r>
        <w:rPr>
          <w:rFonts w:hint="eastAsia" w:ascii="仿宋_GB2312" w:hAnsi="华文中宋" w:eastAsia="仿宋_GB2312" w:cs="宋体"/>
          <w:b/>
          <w:sz w:val="32"/>
          <w:szCs w:val="20"/>
        </w:rPr>
        <w:t>项目服务要求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1.总体要求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人应充分理解本项目具有的业务复杂性、渠道多样性、规模巨大、性能和可靠性要求高等特点，在本项目国家税务总局总体实施要求的基础上，提出更科学、更合理、更有效的符合浙江省本地的实施方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（2）投标人应成立项目管理组织，严格遵守采购人项目管控的要求。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（3）投标人必须在项目过程中，选派工作责任心强、技术水平高、业务熟练、管理经验丰富的人员专职参加该项目。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（4）投标人应基于成熟的项目管理方法论，制订完善的项目管理制度、流程，合理划分项目管理的阶段，借助工程管理工具，在项目实施过程中对项目进行规范化管理，确保项目实施进度和实施质量。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（5）投标人应提供项目管理方案，至少覆盖进度管理、范围管理、风险管理、需求管理、质量管理、资源管理、时间管理、沟通管理等。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（6）投标人各阶段产出物采用特殊格式的，投标人需提供相应的打开、编译、运行、修改、打印等工具，并确保招标人无限制的使用；不受版权和知识产权限制，招标人不对工具额外付费。</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2.项目组织和人员要求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成立由招标人、投标人共同组成的项目管理机构，负责整个项目的实施工作。投标人的专职项目团队必须严格遵守国家的政策法规，执行项目管理机构的各项规章制度，服从管理和调度，认真履行工作职责，圆满完成工作任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在项目开始时提交项目参与人员名单，经招标人确认。投标人应保证项目组成员的稳定性，如特殊情况需要调整项目组成员的，应提前一个月书面通知招标人，并获得招标人的确认后才能安排调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必须在项目过程中，选派工作责任心强、技术水平高、业务熟练、管理经验丰富的人员专职参加该项目。项目实施人员应与投标文件中所提供的人员名单相符，不经招标人许可随意变更，招标人有权追究投标人责任，并采取相应处罚措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（4）项目成员应熟练掌握技术技能，对税务知识有清晰的认识，各项目小组需具备不同的专业人员，项目成员分工应合理。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（5）招标人如认为投标人的项目组成员达不到要求，有权要求投标人更换，投标人必须在一周之内调换符合招标人要求的项目组成员。</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（6）为保障项目质量与进度，要求中标人在项目建设期间，保证人员投入。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用户所提出的系统软硬件平台和业务应用软件等故障处理要求，必须在1小时内做出安排并将其反馈给用户，遇到重大技术问题，应在30分钟内响应，并在2小时内采取相应措施以确保系统可正常操作。无法在2小时内解决的，必须提供解决时间表。值班电话24小时不关机，并能及时响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（8）稳定的服务团队。投标人需为本项目建立独立服务团队并保障队伍的稳定，服务人员服从税务局的统一调度与管理，服务期内出现服务人员调整时需提前一个月汇报招标人，经同意后方可进行调整。</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3.项目总体技术要求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（1）技术标准与规范要求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系统在建设过程中必须参照国家电子政务标准和税务系统信息化建设标准与规范的有关要求进行实施，符合国家税务总局金税三期系统建设相关标准规范要求。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（2）系统安全性要求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须保证系统安全性，需要从系统级、应用级、管理级三个层次具有较好的安全性。需要按照国家税务总局《电子税务局规范-安全规范》、《税务系统信息安全等级保护基本要求》中等级保护三级要求、《网上办税系统技术要求》、《税务移动应用安全开发和评估规范》等规范要求，能够保证系统安全、网络安全以及数据安全。在稳定性方面，系统要求能够满足7×24小时无人值守的稳定工作，具备较强的系统安全性和灾难恢复能力，系统具备强有力的安全保障措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（3）可靠性要求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系统无单点故障，系统具有动态负载均衡处理能力。保证7×24小时不间断工作。须保证即便某些节点发生了永久性的失败，系统架构也能够保证这些节点所处理和存储的数据也不会丢失。</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（4）系统兼容性要求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系统应支持多种硬件服务器，平台可兼容Linux，AIX，Windows Server等主流操作系统。</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系统应能有效支持各种主流的浏览器（IE8及以上、chrome、firefox、safari）。</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系统应具备可伸缩性，提供横纵向扩展能力，增加硬件资源后，能有效提高系统的业务处理能力。</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4.技术支持服务要求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系统上线后，中标人需要按合同约定的期限进行运维监控等保障工作，提供驻场和远程技术支持服务，保证各应用系统平稳运行。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在服务期内，中标人提供的服务和技术支持包括但不限于以下内容：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（1）问题解答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a.中标人应对软件使用过程中出现的各类问题进行解答；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b.处理建议应以前台操作为主，能够通过前台操作完成的，尽量不在后台调整；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c.操作中出现的常见问题，应及时通过技术支持渠道向用户发布；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d.中标人应对问题解答风险负责，如因中标人解答不当，造成招标人的损失，中标人应负责相应责任。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（2）故障处理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a.系统运行、升级期间出现故障由中标人及时到现场进行处理、解决；</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b.中标人应对系统故障提出故障处理建议，经招标人同意后，由中标人进行排除、系统调优或重置；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c.中标人应对系统故障的处理风险负责，如因中标人技术人员的处理不当，造成招标人的损失，中标人应负责相应责任。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（3）基础环境运维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a.对运维系统所涉主机、数据库、中间件等IT资源的日常监控和调优；</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b.对系统性能进行监控，定期提供性能报表和趋势表，为应用性能优化提供科学依据；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c.经招标人同意后进行各项系统级参数的调整，日志空间整理，以保证系统的稳定高效运行；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d.完成故障事件收集、过滤、关联和处理等工作，实现对故障的快速定位、处理或反馈。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（4）应用系统运维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a.负责完成总局统一版本的升级维护，配合招标人完成软件升级测试等工作；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b.对系统和各功能模块的运行效率、性能进行监控；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c.受理基层操作人员问题，进行问题核实，解决问题。</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八</w:t>
      </w:r>
      <w:r>
        <w:rPr>
          <w:rFonts w:ascii="仿宋_GB2312" w:hAnsi="华文中宋" w:eastAsia="仿宋_GB2312" w:cs="宋体"/>
          <w:b/>
          <w:sz w:val="32"/>
          <w:szCs w:val="20"/>
        </w:rPr>
        <w:t>、</w:t>
      </w:r>
      <w:r>
        <w:rPr>
          <w:rFonts w:hint="eastAsia" w:ascii="仿宋_GB2312" w:hAnsi="华文中宋" w:eastAsia="仿宋_GB2312" w:cs="宋体"/>
          <w:b/>
          <w:sz w:val="32"/>
          <w:szCs w:val="20"/>
        </w:rPr>
        <w:t>项目验收标准</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1.项目工期要求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（1）本项目招标有效期为1年。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（2）本项目要求2022年一季度前完成相关系统建设改造工作，确保系统顺利平稳上线。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）系统上线后平稳运行一个月后中标方可发起项目验收申请，经采购方同意后开展验收。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）本项目要求项目验收完成后提供6个月的运行保障工作，保障系统运行稳定。</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2.项目验收要求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验收工作由招标人组织实施，投标人应完成项目验收的相关验收场景和资料的准备</w:t>
      </w:r>
      <w:r>
        <w:rPr>
          <w:rFonts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a.验收的原则和依据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本着保证质量、注重应用、功能适用的原则，以本项目招标文件、合同和业务需求及相关技术标准规范为验收的主要依据。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b.验收标准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①系统运行正常。</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②招标文件和合同要求全部完成，并满足要求。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③各种技术文档和验收资料完备，符合合同的内容。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④系统监控和数据处理符合信息安全的要求。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⑤合同或合同附件规定的其他验收条件。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c.交付物要求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建设期验收方案内容包括但不限于：详细描述验收目的、验收内容、技术条件、验收方法、进度安排、人员组成、验收准则、验收数据准备等。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验收资料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内容包括但不仅限于：详细描述和总结验收依据、验收内容、验收过程、验收准则、验收报告结论存在问题、优化完善建议等。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 建设期移交物清单及交付物</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内容包括但不局限于：管理文档、用户文档、上线相关文档等。</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九</w:t>
      </w:r>
      <w:r>
        <w:rPr>
          <w:rFonts w:ascii="仿宋_GB2312" w:hAnsi="华文中宋" w:eastAsia="仿宋_GB2312" w:cs="宋体"/>
          <w:b/>
          <w:sz w:val="32"/>
          <w:szCs w:val="20"/>
        </w:rPr>
        <w:t>、</w:t>
      </w:r>
      <w:r>
        <w:rPr>
          <w:rFonts w:hint="eastAsia" w:ascii="仿宋_GB2312" w:hAnsi="华文中宋" w:eastAsia="仿宋_GB2312" w:cs="宋体"/>
          <w:b/>
          <w:sz w:val="32"/>
          <w:szCs w:val="20"/>
        </w:rPr>
        <w:t>其它要求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1.保密要求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与招标人签订网络安全保密协议，投标人参与项目的所有人员应严格遵守招标人的保密要求并签订网络安全保密承诺书，并由投标人担保；投标人应遵照招标人的文档知晓范围的规定，制定项目文档的保密要求，并把知晓范围明确标识在文档之中，以便控制文档使用范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对于招标人提供的资料，以及本项目实施过程中所涉及的所有文档、源代码、数据、介质和相关信息保密，未经许可，不得以任何形式向第三方泄露。保密期限不受本项目期限的限制，在本项目履行完毕后，保密信息接受方仍应承担保密义务。</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（3）如因投标人的原因造成泄密，招标人将保留追究其法律责任的权利。</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2.知识转移要求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知识转移的目标是投标人要采取有效方法、途径保证招标人能顺利完成本项目服务过程中各阶段移交物的接收及技术知识的吸收和转移，确保招标人能够掌握该项目的核心技术。投标人须将服务期间产生的一切资料和知识通过培训和文档等形式转移给招标人。</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（2）招标人不单独对知识转移支付费用。</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3.知识产权要求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（1）项目实施过程中所产生的所有成果（包括输出文档、相关技术资料等）归招标人所有。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（2）投标人应保证在本项目中使用的软件为在中国境内具有合法版权或使用权的正版软件且无质量瑕疵。</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（3）投标人应保证其所提供的服务不侵犯第三方的知识产权，否则，由此给招标人造成的一切损失由投标人承担。</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4.归档要求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投标人应按照招标人文档归档管理要求，对该项目所涉及的工作文档按招标人要求进行整理，经招标人确认后提交归档。</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5.项目进度和质量管理监管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（1）中标人须采用科学合理的方法确定进度目标，编制进度计划和资源供应计划，进行进度控制，在与质量、费用目标协调的基础上，实现工期目标。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（2）中标通知书下达后3个工作日内，中标人须向招标人提供详细、可行的实施方案，并做好项目实施的准备工作，项目进度要求以合同约定为准。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（3）中标人应在投标方案中说明如何建立保证项目实施的质量保证体系。保证系统上线实施的质量。</w:t>
      </w:r>
    </w:p>
    <w:p>
      <w:pPr>
        <w:pStyle w:val="4"/>
        <w:rPr>
          <w:rFonts w:ascii="仿宋_GB2312" w:hAnsi="华文中宋" w:eastAsia="仿宋_GB2312"/>
          <w:b/>
          <w:sz w:val="32"/>
        </w:rPr>
      </w:pPr>
    </w:p>
    <w:p>
      <w:pPr>
        <w:pStyle w:val="5"/>
        <w:ind w:firstLine="0" w:firstLineChars="0"/>
        <w:rPr>
          <w:rFonts w:ascii="仿宋_GB2312" w:hAnsi="华文中宋" w:eastAsia="仿宋_GB2312"/>
          <w:b/>
          <w:sz w:val="32"/>
        </w:rPr>
      </w:pPr>
    </w:p>
    <w:p>
      <w:pPr>
        <w:pStyle w:val="5"/>
        <w:ind w:firstLine="0" w:firstLineChars="0"/>
        <w:rPr>
          <w:rFonts w:ascii="仿宋_GB2312" w:hAnsi="华文中宋" w:eastAsia="仿宋_GB2312"/>
          <w:b/>
          <w:sz w:val="32"/>
        </w:rPr>
      </w:pPr>
    </w:p>
    <w:p>
      <w:pPr>
        <w:pStyle w:val="5"/>
        <w:ind w:firstLine="0" w:firstLineChars="0"/>
        <w:rPr>
          <w:rFonts w:ascii="仿宋_GB2312" w:hAnsi="华文中宋" w:eastAsia="仿宋_GB2312"/>
          <w:b/>
          <w:sz w:val="32"/>
        </w:rPr>
      </w:pPr>
    </w:p>
    <w:p>
      <w:pPr>
        <w:pStyle w:val="5"/>
        <w:ind w:firstLine="210"/>
      </w:pPr>
    </w:p>
    <w:p>
      <w:pPr>
        <w:spacing w:line="360" w:lineRule="auto"/>
        <w:rPr>
          <w:rFonts w:ascii="仿宋" w:hAnsi="仿宋" w:eastAsia="仿宋"/>
          <w:b/>
          <w:bCs/>
          <w:sz w:val="28"/>
          <w:szCs w:val="28"/>
        </w:rPr>
      </w:pPr>
      <w:r>
        <w:rPr>
          <w:rFonts w:hint="eastAsia" w:ascii="仿宋" w:hAnsi="仿宋" w:eastAsia="仿宋"/>
          <w:b/>
          <w:bCs/>
          <w:sz w:val="28"/>
          <w:szCs w:val="28"/>
        </w:rPr>
        <w:t>商务要求表（标项1）</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1.服务时间：</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（1）本项目招标有效期为1年。</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（2）本项目要求2022年一季度前完成相关系统建设改造工作，确保系统顺利平稳上线；</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（3）系统上线后平稳运行一个月后中标方可发起项目验收申请，经采购方同意后开展验收；</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（4）本项目要求项目验收完成后提供6个月的运行保障工作，保障系统运行稳定。</w:t>
            </w:r>
          </w:p>
          <w:p>
            <w:pPr>
              <w:ind w:firstLine="420" w:firstLineChars="200"/>
              <w:rPr>
                <w:rFonts w:ascii="仿宋" w:hAnsi="仿宋" w:eastAsia="仿宋"/>
                <w:sz w:val="28"/>
                <w:szCs w:val="28"/>
              </w:rPr>
            </w:pPr>
            <w:r>
              <w:rPr>
                <w:rFonts w:hint="eastAsia" w:ascii="仿宋_GB2312" w:hAnsi="仿宋_GB2312" w:eastAsia="仿宋_GB2312" w:cs="仿宋_GB2312"/>
              </w:rPr>
              <w:t>2.地点：项目实施及服务运维地点由省税务局指定。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 xml:space="preserve">本采购项目无履约保证金； </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付款方式采取按服务年度支付的办法，分两次付款：</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1.第一次付款：合同签订后15个工作日内，凭中标人书面付款申请支付当年度服务费用的60%；</w:t>
            </w:r>
          </w:p>
          <w:p>
            <w:pPr>
              <w:rPr>
                <w:rFonts w:ascii="仿宋" w:hAnsi="仿宋" w:eastAsia="仿宋"/>
                <w:b/>
                <w:sz w:val="28"/>
                <w:szCs w:val="28"/>
              </w:rPr>
            </w:pPr>
            <w:r>
              <w:rPr>
                <w:rFonts w:hint="eastAsia" w:ascii="仿宋_GB2312" w:hAnsi="仿宋_GB2312" w:eastAsia="仿宋_GB2312" w:cs="仿宋_GB2312"/>
              </w:rPr>
              <w:t>2.第二次付款：服务期结束，验收通过后，招标人凭中标人书面付款申请和验收报告15个工作日内支付剩余40%；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1.系统运维期间，中标人需派员到浙江省税务局进行上门维护，随叫随到，运维人员不得少于4人。</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2.项目验收后，免费运维期为6个月，服务等级为7×24，需提供上门运维服务、电话支持服务、远程服务等多种服务形式。</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3.项目运维期为项目验收期起，运行监控6个月，保障系统运行稳定。</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4.运维服务期内，中标人根据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，其中至少有一人为参与系统建设的人员，且运行保障</w:t>
            </w:r>
            <w:r>
              <w:rPr>
                <w:rFonts w:ascii="仿宋_GB2312" w:hAnsi="仿宋_GB2312" w:eastAsia="仿宋_GB2312" w:cs="仿宋_GB2312"/>
              </w:rPr>
              <w:t>人员的</w:t>
            </w:r>
            <w:r>
              <w:rPr>
                <w:rFonts w:hint="eastAsia" w:ascii="仿宋_GB2312" w:hAnsi="仿宋_GB2312" w:eastAsia="仿宋_GB2312" w:cs="仿宋_GB2312"/>
              </w:rPr>
              <w:t>变动超过2人的，视为一次服务不合格。</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5.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ind w:firstLine="420" w:firstLineChars="200"/>
              <w:rPr>
                <w:rFonts w:ascii="仿宋" w:hAnsi="仿宋" w:eastAsia="仿宋" w:cs="仿宋_GB2312"/>
                <w:sz w:val="28"/>
                <w:szCs w:val="28"/>
              </w:rPr>
            </w:pPr>
            <w:r>
              <w:rPr>
                <w:rFonts w:hint="eastAsia" w:ascii="仿宋_GB2312" w:hAnsi="仿宋_GB2312" w:eastAsia="仿宋_GB2312" w:cs="仿宋_GB2312"/>
              </w:rPr>
              <w:t>6.若因中标方怠于履行运维责任、对系统运维不到位等原因导致浙江省税务局造成损失的，由中标方进行相应赔偿，同时视为该年度3次服务不合格。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ind w:firstLine="420" w:firstLineChars="200"/>
              <w:rPr>
                <w:rFonts w:ascii="仿宋" w:hAnsi="仿宋" w:eastAsia="仿宋"/>
                <w:sz w:val="28"/>
                <w:szCs w:val="28"/>
              </w:rPr>
            </w:pPr>
            <w:r>
              <w:rPr>
                <w:rFonts w:hint="eastAsia" w:ascii="仿宋_GB2312" w:hAnsi="仿宋_GB2312" w:eastAsia="仿宋_GB2312" w:cs="仿宋_GB2312"/>
              </w:rPr>
              <w:t>运维期服务等级为7×24，需提供上门运维服务、电话支持服务、远程服务等多种服务形式。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中标方须对浙江省税务局不少于4名工作人员进行软件相关功能、操作、原理的讲解与培训，培训要求如下：培训资料、培训讲师必须通过浙江省税务局得审核，讲解需细致到位，能使被培训者独自顺利操作软件的各个功能模块，培训课时不少于8小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项目组人员个人、团队开发能力情况（资历及业绩）</w:t>
            </w:r>
          </w:p>
        </w:tc>
        <w:tc>
          <w:tcPr>
            <w:tcW w:w="6775"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1.本项目的项目经理拥有本科及以上学历，具备5年以上工作经验得1分；具备计算机软件高级职称的三类证书（由中国电子信息行业联合会颁发的高级项目经理、中华人民共和国人力资源和社会保障部、工业和信息化部颁发的高级软件设计师、中华人民共和国人力资源和社会保障部、工业和信息化部颁发的高级系统架构设计师）</w:t>
            </w:r>
            <w:r>
              <w:rPr>
                <w:rFonts w:hint="eastAsia" w:ascii="仿宋_GB2312" w:hAnsi="仿宋_GB2312" w:eastAsia="仿宋_GB2312" w:cs="仿宋_GB2312"/>
                <w:highlight w:val="yellow"/>
              </w:rPr>
              <w:t>，每个证书得1分，最高2分。本项满分3分。</w:t>
            </w:r>
          </w:p>
          <w:p>
            <w:pPr>
              <w:ind w:firstLine="420" w:firstLineChars="200"/>
              <w:rPr>
                <w:rFonts w:ascii="仿宋_GB2312" w:hAnsi="仿宋_GB2312" w:eastAsia="仿宋_GB2312" w:cs="仿宋_GB2312"/>
              </w:rPr>
            </w:pPr>
            <w:r>
              <w:rPr>
                <w:rFonts w:hint="eastAsia" w:ascii="仿宋_GB2312" w:hAnsi="仿宋_GB2312" w:eastAsia="仿宋_GB2312" w:cs="仿宋_GB2312"/>
              </w:rPr>
              <w:t>2.本项目开发团队成员具备计算机软件中级及以上职称的（中华人民共和国人力资源和社会保障部、工业和信</w:t>
            </w:r>
            <w:r>
              <w:rPr>
                <w:rFonts w:hint="eastAsia" w:ascii="仿宋_GB2312" w:hAnsi="仿宋_GB2312" w:eastAsia="仿宋_GB2312" w:cs="仿宋_GB2312"/>
                <w:highlight w:val="none"/>
              </w:rPr>
              <w:t>息化部颁发的软件设计师、中华人民共和国人力资源和社会保障部、工业和信息化部颁发的系统管理工程师、中华人民共和国人力资源和社会保障部、工业和信息化部颁发的系统集成项目管理工程师、中华人民共和国人力资源和社会保障部、工业和信息化部颁发的信息系统项目管理师、中华人民共和国工业和信息化部教育与考试中心颁发的软件工程师、中华人民共和国人力资源和社会保障部、工业和信息化部颁发的系统架构设计师等），每</w:t>
            </w:r>
            <w:r>
              <w:rPr>
                <w:rFonts w:hint="eastAsia" w:ascii="仿宋_GB2312" w:hAnsi="仿宋_GB2312" w:eastAsia="仿宋_GB2312" w:cs="仿宋_GB2312"/>
              </w:rPr>
              <w:t>项证书得0.5分，</w:t>
            </w:r>
            <w:r>
              <w:rPr>
                <w:rFonts w:hint="eastAsia" w:ascii="仿宋_GB2312" w:hAnsi="仿宋_GB2312" w:eastAsia="仿宋_GB2312" w:cs="仿宋_GB2312"/>
                <w:highlight w:val="cyan"/>
              </w:rPr>
              <w:t>同一人最多1分。本项满分2分。</w:t>
            </w:r>
          </w:p>
          <w:p>
            <w:pPr>
              <w:ind w:firstLine="420" w:firstLineChars="200"/>
              <w:rPr>
                <w:rFonts w:ascii="仿宋_GB2312" w:hAnsi="仿宋_GB2312" w:eastAsia="仿宋_GB2312" w:cs="仿宋_GB2312"/>
              </w:rPr>
            </w:pPr>
            <w:r>
              <w:rPr>
                <w:rFonts w:hint="eastAsia" w:ascii="仿宋_GB2312" w:hAnsi="仿宋_GB2312" w:eastAsia="仿宋_GB2312" w:cs="仿宋_GB2312"/>
              </w:rPr>
              <w:t>（以上人员要求为供应商在册员工，提供相关证明材料及社保证明复印件。以上证明材料需供应商盖章确认。）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ind w:firstLine="420" w:firstLineChars="200"/>
              <w:rPr>
                <w:rFonts w:ascii="仿宋" w:hAnsi="仿宋" w:eastAsia="仿宋" w:cs="仿宋_GB2312"/>
                <w:sz w:val="28"/>
                <w:szCs w:val="28"/>
              </w:rPr>
            </w:pPr>
            <w:r>
              <w:rPr>
                <w:rFonts w:hint="eastAsia" w:ascii="仿宋_GB2312" w:hAnsi="仿宋_GB2312" w:eastAsia="仿宋_GB2312" w:cs="仿宋_GB2312"/>
              </w:rPr>
              <w:t>投标人具有有效ISO9001质量管理体系认证证书、ISO20000 信息技术服务管理体系认证证书、ISO27001信息安全管理体系。每提供一个得1分。最高得3分。（提供相关证明材料）。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ind w:firstLine="420" w:firstLineChars="200"/>
              <w:rPr>
                <w:rFonts w:ascii="仿宋" w:hAnsi="仿宋" w:eastAsia="仿宋" w:cs="仿宋_GB2312"/>
                <w:sz w:val="28"/>
                <w:szCs w:val="28"/>
              </w:rPr>
            </w:pPr>
            <w:r>
              <w:rPr>
                <w:rFonts w:hint="eastAsia" w:ascii="仿宋_GB2312" w:hAnsi="仿宋_GB2312" w:eastAsia="仿宋_GB2312" w:cs="仿宋_GB2312"/>
              </w:rPr>
              <w:t>应具有同类项目的开发经验。投标人提供2018年1月1日以来（以合同签订日期为准）实施同类项目的成功案例，并提供合同复印件或中标通知书复印件，每项得1分，最高得4分。</w:t>
            </w:r>
          </w:p>
        </w:tc>
      </w:tr>
    </w:tbl>
    <w:p>
      <w:pPr>
        <w:rPr>
          <w:rFonts w:hAnsi="宋体"/>
          <w:b/>
          <w:sz w:val="36"/>
          <w:szCs w:val="36"/>
        </w:rPr>
      </w:pPr>
      <w:r>
        <w:rPr>
          <w:rFonts w:hint="eastAsia" w:hAnsi="宋体"/>
          <w:b/>
          <w:sz w:val="36"/>
          <w:szCs w:val="36"/>
        </w:rPr>
        <w:br w:type="page"/>
      </w:r>
    </w:p>
    <w:p>
      <w:pPr>
        <w:snapToGrid w:val="0"/>
        <w:spacing w:line="620" w:lineRule="exact"/>
        <w:jc w:val="left"/>
        <w:outlineLvl w:val="0"/>
      </w:pPr>
      <w:r>
        <w:rPr>
          <w:rFonts w:hint="eastAsia" w:hAnsi="宋体"/>
          <w:b/>
          <w:sz w:val="36"/>
          <w:szCs w:val="36"/>
        </w:rPr>
        <w:t>标项2：社保标准版征收子系统推广上线及本地化改造采购需求</w:t>
      </w:r>
    </w:p>
    <w:p>
      <w:pPr>
        <w:snapToGrid w:val="0"/>
        <w:spacing w:line="360" w:lineRule="auto"/>
        <w:ind w:firstLine="643" w:firstLineChars="200"/>
        <w:outlineLvl w:val="0"/>
        <w:rPr>
          <w:rFonts w:ascii="楷体_GB2312" w:hAnsi="楷体_GB2312" w:eastAsia="楷体_GB2312" w:cs="楷体_GB2312"/>
          <w:b/>
          <w:bCs/>
          <w:sz w:val="32"/>
          <w:szCs w:val="32"/>
        </w:rPr>
      </w:pPr>
    </w:p>
    <w:p>
      <w:pPr>
        <w:snapToGrid w:val="0"/>
        <w:spacing w:line="360" w:lineRule="auto"/>
        <w:ind w:firstLine="643" w:firstLineChars="200"/>
        <w:outlineLvl w:val="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1.项目背景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办公厅、国务院办公厅印发了《国税地税征管体制改革方案》，明确提出为提高社会保险费征管效率、为缴费人提供更便捷的缴费服务，自2019年1月1日起，基本养老保险费、基本医疗保险费、失业保险费等各项社会保险费交由税务部门统一征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切实落实中办、国办要求，税务总局、人社部联合制定了《社会保险费和非税收入征管职责划转工作方案》，明确了工作职责，业务边界、划转关键事项和时间。为更好地完成信息系统建设任务，税务总局以金税三期系统为基础，优化形成金税三期社保费征管信息系统（标准版）（以下简称社保费标准版），由各省(市)负责该系统的实施推广。根据总局有关要求，浙江将于2022年正式上线金三社保费标准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标准版建设起点高、业务耦合度紧密、技术复杂度高、项目实施难度大且安全保障建设合规性要求强。为保障我省稳妥接收社保费征管职能及系统平稳上线运行，结合全国其他省市先进、平稳成功上线经验，特采购本项目。</w:t>
      </w:r>
    </w:p>
    <w:p>
      <w:pPr>
        <w:snapToGrid w:val="0"/>
        <w:spacing w:line="360" w:lineRule="auto"/>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2.总体思路</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（1）建设目标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做好金税三期社保费征管信息系统（标准版）征收子系统以及配套系统的上线实施、本地化特色改造和运行维护工作，确保金税三期社保费征管信息系统（标准版）征收子系统以及配套系统的平稳运行。以税务总局提出的“系统运行维护工作应稳定、高效、安全”为指导方针，以“统一管理，统一平台，统一入口，统一流程”为指导思想，提供基于统一规范的运维模式，建立起国家税务总局浙江省税务局社保费征管系统的运维团队，满足社保费业务处理和系统运维工作的需要。实现金税三期社保费征管信息系统（标准版）征收子系统以及配套系统运维工作的制度化、规范化、标准化，进一步提高国家税务总局浙江省税务局信息管税能力和纳税服务水平，满足浙江省社保征收转换工作的要求，保证浙江省社保费征缴平稳。 </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（2）建设要求</w:t>
      </w:r>
    </w:p>
    <w:p>
      <w:pPr>
        <w:pStyle w:val="25"/>
        <w:widowControl/>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项目必须满足安全、便捷和高效的原则，其中安全是第一位的。</w:t>
      </w:r>
    </w:p>
    <w:p>
      <w:pPr>
        <w:pStyle w:val="25"/>
        <w:widowControl/>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安全。</w:t>
      </w:r>
      <w:r>
        <w:rPr>
          <w:rFonts w:hint="eastAsia" w:ascii="仿宋_GB2312" w:hAnsi="仿宋_GB2312" w:eastAsia="仿宋_GB2312" w:cs="仿宋_GB2312"/>
          <w:sz w:val="32"/>
          <w:szCs w:val="32"/>
        </w:rPr>
        <w:t>在满足总局安全规范的前提下，系统设计时必须要突出安全，既要做好软件层面的安全，也要做好架构、硬件、网络等环节的安全。</w:t>
      </w:r>
    </w:p>
    <w:p>
      <w:pPr>
        <w:pStyle w:val="25"/>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便捷。</w:t>
      </w:r>
      <w:r>
        <w:rPr>
          <w:rFonts w:hint="eastAsia" w:ascii="仿宋_GB2312" w:hAnsi="仿宋_GB2312" w:eastAsia="仿宋_GB2312" w:cs="仿宋_GB2312"/>
          <w:sz w:val="32"/>
          <w:szCs w:val="32"/>
        </w:rPr>
        <w:t>系统操作要简洁方便，功能一目了然，界面越简洁越好。重点突出系统的可操作性和用户体验的友好性。</w:t>
      </w:r>
    </w:p>
    <w:p>
      <w:pPr>
        <w:pStyle w:val="25"/>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高效。</w:t>
      </w:r>
      <w:r>
        <w:rPr>
          <w:rFonts w:hint="eastAsia" w:ascii="仿宋_GB2312" w:hAnsi="仿宋_GB2312" w:eastAsia="仿宋_GB2312" w:cs="仿宋_GB2312"/>
          <w:sz w:val="32"/>
          <w:szCs w:val="32"/>
        </w:rPr>
        <w:t>因平台涉及的环节和集成的系统较多，在设计时要充分考虑系统之间交互的效率和可靠性，确保性能高效。</w:t>
      </w:r>
    </w:p>
    <w:p>
      <w:pPr>
        <w:snapToGrid w:val="0"/>
        <w:spacing w:line="360" w:lineRule="auto"/>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3.项目需求</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 总体需求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本项目涉及金税三期社保费征管信息系统(标准版)征收子系统上线实施、本地化特色改造优化完善、运维支持。 金税三期社保费征管信息系统(标准版)征收子系统包括社保费征收子系统、社保费应用集成平台（内部）、社保费应用集成平台（渠道）、社保费征收子系统查询、社保费业务工作门户平台、社保费跨层级数据交换平台等各系统的上线推广、实施及培训工作。</w:t>
      </w:r>
    </w:p>
    <w:p>
      <w:pPr>
        <w:snapToGrid w:val="0"/>
        <w:spacing w:line="360" w:lineRule="auto"/>
        <w:ind w:firstLine="643" w:firstLineChars="200"/>
        <w:outlineLvl w:val="1"/>
        <w:rPr>
          <w:rFonts w:ascii="仿宋_GB2312" w:hAnsi="仿宋_GB2312" w:eastAsia="仿宋_GB2312" w:cs="仿宋_GB2312"/>
          <w:b/>
          <w:bCs/>
          <w:sz w:val="32"/>
          <w:szCs w:val="32"/>
        </w:rPr>
      </w:pPr>
      <w:bookmarkStart w:id="30" w:name="_Toc20614"/>
      <w:bookmarkStart w:id="31" w:name="_Toc11269"/>
      <w:r>
        <w:rPr>
          <w:rFonts w:hint="eastAsia" w:ascii="仿宋_GB2312" w:hAnsi="仿宋_GB2312" w:eastAsia="仿宋_GB2312" w:cs="仿宋_GB2312"/>
          <w:b/>
          <w:bCs/>
          <w:sz w:val="32"/>
          <w:szCs w:val="32"/>
        </w:rPr>
        <w:t>3.1.1 社保费征收子系统</w:t>
      </w:r>
      <w:bookmarkEnd w:id="30"/>
      <w:bookmarkEnd w:id="31"/>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三社保费征收子系统，完成社保费的征收管理，包括银行账户信息采集、三方协议采集及验证、缴费、退费、缓缴、对账等业务，并完成对社保费未及时足额缴纳等违法行为的相关处理。对接特色软件完成社保费缴纳业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具体包括社保费批扣清册确认设置、社保费批扣清册的生成、批扣清册查询、社保费单笔交易处理、社保费批量扣款、社保费票证补打、社保费票证重打、社保费一般征收开票、社保费票证作废、金库对账等</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近百项功能用例。</w:t>
      </w:r>
    </w:p>
    <w:p>
      <w:pPr>
        <w:snapToGrid w:val="0"/>
        <w:spacing w:line="360" w:lineRule="auto"/>
        <w:ind w:firstLine="643" w:firstLineChars="200"/>
        <w:outlineLvl w:val="1"/>
        <w:rPr>
          <w:rFonts w:ascii="仿宋_GB2312" w:hAnsi="仿宋_GB2312" w:eastAsia="仿宋_GB2312" w:cs="仿宋_GB2312"/>
          <w:b/>
          <w:bCs/>
          <w:sz w:val="32"/>
          <w:szCs w:val="32"/>
        </w:rPr>
      </w:pPr>
      <w:bookmarkStart w:id="32" w:name="_Toc24517"/>
      <w:bookmarkStart w:id="33" w:name="_Toc17011"/>
      <w:bookmarkStart w:id="34" w:name="_Toc525063204"/>
      <w:r>
        <w:rPr>
          <w:rFonts w:hint="eastAsia" w:ascii="仿宋_GB2312" w:hAnsi="仿宋_GB2312" w:eastAsia="仿宋_GB2312" w:cs="仿宋_GB2312"/>
          <w:b/>
          <w:bCs/>
          <w:sz w:val="32"/>
          <w:szCs w:val="32"/>
        </w:rPr>
        <w:t>3.1.2 社保费应用集成平台（内部）</w:t>
      </w:r>
      <w:bookmarkEnd w:id="32"/>
      <w:bookmarkEnd w:id="33"/>
      <w:bookmarkEnd w:id="34"/>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社保费应用集成平台（内部），主要承担金税三期社保费征管信息系统（标准版）各应用系统间的应用集成支撑。</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社保费管理子系统申报后通过社保费应用集成平台（内部）将应缴数据交互到社保费征收子系统中进行征收、开票；社保费征收子系统通过社保费应用集成平台（内部）同税库银系统进行交互，完成扣款。</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社保费应用集成平台（内部）实现了平台与业务逻辑的解耦，业务逻辑变化和部署不影响平台。</w:t>
      </w:r>
    </w:p>
    <w:p>
      <w:pPr>
        <w:snapToGrid w:val="0"/>
        <w:spacing w:line="360" w:lineRule="auto"/>
        <w:ind w:firstLine="643" w:firstLineChars="200"/>
        <w:outlineLvl w:val="1"/>
        <w:rPr>
          <w:rFonts w:ascii="仿宋_GB2312" w:hAnsi="仿宋_GB2312" w:eastAsia="仿宋_GB2312" w:cs="仿宋_GB2312"/>
          <w:b/>
          <w:bCs/>
          <w:sz w:val="32"/>
          <w:szCs w:val="32"/>
        </w:rPr>
      </w:pPr>
      <w:bookmarkStart w:id="35" w:name="_Toc32012"/>
      <w:bookmarkStart w:id="36" w:name="_Toc23241"/>
      <w:r>
        <w:rPr>
          <w:rFonts w:hint="eastAsia" w:ascii="仿宋_GB2312" w:hAnsi="仿宋_GB2312" w:eastAsia="仿宋_GB2312" w:cs="仿宋_GB2312"/>
          <w:b/>
          <w:bCs/>
          <w:sz w:val="32"/>
          <w:szCs w:val="32"/>
        </w:rPr>
        <w:t>3.1.3 社保费应用集成平台（渠道）</w:t>
      </w:r>
      <w:bookmarkEnd w:id="35"/>
      <w:bookmarkEnd w:id="36"/>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循国家有关信息安全标准，具有切实可行的安全保护和保密措施，以及对计算机犯罪和病毒的防范能力，确保数据永久安全。系统应提供多方式、多层次、多渠道的安全保密措施，防止各种形式与途径的非法侵入和机密信息的泄漏，保证系统中数据的安全。</w:t>
      </w:r>
      <w:bookmarkStart w:id="37" w:name="_Toc525063206"/>
      <w:bookmarkStart w:id="38" w:name="_Toc19279"/>
      <w:bookmarkStart w:id="39" w:name="_Toc28330"/>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3.1.4 社保费征收查询子系统</w:t>
      </w:r>
      <w:bookmarkEnd w:id="37"/>
      <w:bookmarkEnd w:id="38"/>
      <w:bookmarkEnd w:id="39"/>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征收查询子系统，主要实现社保费征收、退费、三方协议签订相关查询分析。具体查询包括社保费催报清册查询、社保费存款账户账号（银行）信息查询、社保费税款开票查询、社保费入库查询、社保费征收税费明细清册、社保费税费欠缴明细清册、社保费退抵税（费）审批情况查询、社保费退抵税清册、社保费不予加收滞纳金查询等近四十项功能用例。</w:t>
      </w:r>
    </w:p>
    <w:p>
      <w:pPr>
        <w:snapToGrid w:val="0"/>
        <w:spacing w:line="360" w:lineRule="auto"/>
        <w:ind w:firstLine="643" w:firstLineChars="200"/>
        <w:outlineLvl w:val="1"/>
        <w:rPr>
          <w:rFonts w:ascii="仿宋_GB2312" w:hAnsi="仿宋_GB2312" w:eastAsia="仿宋_GB2312" w:cs="仿宋_GB2312"/>
          <w:b/>
          <w:bCs/>
          <w:sz w:val="32"/>
          <w:szCs w:val="32"/>
        </w:rPr>
      </w:pPr>
      <w:bookmarkStart w:id="40" w:name="_Toc525063207"/>
      <w:bookmarkStart w:id="41" w:name="_Toc9031"/>
      <w:bookmarkStart w:id="42" w:name="_Toc16969"/>
      <w:r>
        <w:rPr>
          <w:rFonts w:hint="eastAsia" w:ascii="仿宋_GB2312" w:hAnsi="仿宋_GB2312" w:eastAsia="仿宋_GB2312" w:cs="仿宋_GB2312"/>
          <w:b/>
          <w:bCs/>
          <w:sz w:val="32"/>
          <w:szCs w:val="32"/>
        </w:rPr>
        <w:t>3.1.5 社保费业务工作门户平台</w:t>
      </w:r>
      <w:bookmarkEnd w:id="40"/>
      <w:bookmarkEnd w:id="41"/>
      <w:bookmarkEnd w:id="42"/>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业务工作门户平台，为社保费征管信息系统（标准版）提供统一的单点登录、统一的操作界面、统一的待办事宜、统一的消息管理等功能。社保费业务工作门户平台，利用社保费业务框架和相关标准，将社保费管理子系统、社保费征收子系统、信息共享平台（税务端）等系统进行页面级的整合，形成一个统一的界面视图，为最终用户提供所有税务业务系统的统一入口。用户只需要一次登录就能够使用其在社保费征管信息系统（标准版）各应用系统中被授权的操作功能。用户在社保费业务工作门户平台中处理金税三期社保费征管信息系统（标准版）各应用系统的业务，接收待办任务，进行业务受理、业务审批和查询统计等操作。</w:t>
      </w:r>
    </w:p>
    <w:p>
      <w:pPr>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 系统总体技术方案</w:t>
      </w:r>
    </w:p>
    <w:p>
      <w:pPr>
        <w:snapToGrid w:val="0"/>
        <w:spacing w:line="360" w:lineRule="auto"/>
        <w:ind w:firstLine="643" w:firstLineChars="200"/>
      </w:pPr>
      <w:r>
        <w:rPr>
          <w:rFonts w:hint="eastAsia" w:ascii="仿宋_GB2312" w:hAnsi="仿宋_GB2312" w:eastAsia="仿宋_GB2312" w:cs="仿宋_GB2312"/>
          <w:b/>
          <w:bCs/>
          <w:sz w:val="32"/>
          <w:szCs w:val="32"/>
        </w:rPr>
        <w:t>3.2.1 总体应用架构</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根据浙江税务对社保费和非税收入相关应用规划，应用系统的划分可以包括：管理子系统、征收子系统、信息共享平台、税库银系统、决策一包、决策二包、单位社保费管理客户端、委托代征系统等子系统。</w:t>
      </w:r>
    </w:p>
    <w:p>
      <w:pPr>
        <w:pStyle w:val="2"/>
        <w:spacing w:before="120" w:after="120"/>
        <w:jc w:val="center"/>
        <w:rPr>
          <w:rFonts w:ascii="仿宋_GB2312" w:hAnsi="仿宋_GB2312" w:eastAsia="仿宋_GB2312" w:cs="仿宋_GB2312"/>
        </w:rPr>
      </w:pPr>
      <w:r>
        <w:drawing>
          <wp:anchor distT="0" distB="0" distL="114935" distR="114935" simplePos="0" relativeHeight="251659264" behindDoc="0" locked="0" layoutInCell="1" allowOverlap="1">
            <wp:simplePos x="0" y="0"/>
            <wp:positionH relativeFrom="column">
              <wp:posOffset>0</wp:posOffset>
            </wp:positionH>
            <wp:positionV relativeFrom="paragraph">
              <wp:posOffset>127000</wp:posOffset>
            </wp:positionV>
            <wp:extent cx="5043805" cy="2979420"/>
            <wp:effectExtent l="0" t="0" r="4445" b="1143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043805" cy="2979420"/>
                    </a:xfrm>
                    <a:prstGeom prst="rect">
                      <a:avLst/>
                    </a:prstGeom>
                    <a:noFill/>
                    <a:ln>
                      <a:noFill/>
                    </a:ln>
                  </pic:spPr>
                </pic:pic>
              </a:graphicData>
            </a:graphic>
          </wp:anchor>
        </w:drawing>
      </w:r>
      <w:r>
        <w:rPr>
          <w:rFonts w:hint="eastAsia" w:ascii="仿宋_GB2312" w:hAnsi="仿宋_GB2312" w:eastAsia="仿宋_GB2312" w:cs="仿宋_GB2312"/>
        </w:rPr>
        <w:t>图3-1 总体应用架构图</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征收子系统完成社保费的征收管理，包括银行账户信息采集、三方协议采集及验证、缴费、退费、缓缴、对账等业务，并完成对社保费未及时足额缴纳等违法行为的相关处理。对接特色软件完成社保费缴纳业务。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委托代征系统包括灵活就业人员缴费功能；自然人远程缴费系统包含城乡居民缴费功能。</w:t>
      </w:r>
    </w:p>
    <w:p>
      <w:pPr>
        <w:snapToGrid w:val="0"/>
        <w:spacing w:line="360" w:lineRule="auto"/>
        <w:ind w:firstLine="643" w:firstLineChars="200"/>
        <w:rPr>
          <w:rFonts w:ascii="仿宋_GB2312" w:hAnsi="仿宋_GB2312" w:eastAsia="仿宋_GB2312" w:cs="仿宋_GB2312"/>
          <w:b/>
          <w:bCs/>
          <w:sz w:val="32"/>
          <w:szCs w:val="32"/>
        </w:rPr>
      </w:pPr>
      <w:bookmarkStart w:id="43" w:name="_Toc459110233"/>
      <w:bookmarkStart w:id="44" w:name="_Toc2475"/>
      <w:r>
        <w:rPr>
          <w:rFonts w:hint="eastAsia" w:ascii="仿宋_GB2312" w:hAnsi="仿宋_GB2312" w:eastAsia="仿宋_GB2312" w:cs="仿宋_GB2312"/>
          <w:b/>
          <w:bCs/>
          <w:sz w:val="32"/>
          <w:szCs w:val="32"/>
        </w:rPr>
        <w:t>3.2.2 技术实现架构</w:t>
      </w:r>
      <w:bookmarkEnd w:id="43"/>
      <w:bookmarkEnd w:id="44"/>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多层多级的体系结构，以J2EE应用服务器为基础，以面向服务为架构（SOA），结合其它的公共服务资源，组成一个强大的技术支撑平台。项目采用基于业务构件进行组装的开发模式，整个系统基本上各项业务均可解耦独立运行，分散了处理瓶颈。平台由分布在不同层次、提供各种服务的构件构成，按照服务组件在架构中的分布层次。分布于不同层次的构件提供不同的服务。</w:t>
      </w:r>
    </w:p>
    <w:p>
      <w:pPr>
        <w:snapToGrid w:val="0"/>
        <w:spacing w:line="360" w:lineRule="auto"/>
        <w:ind w:firstLine="643" w:firstLineChars="200"/>
        <w:rPr>
          <w:rFonts w:ascii="仿宋_GB2312" w:hAnsi="仿宋_GB2312" w:eastAsia="仿宋_GB2312" w:cs="仿宋_GB2312"/>
          <w:b/>
          <w:bCs/>
          <w:sz w:val="32"/>
          <w:szCs w:val="32"/>
        </w:rPr>
      </w:pPr>
      <w:bookmarkStart w:id="45" w:name="_Toc259008466"/>
      <w:bookmarkStart w:id="46" w:name="_Toc329550409"/>
      <w:bookmarkStart w:id="47" w:name="_Toc61"/>
      <w:bookmarkStart w:id="48" w:name="_Toc459110234"/>
      <w:r>
        <w:rPr>
          <w:rFonts w:hint="eastAsia" w:ascii="仿宋_GB2312" w:hAnsi="仿宋_GB2312" w:eastAsia="仿宋_GB2312" w:cs="仿宋_GB2312"/>
          <w:b/>
          <w:bCs/>
          <w:sz w:val="32"/>
          <w:szCs w:val="32"/>
        </w:rPr>
        <w:t>3.2.3 系统集成架构</w:t>
      </w:r>
      <w:bookmarkEnd w:id="45"/>
      <w:bookmarkEnd w:id="46"/>
      <w:bookmarkEnd w:id="47"/>
      <w:bookmarkEnd w:id="48"/>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集成架构设计中采用开放的成熟的集成技术，把系统公共的和各应用子系统专用的业务组件、数据资源按照一定的规范，逻辑地组合起来并部署到适当的技术平台上，使得各应用系统能够以适度的耦合关系集成为一体，达到在性能、软件复用和高度灵活性之间的协调统一。</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门户通过使用门户服务器提供的目录、内容管理、个性化、认证与授权等服务，把现有系统和新建系统整合到一起，为用户提供一个使用所有应用系统的统一入口点，方便用户使用。并通过门户服务器所提供的服务，实现统一用户管理、单点登录、访问控制、授权管理、规则管理、委托管理及个性化定制。信息门户应当具有用户管理、个性化定制、安全权限管理、分级管理等功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地门户采用SSO（单点登录）技术，用户只需要进行一次身份认证，就可以访问到所有的授权应用。用户在进入门户时进行身份认证后，再访问其它门户应用系统时不再进行多次登录。为此，需要在系统中，建立一个统一的用户档案存储机制，用来管理和存储用户的档案信息。对于以前存在的系统，需要将用户档案从各个系统中抽取出来，并根据权限模型，将这些数据迁移到统一的用户档案管理系统中。可以使用LDAP（Lightweight Directory Acess Protocol）目录服务或数据库来保存用户档案，建议使用LDAP来保存用户档案。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系统中，建立统一的用户档案管理机制，包括对实现、删除用户以及对用户的授权等等。在核心业务平台中建立一个统一的用户认证模块，任何系统的用户登录时都需要调用该模块来完成对用户身份的认证工作。对于原有的系统可以保留其原有的登录系统，但必须要进行改造，并通过调用核心业务平台对外提供的用户认证接口。</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建立应用集成平台，实现平台与业务逻辑的解耦，业务逻辑变化和部署不影响平台。通过服务协议支配软件进行业务数据交互。</w:t>
      </w:r>
      <w:bookmarkStart w:id="49" w:name="_Toc459110235"/>
      <w:bookmarkStart w:id="50" w:name="_Toc30645"/>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3.2.4 系统数据架构</w:t>
      </w:r>
      <w:bookmarkEnd w:id="49"/>
      <w:bookmarkEnd w:id="50"/>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数据实行集中统一的管理模式，提高数据质量，实现信息资源的合理利用和高度集中与共享以保证各部门的信息共享，从而使信息资源规划集中在共享数据库的标准化、规范化设计上；规范化的协调和设计上。</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遵循金税三期的总体规划中 “生产系统与查询系统相分离”的指导思想，规划科学、合理的数据存储分布并加以实施，适应生产业务、统计查询和决策分析的发展需要。</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数据架构设计应遵循以下策略：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“生产库、查询库、历史库”三库分离。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生产库与查询库同构，且数据（准）实时同步。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外部数据经缓存后再进入业务库。</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全局流程及规则数据可单独存放。</w:t>
      </w:r>
    </w:p>
    <w:p>
      <w:pPr>
        <w:spacing w:line="360" w:lineRule="auto"/>
        <w:jc w:val="center"/>
        <w:rPr>
          <w:b/>
          <w:sz w:val="28"/>
          <w:szCs w:val="28"/>
        </w:rPr>
      </w:pPr>
      <w:r>
        <w:drawing>
          <wp:inline distT="0" distB="0" distL="114300" distR="114300">
            <wp:extent cx="5359400" cy="2439670"/>
            <wp:effectExtent l="0" t="0" r="12700"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359400" cy="2439670"/>
                    </a:xfrm>
                    <a:prstGeom prst="rect">
                      <a:avLst/>
                    </a:prstGeom>
                    <a:noFill/>
                    <a:ln>
                      <a:noFill/>
                    </a:ln>
                  </pic:spPr>
                </pic:pic>
              </a:graphicData>
            </a:graphic>
          </wp:inline>
        </w:drawing>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图3-2 浙江税务数据的逻辑分布图</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数据分布设计必须遵循业务本身的规律，分为几个层次：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业务执行及管理层（或称操作层，对应生产数据库）；</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查询统计及监控层（对应查询数据库）；</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决策层（对应ODS和数据仓库）。</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这几个层面的数据进行逻辑上的相对分离，对系统的性能、灵活性都是至关重要的，也是符合科学规律的。</w:t>
      </w:r>
    </w:p>
    <w:p>
      <w:pPr>
        <w:snapToGrid w:val="0"/>
        <w:spacing w:line="360" w:lineRule="auto"/>
        <w:ind w:firstLine="640" w:firstLineChars="200"/>
        <w:rPr>
          <w:rFonts w:ascii="仿宋_GB2312" w:hAnsi="仿宋_GB2312" w:eastAsia="仿宋_GB2312" w:cs="仿宋_GB2312"/>
          <w:sz w:val="32"/>
          <w:szCs w:val="32"/>
        </w:rPr>
      </w:pPr>
      <w:bookmarkStart w:id="51" w:name="_Toc297103414"/>
      <w:r>
        <w:rPr>
          <w:rFonts w:hint="eastAsia" w:ascii="仿宋_GB2312" w:hAnsi="仿宋_GB2312" w:eastAsia="仿宋_GB2312" w:cs="仿宋_GB2312"/>
          <w:sz w:val="32"/>
          <w:szCs w:val="32"/>
        </w:rPr>
        <w:t>系统数据架构设计必须遵循国家税务总局金税三期的设计理念，遵循以下原则</w:t>
      </w:r>
      <w:bookmarkEnd w:id="51"/>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bookmarkStart w:id="52" w:name="_Toc297103415"/>
      <w:r>
        <w:rPr>
          <w:rFonts w:hint="eastAsia" w:ascii="仿宋_GB2312" w:hAnsi="仿宋_GB2312" w:eastAsia="仿宋_GB2312" w:cs="仿宋_GB2312"/>
          <w:sz w:val="32"/>
          <w:szCs w:val="32"/>
        </w:rPr>
        <w:t>（1）统一性原则</w:t>
      </w:r>
      <w:bookmarkEnd w:id="52"/>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按纳税人账户的思想统一设计征管系统数据模型；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按统一的思路规划数据分布、数据交换；</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统一的数据对象命名规则；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统一的数据分区方案。</w:t>
      </w:r>
    </w:p>
    <w:p>
      <w:pPr>
        <w:snapToGrid w:val="0"/>
        <w:spacing w:line="360" w:lineRule="auto"/>
        <w:ind w:firstLine="640" w:firstLineChars="200"/>
        <w:rPr>
          <w:rFonts w:ascii="仿宋_GB2312" w:hAnsi="仿宋_GB2312" w:eastAsia="仿宋_GB2312" w:cs="仿宋_GB2312"/>
          <w:sz w:val="32"/>
          <w:szCs w:val="32"/>
        </w:rPr>
      </w:pPr>
      <w:bookmarkStart w:id="53" w:name="_Toc297103416"/>
      <w:r>
        <w:rPr>
          <w:rFonts w:hint="eastAsia" w:ascii="仿宋_GB2312" w:hAnsi="仿宋_GB2312" w:eastAsia="仿宋_GB2312" w:cs="仿宋_GB2312"/>
          <w:sz w:val="32"/>
          <w:szCs w:val="32"/>
        </w:rPr>
        <w:t>（2）高性能原则</w:t>
      </w:r>
      <w:bookmarkEnd w:id="53"/>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在数据模型设计的层面支持活动数据和非活动数据的分离；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在数据模型设计的层面支持税务活动数据、业务表单数据、核心数据的分离；</w:t>
      </w:r>
    </w:p>
    <w:p>
      <w:pPr>
        <w:snapToGrid w:val="0"/>
        <w:spacing w:line="360" w:lineRule="auto"/>
        <w:ind w:firstLine="640" w:firstLineChars="200"/>
        <w:rPr>
          <w:rFonts w:ascii="仿宋_GB2312" w:hAnsi="仿宋_GB2312" w:eastAsia="仿宋_GB2312" w:cs="仿宋_GB2312"/>
          <w:sz w:val="32"/>
          <w:szCs w:val="32"/>
        </w:rPr>
      </w:pPr>
      <w:bookmarkStart w:id="54" w:name="_Toc297103417"/>
      <w:r>
        <w:rPr>
          <w:rFonts w:hint="eastAsia" w:ascii="仿宋_GB2312" w:hAnsi="仿宋_GB2312" w:eastAsia="仿宋_GB2312" w:cs="仿宋_GB2312"/>
          <w:sz w:val="32"/>
          <w:szCs w:val="32"/>
        </w:rPr>
        <w:t>（3）简单性原则</w:t>
      </w:r>
      <w:bookmarkEnd w:id="54"/>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数据分布原则简单；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数据交换方案简单，可用型强；</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数据模型设计及基于数据模型的应用实现简单。</w:t>
      </w:r>
    </w:p>
    <w:p>
      <w:pPr>
        <w:snapToGrid w:val="0"/>
        <w:spacing w:line="360" w:lineRule="auto"/>
        <w:ind w:firstLine="640" w:firstLineChars="200"/>
        <w:rPr>
          <w:rFonts w:ascii="仿宋_GB2312" w:hAnsi="仿宋_GB2312" w:eastAsia="仿宋_GB2312" w:cs="仿宋_GB2312"/>
          <w:sz w:val="32"/>
          <w:szCs w:val="32"/>
        </w:rPr>
      </w:pPr>
      <w:bookmarkStart w:id="55" w:name="_Toc297103418"/>
      <w:r>
        <w:rPr>
          <w:rFonts w:hint="eastAsia" w:ascii="仿宋_GB2312" w:hAnsi="仿宋_GB2312" w:eastAsia="仿宋_GB2312" w:cs="仿宋_GB2312"/>
          <w:sz w:val="32"/>
          <w:szCs w:val="32"/>
        </w:rPr>
        <w:t>（4）系统分库原则</w:t>
      </w:r>
      <w:bookmarkEnd w:id="55"/>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数据架构的数据分布，遵循核心征管的应用架构，按应用系统进行架构分库设计，重点解决共享数据和私有数据的分布设计。</w:t>
      </w:r>
    </w:p>
    <w:p>
      <w:pPr>
        <w:snapToGrid w:val="0"/>
        <w:spacing w:line="360" w:lineRule="auto"/>
        <w:ind w:firstLine="640" w:firstLineChars="200"/>
        <w:rPr>
          <w:rFonts w:ascii="仿宋_GB2312" w:hAnsi="仿宋_GB2312" w:eastAsia="仿宋_GB2312" w:cs="仿宋_GB2312"/>
          <w:sz w:val="32"/>
          <w:szCs w:val="32"/>
        </w:rPr>
      </w:pPr>
      <w:bookmarkStart w:id="56" w:name="_Toc297103419"/>
      <w:r>
        <w:rPr>
          <w:rFonts w:hint="eastAsia" w:ascii="仿宋_GB2312" w:hAnsi="仿宋_GB2312" w:eastAsia="仿宋_GB2312" w:cs="仿宋_GB2312"/>
          <w:sz w:val="32"/>
          <w:szCs w:val="32"/>
        </w:rPr>
        <w:t>（5）生产库和查询库分离原则</w:t>
      </w:r>
      <w:bookmarkEnd w:id="56"/>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将生产数据和查询数据分别部署在不同的数据库上，以确保生产交易型业务稳定高效地运行，不受查询统计应用的影响。</w:t>
      </w:r>
    </w:p>
    <w:p>
      <w:pPr>
        <w:snapToGrid w:val="0"/>
        <w:spacing w:line="360" w:lineRule="auto"/>
        <w:ind w:firstLine="640" w:firstLineChars="200"/>
        <w:rPr>
          <w:rFonts w:ascii="仿宋_GB2312" w:hAnsi="仿宋_GB2312" w:eastAsia="仿宋_GB2312" w:cs="仿宋_GB2312"/>
          <w:sz w:val="32"/>
          <w:szCs w:val="32"/>
        </w:rPr>
      </w:pPr>
      <w:bookmarkStart w:id="57" w:name="_Toc297103420"/>
      <w:r>
        <w:rPr>
          <w:rFonts w:hint="eastAsia" w:ascii="仿宋_GB2312" w:hAnsi="仿宋_GB2312" w:eastAsia="仿宋_GB2312" w:cs="仿宋_GB2312"/>
          <w:sz w:val="32"/>
          <w:szCs w:val="32"/>
        </w:rPr>
        <w:t>（6）税务主数据集中管理原则</w:t>
      </w:r>
      <w:bookmarkEnd w:id="57"/>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税务主数据指纳税人基本信息、纳税人状态信息、代码信息等国地税税收业务实体的数据，它们被核心征管各子系统重复使用。为保证主数据的一致，设计独立的主数据存储，作为集中管理的信息资源。</w:t>
      </w:r>
    </w:p>
    <w:p>
      <w:pPr>
        <w:snapToGrid w:val="0"/>
        <w:spacing w:line="360" w:lineRule="auto"/>
        <w:ind w:firstLine="643" w:firstLineChars="200"/>
        <w:rPr>
          <w:rFonts w:ascii="仿宋_GB2312" w:hAnsi="仿宋_GB2312" w:eastAsia="仿宋_GB2312" w:cs="仿宋_GB2312"/>
          <w:b/>
          <w:bCs/>
          <w:sz w:val="32"/>
          <w:szCs w:val="32"/>
        </w:rPr>
      </w:pPr>
      <w:bookmarkStart w:id="58" w:name="_Toc9587"/>
      <w:bookmarkStart w:id="59" w:name="_Toc459110236"/>
      <w:r>
        <w:rPr>
          <w:rFonts w:hint="eastAsia" w:ascii="仿宋_GB2312" w:hAnsi="仿宋_GB2312" w:eastAsia="仿宋_GB2312" w:cs="仿宋_GB2312"/>
          <w:b/>
          <w:bCs/>
          <w:sz w:val="32"/>
          <w:szCs w:val="32"/>
        </w:rPr>
        <w:t>3.2.5 总体部署架构</w:t>
      </w:r>
      <w:bookmarkEnd w:id="58"/>
      <w:bookmarkEnd w:id="59"/>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总体部署按照一体化的方式进行，项目部署架构如图3-3所示：</w:t>
      </w:r>
    </w:p>
    <w:p>
      <w:pPr>
        <w:spacing w:line="360" w:lineRule="auto"/>
        <w:jc w:val="center"/>
      </w:pPr>
      <w:r>
        <w:drawing>
          <wp:inline distT="0" distB="0" distL="114300" distR="114300">
            <wp:extent cx="4738370" cy="3372485"/>
            <wp:effectExtent l="0" t="0" r="5080" b="184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4738370" cy="3372485"/>
                    </a:xfrm>
                    <a:prstGeom prst="rect">
                      <a:avLst/>
                    </a:prstGeom>
                    <a:noFill/>
                    <a:ln>
                      <a:noFill/>
                    </a:ln>
                  </pic:spPr>
                </pic:pic>
              </a:graphicData>
            </a:graphic>
          </wp:inline>
        </w:drawing>
      </w:r>
    </w:p>
    <w:p>
      <w:pPr>
        <w:widowControl/>
        <w:spacing w:line="360" w:lineRule="auto"/>
        <w:jc w:val="center"/>
        <w:rPr>
          <w:rFonts w:ascii="仿宋" w:hAnsi="仿宋" w:eastAsia="仿宋" w:cs="仿宋"/>
        </w:rPr>
      </w:pPr>
      <w:r>
        <w:rPr>
          <w:rFonts w:hint="eastAsia" w:ascii="仿宋" w:hAnsi="仿宋" w:eastAsia="仿宋" w:cs="仿宋"/>
        </w:rPr>
        <w:t>图 3-3 项目部署架构</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征管信息系统(标准版)征收子系统部署在税收业务专网范围内，DMZ域接收系统为集群模式部署，用于接收和存储客户端请求的数据；核心web应用和核心服务部署到一起，采用集群模式部署；衔接服务采用和查询系统应用单独部署，也都集群模式部署。数据库推荐采用RAC模式部署，其中衔接库和核心库需要OGG同步使用的数据，接收库需要外网访问，需单独部署。</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按照总局金税（三期）的要求，应用系统采用三层架构部署，三层架构的部署层次如图3-4所示：</w:t>
      </w:r>
    </w:p>
    <w:p>
      <w:pPr>
        <w:spacing w:line="360" w:lineRule="auto"/>
        <w:jc w:val="center"/>
        <w:rPr>
          <w:rFonts w:ascii="宋体" w:hAnsi="宋体"/>
        </w:rPr>
      </w:pPr>
      <w:r>
        <w:drawing>
          <wp:inline distT="0" distB="0" distL="114300" distR="114300">
            <wp:extent cx="4403725" cy="2411095"/>
            <wp:effectExtent l="0" t="0" r="1587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4403725" cy="2411095"/>
                    </a:xfrm>
                    <a:prstGeom prst="rect">
                      <a:avLst/>
                    </a:prstGeom>
                    <a:noFill/>
                    <a:ln>
                      <a:noFill/>
                    </a:ln>
                  </pic:spPr>
                </pic:pic>
              </a:graphicData>
            </a:graphic>
          </wp:inline>
        </w:drawing>
      </w:r>
    </w:p>
    <w:p>
      <w:pPr>
        <w:widowControl/>
        <w:spacing w:line="360" w:lineRule="auto"/>
        <w:jc w:val="center"/>
        <w:rPr>
          <w:rFonts w:ascii="仿宋" w:hAnsi="仿宋" w:eastAsia="仿宋" w:cs="仿宋"/>
        </w:rPr>
      </w:pPr>
      <w:r>
        <w:rPr>
          <w:rFonts w:hint="eastAsia" w:ascii="仿宋" w:hAnsi="仿宋" w:eastAsia="仿宋" w:cs="仿宋"/>
        </w:rPr>
        <w:t>图 3-4 应用系统三层架构部署情况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客户端在访问应用时，首先通过负载均衡设备，按照一定的策略（轮询或性能策略等）把连接分配给应用服务器群中的1台服务器，实现应用连接，应用服务器与数据库之间的连接通过JDBC连接到数据库服务器，提供数据存储服务，数据库服务器根据业务要求，采用双机RAC方式或者双机备份方式提供服务。</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 本地特色差异化改造需求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包括但不限于本地化差异分析、新增和变更及其他需求分析、设计开发（概要设计、详细 设计、编码实现等）、软件测试、软件定版、技术架构支持等。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主要实现功能包括：</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 增加纳税人注销的社保费逻辑校验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浙江省“新办智能一网通”平台新增社保注销登记监控，进行税务登记注销前需要查询社保相关情况，如社保缴费登记未注销、未申报对应征集信息、欠费等情况不允许税务注销登记。社保缴费登记注销作为税务登记注销的前置条件。</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3.3.2 满足开具浙江专有《税收完税证明》缴费凭证相关需求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开发新功能模块，提供查询及生成pdf缴费凭证、下载打印功能；给其他渠道提供查询下载的接口，并同时记录调用pdf缴费凭证接口的渠道、调用时间、调用次数等信息。</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3.3.3 批扣和银行端查询缴款双限制（金额和日期）的业务校验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缴费人缴款时，需判断当前支付渠道已代缴的款项是否满足汇总双限要求，若不满足，则不能代缴。并给出提示，及时进行现金票汇总。</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3.3.4 新增虚拟户银行纳税人识别号</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批扣及银行端查询缴款业务新增虚拟户；银行查询应征信息时，传递银行代征单位识别号（虚拟户号），征收子系统根据银行代征单位识别号，查询银行代征单位的代征范围代征险种，反馈在该代征范围代征险种内的征集信息。</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3.3.5 为电子税务局提供现金票汇总接口</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现金票汇总业务，需给电子税务局等外部渠道提供两个接口：查询、保存。</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3.3.6 电子送达（催报+催缴）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征期结束后次日，管理子系统根据未申报清册，加工生成催报清册，征收子系统获取催报清册，自动催报处理，生成文书及自动送达、回证。送达方式采用通过电子税务局、征纳沟通平台电子送达。</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3.3.7 委托代征协议签订（虚拟户）</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业银行、乡镇街道、学校等虚拟户与税务机关签订《委托协议书》。委托其代征零星分散和异地缴纳的费款。受托单位和人员按照代征证书的要求，以税务机关的名义依法征收税费款，纳税人不得拒绝；纳税人拒绝的，受托代征单位和人员应当及时报告税务机关。</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3.3.8 社保费退税申请</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税务机关发现缴费人多缴费款予以退还时，应当根据造成缴费人多缴费款的原因，分别由缴费人或税务机关提出申请办理退费；非缴费人原因造成多缴税款的，由税务机关提出退费申请办理费款退库。</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3.3.9 双定户批扣白名单管理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企业批扣名单设置功能，需要增加批扣白名单。批扣白名单和未批扣标志同时满足才能在批扣名单设置。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批扣失败后则作废批扣清册，并将作废信息提供给管理子系统作废待批扣清册。并确保系统不会对扣款失败的数据进行扣款操作。</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3.3.10 银行批扣结果统计表（社保费）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计某时段税务机关下辖各家代征银行批扣情况。根据主管税务机关、批扣银行、人员类别、批扣生成日期起止统计各代征银行的批扣发送情况，批扣成功情况，批扣失败情况，对账情况。便于税务机关对批扣数据进行检查。</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3.3.11 退费清册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根据查询条件统计退费业务情况。</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3.3.12 收入分析查询清册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目的：分险种、分区域统计征收情况，便于收入分析统计。</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3.3.13 业务统计量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便于统计自然人各个缴费渠道的业务量。</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3.3.14 退费情况查询</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增加一个退费情况查询表：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根据企业识别号，自然人身份证号作为查询条件，查询退费什么时候发起，流程走到哪一步，审核受理状态。</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3.3.15 网办率统计表（社保费）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统计某时段内税务机关社保费业务非接触式办理情况。根据主管税务机关、业务类型、日期起止统计缴费、签约、开具凭证、退费网上办理业务的比例。便于税务机关查询网办率，用于非接触办理缴费考核。</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3.3.16 票证情况使用表（税银）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根据主管税务机关、缴费方式、开具时间起止、人员类别、征收项目、征收品目、征收子目、票证作废、票证类型、开票人员查询票证开具情况，便于税务机关掌握票证使用情况。</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3.3.17 批扣清册查询（社保费）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社保费批扣清册生成后，前台可以通过批扣清册查询（社保费）功能查询批扣清册的具体信息。</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3.3.18 税银批扣结果统计表（社保费）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计某时段税务机关下辖各家代征银行批扣情况。根据主管税务机关、批扣银行、人员类别、批扣生成日期起止统计各代征银行的批扣发送情况，批扣成功情况，批扣失败情况，对账情况。便于税务机关对批扣数据进行检查。</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3.4 系统运行保障服务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正式部署实施上线项目验收同通过后，提供6个月的现场运维监控服务支持以及提供远程高级技术运维服务支持。主要负责金税三期社保费管理子系统的系统监控、数据运维、业务运维、技术运维等工作。</w:t>
      </w:r>
    </w:p>
    <w:p>
      <w:pPr>
        <w:pStyle w:val="2"/>
        <w:spacing w:before="120" w:after="120"/>
      </w:pP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五、项目执行标准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本项目依托于金三社保费标准版系统开发，需要投标人对本项目系统集成的理解；本项目需满足税务总局金三系统的相关安全管控要求。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1.易用性、可维护性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系统功能尽可能自动化，减少人工操作环节，用户操作界面应简明、实用、易于学习和掌握，操作方式应符合用户使用习惯。</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系统在运行过程中所发生的任何错误都应该有明确的错误编号，并能在系统的维护手册中查到相应错误的处理方法与步骤。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整体系统设计应充分借鉴大数据计算模式，应用系统应采用组件化设计思想，系统框架与业务逻辑分离；要求具备开放的体系结构。 </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2.稳定性、可控性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应用系统必须支持负载均衡能力，支持应用部署在多台服务器上，避免应用系统的单点故障。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系统维护、升级时应不影响在运系统的正常运行。</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3.可扩展性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a.系统应当适应不同的硬件环境，软硬件升级不会造成大的改动。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b.遵照开放系统的标准，确保软硬件平台的可移植性。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c.降低模块间依赖性，提高容错性。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d.各个模块的部署也要相对独立，不能出现由于模块功能的相互依赖性而不能启动服务的情况。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4.安全性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项目应符合国家信息系统安全等级三级相关要求，系统满足《网络安全法》和《税务应用系统网络安全审核指南》等税务系统相关网络安全管理要求。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协助采购方开展软件安全功能检查、等级保护测评、风险评估、安全基线检查、漏洞扫描和渗透测试等安全评测，对发现的安全问题开展彻底整改。对于外网应用需另行提供代码审计等相关安全报告。</w:t>
      </w:r>
    </w:p>
    <w:p>
      <w:pPr>
        <w:pStyle w:val="2"/>
        <w:spacing w:before="120" w:after="120"/>
      </w:pP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六、项目交付要求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1.项目建设过程需按投标方建设上线要求提供项目成果，含需求分析、软件开发、测试、部署、验收和培训等部分。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方需根据浙江省税务局要求提供参加开发、运维工作的技术人员不得少于20名，其中：项目管理总监1人，要求拥有本科及以上学历，具备8年以上项目管理经验，并具有高级项目经理相关资质；项目负责人1名，要求拥有本科及以上学历，具备5年以上工作经验，擅长与用户进行沟通；项目技术专家5名，从事软件开发工作年限不少于5年；专业技术人员2名。</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3.合同签订后5日内，从事开发和运维工作的技术人员须在浙江省税务局指定地点工作。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方开发和运维技术人员在项目开发期间应严格遵守有关浙江省税务局内部规章制度，服从浙江省税务局的管理，对开发过程中涉及浙江省税务局的任何资料严格保密，不得擅自查看、复制、传播所接触的任何源代码、用户资料、数据。中标方开发技术人员中止技术服务时，不得带走任何源代码和相关数据、资料。中标方在上岗前须与技术人员签订安全保密协议书，并交一份给浙江省税务局存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5.中标方需提供包括故障排除、性能调优、技术咨询等服务，并能自行处理、协调与各系统软件、硬件等供应商。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6.中标方技术人员开发的软件中不得有安全后门、安全漏洞、逻辑炸弹等危害软件安全、影响软件正常运行的代码和设置，否则由此产生的一切责任和后果由中标方承担。</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7.中标方在项目建设期及运维期间按要求完成的软件版权归浙江省税务局所有，软件中不得以任何形式出现中标方信息。</w:t>
      </w:r>
    </w:p>
    <w:p>
      <w:pPr>
        <w:snapToGrid w:val="0"/>
        <w:spacing w:line="360" w:lineRule="auto"/>
        <w:ind w:firstLine="643" w:firstLineChars="200"/>
        <w:rPr>
          <w:rFonts w:ascii="仿宋_GB2312" w:hAnsi="仿宋_GB2312" w:eastAsia="仿宋_GB2312" w:cs="仿宋_GB2312"/>
          <w:b/>
          <w:bCs/>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七</w:t>
      </w:r>
      <w:r>
        <w:rPr>
          <w:rFonts w:ascii="仿宋_GB2312" w:hAnsi="华文中宋" w:eastAsia="仿宋_GB2312" w:cs="宋体"/>
          <w:b/>
          <w:sz w:val="32"/>
          <w:szCs w:val="20"/>
        </w:rPr>
        <w:t>、</w:t>
      </w:r>
      <w:r>
        <w:rPr>
          <w:rFonts w:hint="eastAsia" w:ascii="仿宋_GB2312" w:hAnsi="华文中宋" w:eastAsia="仿宋_GB2312" w:cs="宋体"/>
          <w:b/>
          <w:sz w:val="32"/>
          <w:szCs w:val="20"/>
        </w:rPr>
        <w:t>项目服务要求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1.总体要求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人应充分理解本项目具有的业务复杂性、渠道多样性、规模巨大、性能和可靠性要求高等特点，在本项目国家税务总局总体实施要求的基础上，提出更科学、更合理、更有效的符合浙江省本地的实施方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（2）投标人应成立项目管理组织，严格遵守采购人项目管控的要求。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（3）投标人必须在项目过程中，选派工作责任心强、技术水平高、业务熟练、管理经验丰富的人员专职参加该项目。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（4）投标人应基于成熟的项目管理方法论，制订完善的项目管理制度、流程，合理划分项目管理的阶段，借助工程管理工具，在项目实施过程中对项目进行规范化管理，确保项目实施进度和实施质量。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（5）投标人应提供项目管理方案，至少覆盖进度管理、范围管理、风险管理、需求管理、质量管理、资源管理、时间管理、沟通管理等。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（6）投标人各阶段产出物采用特殊格式的，投标人需提供相应的打开、编译、运行、修改、打印等工具，并确保招标人无限制的使用；不受版权和知识产权限制，招标人不对工具额外付费。</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2.项目组织和人员要求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成立由招标人、投标人共同组成的项目管理机构，负责整个项目的实施工作。投标人的专职项目团队必须严格遵守国家的政策法规，执行项目管理机构的各项规章制度，服从管理和调度，认真履行工作职责，圆满完成工作任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在项目开始时提交项目参与人员名单，经招标人确认。投标人应保证项目组成员的稳定性，如特殊情况需要调整项目组成员的，应提前一个月书面通知招标人，并获得招标人的确认后才能安排调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必须在项目过程中，选派工作责任心强、技术水平高、业务熟练、管理经验丰富的人员专职参加该项目。项目实施人员应与投标文件中所提供的人员名单相符，不经招标人许可随意变更，招标人有权追究投标人责任，并采取相应处罚措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（4）项目成员应熟练掌握技术技能，对税务知识有清晰的认识，各项目小组需具备不同的专业人员，项目成员分工应合理。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（5）招标人如认为投标人的项目组成员达不到要求，有权要求投标人更换，投标人必须在一周之内调换符合招标人要求的项目组成员。</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（6）为保障项目质量与进度，要求中标人在项目建设期间，保证人员投入。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用户所提出的系统软硬件平台和业务应用软件等故障处理要求，必须在1小时内做出安排并将其反馈给用户，遇到重大技术问题，应在30分钟内响应，并在2小时内采取相应措施以确保系统可正常操作。无法在2小时内解决的，必须提供解决时间表。值班电话24小时不关机，并能及时响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（8）稳定的服务团队。投标人需为本项目建立独立服务团队并保障队伍的稳定，服务人员服从税务局的统一调度与管理，服务期内出现服务人员调整时需提前一个月汇报招标人，经同意后方可进行调整。</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3.项目总体技术要求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（1）技术标准与规范要求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系统在建设过程中必须参照国家电子政务标准和税务系统信息化建设标准与规范的有关要求进行实施，符合国家税务总局金税三期系统建设相关标准规范要求。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（2）系统安全性要求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须保证系统安全性，需要从系统级、应用级、管理级三个层次具有较好的安全性。需要按照国家税务总局《电子税务局规范-安全规范》、《税务系统信息安全等级保护基本要求》中等级保护三级要求、《网上办税系统技术要求》、《税务移动应用安全开发和评估规范》等规范要求，能够保证系统安全、网络安全以及数据安全。在稳定性方面，系统要求能够满足7×24小时无人值守的稳定工作，具备较强的系统安全性和灾难恢复能力，系统具备强有力的安全保障措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（3）可靠性要求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系统无单点故障，系统具有动态负载均衡处理能力。保证7×24小时不间断工作。须保证即便某些节点发生了永久性的失败，系统架构也能够保证这些节点所处理和存储的数据也不会丢失。</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（4）系统兼容性要求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系统应支持多种硬件服务器，平台可兼容Linux，AIX，Windows Server等主流操作系统。</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系统应能有效支持各种主流的浏览器（IE8及以上、chrome、firefox、safari）。</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系统应具备可伸缩性，提供横纵向扩展能力，增加硬件资源后，能有效提高系统的业务处理能力。</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4.技术支持服务要求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系统上线后，中标人需要按合同约定的期限进行运维监控等保障工作，提供驻场和远程技术支持服务，保证各应用系统平稳运行。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在服务期内，中标人提供的服务和技术支持包括但不限于以下内容：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（1）问题解答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a.中标人应对软件使用过程中出现的各类问题进行解答；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b.处理建议应以前台操作为主，能够通过前台操作完成的，尽量不在后台调整；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c.操作中出现的常见问题，应及时通过技术支持渠道向用户发布；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d.中标人应对问题解答风险负责，如因中标人解答不当，造成招标人的损失，中标人应负责相应责任。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（2）故障处理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a.系统运行、升级期间出现故障由中标人及时到现场进行处理、解决；</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b.中标人应对系统故障提出故障处理建议，经招标人同意后，由中标人进行排除、系统调优或重置；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c.中标人应对系统故障的处理风险负责，如因中标人技术人员的处理不当，造成招标人的损失，中标人应负责相应责任。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（3）基础环境运维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a.对运维系统所涉主机、数据库、中间件等IT资源的日常监控和调优；</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b.对系统性能进行监控，定期提供性能报表和趋势表，为应用性能优化提供科学依据；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c.经招标人同意后进行各项系统级参数的调整，日志空间整理，以保证系统的稳定高效运行；</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d.完成故障事件收集、过滤、关联和处理等工作，实现对故障的快速定位、处理或反馈。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（4）应用系统运维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a.负责完成总局统一版本的升级维护，配合招标人完成软件升级测试等工作；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b.对系统和各功能模块的运行效率、性能进行监控；</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c.受理基层操作人员问题，进行问题核实，解决问题。</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八</w:t>
      </w:r>
      <w:r>
        <w:rPr>
          <w:rFonts w:ascii="仿宋_GB2312" w:hAnsi="华文中宋" w:eastAsia="仿宋_GB2312" w:cs="宋体"/>
          <w:b/>
          <w:sz w:val="32"/>
          <w:szCs w:val="20"/>
        </w:rPr>
        <w:t>、</w:t>
      </w:r>
      <w:r>
        <w:rPr>
          <w:rFonts w:hint="eastAsia" w:ascii="仿宋_GB2312" w:hAnsi="华文中宋" w:eastAsia="仿宋_GB2312" w:cs="宋体"/>
          <w:b/>
          <w:sz w:val="32"/>
          <w:szCs w:val="20"/>
        </w:rPr>
        <w:t>项目验收标准</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1.项目工期要求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（1）本项目招标有效期为1年。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（2）本项目要求2022年一季度前完成相关系统建设改造工作，确保系统顺利平稳上线。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）系统上线后平稳运行一个月后中标方可发起项目验收申请，经采购方同意后开展验收。</w:t>
      </w:r>
    </w:p>
    <w:p>
      <w:pPr>
        <w:snapToGrid w:val="0"/>
        <w:spacing w:line="360" w:lineRule="auto"/>
        <w:ind w:firstLine="640" w:firstLineChars="200"/>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）本项目要求项目验收完成后提供6个月的运行保障工作，保障系统运行稳定。</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2.项目验收要求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验收工作由招标人组织实施，投标人应完成项目验收的相关验收场景和资料的准备</w:t>
      </w:r>
      <w:r>
        <w:rPr>
          <w:rFonts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a.验收的原则和依据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本着保证质量、注重应用、功能适用的原则，以本项目招标文件、合同和业务需求及相关技术标准规范为验收的主要依据。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b.验收标准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①系统运行正常。</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②招标文件和合同要求全部完成，并满足要求。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③各种技术文档和验收资料完备，符合合同的内容。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④系统监控和数据处理符合信息安全的要求。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⑤合同或合同附件规定的其他验收条件。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c.交付物要求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建设期验收方案内容包括但不限于：详细描述验收目的、验收内容、技术条件、验收方法、进度安排、人员组成、验收准则、验收数据准备等。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验收资料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内容包括但不仅限于：详细描述和总结验收依据、验收内容、验收过程、验收准则、验收报告结论存在问题、优化完善建议等。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 建设期移交物清单及交付物</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内容包括但不局限于：管理文档、用户文档、上线相关文档等。</w:t>
      </w:r>
    </w:p>
    <w:p>
      <w:pPr>
        <w:snapToGrid w:val="0"/>
        <w:spacing w:line="360" w:lineRule="auto"/>
        <w:ind w:firstLine="640" w:firstLineChars="200"/>
        <w:rPr>
          <w:rFonts w:ascii="仿宋_GB2312" w:hAnsi="仿宋_GB2312" w:eastAsia="仿宋_GB2312" w:cs="仿宋_GB2312"/>
          <w:sz w:val="32"/>
          <w:szCs w:val="32"/>
        </w:rPr>
      </w:pPr>
    </w:p>
    <w:p>
      <w:pPr>
        <w:snapToGrid w:val="0"/>
        <w:spacing w:line="360" w:lineRule="auto"/>
        <w:ind w:firstLine="643" w:firstLineChars="200"/>
        <w:rPr>
          <w:rFonts w:ascii="仿宋_GB2312" w:hAnsi="华文中宋" w:eastAsia="仿宋_GB2312" w:cs="宋体"/>
          <w:b/>
          <w:sz w:val="32"/>
          <w:szCs w:val="20"/>
        </w:rPr>
      </w:pPr>
      <w:r>
        <w:rPr>
          <w:rFonts w:hint="eastAsia" w:ascii="仿宋_GB2312" w:hAnsi="华文中宋" w:eastAsia="仿宋_GB2312" w:cs="宋体"/>
          <w:b/>
          <w:sz w:val="32"/>
          <w:szCs w:val="20"/>
        </w:rPr>
        <w:t>九</w:t>
      </w:r>
      <w:r>
        <w:rPr>
          <w:rFonts w:ascii="仿宋_GB2312" w:hAnsi="华文中宋" w:eastAsia="仿宋_GB2312" w:cs="宋体"/>
          <w:b/>
          <w:sz w:val="32"/>
          <w:szCs w:val="20"/>
        </w:rPr>
        <w:t>、</w:t>
      </w:r>
      <w:r>
        <w:rPr>
          <w:rFonts w:hint="eastAsia" w:ascii="仿宋_GB2312" w:hAnsi="华文中宋" w:eastAsia="仿宋_GB2312" w:cs="宋体"/>
          <w:b/>
          <w:sz w:val="32"/>
          <w:szCs w:val="20"/>
        </w:rPr>
        <w:t>其它要求</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1.保密要求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与招标人签订网络安全保密协议，投标人参与项目的所有人员应严格遵守招标人的保密要求并签订网络安全保密承诺书，并由投标人担保；投标人应遵照招标人的文档知晓范围的规定，制定项目文档的保密要求，并把知晓范围明确标识在文档之中，以便控制文档使用范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对于招标人提供的资料，以及本项目实施过程中所涉及的所有文档、源代码、数据、介质和相关信息保密，未经许可，不得以任何形式向第三方泄露。保密期限不受本项目期限的限制，在本项目履行完毕后，保密信息接受方仍应承担保密义务。</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（3）如因投标人的原因造成泄密，招标人将保留追究其法律责任的权利。</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2.知识转移要求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知识转移的目标是投标人要采取有效方法、途径保证招标人能顺利完成本项目服务过程中各阶段移交物的接收及技术知识的吸收和转移，确保招标人能够掌握该项目的核心技术。投标人须将服务期间产生的一切资料和知识通过培训和文档等形式转移给招标人。</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（2）招标人不单独对知识转移支付费用。</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3.知识产权要求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（1）项目实施过程中所产生的所有成果（包括输出文档、相关技术资料等）归招标人所有。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（2）投标人应保证在本项目中使用的软件为在中国境内具有合法版权或使用权的正版软件且无质量瑕疵。</w:t>
      </w:r>
    </w:p>
    <w:p>
      <w:pPr>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（3）投标人应保证其所提供的服务不侵犯第三方的知识产权，否则，由此给招标人造成的一切损失由投标人承担。</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4.归档要求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投标人应按照招标人文档归档管理要求，对该项目所涉及的工作文档按招标人要求进行整理，经招标人确认后提交归档。</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5.项目进度和质量管理监管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（1）中标人须采用科学合理的方法确定进度目标，编制进度计划和资源供应计划，进行进度控制，在与质量、费用目标协调的基础上，实现工期目标。</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（2）中标通知书下达后3个工作日内，中标人须向招标人提供详细、可行的实施方案，并做好项目实施的准备工作，项目进度要求以合同约定为准。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（3）中标人应在投标方案中说明如何建立保证项目实施的质量保证体系。保证系统上线实施的质量。</w:t>
      </w:r>
    </w:p>
    <w:p>
      <w:pPr>
        <w:pStyle w:val="5"/>
        <w:ind w:firstLine="0" w:firstLineChars="0"/>
      </w:pPr>
    </w:p>
    <w:p>
      <w:pPr>
        <w:pStyle w:val="5"/>
        <w:ind w:firstLine="0" w:firstLineChars="0"/>
      </w:pPr>
    </w:p>
    <w:p>
      <w:pPr>
        <w:pStyle w:val="5"/>
        <w:ind w:firstLine="0" w:firstLineChars="0"/>
      </w:pPr>
    </w:p>
    <w:p>
      <w:pPr>
        <w:spacing w:line="360" w:lineRule="auto"/>
        <w:rPr>
          <w:rFonts w:ascii="仿宋" w:hAnsi="仿宋" w:eastAsia="仿宋"/>
          <w:b/>
          <w:bCs/>
          <w:sz w:val="28"/>
          <w:szCs w:val="28"/>
        </w:rPr>
      </w:pPr>
      <w:r>
        <w:rPr>
          <w:rFonts w:hint="eastAsia" w:ascii="仿宋" w:hAnsi="仿宋" w:eastAsia="仿宋"/>
          <w:b/>
          <w:bCs/>
          <w:sz w:val="28"/>
          <w:szCs w:val="28"/>
        </w:rPr>
        <w:t>商务要求表（标项2）</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pStyle w:val="25"/>
              <w:spacing w:line="360" w:lineRule="exact"/>
              <w:ind w:firstLine="420" w:firstLineChars="200"/>
              <w:jc w:val="both"/>
              <w:rPr>
                <w:rFonts w:ascii="仿宋_GB2312" w:hAnsi="仿宋_GB2312" w:eastAsia="仿宋_GB2312" w:cs="仿宋_GB2312"/>
              </w:rPr>
            </w:pPr>
            <w:r>
              <w:rPr>
                <w:rFonts w:hint="eastAsia" w:ascii="仿宋_GB2312" w:hAnsi="仿宋_GB2312" w:eastAsia="仿宋_GB2312" w:cs="仿宋_GB2312"/>
              </w:rPr>
              <w:t>1.服务时间：</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（1）本项目招标有效期为1年。</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（2）本项目要求2022年一季度前完成相关系统建设改造工作，确保系统顺利平稳上线；</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（3）系统上线后平稳运行一个月后中标方可发起项目验收申请，经采购方同意后开展验收；</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（4）本项目要求项目验收完成后提供6个月的运行保障工作</w:t>
            </w:r>
            <w:r>
              <w:rPr>
                <w:rFonts w:ascii="仿宋_GB2312" w:hAnsi="仿宋_GB2312" w:eastAsia="仿宋_GB2312" w:cs="仿宋_GB2312"/>
              </w:rPr>
              <w:t>，保障系统运行稳定</w:t>
            </w:r>
            <w:r>
              <w:rPr>
                <w:rFonts w:hint="eastAsia" w:ascii="仿宋_GB2312" w:hAnsi="仿宋_GB2312" w:eastAsia="仿宋_GB2312" w:cs="仿宋_GB2312"/>
              </w:rPr>
              <w:t>。</w:t>
            </w:r>
          </w:p>
          <w:p>
            <w:pPr>
              <w:ind w:firstLine="420" w:firstLineChars="200"/>
              <w:rPr>
                <w:rFonts w:ascii="仿宋" w:hAnsi="仿宋" w:eastAsia="仿宋"/>
                <w:sz w:val="28"/>
                <w:szCs w:val="28"/>
              </w:rPr>
            </w:pPr>
            <w:r>
              <w:rPr>
                <w:rFonts w:hint="eastAsia" w:ascii="仿宋_GB2312" w:hAnsi="仿宋_GB2312" w:eastAsia="仿宋_GB2312" w:cs="仿宋_GB2312"/>
              </w:rPr>
              <w:t>2.地点：项目实施及服务运维地点由省税务局指定。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 xml:space="preserve">本采购项目无履约保证金； </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付款方式采取按服务年度支付的办法，分两次付款：</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1.第一次付款：合同签订后15个工作日内，凭中标人书面付款申请支付当年度服务费用的60%；</w:t>
            </w:r>
          </w:p>
          <w:p>
            <w:pPr>
              <w:rPr>
                <w:rFonts w:ascii="仿宋" w:hAnsi="仿宋" w:eastAsia="仿宋"/>
                <w:b/>
                <w:sz w:val="28"/>
                <w:szCs w:val="28"/>
              </w:rPr>
            </w:pPr>
            <w:r>
              <w:rPr>
                <w:rFonts w:hint="eastAsia" w:ascii="仿宋_GB2312" w:hAnsi="仿宋_GB2312" w:eastAsia="仿宋_GB2312" w:cs="仿宋_GB2312"/>
              </w:rPr>
              <w:t>2.第二次付款：服务期结束，验收通过后，招标人凭中标人书面付款申请和验收报告15个工作日内支付剩余40%。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1.系统运维期间，中标人需派员到浙江省税务局进行上门维护，随叫随到，运维人员不得少于4人。</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2.项目验收后，免费运维期为</w:t>
            </w:r>
            <w:r>
              <w:rPr>
                <w:rFonts w:ascii="仿宋_GB2312" w:hAnsi="仿宋_GB2312" w:eastAsia="仿宋_GB2312" w:cs="仿宋_GB2312"/>
              </w:rPr>
              <w:t>6</w:t>
            </w:r>
            <w:r>
              <w:rPr>
                <w:rFonts w:hint="eastAsia" w:ascii="仿宋_GB2312" w:hAnsi="仿宋_GB2312" w:eastAsia="仿宋_GB2312" w:cs="仿宋_GB2312"/>
              </w:rPr>
              <w:t>个月，服务等级为7×24，需提供上门运维服务、电话支持服务、远程服务等多种服务形式。</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3.项目运维</w:t>
            </w:r>
            <w:r>
              <w:rPr>
                <w:rFonts w:ascii="仿宋_GB2312" w:hAnsi="仿宋_GB2312" w:eastAsia="仿宋_GB2312" w:cs="仿宋_GB2312"/>
              </w:rPr>
              <w:t>期</w:t>
            </w:r>
            <w:r>
              <w:rPr>
                <w:rFonts w:hint="eastAsia" w:ascii="仿宋_GB2312" w:hAnsi="仿宋_GB2312" w:eastAsia="仿宋_GB2312" w:cs="仿宋_GB2312"/>
              </w:rPr>
              <w:t>为项目验收期起</w:t>
            </w:r>
            <w:r>
              <w:rPr>
                <w:rFonts w:ascii="仿宋_GB2312" w:hAnsi="仿宋_GB2312" w:eastAsia="仿宋_GB2312" w:cs="仿宋_GB2312"/>
              </w:rPr>
              <w:t>，运行监控</w:t>
            </w:r>
            <w:r>
              <w:rPr>
                <w:rFonts w:hint="eastAsia" w:ascii="仿宋_GB2312" w:hAnsi="仿宋_GB2312" w:eastAsia="仿宋_GB2312" w:cs="仿宋_GB2312"/>
              </w:rPr>
              <w:t>6个</w:t>
            </w:r>
            <w:r>
              <w:rPr>
                <w:rFonts w:ascii="仿宋_GB2312" w:hAnsi="仿宋_GB2312" w:eastAsia="仿宋_GB2312" w:cs="仿宋_GB2312"/>
              </w:rPr>
              <w:t>月，保</w:t>
            </w:r>
            <w:r>
              <w:rPr>
                <w:rFonts w:hint="eastAsia" w:ascii="仿宋_GB2312" w:hAnsi="仿宋_GB2312" w:eastAsia="仿宋_GB2312" w:cs="仿宋_GB2312"/>
              </w:rPr>
              <w:t>障</w:t>
            </w:r>
            <w:r>
              <w:rPr>
                <w:rFonts w:ascii="仿宋_GB2312" w:hAnsi="仿宋_GB2312" w:eastAsia="仿宋_GB2312" w:cs="仿宋_GB2312"/>
              </w:rPr>
              <w:t>系统</w:t>
            </w:r>
            <w:r>
              <w:rPr>
                <w:rFonts w:hint="eastAsia" w:ascii="仿宋_GB2312" w:hAnsi="仿宋_GB2312" w:eastAsia="仿宋_GB2312" w:cs="仿宋_GB2312"/>
              </w:rPr>
              <w:t>运行</w:t>
            </w:r>
            <w:r>
              <w:rPr>
                <w:rFonts w:ascii="仿宋_GB2312" w:hAnsi="仿宋_GB2312" w:eastAsia="仿宋_GB2312" w:cs="仿宋_GB2312"/>
              </w:rPr>
              <w:t>稳定</w:t>
            </w:r>
            <w:r>
              <w:rPr>
                <w:rFonts w:hint="eastAsia" w:ascii="仿宋_GB2312" w:hAnsi="仿宋_GB2312" w:eastAsia="仿宋_GB2312" w:cs="仿宋_GB2312"/>
              </w:rPr>
              <w:t>。</w:t>
            </w:r>
          </w:p>
          <w:p>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4.运维服务期内，中标人根据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，其中至少有一人为参与系统建设的人员，且运行保障</w:t>
            </w:r>
            <w:r>
              <w:rPr>
                <w:rFonts w:ascii="仿宋_GB2312" w:hAnsi="仿宋_GB2312" w:eastAsia="仿宋_GB2312" w:cs="仿宋_GB2312"/>
              </w:rPr>
              <w:t>人员的</w:t>
            </w:r>
            <w:r>
              <w:rPr>
                <w:rFonts w:hint="eastAsia" w:ascii="仿宋_GB2312" w:hAnsi="仿宋_GB2312" w:eastAsia="仿宋_GB2312" w:cs="仿宋_GB2312"/>
              </w:rPr>
              <w:t>变动超过2人的，视为一次服务不合格。</w:t>
            </w:r>
          </w:p>
          <w:p>
            <w:pPr>
              <w:pStyle w:val="25"/>
              <w:spacing w:line="360" w:lineRule="exact"/>
              <w:ind w:firstLine="482"/>
              <w:jc w:val="both"/>
              <w:rPr>
                <w:rFonts w:ascii="仿宋_GB2312" w:hAnsi="仿宋_GB2312" w:eastAsia="仿宋_GB2312" w:cs="仿宋_GB2312"/>
              </w:rPr>
            </w:pPr>
            <w:r>
              <w:rPr>
                <w:rFonts w:hint="eastAsia" w:ascii="仿宋_GB2312" w:hAnsi="仿宋_GB2312" w:eastAsia="仿宋_GB2312" w:cs="仿宋_GB2312"/>
              </w:rPr>
              <w:t>5.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ind w:firstLine="420" w:firstLineChars="200"/>
              <w:rPr>
                <w:rFonts w:ascii="仿宋" w:hAnsi="仿宋" w:eastAsia="仿宋" w:cs="仿宋_GB2312"/>
                <w:sz w:val="28"/>
                <w:szCs w:val="28"/>
              </w:rPr>
            </w:pPr>
            <w:r>
              <w:rPr>
                <w:rFonts w:hint="eastAsia" w:ascii="仿宋_GB2312" w:hAnsi="仿宋_GB2312" w:eastAsia="仿宋_GB2312" w:cs="仿宋_GB2312"/>
              </w:rPr>
              <w:t>6.若因中标方怠于履行运维责任、对系统运维不到位等原因导致浙江省税务局造成损失的，由中标方进行相应赔偿，同时视为该年度3次服务不合格。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ind w:firstLine="420" w:firstLineChars="200"/>
              <w:rPr>
                <w:rFonts w:ascii="仿宋" w:hAnsi="仿宋" w:eastAsia="仿宋"/>
                <w:sz w:val="28"/>
                <w:szCs w:val="28"/>
              </w:rPr>
            </w:pPr>
            <w:r>
              <w:rPr>
                <w:rFonts w:hint="eastAsia" w:ascii="仿宋_GB2312" w:hAnsi="仿宋_GB2312" w:eastAsia="仿宋_GB2312" w:cs="仿宋_GB2312"/>
              </w:rPr>
              <w:t>运维期服务等级为7×24，需提供上门运维服务、电话支持服务、远程服务等多种服务形式。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中标方须对浙江省税务局不少于</w:t>
            </w:r>
            <w:r>
              <w:rPr>
                <w:rFonts w:ascii="仿宋_GB2312" w:hAnsi="仿宋_GB2312" w:eastAsia="仿宋_GB2312" w:cs="仿宋_GB2312"/>
              </w:rPr>
              <w:t>4</w:t>
            </w:r>
            <w:r>
              <w:rPr>
                <w:rFonts w:hint="eastAsia" w:ascii="仿宋_GB2312" w:hAnsi="仿宋_GB2312" w:eastAsia="仿宋_GB2312" w:cs="仿宋_GB2312"/>
              </w:rPr>
              <w:t>名工作人员进行软件相关功能、操作、原理的讲解与培训，培训要求如下：培训资料、培训讲师必须通过浙江省税务局的审核，讲解需细致到位，能使被培训者独自顺利操作软件的各个功能模块，培训课时不少于8小时</w:t>
            </w:r>
            <w:r>
              <w:rPr>
                <w:rFonts w:ascii="仿宋_GB2312" w:hAnsi="仿宋_GB2312" w:eastAsia="仿宋_GB2312" w:cs="仿宋_GB2312"/>
              </w:rPr>
              <w:t>/</w:t>
            </w:r>
            <w:r>
              <w:rPr>
                <w:rFonts w:hint="eastAsia" w:ascii="仿宋_GB2312" w:hAns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项目组人员个人、团队开发能力情况（资历及业绩）</w:t>
            </w:r>
          </w:p>
        </w:tc>
        <w:tc>
          <w:tcPr>
            <w:tcW w:w="6775"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1.本项目的项目经理拥有本科及以上学历，具备5年以上工作经验得1分；具备计算机软件高级职称的三类证书（由中国电子信息行业联合会颁发的高级项目经理、中华人民共和国人力资源和社会保障部、工业和信息化部颁发的高级软件设计师、中华人民共和国人力资源和社会保障部、工业和信息化部颁发的高级系统架构设计师），</w:t>
            </w:r>
            <w:r>
              <w:rPr>
                <w:rFonts w:hint="eastAsia" w:ascii="仿宋_GB2312" w:hAnsi="仿宋_GB2312" w:eastAsia="仿宋_GB2312" w:cs="仿宋_GB2312"/>
                <w:highlight w:val="yellow"/>
              </w:rPr>
              <w:t>每个证书得1分，最高2分。本项满分3分。</w:t>
            </w:r>
          </w:p>
          <w:p>
            <w:pPr>
              <w:ind w:firstLine="420" w:firstLineChars="200"/>
              <w:rPr>
                <w:rFonts w:ascii="仿宋_GB2312" w:hAnsi="仿宋_GB2312" w:eastAsia="仿宋_GB2312" w:cs="仿宋_GB2312"/>
              </w:rPr>
            </w:pPr>
            <w:r>
              <w:rPr>
                <w:rFonts w:hint="eastAsia" w:ascii="仿宋_GB2312" w:hAnsi="仿宋_GB2312" w:eastAsia="仿宋_GB2312" w:cs="仿宋_GB2312"/>
              </w:rPr>
              <w:t>2.本项目开发团队成员具备计算机软件中级及以上职称的（中华人民共和国人力资源和社会保障部、工业和信息化部颁发的软件设计师、中华人民共和国人力资源和社会保障部、工业和信息化部颁发的系统集成项目管理工程师、中华人民共和国人力资源和社会保障部、工业和信息化部颁发的信息系统项目管理师、中华人民共和国工业和信息化部教育与考试中心颁发的软件工程师、中华人民共和国人力资源和社会保障部、工业和信息化部颁发的系统架构设计师等），</w:t>
            </w:r>
            <w:r>
              <w:rPr>
                <w:rFonts w:hint="eastAsia" w:ascii="仿宋_GB2312" w:hAnsi="仿宋_GB2312" w:eastAsia="仿宋_GB2312" w:cs="仿宋_GB2312"/>
                <w:highlight w:val="yellow"/>
              </w:rPr>
              <w:t>每项证书得1分，一人最多1分。本项满分3分。</w:t>
            </w:r>
          </w:p>
          <w:p>
            <w:pPr>
              <w:ind w:firstLine="420" w:firstLineChars="200"/>
              <w:rPr>
                <w:rFonts w:ascii="仿宋_GB2312" w:hAnsi="仿宋_GB2312" w:eastAsia="仿宋_GB2312" w:cs="仿宋_GB2312"/>
              </w:rPr>
            </w:pPr>
            <w:r>
              <w:rPr>
                <w:rFonts w:hint="eastAsia" w:ascii="仿宋_GB2312" w:hAnsi="仿宋_GB2312" w:eastAsia="仿宋_GB2312" w:cs="仿宋_GB2312"/>
              </w:rPr>
              <w:t>（以上人员要求为供应商在册员工，提供相关证明材料及社保证明复印件。以上证明材料需供应商盖章确认。）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ind w:firstLine="420" w:firstLineChars="200"/>
              <w:rPr>
                <w:rFonts w:ascii="仿宋" w:hAnsi="仿宋" w:eastAsia="仿宋" w:cs="仿宋_GB2312"/>
                <w:sz w:val="28"/>
                <w:szCs w:val="28"/>
              </w:rPr>
            </w:pPr>
            <w:r>
              <w:rPr>
                <w:rFonts w:hint="eastAsia" w:ascii="仿宋_GB2312" w:hAnsi="仿宋_GB2312" w:eastAsia="仿宋_GB2312" w:cs="仿宋_GB2312"/>
              </w:rPr>
              <w:t>投标人具有有效ISO9001质量管理体系认证证书、ISO20000 信息技术服务管理体系认证证书、ISO27001信息安全管理体系证书（提供复印件）。每提供一个得1分。最高得3分。（提供相关证明材料）。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ind w:firstLine="420" w:firstLineChars="200"/>
              <w:rPr>
                <w:rFonts w:ascii="仿宋" w:hAnsi="仿宋" w:eastAsia="仿宋" w:cs="仿宋_GB2312"/>
                <w:sz w:val="28"/>
                <w:szCs w:val="28"/>
              </w:rPr>
            </w:pPr>
            <w:r>
              <w:rPr>
                <w:rFonts w:hint="eastAsia" w:ascii="仿宋_GB2312" w:hAnsi="仿宋_GB2312" w:eastAsia="仿宋_GB2312" w:cs="仿宋_GB2312"/>
              </w:rPr>
              <w:t>应具有同类项目的开发经验。投标人提供2018年1月1日以来（以合同签订日期为准）实施同类项目的成功案例，并提供合同复印件或中标通知书复印件，每项得1分，最高得4分。</w:t>
            </w:r>
          </w:p>
        </w:tc>
      </w:tr>
    </w:tbl>
    <w:p>
      <w:pPr>
        <w:pStyle w:val="4"/>
      </w:pPr>
    </w:p>
    <w:p>
      <w:pPr>
        <w:pStyle w:val="3"/>
        <w:spacing w:before="120" w:after="120" w:line="360" w:lineRule="auto"/>
        <w:jc w:val="center"/>
        <w:outlineLvl w:val="0"/>
        <w:rPr>
          <w:rFonts w:hint="eastAsia" w:hAnsi="宋体"/>
          <w:b/>
          <w:sz w:val="36"/>
          <w:szCs w:val="36"/>
        </w:rPr>
      </w:pPr>
    </w:p>
    <w:p>
      <w:pPr>
        <w:pStyle w:val="3"/>
        <w:spacing w:before="120" w:after="120" w:line="360" w:lineRule="auto"/>
        <w:jc w:val="center"/>
        <w:outlineLvl w:val="0"/>
        <w:rPr>
          <w:rFonts w:hint="eastAsia" w:hAnsi="宋体"/>
          <w:b/>
          <w:sz w:val="36"/>
          <w:szCs w:val="36"/>
        </w:rPr>
      </w:pPr>
    </w:p>
    <w:p>
      <w:pPr>
        <w:pStyle w:val="3"/>
        <w:spacing w:before="120" w:after="120" w:line="360" w:lineRule="auto"/>
        <w:jc w:val="center"/>
        <w:outlineLvl w:val="0"/>
        <w:rPr>
          <w:rFonts w:hint="eastAsia" w:hAnsi="宋体"/>
          <w:b/>
          <w:sz w:val="36"/>
          <w:szCs w:val="36"/>
        </w:rPr>
      </w:pPr>
    </w:p>
    <w:p>
      <w:pPr>
        <w:pStyle w:val="3"/>
        <w:spacing w:before="120" w:after="120" w:line="360" w:lineRule="auto"/>
        <w:jc w:val="center"/>
        <w:outlineLvl w:val="0"/>
        <w:rPr>
          <w:rFonts w:hint="eastAsia" w:hAnsi="宋体"/>
          <w:b/>
          <w:sz w:val="36"/>
          <w:szCs w:val="36"/>
        </w:rPr>
      </w:pPr>
    </w:p>
    <w:p>
      <w:pPr>
        <w:pStyle w:val="3"/>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7"/>
    </w:p>
    <w:p/>
    <w:p>
      <w:pPr>
        <w:pStyle w:val="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
        <w:adjustRightInd w:val="0"/>
        <w:snapToGrid w:val="0"/>
        <w:spacing w:before="120" w:after="120" w:line="460" w:lineRule="exact"/>
        <w:ind w:left="1" w:firstLine="639" w:firstLineChars="213"/>
        <w:rPr>
          <w:rFonts w:ascii="仿宋" w:hAnsi="仿宋" w:eastAsia="仿宋"/>
          <w:snapToGrid w:val="0"/>
          <w:sz w:val="30"/>
          <w:szCs w:val="30"/>
        </w:rPr>
      </w:pP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
        <w:adjustRightInd w:val="0"/>
        <w:snapToGrid w:val="0"/>
        <w:spacing w:before="120" w:after="120" w:line="460" w:lineRule="exact"/>
        <w:ind w:firstLine="639" w:firstLineChars="213"/>
        <w:rPr>
          <w:rFonts w:ascii="仿宋" w:hAnsi="仿宋" w:eastAsia="仿宋"/>
          <w:snapToGrid w:val="0"/>
          <w:sz w:val="30"/>
          <w:szCs w:val="30"/>
        </w:rPr>
      </w:pP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60" w:name="_Toc496796640"/>
      <w:r>
        <w:rPr>
          <w:rFonts w:hint="eastAsia" w:hAnsi="宋体"/>
          <w:b/>
          <w:sz w:val="36"/>
          <w:szCs w:val="36"/>
        </w:rPr>
        <w:t>第六章  投标文件格式附件</w:t>
      </w:r>
      <w:bookmarkEnd w:id="60"/>
    </w:p>
    <w:p>
      <w:pPr>
        <w:pStyle w:val="3"/>
        <w:spacing w:before="120" w:after="120" w:line="360" w:lineRule="auto"/>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48"/>
          <w:szCs w:val="48"/>
        </w:rPr>
      </w:pPr>
      <w:bookmarkStart w:id="61" w:name="PO_1000000445_PM002_2"/>
      <w:r>
        <w:rPr>
          <w:rFonts w:hint="eastAsia" w:ascii="仿宋" w:hAnsi="仿宋" w:eastAsia="仿宋"/>
          <w:b/>
          <w:color w:val="000000" w:themeColor="text1"/>
          <w:spacing w:val="40"/>
          <w:sz w:val="48"/>
          <w:szCs w:val="48"/>
          <w14:textFill>
            <w14:solidFill>
              <w14:schemeClr w14:val="tx1"/>
            </w14:solidFill>
          </w14:textFill>
        </w:rPr>
        <w:t>国家税务总局浙江省税务局金三社保推广上线及本地化改造项目</w:t>
      </w:r>
      <w:bookmarkEnd w:id="6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2" w:name="PO_15528_PM001_2"/>
      <w:r>
        <w:rPr>
          <w:rFonts w:hint="eastAsia" w:ascii="仿宋" w:hAnsi="仿宋" w:eastAsia="仿宋"/>
          <w:sz w:val="36"/>
          <w:szCs w:val="36"/>
        </w:rPr>
        <w:t>ZZCG2022X-GK-101</w:t>
      </w:r>
      <w:bookmarkEnd w:id="6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63" w:name="PO_15528_PM001_3"/>
      <w:r>
        <w:rPr>
          <w:rFonts w:hint="eastAsia" w:ascii="仿宋" w:hAnsi="仿宋" w:eastAsia="仿宋"/>
          <w:sz w:val="30"/>
          <w:szCs w:val="30"/>
          <w:u w:val="single"/>
        </w:rPr>
        <w:t>ZZCG2022X-GK-101</w:t>
      </w:r>
      <w:bookmarkEnd w:id="6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21"/>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p>
    <w:p>
      <w:pPr>
        <w:pStyle w:val="21"/>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7</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center"/>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48"/>
          <w:szCs w:val="48"/>
          <w14:textFill>
            <w14:solidFill>
              <w14:schemeClr w14:val="tx1"/>
            </w14:solidFill>
          </w14:textFill>
        </w:rPr>
      </w:pPr>
      <w:bookmarkStart w:id="64" w:name="PO_1000000445_PM002"/>
      <w:r>
        <w:rPr>
          <w:rFonts w:hint="eastAsia" w:ascii="仿宋" w:hAnsi="仿宋" w:eastAsia="仿宋"/>
          <w:b/>
          <w:color w:val="000000" w:themeColor="text1"/>
          <w:spacing w:val="40"/>
          <w:sz w:val="48"/>
          <w:szCs w:val="48"/>
          <w14:textFill>
            <w14:solidFill>
              <w14:schemeClr w14:val="tx1"/>
            </w14:solidFill>
          </w14:textFill>
        </w:rPr>
        <w:t>国家税务总局浙江省税务局金三社保推广上线及本地化改造项目</w:t>
      </w:r>
      <w:bookmarkEnd w:id="64"/>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5" w:name="PO_15528_PM001_4"/>
      <w:r>
        <w:rPr>
          <w:rFonts w:hint="eastAsia" w:ascii="仿宋" w:hAnsi="仿宋" w:eastAsia="仿宋"/>
          <w:sz w:val="36"/>
          <w:szCs w:val="36"/>
        </w:rPr>
        <w:t>ZZCG2022X-GK-101</w:t>
      </w:r>
      <w:bookmarkEnd w:id="65"/>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6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bl>
    <w:p>
      <w:pPr>
        <w:pStyle w:val="27"/>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2</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48"/>
          <w:szCs w:val="48"/>
        </w:rPr>
      </w:pPr>
      <w:bookmarkStart w:id="66" w:name="PO_1000000445_PM002_1"/>
      <w:r>
        <w:rPr>
          <w:rFonts w:hint="eastAsia" w:ascii="仿宋" w:hAnsi="仿宋" w:eastAsia="仿宋"/>
          <w:b/>
          <w:color w:val="000000" w:themeColor="text1"/>
          <w:spacing w:val="40"/>
          <w:sz w:val="48"/>
          <w:szCs w:val="48"/>
          <w14:textFill>
            <w14:solidFill>
              <w14:schemeClr w14:val="tx1"/>
            </w14:solidFill>
          </w14:textFill>
        </w:rPr>
        <w:t>国家税务总局浙江省税务局金三社保推广上线及本地化改造项目</w:t>
      </w:r>
      <w:bookmarkEnd w:id="6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7" w:name="PO_1000000445_PM001"/>
      <w:r>
        <w:rPr>
          <w:rFonts w:hint="eastAsia" w:ascii="仿宋" w:hAnsi="仿宋" w:eastAsia="仿宋"/>
          <w:b/>
          <w:color w:val="000000" w:themeColor="text1"/>
          <w:sz w:val="36"/>
          <w:szCs w:val="36"/>
          <w14:textFill>
            <w14:solidFill>
              <w14:schemeClr w14:val="tx1"/>
            </w14:solidFill>
          </w14:textFill>
        </w:rPr>
        <w:t>ZZCG2022X-GK-101</w:t>
      </w:r>
      <w:bookmarkEnd w:id="6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6"/>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6</w:t>
      </w:r>
      <w:r>
        <w:rPr>
          <w:rFonts w:hint="eastAsia" w:ascii="仿宋" w:hAnsi="仿宋" w:eastAsia="仿宋"/>
          <w:sz w:val="30"/>
          <w:szCs w:val="30"/>
        </w:rPr>
        <w:t>）；</w:t>
      </w: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sz w:val="30"/>
          <w:szCs w:val="30"/>
        </w:rPr>
        <w:t>：</w:t>
      </w:r>
    </w:p>
    <w:p>
      <w:pPr>
        <w:pStyle w:val="3"/>
        <w:snapToGrid w:val="0"/>
        <w:spacing w:before="120" w:after="120" w:line="240" w:lineRule="auto"/>
        <w:jc w:val="center"/>
        <w:rPr>
          <w:rFonts w:hAnsi="宋体"/>
          <w:b/>
          <w:sz w:val="36"/>
          <w:szCs w:val="36"/>
        </w:rPr>
      </w:pPr>
      <w:r>
        <w:rPr>
          <w:rFonts w:hint="eastAsia" w:hAnsi="宋体"/>
          <w:b/>
          <w:sz w:val="36"/>
          <w:szCs w:val="36"/>
        </w:rPr>
        <w:t>开 标 一 览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
        <w:snapToGrid w:val="0"/>
        <w:spacing w:before="120" w:after="120" w:line="240" w:lineRule="auto"/>
        <w:jc w:val="center"/>
        <w:rPr>
          <w:rFonts w:hAnsi="宋体"/>
          <w:b/>
          <w:sz w:val="36"/>
          <w:szCs w:val="36"/>
        </w:rPr>
      </w:pPr>
      <w:r>
        <w:rPr>
          <w:rFonts w:hint="eastAsia" w:hAnsi="宋体"/>
          <w:b/>
          <w:sz w:val="36"/>
          <w:szCs w:val="36"/>
        </w:rPr>
        <w:t>开 标 一 览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61"/>
        <w:gridCol w:w="1800"/>
        <w:gridCol w:w="1020"/>
        <w:gridCol w:w="1005"/>
        <w:gridCol w:w="930"/>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9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102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100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（元/人/天）</w:t>
            </w:r>
          </w:p>
        </w:tc>
        <w:tc>
          <w:tcPr>
            <w:tcW w:w="93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0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0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3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
        <w:snapToGrid w:val="0"/>
        <w:spacing w:before="120" w:after="120" w:line="240" w:lineRule="auto"/>
        <w:jc w:val="center"/>
        <w:rPr>
          <w:rFonts w:hAnsi="宋体"/>
          <w:b/>
          <w:sz w:val="36"/>
          <w:szCs w:val="36"/>
        </w:rPr>
      </w:pPr>
      <w:r>
        <w:rPr>
          <w:rFonts w:hint="eastAsia" w:hAnsi="宋体"/>
          <w:b/>
          <w:sz w:val="36"/>
          <w:szCs w:val="36"/>
        </w:rPr>
        <w:t>开 标 一 览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6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2"/>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rPr>
          <w:rFonts w:hint="eastAsia"/>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E265D"/>
    <w:rsid w:val="000F7EE7"/>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A67ED"/>
    <w:rsid w:val="00ED4653"/>
    <w:rsid w:val="00EF085D"/>
    <w:rsid w:val="00F65755"/>
    <w:rsid w:val="00FC29AB"/>
    <w:rsid w:val="30A81303"/>
    <w:rsid w:val="4B5A5315"/>
    <w:rsid w:val="78F0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7">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1">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3">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4">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link w:val="306"/>
    <w:qFormat/>
    <w:uiPriority w:val="0"/>
    <w:pPr>
      <w:jc w:val="left"/>
      <w:textAlignment w:val="top"/>
    </w:pPr>
    <w:rPr>
      <w:rFonts w:ascii="Times New Roman" w:hAnsi="Times New Roman" w:eastAsiaTheme="minorEastAsia" w:cstheme="minorBidi"/>
      <w:sz w:val="18"/>
      <w:szCs w:val="24"/>
    </w:rPr>
  </w:style>
  <w:style w:type="paragraph" w:styleId="3">
    <w:name w:val="Plain Text"/>
    <w:basedOn w:val="1"/>
    <w:next w:val="1"/>
    <w:link w:val="88"/>
    <w:qFormat/>
    <w:uiPriority w:val="0"/>
    <w:pPr>
      <w:spacing w:beforeLines="50" w:afterLines="50" w:line="400" w:lineRule="exact"/>
    </w:pPr>
    <w:rPr>
      <w:rFonts w:ascii="宋体" w:hAnsi="Courier New"/>
      <w:sz w:val="24"/>
      <w:szCs w:val="24"/>
    </w:rPr>
  </w:style>
  <w:style w:type="paragraph" w:styleId="4">
    <w:name w:val="Body Text"/>
    <w:basedOn w:val="1"/>
    <w:next w:val="5"/>
    <w:link w:val="86"/>
    <w:unhideWhenUsed/>
    <w:qFormat/>
    <w:uiPriority w:val="99"/>
    <w:pPr>
      <w:spacing w:after="120"/>
    </w:pPr>
    <w:rPr>
      <w:sz w:val="28"/>
      <w:szCs w:val="24"/>
    </w:rPr>
  </w:style>
  <w:style w:type="paragraph" w:styleId="5">
    <w:name w:val="Body Text First Indent"/>
    <w:basedOn w:val="1"/>
    <w:link w:val="103"/>
    <w:qFormat/>
    <w:uiPriority w:val="0"/>
    <w:pPr>
      <w:ind w:firstLine="420" w:firstLineChars="100"/>
    </w:pPr>
    <w:rPr>
      <w:sz w:val="21"/>
      <w:szCs w:val="22"/>
    </w:rPr>
  </w:style>
  <w:style w:type="paragraph" w:styleId="15">
    <w:name w:val="List 3"/>
    <w:basedOn w:val="1"/>
    <w:qFormat/>
    <w:uiPriority w:val="0"/>
    <w:pPr>
      <w:ind w:left="100" w:leftChars="400" w:hanging="200" w:hangingChars="200"/>
    </w:pPr>
    <w:rPr>
      <w:rFonts w:ascii="Times New Roman" w:hAnsi="Times New Roman"/>
      <w:szCs w:val="20"/>
    </w:rPr>
  </w:style>
  <w:style w:type="paragraph" w:styleId="16">
    <w:name w:val="toc 7"/>
    <w:basedOn w:val="1"/>
    <w:next w:val="1"/>
    <w:qFormat/>
    <w:uiPriority w:val="0"/>
    <w:pPr>
      <w:ind w:left="1260"/>
      <w:jc w:val="left"/>
    </w:pPr>
    <w:rPr>
      <w:rFonts w:ascii="Times New Roman" w:hAnsi="Times New Roman"/>
      <w:sz w:val="18"/>
      <w:szCs w:val="18"/>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qFormat/>
    <w:uiPriority w:val="0"/>
    <w:pPr>
      <w:ind w:firstLine="420"/>
    </w:pPr>
    <w:rPr>
      <w:szCs w:val="20"/>
    </w:rPr>
  </w:style>
  <w:style w:type="paragraph" w:styleId="22">
    <w:name w:val="caption"/>
    <w:basedOn w:val="1"/>
    <w:next w:val="1"/>
    <w:link w:val="108"/>
    <w:semiHidden/>
    <w:unhideWhenUsed/>
    <w:qFormat/>
    <w:uiPriority w:val="0"/>
    <w:pPr>
      <w:spacing w:before="152" w:after="160"/>
    </w:pPr>
    <w:rPr>
      <w:rFonts w:ascii="Arial" w:hAnsi="Arial" w:eastAsia="黑体"/>
      <w:sz w:val="20"/>
      <w:szCs w:val="20"/>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2"/>
    <w:qFormat/>
    <w:uiPriority w:val="0"/>
    <w:rPr>
      <w:rFonts w:ascii="宋体"/>
      <w:sz w:val="18"/>
      <w:szCs w:val="18"/>
    </w:rPr>
  </w:style>
  <w:style w:type="paragraph" w:styleId="25">
    <w:name w:val="annotation text"/>
    <w:basedOn w:val="1"/>
    <w:link w:val="83"/>
    <w:unhideWhenUsed/>
    <w:qFormat/>
    <w:uiPriority w:val="99"/>
    <w:pPr>
      <w:jc w:val="left"/>
    </w:pPr>
  </w:style>
  <w:style w:type="paragraph" w:styleId="26">
    <w:name w:val="Salutation"/>
    <w:basedOn w:val="1"/>
    <w:next w:val="1"/>
    <w:link w:val="84"/>
    <w:qFormat/>
    <w:uiPriority w:val="0"/>
    <w:rPr>
      <w:rFonts w:ascii="宋体" w:hAnsi="Times New Roman"/>
      <w:b/>
      <w:sz w:val="28"/>
      <w:szCs w:val="20"/>
    </w:rPr>
  </w:style>
  <w:style w:type="paragraph" w:styleId="27">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8">
    <w:name w:val="Body Text Indent"/>
    <w:basedOn w:val="1"/>
    <w:link w:val="87"/>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9"/>
    <w:qFormat/>
    <w:uiPriority w:val="0"/>
    <w:pPr>
      <w:ind w:left="2500" w:leftChars="2500"/>
    </w:pPr>
    <w:rPr>
      <w:rFonts w:eastAsia="楷体_GB2312"/>
      <w:sz w:val="32"/>
      <w:szCs w:val="20"/>
    </w:rPr>
  </w:style>
  <w:style w:type="paragraph" w:styleId="37">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2"/>
    <w:qFormat/>
    <w:uiPriority w:val="0"/>
    <w:rPr>
      <w:sz w:val="18"/>
      <w:szCs w:val="18"/>
    </w:rPr>
  </w:style>
  <w:style w:type="paragraph" w:styleId="40">
    <w:name w:val="footer"/>
    <w:basedOn w:val="1"/>
    <w:link w:val="246"/>
    <w:qFormat/>
    <w:uiPriority w:val="99"/>
    <w:pPr>
      <w:tabs>
        <w:tab w:val="center" w:pos="4153"/>
        <w:tab w:val="right" w:pos="8306"/>
      </w:tabs>
      <w:snapToGrid w:val="0"/>
      <w:jc w:val="left"/>
    </w:pPr>
    <w:rPr>
      <w:sz w:val="18"/>
      <w:szCs w:val="18"/>
    </w:rPr>
  </w:style>
  <w:style w:type="paragraph" w:styleId="41">
    <w:name w:val="header"/>
    <w:basedOn w:val="1"/>
    <w:link w:val="379"/>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5"/>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0"/>
    <w:qFormat/>
    <w:uiPriority w:val="0"/>
    <w:pPr>
      <w:spacing w:before="240" w:after="60"/>
      <w:jc w:val="center"/>
      <w:outlineLvl w:val="0"/>
    </w:pPr>
    <w:rPr>
      <w:rFonts w:ascii="Arial" w:hAnsi="Arial"/>
      <w:b/>
      <w:bCs/>
      <w:sz w:val="32"/>
      <w:szCs w:val="32"/>
    </w:rPr>
  </w:style>
  <w:style w:type="paragraph" w:styleId="58">
    <w:name w:val="annotation subject"/>
    <w:basedOn w:val="25"/>
    <w:next w:val="25"/>
    <w:link w:val="963"/>
    <w:qFormat/>
    <w:uiPriority w:val="0"/>
    <w:rPr>
      <w:b/>
      <w:bCs/>
    </w:rPr>
  </w:style>
  <w:style w:type="paragraph" w:styleId="59">
    <w:name w:val="Body Text First Indent 2"/>
    <w:basedOn w:val="28"/>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6"/>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8"/>
    <w:qFormat/>
    <w:uiPriority w:val="9"/>
    <w:rPr>
      <w:rFonts w:ascii="Calibri" w:hAnsi="Calibri" w:eastAsia="宋体" w:cs="Times New Roman"/>
      <w:b/>
      <w:bCs/>
      <w:sz w:val="32"/>
      <w:szCs w:val="32"/>
    </w:rPr>
  </w:style>
  <w:style w:type="character" w:customStyle="1" w:styleId="76">
    <w:name w:val="标题 4 字符"/>
    <w:basedOn w:val="65"/>
    <w:link w:val="9"/>
    <w:qFormat/>
    <w:uiPriority w:val="0"/>
    <w:rPr>
      <w:rFonts w:ascii="Arial" w:hAnsi="Arial" w:eastAsia="黑体" w:cs="Times New Roman"/>
      <w:b/>
      <w:bCs/>
      <w:sz w:val="28"/>
      <w:szCs w:val="28"/>
    </w:rPr>
  </w:style>
  <w:style w:type="character" w:customStyle="1" w:styleId="77">
    <w:name w:val="标题 5 字符"/>
    <w:basedOn w:val="65"/>
    <w:link w:val="10"/>
    <w:qFormat/>
    <w:uiPriority w:val="0"/>
    <w:rPr>
      <w:rFonts w:ascii="Calibri" w:hAnsi="Calibri" w:eastAsia="宋体" w:cs="Times New Roman"/>
      <w:b/>
      <w:bCs/>
      <w:sz w:val="28"/>
      <w:szCs w:val="28"/>
    </w:rPr>
  </w:style>
  <w:style w:type="character" w:customStyle="1" w:styleId="78">
    <w:name w:val="标题 6 字符"/>
    <w:basedOn w:val="65"/>
    <w:link w:val="11"/>
    <w:qFormat/>
    <w:uiPriority w:val="0"/>
    <w:rPr>
      <w:rFonts w:ascii="Arial" w:hAnsi="Arial" w:eastAsia="黑体" w:cs="Times New Roman"/>
      <w:b/>
      <w:bCs/>
      <w:sz w:val="24"/>
      <w:szCs w:val="24"/>
    </w:rPr>
  </w:style>
  <w:style w:type="character" w:customStyle="1" w:styleId="79">
    <w:name w:val="标题 7 字符"/>
    <w:basedOn w:val="65"/>
    <w:link w:val="12"/>
    <w:qFormat/>
    <w:uiPriority w:val="0"/>
    <w:rPr>
      <w:rFonts w:ascii="Calibri" w:hAnsi="Calibri" w:eastAsia="宋体" w:cs="Times New Roman"/>
      <w:b/>
      <w:bCs/>
      <w:sz w:val="24"/>
      <w:szCs w:val="24"/>
    </w:rPr>
  </w:style>
  <w:style w:type="character" w:customStyle="1" w:styleId="80">
    <w:name w:val="标题 8 字符"/>
    <w:basedOn w:val="65"/>
    <w:link w:val="13"/>
    <w:qFormat/>
    <w:uiPriority w:val="0"/>
    <w:rPr>
      <w:rFonts w:ascii="Cambria" w:hAnsi="Cambria" w:eastAsia="宋体" w:cs="Times New Roman"/>
      <w:sz w:val="24"/>
      <w:szCs w:val="24"/>
    </w:rPr>
  </w:style>
  <w:style w:type="character" w:customStyle="1" w:styleId="81">
    <w:name w:val="标题 9 字符"/>
    <w:basedOn w:val="65"/>
    <w:link w:val="14"/>
    <w:qFormat/>
    <w:uiPriority w:val="0"/>
    <w:rPr>
      <w:rFonts w:ascii="Cambria" w:hAnsi="Cambria" w:eastAsia="宋体" w:cs="Times New Roman"/>
      <w:szCs w:val="21"/>
    </w:rPr>
  </w:style>
  <w:style w:type="character" w:customStyle="1" w:styleId="82">
    <w:name w:val="文档结构图 字符"/>
    <w:basedOn w:val="65"/>
    <w:link w:val="24"/>
    <w:qFormat/>
    <w:uiPriority w:val="99"/>
    <w:rPr>
      <w:rFonts w:ascii="宋体" w:hAnsi="Calibri" w:eastAsia="宋体" w:cs="Times New Roman"/>
      <w:sz w:val="18"/>
      <w:szCs w:val="18"/>
    </w:rPr>
  </w:style>
  <w:style w:type="character" w:customStyle="1" w:styleId="83">
    <w:name w:val="批注文字 字符1"/>
    <w:basedOn w:val="65"/>
    <w:link w:val="25"/>
    <w:qFormat/>
    <w:uiPriority w:val="99"/>
    <w:rPr>
      <w:rFonts w:ascii="Calibri" w:hAnsi="Calibri" w:eastAsia="宋体" w:cs="Times New Roman"/>
    </w:rPr>
  </w:style>
  <w:style w:type="character" w:customStyle="1" w:styleId="84">
    <w:name w:val="称呼 字符"/>
    <w:basedOn w:val="65"/>
    <w:link w:val="26"/>
    <w:qFormat/>
    <w:uiPriority w:val="0"/>
    <w:rPr>
      <w:rFonts w:ascii="宋体" w:hAnsi="Times New Roman" w:eastAsia="宋体" w:cs="Times New Roman"/>
      <w:b/>
      <w:sz w:val="28"/>
      <w:szCs w:val="20"/>
    </w:rPr>
  </w:style>
  <w:style w:type="character" w:customStyle="1" w:styleId="85">
    <w:name w:val="正文文本 3 字符"/>
    <w:basedOn w:val="65"/>
    <w:link w:val="27"/>
    <w:qFormat/>
    <w:uiPriority w:val="0"/>
    <w:rPr>
      <w:rFonts w:ascii="Times New Roman" w:hAnsi="宋体" w:eastAsia="仿宋_GB2312" w:cs="Times New Roman"/>
      <w:b/>
      <w:bCs/>
      <w:sz w:val="24"/>
      <w:szCs w:val="20"/>
    </w:rPr>
  </w:style>
  <w:style w:type="character" w:customStyle="1" w:styleId="86">
    <w:name w:val="正文文本 字符1"/>
    <w:basedOn w:val="65"/>
    <w:link w:val="4"/>
    <w:qFormat/>
    <w:uiPriority w:val="0"/>
    <w:rPr>
      <w:rFonts w:ascii="Calibri" w:hAnsi="Calibri" w:eastAsia="宋体" w:cs="Times New Roman"/>
      <w:sz w:val="28"/>
      <w:szCs w:val="24"/>
    </w:rPr>
  </w:style>
  <w:style w:type="character" w:customStyle="1" w:styleId="87">
    <w:name w:val="正文文本缩进 字符1"/>
    <w:basedOn w:val="65"/>
    <w:link w:val="28"/>
    <w:qFormat/>
    <w:uiPriority w:val="0"/>
    <w:rPr>
      <w:rFonts w:ascii="宋体" w:hAnsi="Courier New" w:eastAsia="宋体" w:cs="Times New Roman"/>
      <w:spacing w:val="-4"/>
      <w:sz w:val="18"/>
      <w:szCs w:val="20"/>
    </w:rPr>
  </w:style>
  <w:style w:type="character" w:customStyle="1" w:styleId="88">
    <w:name w:val="纯文本 字符"/>
    <w:basedOn w:val="65"/>
    <w:link w:val="3"/>
    <w:qFormat/>
    <w:uiPriority w:val="0"/>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0"/>
    <w:rPr>
      <w:rFonts w:ascii="仿宋_GB2312" w:hAnsi="宋体" w:eastAsia="宋体" w:cs="Times New Roman"/>
      <w:b/>
      <w:bCs/>
      <w:color w:val="000000"/>
      <w:sz w:val="24"/>
      <w:szCs w:val="24"/>
    </w:rPr>
  </w:style>
  <w:style w:type="character" w:customStyle="1" w:styleId="91">
    <w:name w:val="尾注文本 字符"/>
    <w:basedOn w:val="65"/>
    <w:link w:val="38"/>
    <w:qFormat/>
    <w:uiPriority w:val="0"/>
    <w:rPr>
      <w:rFonts w:ascii="宋体" w:hAnsi="Calibri" w:eastAsia="宋体" w:cs="Times New Roman"/>
      <w:snapToGrid w:val="0"/>
      <w:kern w:val="0"/>
      <w:szCs w:val="20"/>
    </w:rPr>
  </w:style>
  <w:style w:type="character" w:customStyle="1" w:styleId="92">
    <w:name w:val="批注框文本 字符"/>
    <w:basedOn w:val="65"/>
    <w:link w:val="39"/>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0"/>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5"/>
    <w:next w:val="25"/>
    <w:link w:val="101"/>
    <w:qFormat/>
    <w:uiPriority w:val="99"/>
    <w:rPr>
      <w:b/>
      <w:bCs/>
    </w:rPr>
  </w:style>
  <w:style w:type="character" w:customStyle="1" w:styleId="103">
    <w:name w:val="正文首行缩进 字符"/>
    <w:basedOn w:val="86"/>
    <w:link w:val="5"/>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2"/>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2"/>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9"/>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next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2"/>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7"/>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1"/>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2"/>
    <w:qFormat/>
    <w:uiPriority w:val="0"/>
    <w:rPr>
      <w:rFonts w:ascii="Times New Roman" w:hAnsi="Times New Roman"/>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5"/>
    <w:qFormat/>
    <w:uiPriority w:val="0"/>
  </w:style>
  <w:style w:type="character" w:customStyle="1" w:styleId="330">
    <w:name w:val="black10"/>
    <w:basedOn w:val="65"/>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5"/>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9"/>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9"/>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8"/>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0"/>
    <w:pPr>
      <w:ind w:firstLine="562"/>
    </w:pPr>
    <w:rPr>
      <w:rFonts w:ascii="仿宋_GB2312" w:eastAsia="仿宋_GB2312"/>
      <w:b/>
      <w:sz w:val="28"/>
      <w:szCs w:val="28"/>
    </w:rPr>
  </w:style>
  <w:style w:type="paragraph" w:customStyle="1" w:styleId="423">
    <w:name w:val="图名"/>
    <w:basedOn w:val="22"/>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8"/>
    <w:qFormat/>
    <w:uiPriority w:val="0"/>
    <w:pPr>
      <w:numPr>
        <w:ilvl w:val="1"/>
        <w:numId w:val="5"/>
      </w:numPr>
      <w:tabs>
        <w:tab w:val="left" w:pos="2040"/>
      </w:tabs>
      <w:spacing w:after="120"/>
      <w:ind w:left="0" w:firstLine="0"/>
    </w:pPr>
  </w:style>
  <w:style w:type="paragraph" w:customStyle="1" w:styleId="436">
    <w:name w:val="样式 标题 4 + 段后: 0.5 行"/>
    <w:basedOn w:val="9"/>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7"/>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7"/>
    <w:next w:val="8"/>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8"/>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5"/>
    <w:next w:val="25"/>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7"/>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8"/>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6"/>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7"/>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7"/>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6"/>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7"/>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7"/>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8"/>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9"/>
    <w:next w:val="9"/>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10"/>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6"/>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8"/>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7"/>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10"/>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7"/>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8"/>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7"/>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7"/>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8"/>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7"/>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9"/>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10"/>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2"/>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8"/>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5"/>
    <w:next w:val="25"/>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6"/>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0"/>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6"/>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paragraph" w:customStyle="1" w:styleId="981">
    <w:name w:val="样式 行距: 1.5 倍行距 首行缩进:  2 字符"/>
    <w:basedOn w:val="1"/>
    <w:qFormat/>
    <w:uiPriority w:val="0"/>
    <w:pPr>
      <w:widowControl w:val="0"/>
      <w:spacing w:beforeLines="0" w:afterLines="0"/>
      <w:jc w:val="left"/>
    </w:pPr>
    <w:rPr>
      <w:rFonts w:ascii="Times New Roman" w:hAnsi="Times New Roman" w:eastAsia="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52193</Words>
  <Characters>54188</Characters>
  <Lines>0</Lines>
  <Paragraphs>0</Paragraphs>
  <TotalTime>3</TotalTime>
  <ScaleCrop>false</ScaleCrop>
  <LinksUpToDate>false</LinksUpToDate>
  <CharactersWithSpaces>55835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2021-12-09T02:59:00Z</dcterms:created>
  <dc:creator>Administrator</dc:creator>
  <cp:lastModifiedBy>yang</cp:lastModifiedBy>
  <cp:lastPrinted>2021-01-25T02:12:00Z</cp:lastPrinted>
  <dcterms:modified xsi:type="dcterms:W3CDTF">2022-01-26T09:09:02Z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41A8BD07E4104992A2E2355C23EC1743</vt:lpwstr>
  </property>
</Properties>
</file>