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ind w:right="-108"/>
        <w:jc w:val="center"/>
        <w:rPr>
          <w:rFonts w:ascii="宋体" w:hAnsi="宋体"/>
          <w:sz w:val="36"/>
          <w:szCs w:val="36"/>
        </w:rPr>
      </w:pPr>
      <w:bookmarkStart w:id="0" w:name="PO_15528_PM002_1"/>
      <w:bookmarkStart w:id="34" w:name="_GoBack"/>
      <w:bookmarkEnd w:id="34"/>
      <w:r>
        <w:rPr>
          <w:rFonts w:hint="eastAsia" w:ascii="宋体" w:hAnsi="宋体"/>
          <w:sz w:val="36"/>
          <w:szCs w:val="36"/>
        </w:rPr>
        <w:t>省公安厅（本级）</w:t>
      </w:r>
      <w:r>
        <w:rPr>
          <w:rFonts w:ascii="宋体" w:hAnsi="宋体"/>
          <w:sz w:val="36"/>
          <w:szCs w:val="36"/>
        </w:rPr>
        <w:t>2021年度厅应急物资采购项目</w:t>
      </w:r>
      <w:bookmarkEnd w:id="0"/>
    </w:p>
    <w:p>
      <w:pPr>
        <w:spacing w:beforeLines="100" w:line="360" w:lineRule="auto"/>
        <w:ind w:right="-108"/>
        <w:jc w:val="center"/>
        <w:rPr>
          <w:rFonts w:ascii="宋体" w:hAnsi="宋体"/>
          <w:b/>
          <w:spacing w:val="40"/>
          <w:sz w:val="84"/>
          <w:szCs w:val="84"/>
        </w:rPr>
      </w:pPr>
      <w:r>
        <w:rPr>
          <w:rFonts w:hint="eastAsia" w:ascii="宋体" w:hAnsi="宋体"/>
          <w:sz w:val="36"/>
          <w:szCs w:val="36"/>
        </w:rPr>
        <w:t>项目编号：</w:t>
      </w:r>
      <w:bookmarkStart w:id="1" w:name="PO_15528_PM001"/>
      <w:r>
        <w:rPr>
          <w:rFonts w:ascii="宋体" w:hAnsi="宋体"/>
          <w:sz w:val="36"/>
          <w:szCs w:val="36"/>
        </w:rPr>
        <w:t>ZZCG2021G-GK-103</w:t>
      </w:r>
      <w:bookmarkEnd w:id="1"/>
    </w:p>
    <w:p>
      <w:pPr>
        <w:spacing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27</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ascii="仿宋" w:hAnsi="仿宋" w:eastAsia="仿宋" w:cs="Arial"/>
          <w:b/>
          <w:bCs/>
          <w:sz w:val="30"/>
          <w:szCs w:val="30"/>
        </w:rPr>
        <w:t>ZZCG2021G-GK-103</w:t>
      </w:r>
      <w:bookmarkEnd w:id="3"/>
    </w:p>
    <w:p>
      <w:pPr>
        <w:snapToGrid w:val="0"/>
        <w:spacing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ascii="仿宋" w:hAnsi="仿宋" w:eastAsia="仿宋" w:cs="Arial"/>
          <w:b/>
          <w:sz w:val="28"/>
          <w:szCs w:val="28"/>
        </w:rPr>
        <w:t xml:space="preserve"> </w:t>
      </w:r>
    </w:p>
    <w:tbl>
      <w:tblPr>
        <w:tblStyle w:val="60"/>
        <w:tblW w:w="510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550"/>
        <w:gridCol w:w="709"/>
        <w:gridCol w:w="568"/>
        <w:gridCol w:w="141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w:t>
            </w:r>
          </w:p>
        </w:tc>
        <w:tc>
          <w:tcPr>
            <w:tcW w:w="1465"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标项名称</w:t>
            </w:r>
          </w:p>
        </w:tc>
        <w:tc>
          <w:tcPr>
            <w:tcW w:w="407"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数量</w:t>
            </w:r>
          </w:p>
        </w:tc>
        <w:tc>
          <w:tcPr>
            <w:tcW w:w="326"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单位</w:t>
            </w:r>
          </w:p>
        </w:tc>
        <w:tc>
          <w:tcPr>
            <w:tcW w:w="814"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预算金额</w:t>
            </w:r>
            <w:r>
              <w:rPr>
                <w:rFonts w:ascii="仿宋" w:hAnsi="仿宋" w:eastAsia="仿宋" w:cs="Arial"/>
                <w:b/>
                <w:kern w:val="0"/>
                <w:sz w:val="28"/>
                <w:szCs w:val="28"/>
              </w:rPr>
              <w:t>(万元)</w:t>
            </w:r>
          </w:p>
        </w:tc>
        <w:tc>
          <w:tcPr>
            <w:tcW w:w="158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1</w:t>
            </w:r>
          </w:p>
        </w:tc>
        <w:tc>
          <w:tcPr>
            <w:tcW w:w="1465"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执法记录仪</w:t>
            </w:r>
          </w:p>
        </w:tc>
        <w:tc>
          <w:tcPr>
            <w:tcW w:w="407" w:type="pct"/>
          </w:tcPr>
          <w:p>
            <w:pPr>
              <w:snapToGrid w:val="0"/>
              <w:spacing w:afterLines="50" w:line="460" w:lineRule="exact"/>
              <w:jc w:val="center"/>
              <w:rPr>
                <w:rFonts w:ascii="仿宋" w:hAnsi="仿宋" w:eastAsia="仿宋" w:cs="Arial"/>
                <w:b/>
                <w:kern w:val="0"/>
                <w:sz w:val="28"/>
                <w:szCs w:val="28"/>
              </w:rPr>
            </w:pPr>
            <w:r>
              <w:rPr>
                <w:rFonts w:hint="eastAsia" w:ascii="仿宋" w:hAnsi="仿宋" w:eastAsia="仿宋" w:cs="Arial"/>
                <w:b/>
                <w:kern w:val="0"/>
                <w:sz w:val="28"/>
                <w:szCs w:val="28"/>
              </w:rPr>
              <w:t>1</w:t>
            </w:r>
          </w:p>
        </w:tc>
        <w:tc>
          <w:tcPr>
            <w:tcW w:w="326"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814"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112</w:t>
            </w:r>
          </w:p>
        </w:tc>
        <w:tc>
          <w:tcPr>
            <w:tcW w:w="158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2</w:t>
            </w:r>
          </w:p>
        </w:tc>
        <w:tc>
          <w:tcPr>
            <w:tcW w:w="1465"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排爆类装备物资项目</w:t>
            </w:r>
          </w:p>
        </w:tc>
        <w:tc>
          <w:tcPr>
            <w:tcW w:w="407" w:type="pct"/>
          </w:tcPr>
          <w:p>
            <w:pPr>
              <w:snapToGrid w:val="0"/>
              <w:spacing w:afterLines="50" w:line="460" w:lineRule="exact"/>
              <w:jc w:val="center"/>
              <w:rPr>
                <w:rFonts w:ascii="仿宋" w:hAnsi="仿宋" w:eastAsia="仿宋" w:cs="Arial"/>
                <w:b/>
                <w:kern w:val="0"/>
                <w:sz w:val="28"/>
                <w:szCs w:val="28"/>
              </w:rPr>
            </w:pPr>
            <w:r>
              <w:rPr>
                <w:rFonts w:hint="eastAsia" w:ascii="仿宋" w:hAnsi="仿宋" w:eastAsia="仿宋" w:cs="Arial"/>
                <w:b/>
                <w:kern w:val="0"/>
                <w:sz w:val="28"/>
                <w:szCs w:val="28"/>
              </w:rPr>
              <w:t>1</w:t>
            </w:r>
          </w:p>
        </w:tc>
        <w:tc>
          <w:tcPr>
            <w:tcW w:w="326"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814"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33.1615</w:t>
            </w:r>
          </w:p>
        </w:tc>
        <w:tc>
          <w:tcPr>
            <w:tcW w:w="158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3</w:t>
            </w:r>
          </w:p>
        </w:tc>
        <w:tc>
          <w:tcPr>
            <w:tcW w:w="1465"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安检类装备物资项目</w:t>
            </w:r>
          </w:p>
        </w:tc>
        <w:tc>
          <w:tcPr>
            <w:tcW w:w="407" w:type="pct"/>
          </w:tcPr>
          <w:p>
            <w:pPr>
              <w:jc w:val="center"/>
              <w:rPr>
                <w:kern w:val="0"/>
                <w:sz w:val="20"/>
                <w:szCs w:val="20"/>
              </w:rPr>
            </w:pPr>
            <w:r>
              <w:rPr>
                <w:rFonts w:hint="eastAsia" w:ascii="仿宋" w:hAnsi="仿宋" w:eastAsia="仿宋" w:cs="Arial"/>
                <w:b/>
                <w:kern w:val="0"/>
                <w:sz w:val="28"/>
                <w:szCs w:val="28"/>
              </w:rPr>
              <w:t>1</w:t>
            </w:r>
          </w:p>
        </w:tc>
        <w:tc>
          <w:tcPr>
            <w:tcW w:w="326"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814"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58.78</w:t>
            </w:r>
          </w:p>
        </w:tc>
        <w:tc>
          <w:tcPr>
            <w:tcW w:w="158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4</w:t>
            </w:r>
          </w:p>
        </w:tc>
        <w:tc>
          <w:tcPr>
            <w:tcW w:w="1465"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lang w:eastAsia="zh-CN"/>
              </w:rPr>
              <w:t>**</w:t>
            </w:r>
            <w:r>
              <w:rPr>
                <w:rFonts w:hint="eastAsia" w:ascii="仿宋" w:hAnsi="仿宋" w:eastAsia="仿宋" w:cs="Arial"/>
                <w:b/>
                <w:kern w:val="0"/>
                <w:sz w:val="28"/>
                <w:szCs w:val="28"/>
              </w:rPr>
              <w:t>处突类装备物资项目</w:t>
            </w:r>
          </w:p>
        </w:tc>
        <w:tc>
          <w:tcPr>
            <w:tcW w:w="407" w:type="pct"/>
          </w:tcPr>
          <w:p>
            <w:pPr>
              <w:jc w:val="center"/>
              <w:rPr>
                <w:kern w:val="0"/>
                <w:sz w:val="20"/>
                <w:szCs w:val="20"/>
              </w:rPr>
            </w:pPr>
            <w:r>
              <w:rPr>
                <w:rFonts w:hint="eastAsia" w:ascii="仿宋" w:hAnsi="仿宋" w:eastAsia="仿宋" w:cs="Arial"/>
                <w:b/>
                <w:kern w:val="0"/>
                <w:sz w:val="28"/>
                <w:szCs w:val="28"/>
              </w:rPr>
              <w:t>1</w:t>
            </w:r>
          </w:p>
        </w:tc>
        <w:tc>
          <w:tcPr>
            <w:tcW w:w="326"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814"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75.958</w:t>
            </w:r>
          </w:p>
        </w:tc>
        <w:tc>
          <w:tcPr>
            <w:tcW w:w="158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5</w:t>
            </w:r>
          </w:p>
        </w:tc>
        <w:tc>
          <w:tcPr>
            <w:tcW w:w="1465"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抢险类求援类装备物资项目</w:t>
            </w:r>
          </w:p>
        </w:tc>
        <w:tc>
          <w:tcPr>
            <w:tcW w:w="407" w:type="pct"/>
          </w:tcPr>
          <w:p>
            <w:pPr>
              <w:jc w:val="center"/>
              <w:rPr>
                <w:kern w:val="0"/>
                <w:sz w:val="20"/>
                <w:szCs w:val="20"/>
              </w:rPr>
            </w:pPr>
            <w:r>
              <w:rPr>
                <w:rFonts w:hint="eastAsia" w:ascii="仿宋" w:hAnsi="仿宋" w:eastAsia="仿宋" w:cs="Arial"/>
                <w:b/>
                <w:kern w:val="0"/>
                <w:sz w:val="28"/>
                <w:szCs w:val="28"/>
              </w:rPr>
              <w:t>1</w:t>
            </w:r>
          </w:p>
        </w:tc>
        <w:tc>
          <w:tcPr>
            <w:tcW w:w="326"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814"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86.62</w:t>
            </w:r>
          </w:p>
        </w:tc>
        <w:tc>
          <w:tcPr>
            <w:tcW w:w="158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6</w:t>
            </w:r>
          </w:p>
        </w:tc>
        <w:tc>
          <w:tcPr>
            <w:tcW w:w="1465"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防护类装备物资代储项目</w:t>
            </w:r>
          </w:p>
        </w:tc>
        <w:tc>
          <w:tcPr>
            <w:tcW w:w="407" w:type="pct"/>
          </w:tcPr>
          <w:p>
            <w:pPr>
              <w:jc w:val="center"/>
              <w:rPr>
                <w:kern w:val="0"/>
                <w:sz w:val="20"/>
                <w:szCs w:val="20"/>
              </w:rPr>
            </w:pPr>
            <w:r>
              <w:rPr>
                <w:rFonts w:hint="eastAsia" w:ascii="仿宋" w:hAnsi="仿宋" w:eastAsia="仿宋" w:cs="Arial"/>
                <w:b/>
                <w:kern w:val="0"/>
                <w:sz w:val="28"/>
                <w:szCs w:val="28"/>
              </w:rPr>
              <w:t>1</w:t>
            </w:r>
          </w:p>
        </w:tc>
        <w:tc>
          <w:tcPr>
            <w:tcW w:w="326"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814"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101.7</w:t>
            </w:r>
          </w:p>
        </w:tc>
        <w:tc>
          <w:tcPr>
            <w:tcW w:w="158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详见招标文件第四章</w:t>
            </w:r>
          </w:p>
        </w:tc>
      </w:tr>
    </w:tbl>
    <w:p>
      <w:pPr>
        <w:snapToGrid w:val="0"/>
        <w:spacing w:afterLines="50" w:line="460" w:lineRule="exact"/>
        <w:ind w:firstLine="562" w:firstLineChars="200"/>
        <w:rPr>
          <w:rFonts w:ascii="仿宋" w:hAnsi="仿宋" w:eastAsia="仿宋" w:cs="Arial"/>
          <w:b/>
          <w:sz w:val="28"/>
          <w:szCs w:val="28"/>
        </w:rPr>
      </w:pPr>
      <w:r>
        <w:rPr>
          <w:rFonts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5" w:name="PO_416_PM006"/>
      <w:r>
        <w:rPr>
          <w:rFonts w:ascii="仿宋" w:hAnsi="仿宋" w:eastAsia="仿宋" w:cs="Arial"/>
          <w:b/>
          <w:bCs/>
          <w:sz w:val="30"/>
          <w:szCs w:val="30"/>
        </w:rPr>
        <w:t xml:space="preserve"> </w:t>
      </w:r>
      <w:bookmarkEnd w:id="5"/>
      <w:r>
        <w:rPr>
          <w:rFonts w:hint="eastAsia" w:ascii="仿宋" w:hAnsi="仿宋" w:eastAsia="仿宋" w:cs="Arial"/>
          <w:b/>
          <w:bCs/>
          <w:sz w:val="30"/>
          <w:szCs w:val="30"/>
        </w:rPr>
        <w:t>投标人的特定条件：无</w:t>
      </w:r>
    </w:p>
    <w:p>
      <w:pPr>
        <w:snapToGrid w:val="0"/>
        <w:spacing w:line="500" w:lineRule="exact"/>
        <w:ind w:firstLine="602" w:firstLineChars="200"/>
        <w:rPr>
          <w:rFonts w:ascii="仿宋" w:hAnsi="仿宋" w:eastAsia="仿宋"/>
          <w:sz w:val="28"/>
          <w:szCs w:val="28"/>
        </w:rPr>
      </w:pPr>
      <w:bookmarkStart w:id="6" w:name="PO_15528_PM007"/>
      <w:r>
        <w:rPr>
          <w:rFonts w:hint="eastAsia" w:ascii="仿宋" w:hAnsi="仿宋" w:eastAsia="仿宋" w:cs="Arial"/>
          <w:b/>
          <w:bCs/>
          <w:sz w:val="30"/>
          <w:szCs w:val="30"/>
        </w:rPr>
        <w:t>标项</w:t>
      </w:r>
      <w:r>
        <w:rPr>
          <w:rFonts w:ascii="仿宋" w:hAnsi="仿宋" w:eastAsia="仿宋" w:cs="Arial"/>
          <w:b/>
          <w:bCs/>
          <w:sz w:val="30"/>
          <w:szCs w:val="30"/>
        </w:rPr>
        <w:t>1</w:t>
      </w:r>
      <w:r>
        <w:rPr>
          <w:rFonts w:hint="eastAsia" w:ascii="仿宋" w:hAnsi="仿宋" w:eastAsia="仿宋" w:cs="Arial"/>
          <w:b/>
          <w:bCs/>
          <w:sz w:val="30"/>
          <w:szCs w:val="30"/>
        </w:rPr>
        <w:t>-</w:t>
      </w:r>
      <w:r>
        <w:rPr>
          <w:rFonts w:ascii="仿宋" w:hAnsi="仿宋" w:eastAsia="仿宋" w:cs="Arial"/>
          <w:b/>
          <w:bCs/>
          <w:sz w:val="30"/>
          <w:szCs w:val="30"/>
        </w:rPr>
        <w:t>6:不允许联合体投标</w:t>
      </w:r>
      <w:bookmarkEnd w:id="6"/>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 至 </w:t>
      </w:r>
      <w:bookmarkStart w:id="7" w:name="PO_15528_PM009"/>
      <w:r>
        <w:rPr>
          <w:rFonts w:ascii="仿宋" w:hAnsi="仿宋" w:eastAsia="仿宋"/>
          <w:kern w:val="0"/>
          <w:sz w:val="30"/>
          <w:szCs w:val="30"/>
        </w:rPr>
        <w:t>2021-10-12 09:00:00</w:t>
      </w:r>
      <w:bookmarkEnd w:id="7"/>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8" w:name="PO_15528_PM015"/>
      <w:r>
        <w:rPr>
          <w:rFonts w:ascii="仿宋" w:hAnsi="仿宋" w:eastAsia="仿宋" w:cs="Arial"/>
          <w:color w:val="000000"/>
          <w:sz w:val="30"/>
          <w:szCs w:val="30"/>
        </w:rPr>
        <w:t>2021-10-12 09:00:00</w:t>
      </w:r>
      <w:bookmarkEnd w:id="8"/>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投标文件收件填写人：陶振宇，联系方式：0571-88901836，收件地址：浙江省杭州市下城区环城北路305号耀江发展中心三楼浙江省政府采购中心302会议室。（疫情期间仅接收邮寄方式递交的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1"/>
        <w:adjustRightInd w:val="0"/>
        <w:snapToGrid w:val="0"/>
        <w:spacing w:beforeLines="0" w:afterLines="0" w:line="500" w:lineRule="exact"/>
        <w:ind w:firstLine="565" w:firstLineChars="201"/>
        <w:rPr>
          <w:rFonts w:hAnsi="宋体"/>
          <w:b/>
          <w:color w:val="FF0000"/>
          <w:kern w:val="0"/>
          <w:sz w:val="28"/>
          <w:szCs w:val="28"/>
        </w:rPr>
      </w:pPr>
      <w:r>
        <w:rPr>
          <w:rFonts w:hint="eastAsia" w:hAnsi="宋体"/>
          <w:b/>
          <w:color w:val="FF0000"/>
          <w:kern w:val="0"/>
          <w:sz w:val="28"/>
          <w:szCs w:val="28"/>
        </w:rPr>
        <w:t>投标样品以邮寄的方式，由快递送达至浙江省政府采购中心。接收样品的快递时间为：2021年10月11日，上午8:30-11:00时，下午14:00-17：00。收件填写人：陶振宇，联系方式：0571-88901836，收件地址：浙江省杭州市下城区环城北路305号耀江发展中心二楼会议室。</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9" w:name="PO_15528_PM015_1"/>
      <w:r>
        <w:rPr>
          <w:rFonts w:ascii="宋体" w:hAnsi="宋体" w:cs="Arial"/>
          <w:b/>
          <w:sz w:val="28"/>
          <w:szCs w:val="28"/>
        </w:rPr>
        <w:t>2021-10-12 09:00:00</w:t>
      </w:r>
      <w:bookmarkEnd w:id="9"/>
      <w:r>
        <w:rPr>
          <w:rFonts w:hint="eastAsia" w:ascii="宋体" w:hAnsi="宋体" w:cs="Arial"/>
          <w:b/>
          <w:sz w:val="28"/>
          <w:szCs w:val="28"/>
        </w:rPr>
        <w:t>时整在</w:t>
      </w:r>
      <w:bookmarkStart w:id="10" w:name="PO_15528_PM016_1"/>
      <w:r>
        <w:rPr>
          <w:rFonts w:hint="eastAsia" w:ascii="宋体" w:hAnsi="宋体" w:cs="Arial"/>
          <w:b/>
          <w:sz w:val="28"/>
          <w:szCs w:val="28"/>
        </w:rPr>
        <w:t>杭州市环城北路</w:t>
      </w:r>
      <w:r>
        <w:rPr>
          <w:rFonts w:ascii="宋体" w:hAnsi="宋体" w:cs="Arial"/>
          <w:b/>
          <w:sz w:val="28"/>
          <w:szCs w:val="28"/>
        </w:rPr>
        <w:t>305号耀江发展中心 202评标室（小）</w:t>
      </w:r>
      <w:bookmarkEnd w:id="10"/>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560" w:firstLineChars="200"/>
        <w:rPr>
          <w:rFonts w:ascii="仿宋" w:hAnsi="仿宋" w:eastAsia="仿宋" w:cs="Arial"/>
          <w:sz w:val="28"/>
          <w:szCs w:val="28"/>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1" w:name="PO_15528_PM032"/>
            <w:r>
              <w:rPr>
                <w:rFonts w:hint="eastAsia" w:ascii="仿宋" w:hAnsi="仿宋" w:eastAsia="仿宋" w:cs="仿宋"/>
                <w:sz w:val="28"/>
                <w:szCs w:val="28"/>
              </w:rPr>
              <w:t>高媛沁</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2" w:name="PO_15528_PM033"/>
            <w:r>
              <w:rPr>
                <w:rFonts w:ascii="仿宋" w:hAnsi="仿宋" w:eastAsia="仿宋" w:cs="仿宋"/>
                <w:sz w:val="28"/>
                <w:szCs w:val="28"/>
              </w:rPr>
              <w:t>0571-88907717</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3" w:name="PO_15528_PM034"/>
            <w:r>
              <w:rPr>
                <w:rFonts w:ascii="仿宋" w:hAnsi="仿宋" w:eastAsia="仿宋" w:cs="仿宋"/>
                <w:sz w:val="28"/>
                <w:szCs w:val="28"/>
              </w:rPr>
              <w:t xml:space="preserve"> </w:t>
            </w:r>
            <w:bookmarkEnd w:id="13"/>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4" w:name="PO_409_PM001385"/>
            <w:r>
              <w:rPr>
                <w:rFonts w:hint="eastAsia" w:ascii="仿宋" w:hAnsi="仿宋" w:eastAsia="仿宋" w:cs="仿宋"/>
                <w:sz w:val="28"/>
                <w:szCs w:val="28"/>
              </w:rPr>
              <w:t>专业项目采购部</w:t>
            </w:r>
            <w:bookmarkEnd w:id="14"/>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邵玲芳</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ind w:firstLine="600" w:firstLineChars="200"/>
        <w:jc w:val="center"/>
        <w:rPr>
          <w:rFonts w:ascii="仿宋_GB2312" w:hAnsi="仿宋" w:eastAsia="仿宋_GB2312"/>
          <w:sz w:val="30"/>
          <w:szCs w:val="30"/>
        </w:rPr>
      </w:pPr>
      <w:bookmarkStart w:id="15" w:name="PO_15528_PM001384_1"/>
      <w:r>
        <w:rPr>
          <w:rFonts w:ascii="仿宋_GB2312" w:hAnsi="仿宋" w:eastAsia="仿宋_GB2312"/>
          <w:sz w:val="30"/>
          <w:szCs w:val="30"/>
        </w:rPr>
        <w:t xml:space="preserve"> </w:t>
      </w:r>
      <w:bookmarkEnd w:id="15"/>
      <w:bookmarkStart w:id="16" w:name="PO_TDCUS_ITEM_PRC_TITLE_1"/>
      <w:r>
        <w:rPr>
          <w:rFonts w:ascii="仿宋_GB2312" w:hAnsi="仿宋" w:eastAsia="仿宋_GB2312"/>
          <w:sz w:val="30"/>
          <w:szCs w:val="30"/>
        </w:rPr>
        <w:t>标项1</w:t>
      </w:r>
      <w:r>
        <w:rPr>
          <w:rFonts w:hint="eastAsia" w:ascii="仿宋_GB2312" w:hAnsi="仿宋" w:eastAsia="仿宋_GB2312"/>
          <w:sz w:val="30"/>
          <w:szCs w:val="30"/>
        </w:rPr>
        <w:t>-6</w:t>
      </w:r>
      <w:r>
        <w:rPr>
          <w:rFonts w:ascii="仿宋_GB2312" w:hAnsi="仿宋" w:eastAsia="仿宋_GB2312"/>
          <w:sz w:val="30"/>
          <w:szCs w:val="30"/>
        </w:rPr>
        <w:t>：</w:t>
      </w:r>
      <w:bookmarkEnd w:id="16"/>
      <w:bookmarkStart w:id="17" w:name="PO_TDCUS_ITEM_PRC_TABLE_1_1"/>
      <w:r>
        <w:rPr>
          <w:rFonts w:ascii="仿宋_GB2312" w:hAnsi="仿宋" w:eastAsia="仿宋_GB2312"/>
          <w:sz w:val="30"/>
          <w:szCs w:val="30"/>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采购单位</w:t>
            </w:r>
          </w:p>
        </w:tc>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浙江省公安厅（本级）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地址</w:t>
            </w:r>
          </w:p>
        </w:tc>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杭州市民生路66号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咨询事项</w:t>
            </w:r>
          </w:p>
        </w:tc>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联系人</w:t>
            </w:r>
          </w:p>
        </w:tc>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朱剑峰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联系方式</w:t>
            </w:r>
          </w:p>
        </w:tc>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0571-87286653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传真</w:t>
            </w:r>
          </w:p>
        </w:tc>
        <w:tc>
          <w:tcPr>
            <w:tcW w:w="2500" w:type="pct"/>
          </w:tcPr>
          <w:p>
            <w:pPr>
              <w:snapToGrid w:val="0"/>
              <w:spacing w:line="440" w:lineRule="exact"/>
              <w:jc w:val="center"/>
              <w:rPr>
                <w:rFonts w:ascii="仿宋_GB2312" w:hAnsi="仿宋"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kern w:val="0"/>
                <w:sz w:val="30"/>
                <w:szCs w:val="30"/>
              </w:rPr>
            </w:pPr>
            <w:r>
              <w:rPr>
                <w:rFonts w:ascii="仿宋_GB2312" w:hAnsi="仿宋" w:eastAsia="仿宋_GB2312"/>
                <w:kern w:val="0"/>
                <w:sz w:val="30"/>
                <w:szCs w:val="30"/>
              </w:rPr>
              <w:t>备注</w:t>
            </w:r>
          </w:p>
        </w:tc>
        <w:tc>
          <w:tcPr>
            <w:tcW w:w="2500" w:type="pct"/>
          </w:tcPr>
          <w:p>
            <w:pPr>
              <w:snapToGrid w:val="0"/>
              <w:spacing w:line="440" w:lineRule="exact"/>
              <w:jc w:val="center"/>
              <w:rPr>
                <w:rFonts w:ascii="仿宋_GB2312" w:hAnsi="仿宋" w:eastAsia="仿宋_GB2312"/>
                <w:kern w:val="0"/>
                <w:sz w:val="30"/>
                <w:szCs w:val="30"/>
              </w:rPr>
            </w:pPr>
          </w:p>
        </w:tc>
      </w:tr>
      <w:bookmarkEnd w:id="17"/>
    </w:tbl>
    <w:p>
      <w:pPr>
        <w:pStyle w:val="31"/>
        <w:spacing w:before="120" w:after="120" w:line="360" w:lineRule="auto"/>
        <w:jc w:val="center"/>
        <w:outlineLvl w:val="0"/>
        <w:rPr>
          <w:rFonts w:ascii="仿宋" w:hAnsi="仿宋" w:eastAsia="仿宋"/>
          <w:b/>
          <w:sz w:val="36"/>
          <w:szCs w:val="36"/>
        </w:rPr>
      </w:pPr>
      <w:bookmarkStart w:id="18" w:name="_Toc496796636"/>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jc w:val="center"/>
        <w:outlineLvl w:val="0"/>
        <w:rPr>
          <w:rFonts w:hAnsi="宋体"/>
          <w:b/>
          <w:sz w:val="36"/>
          <w:szCs w:val="36"/>
        </w:rPr>
      </w:pPr>
      <w:r>
        <w:rPr>
          <w:rFonts w:hint="eastAsia" w:ascii="仿宋" w:hAnsi="仿宋" w:eastAsia="仿宋"/>
          <w:b/>
          <w:sz w:val="36"/>
          <w:szCs w:val="36"/>
        </w:rPr>
        <w:t>第二章  投标人须知</w:t>
      </w:r>
      <w:bookmarkEnd w:id="18"/>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是/否</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_GB2312" w:hAnsi="仿宋" w:eastAsia="仿宋_GB2312"/>
                <w:bCs/>
                <w:sz w:val="24"/>
              </w:rPr>
              <w:t>中小</w:t>
            </w:r>
            <w:r>
              <w:rPr>
                <w:rFonts w:hint="eastAsia" w:ascii="仿宋" w:hAnsi="仿宋" w:eastAsia="仿宋"/>
                <w:sz w:val="28"/>
                <w:szCs w:val="28"/>
              </w:rPr>
              <w:t>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项目属性（货物类/服务类/工程类）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sz w:val="24"/>
                <w:szCs w:val="24"/>
                <w:u w:val="single"/>
              </w:rPr>
            </w:pPr>
            <w:r>
              <w:rPr>
                <w:rFonts w:hint="eastAsia" w:ascii="仿宋" w:hAnsi="仿宋" w:eastAsia="仿宋"/>
                <w:sz w:val="24"/>
                <w:szCs w:val="24"/>
              </w:rPr>
              <w:t>标项1-6：</w:t>
            </w:r>
            <w:r>
              <w:rPr>
                <w:rFonts w:hint="eastAsia" w:ascii="仿宋" w:hAnsi="仿宋" w:eastAsia="仿宋"/>
                <w:sz w:val="24"/>
                <w:szCs w:val="24"/>
                <w:highlight w:val="yellow"/>
                <w:u w:val="single"/>
              </w:rPr>
              <w:t>货物类</w:t>
            </w:r>
            <w:r>
              <w:rPr>
                <w:rFonts w:hint="eastAsia" w:ascii="仿宋" w:hAnsi="仿宋" w:eastAsia="仿宋"/>
                <w:sz w:val="24"/>
                <w:szCs w:val="24"/>
                <w:highlight w:val="yellow"/>
              </w:rPr>
              <w:t>，</w:t>
            </w:r>
            <w:r>
              <w:rPr>
                <w:rFonts w:hint="eastAsia" w:ascii="仿宋" w:hAnsi="仿宋" w:eastAsia="仿宋"/>
                <w:sz w:val="24"/>
                <w:szCs w:val="24"/>
              </w:rPr>
              <w:t>所属行业：</w:t>
            </w:r>
            <w:r>
              <w:rPr>
                <w:rFonts w:hint="eastAsia" w:ascii="仿宋" w:hAnsi="仿宋" w:eastAsia="仿宋"/>
                <w:sz w:val="24"/>
                <w:szCs w:val="24"/>
                <w:u w:val="single"/>
              </w:rPr>
              <w:t>其他未列名行业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（6%）</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投标人如对招标文件有异议，应当于公告发布之日起至公告期限满第7个工作日内，以书面形式向招标方提出，逾期不予受理。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9" w:name="PO_15528_PM042"/>
            <w:r>
              <w:rPr>
                <w:rFonts w:hint="eastAsia" w:ascii="仿宋" w:hAnsi="仿宋" w:eastAsia="仿宋"/>
                <w:sz w:val="24"/>
                <w:szCs w:val="24"/>
              </w:rPr>
              <w:t>不允许进口产品</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转包：否</w:t>
            </w:r>
          </w:p>
          <w:p>
            <w:pPr>
              <w:spacing w:line="500" w:lineRule="exact"/>
              <w:jc w:val="left"/>
              <w:rPr>
                <w:rFonts w:ascii="仿宋" w:hAnsi="仿宋" w:eastAsia="仿宋"/>
                <w:sz w:val="24"/>
                <w:szCs w:val="24"/>
              </w:rPr>
            </w:pPr>
            <w:r>
              <w:rPr>
                <w:rFonts w:hint="eastAsia" w:ascii="仿宋" w:hAnsi="仿宋" w:eastAsia="仿宋"/>
                <w:sz w:val="24"/>
                <w:szCs w:val="24"/>
              </w:rPr>
              <w:t>分包：</w:t>
            </w:r>
            <w:bookmarkStart w:id="20" w:name="PO_15528_PM044"/>
            <w:r>
              <w:rPr>
                <w:rFonts w:hint="eastAsia" w:ascii="仿宋" w:hAnsi="仿宋" w:eastAsia="仿宋"/>
                <w:sz w:val="24"/>
                <w:szCs w:val="24"/>
              </w:rPr>
              <w:t>不允许分包</w:t>
            </w:r>
            <w:bookmarkEnd w:id="20"/>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1" w:name="PO_15528_PM007_1"/>
            <w:r>
              <w:rPr>
                <w:rFonts w:hint="eastAsia" w:ascii="仿宋" w:hAnsi="仿宋" w:eastAsia="仿宋"/>
                <w:sz w:val="24"/>
                <w:szCs w:val="24"/>
              </w:rPr>
              <w:t>标项</w:t>
            </w:r>
            <w:r>
              <w:rPr>
                <w:rFonts w:ascii="仿宋" w:hAnsi="仿宋" w:eastAsia="仿宋"/>
                <w:sz w:val="24"/>
                <w:szCs w:val="24"/>
              </w:rPr>
              <w:t>1</w:t>
            </w:r>
            <w:r>
              <w:rPr>
                <w:rFonts w:hint="eastAsia" w:ascii="仿宋" w:hAnsi="仿宋" w:eastAsia="仿宋"/>
                <w:sz w:val="24"/>
                <w:szCs w:val="24"/>
              </w:rPr>
              <w:t>-6</w:t>
            </w:r>
            <w:r>
              <w:rPr>
                <w:rFonts w:ascii="仿宋" w:hAnsi="仿宋" w:eastAsia="仿宋"/>
                <w:sz w:val="24"/>
                <w:szCs w:val="24"/>
              </w:rPr>
              <w:t>:不允许联合体投标</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2" w:name="PO_15528_PM040"/>
            <w:r>
              <w:rPr>
                <w:rFonts w:hint="eastAsia" w:ascii="仿宋" w:hAnsi="仿宋" w:eastAsia="仿宋"/>
                <w:sz w:val="24"/>
                <w:szCs w:val="24"/>
              </w:rPr>
              <w:t>不组织现场踏勘</w:t>
            </w:r>
            <w:bookmarkEnd w:id="22"/>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（是）。</w:t>
            </w:r>
            <w:r>
              <w:rPr>
                <w:rFonts w:hint="eastAsia" w:ascii="仿宋" w:hAnsi="仿宋" w:eastAsia="仿宋"/>
                <w:sz w:val="24"/>
                <w:szCs w:val="24"/>
              </w:rPr>
              <w:t>投标样品以邮寄的方式，由快递送达至浙江省政府采购中心。接收样品的快递时间为：2021年10月11日，上午8:30-11:00时，下午14:00-17：00。收件填写人：陶振宇，联系方式：0571-88901836，收件地址：浙江省杭州市下城区环城北路305号耀江发展中心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 w:hAnsi="仿宋" w:eastAsia="仿宋"/>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Lines="10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0" w:firstLineChars="200"/>
        <w:rPr>
          <w:rFonts w:ascii="仿宋" w:hAnsi="仿宋" w:eastAsia="仿宋" w:cs="Arial"/>
          <w:sz w:val="28"/>
          <w:szCs w:val="28"/>
        </w:rPr>
      </w:pP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Lines="10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clear" w:pos="454"/>
        </w:tabs>
        <w:snapToGrid w:val="0"/>
        <w:spacing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clear" w:pos="454"/>
        </w:tabs>
        <w:snapToGrid w:val="0"/>
        <w:spacing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1.投标文件中报价明细表内容与投标文件中相应内容不一致的，以报价明细表为准；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3.单价金额小数点或者百分比有明显错位的，以报价明细表的总价为准，并修改单价；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hAnsi="宋体"/>
          <w:bCs/>
          <w:sz w:val="28"/>
          <w:szCs w:val="28"/>
        </w:rPr>
      </w:pPr>
      <w:r>
        <w:rPr>
          <w:rFonts w:hint="eastAsia" w:hAnsi="宋体"/>
          <w:bCs/>
          <w:sz w:val="28"/>
          <w:szCs w:val="28"/>
        </w:rPr>
        <w:t>招标方将按照招标文件规定的时间、地点和程序组织开标，各投标人授权代表及相关人员</w:t>
      </w:r>
      <w:r>
        <w:rPr>
          <w:rFonts w:hint="eastAsia" w:hAnsi="宋体"/>
          <w:b/>
          <w:bCs/>
          <w:sz w:val="28"/>
          <w:szCs w:val="28"/>
        </w:rPr>
        <w:t>均应当准时在线参加</w:t>
      </w:r>
      <w:r>
        <w:rPr>
          <w:rFonts w:hint="eastAsia" w:hAnsi="宋体"/>
          <w:bCs/>
          <w:sz w:val="28"/>
          <w:szCs w:val="28"/>
        </w:rPr>
        <w:t>，无关人员不得进入开标现场。</w:t>
      </w:r>
      <w:r>
        <w:rPr>
          <w:rFonts w:hint="eastAsia" w:hAnsi="宋体"/>
          <w:b/>
          <w:bCs/>
          <w:sz w:val="28"/>
          <w:szCs w:val="28"/>
        </w:rPr>
        <w:t>投标人如未准时在线参加的</w:t>
      </w:r>
      <w:r>
        <w:rPr>
          <w:rFonts w:hint="eastAsia" w:hAnsi="宋体"/>
          <w:bCs/>
          <w:sz w:val="28"/>
          <w:szCs w:val="28"/>
        </w:rPr>
        <w:t>，事后不得对采购相关人员、开标过程和开标结果提出异议。</w:t>
      </w:r>
    </w:p>
    <w:p>
      <w:pPr>
        <w:pStyle w:val="31"/>
        <w:snapToGrid w:val="0"/>
        <w:spacing w:before="120" w:after="120" w:line="460" w:lineRule="exact"/>
        <w:ind w:firstLine="562" w:firstLineChars="200"/>
        <w:rPr>
          <w:rFonts w:hAnsi="宋体"/>
          <w:b/>
          <w:bCs/>
          <w:sz w:val="28"/>
          <w:szCs w:val="28"/>
        </w:rPr>
      </w:pPr>
      <w:r>
        <w:rPr>
          <w:rFonts w:hint="eastAsia" w:hAnsi="宋体"/>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hAnsi="宋体"/>
          <w:b/>
          <w:bCs/>
          <w:sz w:val="28"/>
          <w:szCs w:val="28"/>
        </w:rPr>
      </w:pPr>
      <w:r>
        <w:rPr>
          <w:rFonts w:hint="eastAsia" w:hAnsi="宋体"/>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宋体" w:hAnsi="宋体"/>
          <w:b/>
          <w:bCs/>
          <w:sz w:val="28"/>
          <w:szCs w:val="28"/>
        </w:rPr>
      </w:pPr>
      <w:r>
        <w:rPr>
          <w:rFonts w:hint="eastAsia" w:hAnsi="宋体"/>
          <w:b/>
          <w:bCs/>
          <w:sz w:val="28"/>
          <w:szCs w:val="28"/>
        </w:rPr>
        <w:t>3.</w:t>
      </w:r>
      <w:r>
        <w:rPr>
          <w:rFonts w:hint="eastAsia" w:ascii="宋体" w:hAnsi="宋体"/>
          <w:b/>
          <w:bCs/>
          <w:sz w:val="28"/>
          <w:szCs w:val="28"/>
        </w:rPr>
        <w:t>投标截止时，电子交易平台自动提取所有电子投标文件。招标方点击[开始解密]按钮后，投标人可以在线解密，解密时限为30分钟。</w:t>
      </w:r>
    </w:p>
    <w:p>
      <w:pPr>
        <w:spacing w:line="440" w:lineRule="exact"/>
        <w:ind w:firstLine="562" w:firstLineChars="200"/>
        <w:rPr>
          <w:rFonts w:ascii="宋体" w:hAnsi="宋体"/>
          <w:b/>
          <w:bCs/>
          <w:sz w:val="28"/>
          <w:szCs w:val="28"/>
        </w:rPr>
      </w:pPr>
      <w:r>
        <w:rPr>
          <w:rFonts w:hint="eastAsia" w:ascii="宋体" w:hAnsi="宋体"/>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宋体" w:hAnsi="宋体"/>
          <w:b/>
          <w:bCs/>
          <w:sz w:val="28"/>
          <w:szCs w:val="28"/>
        </w:rPr>
      </w:pPr>
      <w:r>
        <w:rPr>
          <w:rFonts w:hint="eastAsia" w:ascii="宋体" w:hAnsi="宋体"/>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宋体" w:hAnsi="宋体"/>
          <w:b/>
          <w:bCs/>
          <w:sz w:val="28"/>
          <w:szCs w:val="28"/>
        </w:rPr>
      </w:pPr>
      <w:r>
        <w:rPr>
          <w:rFonts w:hint="eastAsia" w:ascii="宋体" w:hAnsi="宋体"/>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宋体" w:hAnsi="宋体"/>
          <w:b/>
          <w:bCs/>
          <w:sz w:val="28"/>
          <w:szCs w:val="28"/>
        </w:rPr>
      </w:pPr>
      <w:r>
        <w:rPr>
          <w:rFonts w:hint="eastAsia" w:ascii="宋体" w:hAnsi="宋体"/>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hAnsi="宋体"/>
          <w:b/>
          <w:bCs/>
          <w:sz w:val="28"/>
          <w:szCs w:val="28"/>
        </w:rPr>
      </w:pPr>
      <w:r>
        <w:rPr>
          <w:rFonts w:hint="eastAsia" w:hAnsi="宋体"/>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宋体" w:hAnsi="宋体"/>
          <w:b/>
          <w:bCs/>
          <w:sz w:val="28"/>
          <w:szCs w:val="28"/>
        </w:rPr>
      </w:pPr>
      <w:r>
        <w:rPr>
          <w:rFonts w:hint="eastAsia" w:ascii="宋体" w:hAnsi="宋体"/>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宋体" w:hAnsi="宋体"/>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7、采购人代表或由采购人委托的评标委员会对投标人资格文件进行审查并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Lines="10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23" w:name="_Toc496796637"/>
      <w:r>
        <w:rPr>
          <w:rFonts w:hint="eastAsia" w:hAnsi="宋体"/>
          <w:b/>
          <w:sz w:val="36"/>
          <w:szCs w:val="36"/>
        </w:rPr>
        <w:t>第三章  评标办法及评分标准</w:t>
      </w:r>
      <w:bookmarkEnd w:id="23"/>
    </w:p>
    <w:p>
      <w:pPr>
        <w:spacing w:beforeLines="5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Lines="5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Lines="5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Lines="5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Lines="5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Lines="5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Lines="50" w:afterLines="50" w:line="460" w:lineRule="exact"/>
        <w:rPr>
          <w:rFonts w:ascii="仿宋" w:hAnsi="仿宋" w:eastAsiaTheme="minorEastAsia"/>
          <w:bCs/>
          <w:sz w:val="30"/>
          <w:szCs w:val="30"/>
        </w:rPr>
      </w:pPr>
    </w:p>
    <w:p>
      <w:pPr>
        <w:spacing w:beforeLines="5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4" w:name="_Toc496796638"/>
    </w:p>
    <w:p>
      <w:pPr>
        <w:spacing w:afterLines="100" w:line="340" w:lineRule="exact"/>
        <w:outlineLvl w:val="0"/>
        <w:rPr>
          <w:rFonts w:ascii="仿宋" w:hAnsi="仿宋" w:eastAsia="仿宋" w:cs="仿宋"/>
          <w:sz w:val="28"/>
          <w:szCs w:val="28"/>
        </w:rPr>
      </w:pPr>
      <w:bookmarkStart w:id="25" w:name="PO_TDCUS_ITEM_SM_TITLE_1"/>
      <w:r>
        <w:rPr>
          <w:rFonts w:hint="eastAsia" w:ascii="仿宋" w:hAnsi="仿宋" w:eastAsia="仿宋" w:cs="仿宋"/>
          <w:sz w:val="28"/>
          <w:szCs w:val="28"/>
        </w:rPr>
        <w:t>标项一的评分方法</w:t>
      </w:r>
      <w:bookmarkEnd w:id="25"/>
      <w:bookmarkStart w:id="26" w:name="PO_TDCUS_ITEM_SM_TABLE_1"/>
      <w:r>
        <w:rPr>
          <w:rFonts w:hint="eastAsia" w:ascii="仿宋" w:hAnsi="仿宋" w:eastAsia="仿宋" w:cs="仿宋"/>
          <w:sz w:val="28"/>
          <w:szCs w:val="28"/>
        </w:rPr>
        <w:t xml:space="preserve"> </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61"/>
        <w:gridCol w:w="53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序号</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评分类型</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评分标准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报价</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价格分采用低价优先法计算，即满足招标文件要求且投标价格最低的投标报价为评标基准价，其他投标人的价格分按照下列公式计算：价格分=（评标基准价/投标报价）×30%×100</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全部满足招标文件明确的功能、性能和技术指标、参数要求，得24分；条款功能、性能和技术指标、参数低于招标需求（负偏离）的，每项扣2分。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3</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1、项目实施计划，供货安排、拟投入设施设备等情况；（1分）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2、项目组实施人员能力、经验（提供相关证明材料）、人员专业配置等情况，提供投标截止日期前半年内任何连续3个月的员工缴纳社保记录证明材料；（4分）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4</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针对突发事件（如发现货品质量问题、招标人临时增加采购量、因不可抗力无法按时送货等）应急预案的针对性及补救措施的优劣性。</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5</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样品性能，制作工艺，材料选用，配置的完整性，与招标文件匹配程度等情况。</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6</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1.投标人提供的售后服务方案的完整性、可行性和合理性；（2分）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2.是否具备售后服务热线；（1分）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 xml:space="preserve">3.投标产品的配件、附件、备品备件的准备和保障措施情况。（2分） </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4.投标人提供的售后响应时间、速度等方式；（2分）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5.投标人提供的售后维护机构和人员等情况：在西藏或新疆是否具有较强的本地化服务能力，能提供快速的售后服务响应，每个售后服务网点（以营业执照或当地租房合同为准）得2分，最高4分。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7</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服务力量和服务保障，培训计划内容、培训范围，实施及针对性。（每项得1分，共5分）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8</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投标人自2019年1月1日起有过同类产品为主的采购项目并签订合同的，每个项目得1分，共计不超过5分；（投标人提供的合同案例应包含合同首页、货物及金额所在页和签字盖章页等）</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9</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投标人提供质量管理体系认证证书、环境管理体系认证证书、职业健康体系认证证书的每个得1分（提供扫描件），最多3分；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投标人有效的信用等级证书（政府部门或银行或有资质的第三方信用评级单位），AAA或同等级的得2分，AA或同等级的得1分，其他不得分。（投标文件中提供扫描件，不提供不得分）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bl>
    <w:p>
      <w:pPr>
        <w:spacing w:beforeLines="50" w:afterLines="50" w:line="340" w:lineRule="exact"/>
        <w:rPr>
          <w:rFonts w:ascii="仿宋" w:hAnsi="仿宋" w:eastAsia="仿宋" w:cs="仿宋"/>
          <w:sz w:val="28"/>
          <w:szCs w:val="28"/>
        </w:rPr>
      </w:pPr>
      <w:r>
        <w:rPr>
          <w:rFonts w:hint="eastAsia" w:ascii="仿宋" w:hAnsi="仿宋" w:eastAsia="仿宋" w:cs="仿宋"/>
          <w:sz w:val="28"/>
          <w:szCs w:val="28"/>
        </w:rPr>
        <w:t xml:space="preserve"> </w:t>
      </w:r>
      <w:bookmarkEnd w:id="26"/>
      <w:bookmarkStart w:id="27" w:name="PO_TDCUS_ITEM_SM_TITLE_6"/>
    </w:p>
    <w:p>
      <w:pPr>
        <w:spacing w:beforeLines="50" w:afterLines="50" w:line="340" w:lineRule="exact"/>
        <w:rPr>
          <w:rFonts w:ascii="仿宋" w:hAnsi="仿宋" w:eastAsia="仿宋" w:cs="仿宋"/>
          <w:sz w:val="28"/>
          <w:szCs w:val="28"/>
        </w:rPr>
      </w:pPr>
    </w:p>
    <w:p>
      <w:pPr>
        <w:spacing w:afterLines="100" w:line="340" w:lineRule="exact"/>
        <w:outlineLvl w:val="0"/>
        <w:rPr>
          <w:rFonts w:ascii="仿宋" w:hAnsi="仿宋" w:eastAsia="仿宋" w:cs="仿宋"/>
          <w:sz w:val="28"/>
          <w:szCs w:val="28"/>
        </w:rPr>
      </w:pPr>
      <w:r>
        <w:rPr>
          <w:rFonts w:hint="eastAsia" w:ascii="仿宋" w:hAnsi="仿宋" w:eastAsia="仿宋" w:cs="仿宋"/>
          <w:sz w:val="28"/>
          <w:szCs w:val="28"/>
        </w:rPr>
        <w:t>标项二至五的评分方法</w:t>
      </w:r>
      <w:bookmarkEnd w:id="27"/>
      <w:bookmarkStart w:id="28" w:name="PO_TDCUS_ITEM_SM_TABLE_6"/>
      <w:r>
        <w:rPr>
          <w:rFonts w:hint="eastAsia" w:ascii="仿宋" w:hAnsi="仿宋" w:eastAsia="仿宋" w:cs="仿宋"/>
          <w:sz w:val="28"/>
          <w:szCs w:val="28"/>
        </w:rPr>
        <w:t xml:space="preserve"> </w:t>
      </w:r>
    </w:p>
    <w:p>
      <w:pPr>
        <w:spacing w:beforeLines="50" w:afterLines="50" w:line="340" w:lineRule="exact"/>
        <w:rPr>
          <w:rFonts w:ascii="仿宋" w:hAnsi="仿宋" w:eastAsia="仿宋" w:cs="仿宋"/>
          <w:sz w:val="28"/>
          <w:szCs w:val="28"/>
        </w:rPr>
      </w:pPr>
      <w:r>
        <w:rPr>
          <w:rFonts w:hint="eastAsia" w:ascii="仿宋" w:hAnsi="仿宋" w:eastAsia="仿宋" w:cs="仿宋"/>
          <w:sz w:val="28"/>
          <w:szCs w:val="28"/>
        </w:rPr>
        <w:t xml:space="preserve"> </w:t>
      </w:r>
      <w:bookmarkEnd w:id="28"/>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61"/>
        <w:gridCol w:w="53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序号</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评分类型</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评分标准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报价</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价格分采用低价优先法计算，即满足招标文件要求且投标价格最低的投标报价为评标基准价，其他投标人的价格分按照下列公式计算：价格分=（评标基准价/投标报价）×30%×100</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全部满足招标文件明确的功能、性能和技术指标、参数要求，得24分；条款功能、性能和技术指标、参数低于招标需求（负偏离）的，每项扣1分。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3</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1、项目实施计划，供货安排、拟投入设施设备等情况；（1分）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2、项目组实施人员能力、经验（提供相关证明材料）、人员专业配置等情况，提供投标截止日期前半年内任何连续3个月的员工缴纳社保记录证明材料；（4分）。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4</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针对突发事件（如发现货品质量问题、招标人临时增加采购量、因不可抗力无法按时送货等）应急预案的针对性及补救措施的优劣性。</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5</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（一）标项二</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复合防爆毯：样品性能，制作工艺，材料选用，配置的完整性，与招标文件匹配程度等情况。（0-10分）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（二）标项三</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手持式金属探测器：样品性能，制作工艺，材料选用，配置的完整性，与招标文件匹配程度等情况。（0-10分）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（三）标项四</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多功能背心：样品用材用料，制作工艺，功能特性、产品设计等对需求的满足程度及其合理性等情况。（0-2分）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应急切割笔：样品用材用料，制作工艺，功能特性、产品设计等对需求的满足程度及其合理性等情况。（0-2分）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警用便携式气溶胶灭火器：样品用材用料，制作工艺，功能特性、产品设计等对需求的满足程度及其合理性等情况。（0-2分）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便携式无人机管控设备：样品用材用料，制作工艺，功能特性、产品设计等对需求的满足程度及其合理性等情况。（0-2分）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警用抓捕器：样品用材用料，制作工艺，功能特性、产品设计等对需求的满足程度及其合理性等情况。（0-2分）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（四）标项五</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便携式高空悬停灯：样品用材用料，制作工艺，功能特性、产品设计等对需求的满足程度及其合理性等情况。（0-2.5分）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救生手环：样品用材用料，制作工艺，功能特性、产品设计等对需求的满足程度及其合理性等情况。（0-2.5分）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强光搜索灯：样品用材用料，制作工艺，功能特性、产品设计等对需求的满足程度及其合理性等情况。（0-2.5分）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折叠式桌椅：样品用材用料，制作工艺，功能特性、产品设计等对需求的满足程度及其合理性等情况。（0-2.5</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6</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1.投标人提供的售后服务方案的完整性、可行性和合理性；（2分）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2.是否具备售后服务热线；（1分）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 xml:space="preserve">3.投标产品的配件、附件、备品备件的准备和保障措施情况。（2分） </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4.投标人提供的售后维护机构和人员等情况；（2分）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 xml:space="preserve">5.投标人提供服务的响应时间、速度等方式（2分） </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7.投标人自2017年1月1日以来同类项目履约情况，提供验收证明或良好评价的证明材料，每提供一份得0.5分，总分2分。（2分）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7</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服务力量和服务保障，培训计划内容、培训范围，实施及针对性。（每项得1分，共5分）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8</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自2019年1月1日以来（以合同签订时间为准）警用装备采购项目业绩（以提供的合同扫描件为准）：每提供1份合同业绩得1分，最高得5分。（投标人提供的合同案例应包含合同首页、货物及金额所在页和签字盖章页等）；</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9</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投标人提供质量管理体系认证证书、环境管理体系认证证书、职业健康体系认证证书的每个得1分（提供扫描件），最多3分；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投标人有效的信用等级证书（政府部门或银行或有资质的第三方信用评级单位），AAA或同等级的得2分，AA或同等级的得1分，其他不得分。（投标文件中提供扫描件，不提供不得分）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bl>
    <w:p>
      <w:pPr>
        <w:pStyle w:val="981"/>
      </w:pPr>
    </w:p>
    <w:p>
      <w:pPr>
        <w:spacing w:afterLines="100" w:line="340" w:lineRule="exact"/>
        <w:outlineLvl w:val="0"/>
        <w:rPr>
          <w:rFonts w:ascii="仿宋" w:hAnsi="仿宋" w:eastAsia="仿宋" w:cs="仿宋"/>
          <w:sz w:val="28"/>
          <w:szCs w:val="28"/>
        </w:rPr>
      </w:pPr>
      <w:r>
        <w:rPr>
          <w:rFonts w:hint="eastAsia" w:ascii="仿宋" w:hAnsi="仿宋" w:eastAsia="仿宋" w:cs="仿宋"/>
          <w:sz w:val="28"/>
          <w:szCs w:val="28"/>
        </w:rPr>
        <w:t>标项六的评分方法</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61"/>
        <w:gridCol w:w="53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序号</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评分类型</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评分标准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报价</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价格分采用低价优先法计算，即满足招标文件要求且投标价格最低的投标报价为评标基准价，其他投标人的价格分按照下列公式计算：价格分=（评标基准价/投标报价）×</w:t>
            </w:r>
            <w:r>
              <w:rPr>
                <w:rFonts w:ascii="仿宋" w:hAnsi="仿宋" w:eastAsia="仿宋" w:cs="仿宋"/>
                <w:kern w:val="0"/>
                <w:sz w:val="28"/>
                <w:szCs w:val="28"/>
              </w:rPr>
              <w:t>3</w:t>
            </w:r>
            <w:r>
              <w:rPr>
                <w:rFonts w:hint="eastAsia" w:ascii="仿宋" w:hAnsi="仿宋" w:eastAsia="仿宋" w:cs="仿宋"/>
                <w:kern w:val="0"/>
                <w:sz w:val="28"/>
                <w:szCs w:val="28"/>
              </w:rPr>
              <w:t>0%×100</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w:t>
            </w:r>
            <w:r>
              <w:rPr>
                <w:rFonts w:ascii="仿宋" w:hAnsi="仿宋" w:eastAsia="仿宋" w:cs="仿宋"/>
                <w:kern w:val="0"/>
                <w:sz w:val="28"/>
                <w:szCs w:val="28"/>
              </w:rPr>
              <w:t>3</w:t>
            </w:r>
            <w:r>
              <w:rPr>
                <w:rFonts w:hint="eastAsia" w:ascii="仿宋" w:hAnsi="仿宋" w:eastAsia="仿宋" w:cs="仿宋"/>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全部满足招标文件明确的功能、性能和技术指标、参数要求，得</w:t>
            </w:r>
            <w:r>
              <w:rPr>
                <w:rFonts w:ascii="仿宋" w:hAnsi="仿宋" w:eastAsia="仿宋" w:cs="仿宋"/>
                <w:kern w:val="0"/>
                <w:sz w:val="28"/>
                <w:szCs w:val="28"/>
              </w:rPr>
              <w:t>24</w:t>
            </w:r>
            <w:r>
              <w:rPr>
                <w:rFonts w:hint="eastAsia" w:ascii="仿宋" w:hAnsi="仿宋" w:eastAsia="仿宋" w:cs="仿宋"/>
                <w:kern w:val="0"/>
                <w:sz w:val="28"/>
                <w:szCs w:val="28"/>
              </w:rPr>
              <w:t>分；条款功能、性能和技术指标、参数低于招标需求（负偏离）的，每项扣2分。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w:t>
            </w:r>
            <w:r>
              <w:rPr>
                <w:rFonts w:ascii="仿宋" w:hAnsi="仿宋" w:eastAsia="仿宋" w:cs="仿宋"/>
                <w:kern w:val="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3</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1、项目实施计划，代储服务内容、场地，拟投入设施设备等情况；（0-</w:t>
            </w:r>
            <w:r>
              <w:rPr>
                <w:rFonts w:ascii="仿宋" w:hAnsi="仿宋" w:eastAsia="仿宋" w:cs="仿宋"/>
                <w:kern w:val="0"/>
                <w:sz w:val="28"/>
                <w:szCs w:val="28"/>
              </w:rPr>
              <w:t>2</w:t>
            </w:r>
            <w:r>
              <w:rPr>
                <w:rFonts w:hint="eastAsia" w:ascii="仿宋" w:hAnsi="仿宋" w:eastAsia="仿宋" w:cs="仿宋"/>
                <w:kern w:val="0"/>
                <w:sz w:val="28"/>
                <w:szCs w:val="28"/>
              </w:rPr>
              <w:t>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2、项目组实施人员能力、经验（提供相关证明材料）、人员专业配置等情况，提供投标截止日期前半年内任何连续3个月的员工缴纳社保记录证明材料；（0-4分）</w:t>
            </w:r>
          </w:p>
          <w:p>
            <w:pPr>
              <w:spacing w:beforeLines="50" w:afterLines="50" w:line="340" w:lineRule="exac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.在代储服务期间，如招标人需使用，由中标人承诺将装备物资运抵招标人指定地点时间在8小时（含）以内得</w:t>
            </w:r>
            <w:r>
              <w:rPr>
                <w:rFonts w:ascii="仿宋" w:hAnsi="仿宋" w:eastAsia="仿宋" w:cs="仿宋"/>
                <w:kern w:val="0"/>
                <w:sz w:val="28"/>
                <w:szCs w:val="28"/>
              </w:rPr>
              <w:t>2</w:t>
            </w:r>
            <w:r>
              <w:rPr>
                <w:rFonts w:hint="eastAsia" w:ascii="仿宋" w:hAnsi="仿宋" w:eastAsia="仿宋" w:cs="仿宋"/>
                <w:kern w:val="0"/>
                <w:sz w:val="28"/>
                <w:szCs w:val="28"/>
              </w:rPr>
              <w:t>分；8至9小时（含）得</w:t>
            </w:r>
            <w:r>
              <w:rPr>
                <w:rFonts w:ascii="仿宋" w:hAnsi="仿宋" w:eastAsia="仿宋" w:cs="仿宋"/>
                <w:kern w:val="0"/>
                <w:sz w:val="28"/>
                <w:szCs w:val="28"/>
              </w:rPr>
              <w:t>1.5</w:t>
            </w:r>
            <w:r>
              <w:rPr>
                <w:rFonts w:hint="eastAsia" w:ascii="仿宋" w:hAnsi="仿宋" w:eastAsia="仿宋" w:cs="仿宋"/>
                <w:kern w:val="0"/>
                <w:sz w:val="28"/>
                <w:szCs w:val="28"/>
              </w:rPr>
              <w:t>分：9至10小时（含）得</w:t>
            </w:r>
            <w:r>
              <w:rPr>
                <w:rFonts w:ascii="仿宋" w:hAnsi="仿宋" w:eastAsia="仿宋" w:cs="仿宋"/>
                <w:kern w:val="0"/>
                <w:sz w:val="28"/>
                <w:szCs w:val="28"/>
              </w:rPr>
              <w:t>1</w:t>
            </w:r>
            <w:r>
              <w:rPr>
                <w:rFonts w:hint="eastAsia" w:ascii="仿宋" w:hAnsi="仿宋" w:eastAsia="仿宋" w:cs="仿宋"/>
                <w:kern w:val="0"/>
                <w:sz w:val="28"/>
                <w:szCs w:val="28"/>
              </w:rPr>
              <w:t>分；10小时以上得0分。（0-</w:t>
            </w:r>
            <w:r>
              <w:rPr>
                <w:rFonts w:ascii="仿宋" w:hAnsi="仿宋" w:eastAsia="仿宋" w:cs="仿宋"/>
                <w:kern w:val="0"/>
                <w:sz w:val="28"/>
                <w:szCs w:val="28"/>
              </w:rPr>
              <w:t>2</w:t>
            </w:r>
            <w:r>
              <w:rPr>
                <w:rFonts w:hint="eastAsia" w:ascii="仿宋" w:hAnsi="仿宋" w:eastAsia="仿宋" w:cs="仿宋"/>
                <w:kern w:val="0"/>
                <w:sz w:val="28"/>
                <w:szCs w:val="28"/>
              </w:rPr>
              <w:t>分）</w:t>
            </w:r>
          </w:p>
          <w:p>
            <w:pPr>
              <w:spacing w:beforeLines="50" w:afterLines="50" w:line="340" w:lineRule="exact"/>
              <w:rPr>
                <w:rFonts w:ascii="仿宋" w:hAnsi="仿宋" w:eastAsia="仿宋" w:cs="仿宋"/>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.投标人提供的代储物资为质量合格的全新产品，在有效使用期内，性能良好。承诺代储物资生产日期为近2年内的，得2分；生产日期超过2年，不超过5年的，得1分；超过5年的，得0分。（0-2分）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0~1</w:t>
            </w:r>
            <w:r>
              <w:rPr>
                <w:rFonts w:ascii="仿宋" w:hAnsi="仿宋" w:eastAsia="仿宋" w:cs="仿宋"/>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4</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针对突发事件（如发现货品质量问题、招标人临时增加采购量、因不可抗力无法按时送货等）应急预案的针对性及补救措施的优劣性。</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5</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技术</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防暴头盔：样品用材用料，制作工艺，功能特性、产品设计等对需求的满足程度及其合理性等情况。（0-2分）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防刺服：样品用材用料，制作工艺，功能特性、产品设计等对需求的满足程度及其合理性等情况。（0-2分）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防割手套：样品用材用料，制作工艺，功能特性、产品设计等对需求的满足程度及其合理性等情况。（0-2分）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防割护脖：样品用材用料，制作工艺，功能特性、产品设计等对需求的满足程度及其合理性等情况。（0-2分）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防暴盾牌：样品用材用料，制作工艺，功能特性、产品设计等对需求的满足程度及其合理性等情况。（0-2分）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6</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1.投标人提供的售后服务方案的完整性、可行性和合理性；（0-1分）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2.是否具备售后服务热线；（0-1分）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 xml:space="preserve">3.投标产品的配件、附件、备品备件的准备和保障措施情况。（0-1分） </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4.投标人提供的售后维护机构、响应时间、速度等方式等情况；（0-1分）</w:t>
            </w:r>
          </w:p>
          <w:p>
            <w:pPr>
              <w:pStyle w:val="57"/>
              <w:ind w:firstLine="0" w:firstLineChars="0"/>
              <w:rPr>
                <w:kern w:val="0"/>
              </w:rPr>
            </w:pP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w:t>
            </w:r>
            <w:r>
              <w:rPr>
                <w:rFonts w:ascii="仿宋" w:hAnsi="仿宋" w:eastAsia="仿宋" w:cs="仿宋"/>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7</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服务力量和服务保障，培训计划内容、培训范围，实施及针对性。</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8</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投标人自2019年1月1日起有过同类产品为主的货物类采购项目并签订项目合同的，每个项目得1分，共计不超过5分；（投标人提供的合同案例应包含合同首页、货物及金额所在页和签字盖章页等）</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9</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投标人提供质量管理体系认证证书、环境管理体系认证证书、职业健康体系认证证书的每个得1分（提供扫描件），最多3分；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投标人有效的信用等级证书（政府部门或银行或有资质的第三方信用评级单位），AAA或同等级的得2分，AA或同等级的得1分，其他不得分。（投标文件中提供扫描件，不提供不得分）</w:t>
            </w:r>
          </w:p>
        </w:tc>
        <w:tc>
          <w:tcPr>
            <w:tcW w:w="992"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0~</w:t>
            </w:r>
            <w:r>
              <w:rPr>
                <w:rFonts w:ascii="仿宋" w:hAnsi="仿宋" w:eastAsia="仿宋" w:cs="仿宋"/>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10</w:t>
            </w:r>
          </w:p>
        </w:tc>
        <w:tc>
          <w:tcPr>
            <w:tcW w:w="1561"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商务资信</w:t>
            </w:r>
          </w:p>
        </w:tc>
        <w:tc>
          <w:tcPr>
            <w:tcW w:w="5386" w:type="dxa"/>
          </w:tcPr>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投标人售后服务能力已达到国家标准“商品售后服务评价体系GB/T27922-2011”，具有五星级及以上售后认证证书的得1分，提供证明文件，未提供不得分。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投标人获得省级（含）及以上服务型制造示范企业的得1分，提供证明文件，不提供不得分。</w:t>
            </w:r>
          </w:p>
        </w:tc>
        <w:tc>
          <w:tcPr>
            <w:tcW w:w="992" w:type="dxa"/>
          </w:tcPr>
          <w:p>
            <w:pPr>
              <w:spacing w:beforeLines="50" w:afterLines="50" w:line="340" w:lineRule="exact"/>
              <w:rPr>
                <w:rFonts w:ascii="仿宋" w:hAnsi="仿宋" w:eastAsia="仿宋" w:cs="仿宋"/>
                <w:kern w:val="0"/>
                <w:sz w:val="28"/>
                <w:szCs w:val="28"/>
              </w:rPr>
            </w:pPr>
            <w:r>
              <w:rPr>
                <w:rFonts w:ascii="仿宋" w:hAnsi="仿宋" w:eastAsia="仿宋" w:cs="仿宋"/>
                <w:kern w:val="0"/>
                <w:sz w:val="28"/>
                <w:szCs w:val="28"/>
              </w:rPr>
              <w:t>0~2</w:t>
            </w:r>
          </w:p>
        </w:tc>
      </w:tr>
    </w:tbl>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pStyle w:val="981"/>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r>
        <w:rPr>
          <w:rFonts w:hint="eastAsia" w:hAnsi="宋体"/>
          <w:b/>
          <w:sz w:val="36"/>
          <w:szCs w:val="36"/>
        </w:rPr>
        <w:t>第四章招标需求</w:t>
      </w:r>
      <w:bookmarkEnd w:id="24"/>
    </w:p>
    <w:p>
      <w:pPr>
        <w:snapToGrid w:val="0"/>
        <w:spacing w:beforeLines="50" w:afterLines="50"/>
        <w:rPr>
          <w:rFonts w:ascii="宋体" w:hAnsi="宋体" w:eastAsiaTheme="minorEastAsia"/>
          <w:b/>
          <w:spacing w:val="40"/>
          <w:kern w:val="0"/>
          <w:sz w:val="36"/>
          <w:szCs w:val="36"/>
        </w:rPr>
      </w:pPr>
    </w:p>
    <w:p>
      <w:pPr>
        <w:snapToGrid w:val="0"/>
        <w:spacing w:beforeLines="5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2"/>
        <w:tabs>
          <w:tab w:val="left" w:pos="0"/>
        </w:tabs>
        <w:ind w:firstLine="562" w:firstLineChars="200"/>
        <w:rPr>
          <w:rFonts w:ascii="仿宋" w:hAnsi="仿宋" w:eastAsia="仿宋" w:cs="仿宋"/>
          <w:sz w:val="28"/>
          <w:szCs w:val="28"/>
          <w:highlight w:val="lightGray"/>
        </w:rPr>
      </w:pPr>
      <w:bookmarkStart w:id="29" w:name="_Toc496796639"/>
      <w:r>
        <w:rPr>
          <w:rFonts w:hint="eastAsia" w:ascii="仿宋" w:hAnsi="仿宋" w:eastAsia="仿宋" w:cs="仿宋"/>
          <w:sz w:val="28"/>
          <w:szCs w:val="28"/>
          <w:highlight w:val="lightGray"/>
        </w:rPr>
        <w:t>一、产品具体参数及要求</w:t>
      </w:r>
    </w:p>
    <w:p>
      <w:pPr>
        <w:pStyle w:val="981"/>
        <w:rPr>
          <w:highlight w:val="lightGray"/>
        </w:rPr>
      </w:pPr>
    </w:p>
    <w:p>
      <w:pPr>
        <w:pStyle w:val="3"/>
        <w:spacing w:line="240" w:lineRule="auto"/>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标项一：执法记录仪</w:t>
      </w:r>
    </w:p>
    <w:tbl>
      <w:tblPr>
        <w:tblStyle w:val="59"/>
        <w:tblW w:w="7263" w:type="dxa"/>
        <w:jc w:val="center"/>
        <w:tblLayout w:type="fixed"/>
        <w:tblCellMar>
          <w:top w:w="15" w:type="dxa"/>
          <w:left w:w="15" w:type="dxa"/>
          <w:bottom w:w="15" w:type="dxa"/>
          <w:right w:w="15" w:type="dxa"/>
        </w:tblCellMar>
      </w:tblPr>
      <w:tblGrid>
        <w:gridCol w:w="924"/>
        <w:gridCol w:w="1473"/>
        <w:gridCol w:w="1889"/>
        <w:gridCol w:w="850"/>
        <w:gridCol w:w="2127"/>
      </w:tblGrid>
      <w:tr>
        <w:tblPrEx>
          <w:tblCellMar>
            <w:top w:w="15" w:type="dxa"/>
            <w:left w:w="15" w:type="dxa"/>
            <w:bottom w:w="15" w:type="dxa"/>
            <w:right w:w="15" w:type="dxa"/>
          </w:tblCellMar>
        </w:tblPrEx>
        <w:trPr>
          <w:trHeight w:val="750"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序号</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装备名称</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计划采购</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单位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15" w:type="dxa"/>
            <w:left w:w="15" w:type="dxa"/>
            <w:bottom w:w="15" w:type="dxa"/>
            <w:right w:w="15" w:type="dxa"/>
          </w:tblCellMar>
        </w:tblPrEx>
        <w:trPr>
          <w:trHeight w:val="600"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执法记录仪</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400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核心产品</w:t>
            </w:r>
          </w:p>
        </w:tc>
      </w:tr>
    </w:tbl>
    <w:p>
      <w:pPr>
        <w:pStyle w:val="981"/>
      </w:pPr>
    </w:p>
    <w:p>
      <w:pPr>
        <w:ind w:firstLine="480"/>
        <w:rPr>
          <w:rFonts w:ascii="仿宋" w:hAnsi="仿宋" w:eastAsia="仿宋" w:cs="仿宋"/>
          <w:sz w:val="28"/>
          <w:szCs w:val="28"/>
        </w:rPr>
      </w:pPr>
      <w:r>
        <w:rPr>
          <w:rFonts w:hint="eastAsia" w:ascii="仿宋" w:hAnsi="仿宋" w:eastAsia="仿宋" w:cs="仿宋"/>
          <w:sz w:val="28"/>
          <w:szCs w:val="28"/>
        </w:rPr>
        <w:t>1.显示屏：≥2.0英寸TFT；非触摸屏；触摸按键；操作系统：嵌入式系统；</w:t>
      </w:r>
    </w:p>
    <w:p>
      <w:pPr>
        <w:ind w:firstLine="480"/>
        <w:rPr>
          <w:rFonts w:ascii="仿宋" w:hAnsi="仿宋" w:eastAsia="仿宋" w:cs="仿宋"/>
          <w:sz w:val="28"/>
          <w:szCs w:val="28"/>
        </w:rPr>
      </w:pPr>
      <w:r>
        <w:rPr>
          <w:rFonts w:hint="eastAsia" w:ascii="仿宋" w:hAnsi="仿宋" w:eastAsia="仿宋" w:cs="仿宋"/>
          <w:sz w:val="28"/>
          <w:szCs w:val="28"/>
        </w:rPr>
        <w:t>2.内存：≥2GB；视频输入：主机内置摄像机录像分辨率≥1920*1080;</w:t>
      </w:r>
    </w:p>
    <w:p>
      <w:pPr>
        <w:ind w:firstLine="480"/>
        <w:rPr>
          <w:rFonts w:ascii="仿宋" w:hAnsi="仿宋" w:eastAsia="仿宋" w:cs="仿宋"/>
          <w:sz w:val="28"/>
          <w:szCs w:val="28"/>
        </w:rPr>
      </w:pPr>
      <w:r>
        <w:rPr>
          <w:rFonts w:hint="eastAsia" w:ascii="仿宋" w:hAnsi="仿宋" w:eastAsia="仿宋" w:cs="仿宋"/>
          <w:sz w:val="28"/>
          <w:szCs w:val="28"/>
        </w:rPr>
        <w:t>3.视频录像：视频分辨率最高为1080P/25帧；</w:t>
      </w:r>
    </w:p>
    <w:p>
      <w:pPr>
        <w:ind w:firstLine="480"/>
        <w:rPr>
          <w:rFonts w:ascii="仿宋" w:hAnsi="仿宋" w:eastAsia="仿宋" w:cs="仿宋"/>
          <w:sz w:val="28"/>
          <w:szCs w:val="28"/>
        </w:rPr>
      </w:pPr>
      <w:r>
        <w:rPr>
          <w:rFonts w:hint="eastAsia" w:ascii="仿宋" w:hAnsi="仿宋" w:eastAsia="仿宋" w:cs="仿宋"/>
          <w:sz w:val="28"/>
          <w:szCs w:val="28"/>
        </w:rPr>
        <w:t>4.双码流：录像1080P25，同时网传1080P25；</w:t>
      </w:r>
    </w:p>
    <w:p>
      <w:pPr>
        <w:ind w:firstLine="480"/>
        <w:rPr>
          <w:rFonts w:ascii="仿宋" w:hAnsi="仿宋" w:eastAsia="仿宋" w:cs="仿宋"/>
          <w:sz w:val="28"/>
          <w:szCs w:val="28"/>
        </w:rPr>
      </w:pPr>
      <w:r>
        <w:rPr>
          <w:rFonts w:hint="eastAsia" w:ascii="仿宋" w:hAnsi="仿宋" w:eastAsia="仿宋" w:cs="仿宋"/>
          <w:sz w:val="28"/>
          <w:szCs w:val="28"/>
        </w:rPr>
        <w:t>5.视频编码格式：H.264,H.265；</w:t>
      </w:r>
    </w:p>
    <w:p>
      <w:pPr>
        <w:ind w:firstLine="480"/>
        <w:rPr>
          <w:rFonts w:ascii="仿宋" w:hAnsi="仿宋" w:eastAsia="仿宋" w:cs="仿宋"/>
          <w:sz w:val="28"/>
          <w:szCs w:val="28"/>
        </w:rPr>
      </w:pPr>
      <w:r>
        <w:rPr>
          <w:rFonts w:hint="eastAsia" w:ascii="仿宋" w:hAnsi="仿宋" w:eastAsia="仿宋" w:cs="仿宋"/>
          <w:sz w:val="28"/>
          <w:szCs w:val="28"/>
        </w:rPr>
        <w:t>6.拍照：主相机≥3000万像素；</w:t>
      </w:r>
    </w:p>
    <w:p>
      <w:pPr>
        <w:ind w:firstLine="480"/>
        <w:rPr>
          <w:rFonts w:ascii="仿宋" w:hAnsi="仿宋" w:eastAsia="仿宋" w:cs="仿宋"/>
          <w:sz w:val="28"/>
          <w:szCs w:val="28"/>
        </w:rPr>
      </w:pPr>
      <w:r>
        <w:rPr>
          <w:rFonts w:hint="eastAsia" w:ascii="仿宋" w:hAnsi="仿宋" w:eastAsia="仿宋" w:cs="仿宋"/>
          <w:sz w:val="28"/>
          <w:szCs w:val="28"/>
        </w:rPr>
        <w:t>7.具有红外夜视功能；支持激光定位；</w:t>
      </w:r>
    </w:p>
    <w:p>
      <w:pPr>
        <w:ind w:firstLine="480"/>
        <w:rPr>
          <w:rFonts w:ascii="仿宋" w:hAnsi="仿宋" w:eastAsia="仿宋" w:cs="仿宋"/>
          <w:sz w:val="28"/>
          <w:szCs w:val="28"/>
        </w:rPr>
      </w:pPr>
      <w:r>
        <w:rPr>
          <w:rFonts w:hint="eastAsia" w:ascii="仿宋" w:hAnsi="仿宋" w:eastAsia="仿宋" w:cs="仿宋"/>
          <w:sz w:val="28"/>
          <w:szCs w:val="28"/>
        </w:rPr>
        <w:t>8.存储容量：32GB；卫星定位：内置GPS和北斗二代组合定位功能；</w:t>
      </w:r>
    </w:p>
    <w:p>
      <w:pPr>
        <w:ind w:firstLine="480"/>
        <w:rPr>
          <w:rFonts w:ascii="仿宋" w:hAnsi="仿宋" w:eastAsia="仿宋" w:cs="仿宋"/>
          <w:sz w:val="28"/>
          <w:szCs w:val="28"/>
        </w:rPr>
      </w:pPr>
      <w:r>
        <w:rPr>
          <w:rFonts w:hint="eastAsia" w:ascii="仿宋" w:hAnsi="仿宋" w:eastAsia="仿宋" w:cs="仿宋"/>
          <w:sz w:val="28"/>
          <w:szCs w:val="28"/>
        </w:rPr>
        <w:t>9.网络传输：支持4G全网通；支持WIFI、蓝牙功能；1080P录像不低于11小时；</w:t>
      </w:r>
    </w:p>
    <w:p>
      <w:pPr>
        <w:ind w:firstLine="480"/>
        <w:rPr>
          <w:rFonts w:ascii="仿宋" w:hAnsi="仿宋" w:eastAsia="仿宋" w:cs="仿宋"/>
          <w:sz w:val="28"/>
          <w:szCs w:val="28"/>
        </w:rPr>
      </w:pPr>
      <w:r>
        <w:rPr>
          <w:rFonts w:hint="eastAsia" w:ascii="仿宋" w:hAnsi="仿宋" w:eastAsia="仿宋" w:cs="仿宋"/>
          <w:sz w:val="28"/>
          <w:szCs w:val="28"/>
        </w:rPr>
        <w:t>10.★执法记录仪采用自动分段记录方式记录时，相邻两段间最大记录间隔时间应小于等于0.03s；</w:t>
      </w:r>
    </w:p>
    <w:p>
      <w:pPr>
        <w:ind w:firstLine="480"/>
        <w:rPr>
          <w:rFonts w:ascii="仿宋" w:hAnsi="仿宋" w:eastAsia="仿宋" w:cs="仿宋"/>
          <w:sz w:val="28"/>
          <w:szCs w:val="28"/>
        </w:rPr>
      </w:pPr>
      <w:r>
        <w:rPr>
          <w:rFonts w:hint="eastAsia" w:ascii="仿宋" w:hAnsi="仿宋" w:eastAsia="仿宋" w:cs="仿宋"/>
          <w:sz w:val="28"/>
          <w:szCs w:val="28"/>
        </w:rPr>
        <w:t>11.★温度（-35℃±3）℃、电池工作持续时间：≥4h，试验期间执法记录仪处于工作状态，试验过程中不应发生状态改变，试验后执法记录仪应能正常工作；</w:t>
      </w:r>
    </w:p>
    <w:p>
      <w:pPr>
        <w:ind w:firstLine="480"/>
        <w:rPr>
          <w:rFonts w:ascii="仿宋" w:hAnsi="仿宋" w:eastAsia="仿宋" w:cs="仿宋"/>
          <w:sz w:val="28"/>
          <w:szCs w:val="28"/>
        </w:rPr>
      </w:pPr>
      <w:r>
        <w:rPr>
          <w:rFonts w:hint="eastAsia" w:ascii="仿宋" w:hAnsi="仿宋" w:eastAsia="仿宋" w:cs="仿宋"/>
          <w:sz w:val="28"/>
          <w:szCs w:val="28"/>
        </w:rPr>
        <w:t>12.提供具有CMA计量认证的检测机构出具的检测报告；</w:t>
      </w:r>
    </w:p>
    <w:p>
      <w:pPr>
        <w:pStyle w:val="306"/>
        <w:ind w:firstLine="560" w:firstLineChars="200"/>
        <w:rPr>
          <w:rFonts w:ascii="仿宋" w:hAnsi="仿宋" w:eastAsia="仿宋" w:cs="仿宋"/>
          <w:sz w:val="28"/>
          <w:szCs w:val="28"/>
        </w:rPr>
      </w:pPr>
      <w:r>
        <w:rPr>
          <w:rFonts w:hint="eastAsia" w:ascii="仿宋" w:hAnsi="仿宋" w:eastAsia="仿宋" w:cs="仿宋"/>
          <w:sz w:val="28"/>
          <w:szCs w:val="28"/>
        </w:rPr>
        <w:t>13打★参数要求在检测报告中体现；</w:t>
      </w:r>
    </w:p>
    <w:p>
      <w:pPr>
        <w:pStyle w:val="24"/>
        <w:ind w:firstLine="560" w:firstLineChars="200"/>
        <w:rPr>
          <w:rFonts w:ascii="仿宋" w:hAnsi="仿宋" w:eastAsia="仿宋" w:cs="仿宋"/>
          <w:bCs/>
          <w:spacing w:val="30"/>
          <w:szCs w:val="28"/>
        </w:rPr>
      </w:pPr>
      <w:r>
        <w:rPr>
          <w:rFonts w:hint="eastAsia" w:ascii="仿宋" w:hAnsi="仿宋" w:eastAsia="仿宋" w:cs="仿宋"/>
          <w:szCs w:val="28"/>
        </w:rPr>
        <w:t>14.需提供样品。</w:t>
      </w:r>
    </w:p>
    <w:p>
      <w:pPr>
        <w:keepLines/>
        <w:ind w:firstLine="480"/>
        <w:rPr>
          <w:rFonts w:ascii="仿宋" w:hAnsi="仿宋" w:eastAsia="仿宋" w:cs="仿宋"/>
          <w:sz w:val="28"/>
          <w:szCs w:val="28"/>
        </w:rPr>
      </w:pPr>
    </w:p>
    <w:p>
      <w:pPr>
        <w:pStyle w:val="3"/>
        <w:spacing w:line="240" w:lineRule="auto"/>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标项二：排爆类装备物资</w:t>
      </w:r>
    </w:p>
    <w:tbl>
      <w:tblPr>
        <w:tblStyle w:val="59"/>
        <w:tblW w:w="7453" w:type="dxa"/>
        <w:jc w:val="center"/>
        <w:tblLayout w:type="fixed"/>
        <w:tblCellMar>
          <w:top w:w="15" w:type="dxa"/>
          <w:left w:w="15" w:type="dxa"/>
          <w:bottom w:w="15" w:type="dxa"/>
          <w:right w:w="15" w:type="dxa"/>
        </w:tblCellMar>
      </w:tblPr>
      <w:tblGrid>
        <w:gridCol w:w="992"/>
        <w:gridCol w:w="2126"/>
        <w:gridCol w:w="1733"/>
        <w:gridCol w:w="1107"/>
        <w:gridCol w:w="1495"/>
      </w:tblGrid>
      <w:tr>
        <w:tblPrEx>
          <w:tblCellMar>
            <w:top w:w="15" w:type="dxa"/>
            <w:left w:w="15" w:type="dxa"/>
            <w:bottom w:w="15" w:type="dxa"/>
            <w:right w:w="15" w:type="dxa"/>
          </w:tblCellMar>
        </w:tblPrEx>
        <w:trPr>
          <w:trHeight w:val="75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装备名称</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计划采购</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单位</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15" w:type="dxa"/>
            <w:left w:w="15" w:type="dxa"/>
            <w:bottom w:w="15" w:type="dxa"/>
            <w:right w:w="15" w:type="dxa"/>
          </w:tblCellMar>
        </w:tblPrEx>
        <w:trPr>
          <w:trHeight w:val="60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复合防爆毯</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核心产品</w:t>
            </w:r>
          </w:p>
        </w:tc>
      </w:tr>
      <w:tr>
        <w:tblPrEx>
          <w:tblCellMar>
            <w:top w:w="15" w:type="dxa"/>
            <w:left w:w="15" w:type="dxa"/>
            <w:bottom w:w="15" w:type="dxa"/>
            <w:right w:w="15" w:type="dxa"/>
          </w:tblCellMar>
        </w:tblPrEx>
        <w:trPr>
          <w:trHeight w:val="60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防爆罐</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机械排爆手</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bl>
    <w:p>
      <w:pPr>
        <w:pStyle w:val="981"/>
      </w:pPr>
    </w:p>
    <w:p>
      <w:pPr>
        <w:ind w:firstLine="480"/>
        <w:rPr>
          <w:rFonts w:ascii="仿宋" w:hAnsi="仿宋" w:eastAsia="仿宋" w:cs="仿宋"/>
          <w:sz w:val="28"/>
          <w:szCs w:val="28"/>
        </w:rPr>
      </w:pPr>
      <w:r>
        <w:rPr>
          <w:rFonts w:hint="eastAsia" w:ascii="仿宋" w:hAnsi="仿宋" w:eastAsia="仿宋" w:cs="仿宋"/>
          <w:sz w:val="28"/>
          <w:szCs w:val="28"/>
        </w:rPr>
        <w:t>（一）复合防爆毯</w:t>
      </w:r>
    </w:p>
    <w:p>
      <w:pPr>
        <w:pStyle w:val="306"/>
        <w:ind w:firstLine="560" w:firstLineChars="200"/>
        <w:rPr>
          <w:rFonts w:ascii="仿宋" w:hAnsi="仿宋" w:eastAsia="仿宋" w:cs="仿宋"/>
          <w:sz w:val="28"/>
          <w:szCs w:val="28"/>
        </w:rPr>
      </w:pPr>
      <w:r>
        <w:rPr>
          <w:rFonts w:hint="eastAsia" w:ascii="仿宋" w:hAnsi="仿宋" w:eastAsia="仿宋" w:cs="仿宋"/>
          <w:sz w:val="28"/>
          <w:szCs w:val="28"/>
        </w:rPr>
        <w:t>1.★执行标准：《GA69-2007防爆毯》标准；</w:t>
      </w:r>
    </w:p>
    <w:p>
      <w:pPr>
        <w:pStyle w:val="306"/>
        <w:ind w:firstLine="560" w:firstLineChars="200"/>
        <w:rPr>
          <w:rFonts w:ascii="仿宋" w:hAnsi="仿宋" w:eastAsia="仿宋" w:cs="仿宋"/>
          <w:sz w:val="28"/>
          <w:szCs w:val="28"/>
        </w:rPr>
      </w:pPr>
      <w:r>
        <w:rPr>
          <w:rFonts w:hint="eastAsia" w:ascii="仿宋" w:hAnsi="仿宋" w:eastAsia="仿宋" w:cs="仿宋"/>
          <w:sz w:val="28"/>
          <w:szCs w:val="28"/>
        </w:rPr>
        <w:t>2.★防爆标准：可防护2个及以上82-2制式手榴弹爆炸产生的破片，爆炸后没有破片穿透孔；</w:t>
      </w:r>
    </w:p>
    <w:p>
      <w:pPr>
        <w:pStyle w:val="306"/>
        <w:ind w:firstLine="560" w:firstLineChars="200"/>
        <w:rPr>
          <w:rFonts w:ascii="仿宋" w:hAnsi="仿宋" w:eastAsia="仿宋" w:cs="仿宋"/>
          <w:sz w:val="28"/>
          <w:szCs w:val="28"/>
        </w:rPr>
      </w:pPr>
      <w:r>
        <w:rPr>
          <w:rFonts w:hint="eastAsia" w:ascii="仿宋" w:hAnsi="仿宋" w:eastAsia="仿宋" w:cs="仿宋"/>
          <w:sz w:val="28"/>
          <w:szCs w:val="28"/>
        </w:rPr>
        <w:t>3.★质量≤30KG；</w:t>
      </w:r>
    </w:p>
    <w:p>
      <w:pPr>
        <w:pStyle w:val="306"/>
        <w:ind w:firstLine="560" w:firstLineChars="200"/>
        <w:rPr>
          <w:rFonts w:ascii="仿宋" w:hAnsi="仿宋" w:eastAsia="仿宋" w:cs="仿宋"/>
          <w:sz w:val="28"/>
          <w:szCs w:val="28"/>
        </w:rPr>
      </w:pPr>
      <w:r>
        <w:rPr>
          <w:rFonts w:hint="eastAsia" w:ascii="仿宋" w:hAnsi="仿宋" w:eastAsia="仿宋" w:cs="仿宋"/>
          <w:sz w:val="28"/>
          <w:szCs w:val="28"/>
        </w:rPr>
        <w:t>4.材质要求：由高性能聚乙烯纤维无纬布、pc板、牛津布制成，含防爆液体；</w:t>
      </w:r>
    </w:p>
    <w:p>
      <w:pPr>
        <w:pStyle w:val="306"/>
        <w:ind w:firstLine="560" w:firstLineChars="200"/>
        <w:rPr>
          <w:rFonts w:ascii="仿宋" w:hAnsi="仿宋" w:eastAsia="仿宋" w:cs="仿宋"/>
          <w:sz w:val="28"/>
          <w:szCs w:val="28"/>
        </w:rPr>
      </w:pPr>
      <w:r>
        <w:rPr>
          <w:rFonts w:hint="eastAsia" w:ascii="仿宋" w:hAnsi="仿宋" w:eastAsia="仿宋" w:cs="仿宋"/>
          <w:sz w:val="28"/>
          <w:szCs w:val="28"/>
        </w:rPr>
        <w:t>5.装备组成：由复合围栏、盖毯、泄爆顶帽组成，内围栏和外围栏缝合一体;</w:t>
      </w:r>
    </w:p>
    <w:p>
      <w:pPr>
        <w:pStyle w:val="306"/>
        <w:ind w:firstLine="560" w:firstLineChars="200"/>
        <w:rPr>
          <w:rFonts w:ascii="仿宋" w:hAnsi="仿宋" w:eastAsia="仿宋" w:cs="仿宋"/>
          <w:sz w:val="28"/>
          <w:szCs w:val="28"/>
        </w:rPr>
      </w:pPr>
      <w:r>
        <w:rPr>
          <w:rFonts w:hint="eastAsia" w:ascii="仿宋" w:hAnsi="仿宋" w:eastAsia="仿宋" w:cs="仿宋"/>
          <w:sz w:val="28"/>
          <w:szCs w:val="28"/>
        </w:rPr>
        <w:t>6.规格要求：内栏内径≥440mm，内栏高度≥320mm；外栏直径≥700mm，外栏高度≥160mm；盖毯大小≥1600mmx1600mm;总质量≤30kg；</w:t>
      </w:r>
    </w:p>
    <w:p>
      <w:pPr>
        <w:pStyle w:val="24"/>
        <w:ind w:firstLine="560" w:firstLineChars="200"/>
        <w:rPr>
          <w:rFonts w:ascii="仿宋" w:hAnsi="仿宋" w:eastAsia="仿宋" w:cs="仿宋"/>
          <w:szCs w:val="28"/>
        </w:rPr>
      </w:pPr>
      <w:r>
        <w:rPr>
          <w:rFonts w:hint="eastAsia" w:ascii="仿宋" w:hAnsi="仿宋" w:eastAsia="仿宋" w:cs="仿宋"/>
          <w:szCs w:val="28"/>
        </w:rPr>
        <w:t>7.提供提供具有CMA计量认证的检测机构出具的检测报告，并提供检验报告复印件；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8.打★参数要求在检测报告中体现；</w:t>
      </w:r>
    </w:p>
    <w:p>
      <w:pPr>
        <w:pStyle w:val="24"/>
        <w:ind w:firstLine="560" w:firstLineChars="200"/>
        <w:rPr>
          <w:rFonts w:ascii="仿宋" w:hAnsi="仿宋" w:eastAsia="仿宋" w:cs="仿宋"/>
          <w:szCs w:val="28"/>
        </w:rPr>
      </w:pPr>
      <w:r>
        <w:rPr>
          <w:rFonts w:hint="eastAsia" w:ascii="仿宋" w:hAnsi="仿宋" w:eastAsia="仿宋" w:cs="仿宋"/>
          <w:szCs w:val="28"/>
        </w:rPr>
        <w:t>9.提供样品。</w:t>
      </w:r>
    </w:p>
    <w:p>
      <w:pPr>
        <w:pStyle w:val="24"/>
        <w:rPr>
          <w:rFonts w:ascii="仿宋" w:hAnsi="仿宋" w:eastAsia="仿宋" w:cs="仿宋"/>
          <w:szCs w:val="28"/>
        </w:rPr>
      </w:pPr>
    </w:p>
    <w:p>
      <w:pPr>
        <w:pStyle w:val="24"/>
        <w:ind w:firstLine="560" w:firstLineChars="200"/>
        <w:rPr>
          <w:rFonts w:ascii="仿宋" w:hAnsi="仿宋" w:eastAsia="仿宋" w:cs="仿宋"/>
          <w:szCs w:val="28"/>
        </w:rPr>
      </w:pPr>
      <w:r>
        <w:rPr>
          <w:rFonts w:hint="eastAsia" w:ascii="仿宋" w:hAnsi="仿宋" w:eastAsia="仿宋" w:cs="仿宋"/>
          <w:szCs w:val="28"/>
        </w:rPr>
        <w:t>（二）防爆罐</w:t>
      </w:r>
    </w:p>
    <w:p>
      <w:pPr>
        <w:pStyle w:val="24"/>
        <w:ind w:firstLine="560" w:firstLineChars="200"/>
        <w:rPr>
          <w:rFonts w:ascii="仿宋" w:hAnsi="仿宋" w:eastAsia="仿宋" w:cs="仿宋"/>
          <w:szCs w:val="28"/>
        </w:rPr>
      </w:pPr>
      <w:r>
        <w:rPr>
          <w:rFonts w:hint="eastAsia" w:ascii="仿宋" w:hAnsi="仿宋" w:eastAsia="仿宋" w:cs="仿宋"/>
          <w:szCs w:val="28"/>
        </w:rPr>
        <w:t>1.材质要求：装备不含任何金属或硬质非金属材料;</w:t>
      </w:r>
    </w:p>
    <w:p>
      <w:pPr>
        <w:pStyle w:val="24"/>
        <w:ind w:firstLine="560" w:firstLineChars="200"/>
        <w:rPr>
          <w:rFonts w:ascii="仿宋" w:hAnsi="仿宋" w:eastAsia="仿宋" w:cs="仿宋"/>
          <w:szCs w:val="28"/>
        </w:rPr>
      </w:pPr>
      <w:r>
        <w:rPr>
          <w:rFonts w:hint="eastAsia" w:ascii="仿宋" w:hAnsi="仿宋" w:eastAsia="仿宋" w:cs="仿宋"/>
          <w:szCs w:val="28"/>
        </w:rPr>
        <w:t>2.结构要求：装备为圆台形结构；</w:t>
      </w:r>
    </w:p>
    <w:p>
      <w:pPr>
        <w:pStyle w:val="24"/>
        <w:ind w:firstLine="560" w:firstLineChars="200"/>
        <w:rPr>
          <w:rFonts w:ascii="仿宋" w:hAnsi="仿宋" w:eastAsia="仿宋" w:cs="仿宋"/>
          <w:szCs w:val="28"/>
        </w:rPr>
      </w:pPr>
      <w:r>
        <w:rPr>
          <w:rFonts w:hint="eastAsia" w:ascii="仿宋" w:hAnsi="仿宋" w:eastAsia="仿宋" w:cs="仿宋"/>
          <w:szCs w:val="28"/>
        </w:rPr>
        <w:t>3.尺寸重量：圆台形结构，上端内径≥400mm，下端内径≥550mm，装备最大外径≤950mm，装备高度≤700mm；</w:t>
      </w:r>
    </w:p>
    <w:p>
      <w:pPr>
        <w:pStyle w:val="24"/>
        <w:ind w:firstLine="560" w:firstLineChars="200"/>
        <w:rPr>
          <w:rFonts w:ascii="仿宋" w:hAnsi="仿宋" w:eastAsia="仿宋" w:cs="仿宋"/>
          <w:szCs w:val="28"/>
        </w:rPr>
      </w:pPr>
      <w:r>
        <w:rPr>
          <w:rFonts w:hint="eastAsia" w:ascii="仿宋" w:hAnsi="仿宋" w:eastAsia="仿宋" w:cs="仿宋"/>
          <w:szCs w:val="28"/>
        </w:rPr>
        <w:t>4.★重量要求：≤125kg；</w:t>
      </w:r>
    </w:p>
    <w:p>
      <w:pPr>
        <w:pStyle w:val="24"/>
        <w:ind w:firstLine="560" w:firstLineChars="200"/>
        <w:rPr>
          <w:rFonts w:ascii="仿宋" w:hAnsi="仿宋" w:eastAsia="仿宋" w:cs="仿宋"/>
          <w:szCs w:val="28"/>
        </w:rPr>
      </w:pPr>
      <w:r>
        <w:rPr>
          <w:rFonts w:hint="eastAsia" w:ascii="仿宋" w:hAnsi="仿宋" w:eastAsia="仿宋" w:cs="仿宋"/>
          <w:szCs w:val="28"/>
        </w:rPr>
        <w:t>5.★防爆标准：可防不少于1500g 带破片爆炸物(TNT 药柱质量≥750g，装填质量≥500g直径8mm 钢珠破片)；爆炸产生的火焰被快速抑制；</w:t>
      </w:r>
    </w:p>
    <w:p>
      <w:pPr>
        <w:pStyle w:val="24"/>
        <w:ind w:firstLine="560" w:firstLineChars="200"/>
        <w:rPr>
          <w:rFonts w:ascii="仿宋" w:hAnsi="仿宋" w:eastAsia="仿宋" w:cs="仿宋"/>
          <w:szCs w:val="28"/>
        </w:rPr>
      </w:pPr>
      <w:r>
        <w:rPr>
          <w:rFonts w:hint="eastAsia" w:ascii="仿宋" w:hAnsi="仿宋" w:eastAsia="仿宋" w:cs="仿宋"/>
          <w:szCs w:val="28"/>
        </w:rPr>
        <w:t>6.安全距离：距离爆炸物4米外为安全距离，安全距离外的冲击波超压＜30kPa；</w:t>
      </w:r>
    </w:p>
    <w:p>
      <w:pPr>
        <w:pStyle w:val="24"/>
        <w:ind w:firstLine="560" w:firstLineChars="200"/>
        <w:rPr>
          <w:rFonts w:ascii="仿宋" w:hAnsi="仿宋" w:eastAsia="仿宋" w:cs="仿宋"/>
          <w:szCs w:val="28"/>
        </w:rPr>
      </w:pPr>
      <w:r>
        <w:rPr>
          <w:rFonts w:hint="eastAsia" w:ascii="仿宋" w:hAnsi="仿宋" w:eastAsia="仿宋" w:cs="仿宋"/>
          <w:szCs w:val="28"/>
        </w:rPr>
        <w:t>7.提供具有CMA计量认证的检测机构出具的检测报告，并提供检验报告复印件；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8.打★参数要求在检测报告中体现。</w:t>
      </w:r>
    </w:p>
    <w:p>
      <w:pPr>
        <w:pStyle w:val="24"/>
        <w:rPr>
          <w:rFonts w:ascii="仿宋" w:hAnsi="仿宋" w:eastAsia="仿宋" w:cs="仿宋"/>
          <w:szCs w:val="28"/>
        </w:rPr>
      </w:pPr>
    </w:p>
    <w:p>
      <w:pPr>
        <w:pStyle w:val="24"/>
        <w:numPr>
          <w:ilvl w:val="0"/>
          <w:numId w:val="31"/>
        </w:numPr>
        <w:ind w:firstLine="560" w:firstLineChars="200"/>
        <w:rPr>
          <w:rFonts w:ascii="仿宋" w:hAnsi="仿宋" w:eastAsia="仿宋" w:cs="仿宋"/>
          <w:szCs w:val="28"/>
        </w:rPr>
      </w:pPr>
      <w:r>
        <w:rPr>
          <w:rFonts w:hint="eastAsia" w:ascii="仿宋" w:hAnsi="仿宋" w:eastAsia="仿宋" w:cs="仿宋"/>
          <w:szCs w:val="28"/>
        </w:rPr>
        <w:t>机械排爆手</w:t>
      </w:r>
    </w:p>
    <w:p>
      <w:pPr>
        <w:pStyle w:val="24"/>
        <w:ind w:firstLine="560" w:firstLineChars="200"/>
        <w:rPr>
          <w:rFonts w:ascii="仿宋" w:hAnsi="仿宋" w:eastAsia="仿宋" w:cs="仿宋"/>
          <w:szCs w:val="28"/>
        </w:rPr>
      </w:pPr>
      <w:r>
        <w:rPr>
          <w:rFonts w:hint="eastAsia" w:ascii="仿宋" w:hAnsi="仿宋" w:eastAsia="仿宋" w:cs="仿宋"/>
          <w:szCs w:val="28"/>
        </w:rPr>
        <w:t>1.排爆机械手长度（不含抓手）可在3200-4500mm之间随意调节；</w:t>
      </w:r>
    </w:p>
    <w:p>
      <w:pPr>
        <w:pStyle w:val="24"/>
        <w:ind w:firstLine="560" w:firstLineChars="200"/>
        <w:rPr>
          <w:rFonts w:ascii="仿宋" w:hAnsi="仿宋" w:eastAsia="仿宋" w:cs="仿宋"/>
          <w:szCs w:val="28"/>
        </w:rPr>
      </w:pPr>
      <w:r>
        <w:rPr>
          <w:rFonts w:hint="eastAsia" w:ascii="仿宋" w:hAnsi="仿宋" w:eastAsia="仿宋" w:cs="仿宋"/>
          <w:szCs w:val="28"/>
        </w:rPr>
        <w:t>2.排爆机械手支架高度可在850mm-1000mm之间随意调节；</w:t>
      </w:r>
    </w:p>
    <w:p>
      <w:pPr>
        <w:pStyle w:val="24"/>
        <w:ind w:firstLine="560" w:firstLineChars="200"/>
        <w:rPr>
          <w:rFonts w:ascii="仿宋" w:hAnsi="仿宋" w:eastAsia="仿宋" w:cs="仿宋"/>
          <w:szCs w:val="28"/>
        </w:rPr>
      </w:pPr>
      <w:r>
        <w:rPr>
          <w:rFonts w:hint="eastAsia" w:ascii="仿宋" w:hAnsi="仿宋" w:eastAsia="仿宋" w:cs="仿宋"/>
          <w:szCs w:val="28"/>
        </w:rPr>
        <w:t>3.排爆机械手支架轮间距：≥190mm；</w:t>
      </w:r>
    </w:p>
    <w:p>
      <w:pPr>
        <w:pStyle w:val="24"/>
        <w:ind w:firstLine="560" w:firstLineChars="200"/>
        <w:rPr>
          <w:rFonts w:ascii="仿宋" w:hAnsi="仿宋" w:eastAsia="仿宋" w:cs="仿宋"/>
          <w:szCs w:val="28"/>
        </w:rPr>
      </w:pPr>
      <w:r>
        <w:rPr>
          <w:rFonts w:hint="eastAsia" w:ascii="仿宋" w:hAnsi="仿宋" w:eastAsia="仿宋" w:cs="仿宋"/>
          <w:szCs w:val="28"/>
        </w:rPr>
        <w:t>4.抓手张开最大尺寸：≥200mm；</w:t>
      </w:r>
    </w:p>
    <w:p>
      <w:pPr>
        <w:pStyle w:val="24"/>
        <w:ind w:firstLine="560" w:firstLineChars="200"/>
        <w:rPr>
          <w:rFonts w:ascii="仿宋" w:hAnsi="仿宋" w:eastAsia="仿宋" w:cs="仿宋"/>
          <w:szCs w:val="28"/>
        </w:rPr>
      </w:pPr>
      <w:r>
        <w:rPr>
          <w:rFonts w:hint="eastAsia" w:ascii="仿宋" w:hAnsi="仿宋" w:eastAsia="仿宋" w:cs="仿宋"/>
          <w:szCs w:val="28"/>
        </w:rPr>
        <w:t>5.★机械手在完全伸长状态下，能夹取宽度≥200mm，重量≥10kg的箱型重物，并保持30s不脱落；</w:t>
      </w:r>
    </w:p>
    <w:p>
      <w:pPr>
        <w:pStyle w:val="24"/>
        <w:ind w:firstLine="560" w:firstLineChars="200"/>
        <w:rPr>
          <w:rFonts w:ascii="仿宋" w:hAnsi="仿宋" w:eastAsia="仿宋" w:cs="仿宋"/>
          <w:szCs w:val="28"/>
        </w:rPr>
      </w:pPr>
      <w:r>
        <w:rPr>
          <w:rFonts w:hint="eastAsia" w:ascii="仿宋" w:hAnsi="仿宋" w:eastAsia="仿宋" w:cs="仿宋"/>
          <w:szCs w:val="28"/>
        </w:rPr>
        <w:t>6.★机械手在完全缩回状态下，能夹取宽度≥200mm，重量≥15kg的箱型重物，并保持30s不脱落；</w:t>
      </w:r>
    </w:p>
    <w:p>
      <w:pPr>
        <w:pStyle w:val="24"/>
        <w:ind w:firstLine="560" w:firstLineChars="200"/>
        <w:rPr>
          <w:rFonts w:ascii="仿宋" w:hAnsi="仿宋" w:eastAsia="仿宋" w:cs="仿宋"/>
          <w:szCs w:val="28"/>
        </w:rPr>
      </w:pPr>
      <w:r>
        <w:rPr>
          <w:rFonts w:hint="eastAsia" w:ascii="仿宋" w:hAnsi="仿宋" w:eastAsia="仿宋" w:cs="仿宋"/>
          <w:szCs w:val="28"/>
        </w:rPr>
        <w:t>7.排爆机械手的抓手可以电动正反360°旋转；</w:t>
      </w:r>
    </w:p>
    <w:p>
      <w:pPr>
        <w:pStyle w:val="24"/>
        <w:ind w:firstLine="560" w:firstLineChars="200"/>
        <w:rPr>
          <w:rFonts w:ascii="仿宋" w:hAnsi="仿宋" w:eastAsia="仿宋" w:cs="仿宋"/>
          <w:szCs w:val="28"/>
        </w:rPr>
      </w:pPr>
      <w:r>
        <w:rPr>
          <w:rFonts w:hint="eastAsia" w:ascii="仿宋" w:hAnsi="仿宋" w:eastAsia="仿宋" w:cs="仿宋"/>
          <w:szCs w:val="28"/>
        </w:rPr>
        <w:t>8.提供提供具有CMA计量认证的检测机构出具的检测报告。并提供检验报告复印件；</w:t>
      </w:r>
    </w:p>
    <w:p>
      <w:pPr>
        <w:pStyle w:val="24"/>
        <w:ind w:firstLine="560" w:firstLineChars="200"/>
        <w:rPr>
          <w:rFonts w:ascii="仿宋" w:hAnsi="仿宋" w:eastAsia="仿宋" w:cs="仿宋"/>
          <w:bCs/>
          <w:spacing w:val="30"/>
          <w:szCs w:val="28"/>
        </w:rPr>
      </w:pPr>
      <w:r>
        <w:rPr>
          <w:rFonts w:hint="eastAsia" w:ascii="仿宋" w:hAnsi="仿宋" w:eastAsia="仿宋" w:cs="仿宋"/>
          <w:szCs w:val="28"/>
        </w:rPr>
        <w:t>9.打★参数要求在检测报告中体现</w:t>
      </w:r>
    </w:p>
    <w:p>
      <w:pPr>
        <w:rPr>
          <w:rFonts w:ascii="仿宋" w:hAnsi="仿宋" w:eastAsia="仿宋" w:cs="仿宋"/>
          <w:sz w:val="28"/>
          <w:szCs w:val="28"/>
        </w:rPr>
      </w:pPr>
    </w:p>
    <w:p>
      <w:pPr>
        <w:pStyle w:val="3"/>
        <w:spacing w:line="240" w:lineRule="auto"/>
        <w:rPr>
          <w:rFonts w:ascii="仿宋" w:hAnsi="仿宋" w:eastAsia="仿宋" w:cs="仿宋"/>
          <w:b w:val="0"/>
          <w:bCs w:val="0"/>
          <w:sz w:val="28"/>
          <w:szCs w:val="28"/>
        </w:rPr>
      </w:pPr>
      <w:r>
        <w:rPr>
          <w:rFonts w:hint="eastAsia" w:ascii="仿宋" w:hAnsi="仿宋" w:eastAsia="仿宋" w:cs="仿宋"/>
          <w:b w:val="0"/>
          <w:bCs w:val="0"/>
          <w:sz w:val="28"/>
          <w:szCs w:val="28"/>
        </w:rPr>
        <w:t>标项三：安检类装备物资</w:t>
      </w:r>
    </w:p>
    <w:tbl>
      <w:tblPr>
        <w:tblStyle w:val="59"/>
        <w:tblW w:w="7679" w:type="dxa"/>
        <w:jc w:val="center"/>
        <w:tblLayout w:type="fixed"/>
        <w:tblCellMar>
          <w:top w:w="15" w:type="dxa"/>
          <w:left w:w="15" w:type="dxa"/>
          <w:bottom w:w="15" w:type="dxa"/>
          <w:right w:w="15" w:type="dxa"/>
        </w:tblCellMar>
      </w:tblPr>
      <w:tblGrid>
        <w:gridCol w:w="963"/>
        <w:gridCol w:w="2552"/>
        <w:gridCol w:w="1963"/>
        <w:gridCol w:w="1107"/>
        <w:gridCol w:w="1094"/>
      </w:tblGrid>
      <w:tr>
        <w:tblPrEx>
          <w:tblCellMar>
            <w:top w:w="15" w:type="dxa"/>
            <w:left w:w="15" w:type="dxa"/>
            <w:bottom w:w="15" w:type="dxa"/>
            <w:right w:w="15" w:type="dxa"/>
          </w:tblCellMar>
        </w:tblPrEx>
        <w:trPr>
          <w:trHeight w:val="750"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装备名称</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计划采购</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单位</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15" w:type="dxa"/>
            <w:left w:w="15" w:type="dxa"/>
            <w:bottom w:w="15" w:type="dxa"/>
            <w:right w:w="15" w:type="dxa"/>
          </w:tblCellMar>
        </w:tblPrEx>
        <w:trPr>
          <w:trHeight w:val="600"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移动式车底安检系统</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套</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手持式金属探测器</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30</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核心产品</w:t>
            </w:r>
          </w:p>
        </w:tc>
      </w:tr>
      <w:tr>
        <w:tblPrEx>
          <w:tblCellMar>
            <w:top w:w="15" w:type="dxa"/>
            <w:left w:w="15" w:type="dxa"/>
            <w:bottom w:w="15" w:type="dxa"/>
            <w:right w:w="15" w:type="dxa"/>
          </w:tblCellMar>
        </w:tblPrEx>
        <w:trPr>
          <w:trHeight w:val="600"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智能违禁品探测门</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bl>
    <w:p>
      <w:pPr>
        <w:keepLines/>
        <w:ind w:firstLine="480"/>
        <w:jc w:val="left"/>
        <w:rPr>
          <w:rFonts w:ascii="仿宋" w:hAnsi="仿宋" w:eastAsia="仿宋" w:cs="仿宋"/>
          <w:sz w:val="28"/>
          <w:szCs w:val="28"/>
        </w:rPr>
      </w:pPr>
    </w:p>
    <w:p>
      <w:pPr>
        <w:keepLines/>
        <w:ind w:firstLine="480"/>
        <w:jc w:val="left"/>
        <w:rPr>
          <w:rFonts w:ascii="仿宋" w:hAnsi="仿宋" w:eastAsia="仿宋" w:cs="仿宋"/>
          <w:sz w:val="28"/>
          <w:szCs w:val="28"/>
        </w:rPr>
      </w:pPr>
      <w:r>
        <w:rPr>
          <w:rFonts w:hint="eastAsia" w:ascii="仿宋" w:hAnsi="仿宋" w:eastAsia="仿宋" w:cs="仿宋"/>
          <w:sz w:val="28"/>
          <w:szCs w:val="28"/>
        </w:rPr>
        <w:t>（一）移动式车底安检系统</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★执行标准：《GA T 1336-2016 车底成像安全检查系统通用技术要求》标准；</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设备由车辆底盘扫描成像系统软件、车辆底盘成像设备、专用车底系统主机、专用智能控制设备、车辆检测设备、车牌识别系统软件、车牌识别相机等组成；</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采用彩色线阵CCD扫描技术动态方式成像；</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底盘成像显示时间：≤1秒；底盘存储或载入时间：≤1秒；</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★图像存储容量：可存储不少于120万张车底图像，并应具有自动循环覆盖功能；</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车底图像分辨率：≥12000×9000 ；</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启动时间检验：系统全部组件的启动总时间≤80s；</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图像参数调整功能：系统软件应具有对物体运动造成的运动模糊的还原处理功能，对拍摄设备焦距不准造成的散焦模糊的还原处理功能，对图像去噪增强处理功能以及图像夜视增强处理功能；</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 xml:space="preserve">车底扫描仪适宜工作温度：低温≤－45±3℃，高温≥85±2℃； </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机械结构要求：系统扫描装置的外壳防护等级应符合GB 4208-2008中 IP68（在水下1m深处浸泡1h）的等级规定；</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 xml:space="preserve">★视场角度：≥170°； </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★车底图像采集率：当车辆以最大85km/h的速度通过系统扫描装置时，系统的图像采集率应达到100%；</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★车底图像自动拍摄功能：当车辆以最大85km/h的速度通过车底扫描仪后，系统应能自动拍摄并存储车底图像；</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★图像显示时间：当车辆以最大85km/h的速度通过系统扫描装置后，系统图像显示时间应小于等于1s；</w:t>
      </w:r>
    </w:p>
    <w:p>
      <w:pPr>
        <w:numPr>
          <w:ilvl w:val="0"/>
          <w:numId w:val="32"/>
        </w:numPr>
        <w:tabs>
          <w:tab w:val="left" w:pos="397"/>
        </w:tabs>
        <w:ind w:firstLine="560" w:firstLineChars="200"/>
        <w:rPr>
          <w:rFonts w:ascii="仿宋" w:hAnsi="仿宋" w:eastAsia="仿宋" w:cs="仿宋"/>
          <w:sz w:val="28"/>
          <w:szCs w:val="28"/>
        </w:rPr>
      </w:pPr>
      <w:r>
        <w:rPr>
          <w:rFonts w:hint="eastAsia" w:ascii="仿宋" w:hAnsi="仿宋" w:eastAsia="仿宋" w:cs="仿宋"/>
          <w:sz w:val="28"/>
          <w:szCs w:val="28"/>
        </w:rPr>
        <w:t>照明组件：单体密封LED面光源；寿命≥60000h；</w:t>
      </w:r>
    </w:p>
    <w:p>
      <w:pPr>
        <w:pStyle w:val="24"/>
        <w:numPr>
          <w:ilvl w:val="0"/>
          <w:numId w:val="32"/>
        </w:numPr>
        <w:ind w:firstLine="560" w:firstLineChars="200"/>
        <w:rPr>
          <w:rFonts w:ascii="仿宋" w:hAnsi="仿宋" w:eastAsia="仿宋" w:cs="仿宋"/>
          <w:szCs w:val="28"/>
        </w:rPr>
      </w:pPr>
      <w:r>
        <w:rPr>
          <w:rFonts w:hint="eastAsia" w:ascii="仿宋" w:hAnsi="仿宋" w:eastAsia="仿宋" w:cs="仿宋"/>
          <w:szCs w:val="28"/>
        </w:rPr>
        <w:t>提供具有CMA计量认证的检测机构出具的检测报告。并提供检验报告复印件；</w:t>
      </w:r>
    </w:p>
    <w:p>
      <w:pPr>
        <w:pStyle w:val="24"/>
        <w:numPr>
          <w:ilvl w:val="0"/>
          <w:numId w:val="32"/>
        </w:numPr>
        <w:ind w:firstLine="560" w:firstLineChars="200"/>
        <w:rPr>
          <w:rFonts w:ascii="仿宋" w:hAnsi="仿宋" w:eastAsia="仿宋" w:cs="仿宋"/>
          <w:szCs w:val="28"/>
        </w:rPr>
      </w:pPr>
      <w:r>
        <w:rPr>
          <w:rFonts w:hint="eastAsia" w:ascii="仿宋" w:hAnsi="仿宋" w:eastAsia="仿宋" w:cs="仿宋"/>
          <w:szCs w:val="28"/>
        </w:rPr>
        <w:t>打★参数要求在检测报告中体现；</w:t>
      </w:r>
    </w:p>
    <w:p>
      <w:pPr>
        <w:pStyle w:val="24"/>
        <w:rPr>
          <w:rFonts w:ascii="仿宋" w:hAnsi="仿宋" w:eastAsia="仿宋" w:cs="仿宋"/>
          <w:szCs w:val="28"/>
        </w:rPr>
      </w:pPr>
    </w:p>
    <w:p>
      <w:pPr>
        <w:pStyle w:val="24"/>
        <w:ind w:firstLine="560" w:firstLineChars="200"/>
        <w:rPr>
          <w:rFonts w:ascii="仿宋" w:hAnsi="仿宋" w:eastAsia="仿宋" w:cs="仿宋"/>
          <w:szCs w:val="28"/>
        </w:rPr>
      </w:pPr>
      <w:r>
        <w:rPr>
          <w:rFonts w:hint="eastAsia" w:ascii="仿宋" w:hAnsi="仿宋" w:eastAsia="仿宋" w:cs="仿宋"/>
          <w:szCs w:val="28"/>
        </w:rPr>
        <w:t>（二）手持式金属探测器</w:t>
      </w:r>
    </w:p>
    <w:p>
      <w:pPr>
        <w:pStyle w:val="24"/>
        <w:ind w:firstLine="560" w:firstLineChars="200"/>
        <w:rPr>
          <w:rFonts w:ascii="仿宋" w:hAnsi="仿宋" w:eastAsia="仿宋" w:cs="仿宋"/>
          <w:szCs w:val="28"/>
        </w:rPr>
      </w:pPr>
      <w:r>
        <w:rPr>
          <w:rFonts w:hint="eastAsia" w:ascii="仿宋" w:hAnsi="仿宋" w:eastAsia="仿宋" w:cs="仿宋"/>
          <w:szCs w:val="28"/>
        </w:rPr>
        <w:t>1.★执行标准：《GB 12899-2003手持式金属探测器通用技术规范》；</w:t>
      </w:r>
    </w:p>
    <w:p>
      <w:pPr>
        <w:pStyle w:val="24"/>
        <w:ind w:firstLine="560" w:firstLineChars="200"/>
        <w:rPr>
          <w:rFonts w:ascii="仿宋" w:hAnsi="仿宋" w:eastAsia="仿宋" w:cs="仿宋"/>
          <w:szCs w:val="28"/>
        </w:rPr>
      </w:pPr>
      <w:r>
        <w:rPr>
          <w:rFonts w:hint="eastAsia" w:ascii="仿宋" w:hAnsi="仿宋" w:eastAsia="仿宋" w:cs="仿宋"/>
          <w:szCs w:val="28"/>
        </w:rPr>
        <w:t>2.★使用时间：至少能连续工作40h，无需更换电池或重新充电；</w:t>
      </w:r>
    </w:p>
    <w:p>
      <w:pPr>
        <w:pStyle w:val="24"/>
        <w:ind w:firstLine="560" w:firstLineChars="200"/>
        <w:rPr>
          <w:rFonts w:ascii="仿宋" w:hAnsi="仿宋" w:eastAsia="仿宋" w:cs="仿宋"/>
          <w:szCs w:val="28"/>
        </w:rPr>
      </w:pPr>
      <w:r>
        <w:rPr>
          <w:rFonts w:hint="eastAsia" w:ascii="仿宋" w:hAnsi="仿宋" w:eastAsia="仿宋" w:cs="仿宋"/>
          <w:szCs w:val="28"/>
        </w:rPr>
        <w:t>3.★重量：≤370g；</w:t>
      </w:r>
    </w:p>
    <w:p>
      <w:pPr>
        <w:pStyle w:val="24"/>
        <w:ind w:firstLine="560" w:firstLineChars="200"/>
        <w:rPr>
          <w:rFonts w:ascii="仿宋" w:hAnsi="仿宋" w:eastAsia="仿宋" w:cs="仿宋"/>
          <w:szCs w:val="28"/>
        </w:rPr>
      </w:pPr>
      <w:r>
        <w:rPr>
          <w:rFonts w:hint="eastAsia" w:ascii="仿宋" w:hAnsi="仿宋" w:eastAsia="仿宋" w:cs="仿宋"/>
          <w:szCs w:val="28"/>
        </w:rPr>
        <w:t>4.★防护等级：≥IP31等级；</w:t>
      </w:r>
    </w:p>
    <w:p>
      <w:pPr>
        <w:pStyle w:val="24"/>
        <w:ind w:firstLine="560" w:firstLineChars="200"/>
        <w:rPr>
          <w:rFonts w:ascii="仿宋" w:hAnsi="仿宋" w:eastAsia="仿宋" w:cs="仿宋"/>
          <w:szCs w:val="28"/>
        </w:rPr>
      </w:pPr>
      <w:r>
        <w:rPr>
          <w:rFonts w:hint="eastAsia" w:ascii="仿宋" w:hAnsi="仿宋" w:eastAsia="仿宋" w:cs="仿宋"/>
          <w:szCs w:val="28"/>
        </w:rPr>
        <w:t>5.★外观尺寸：≤500mm*90mm*50mm；</w:t>
      </w:r>
    </w:p>
    <w:p>
      <w:pPr>
        <w:pStyle w:val="24"/>
        <w:ind w:firstLine="560" w:firstLineChars="200"/>
        <w:rPr>
          <w:rFonts w:ascii="仿宋" w:hAnsi="仿宋" w:eastAsia="仿宋" w:cs="仿宋"/>
          <w:szCs w:val="28"/>
        </w:rPr>
      </w:pPr>
      <w:r>
        <w:rPr>
          <w:rFonts w:hint="eastAsia" w:ascii="仿宋" w:hAnsi="仿宋" w:eastAsia="仿宋" w:cs="仿宋"/>
          <w:szCs w:val="28"/>
        </w:rPr>
        <w:t>6.具有无线数据连接，可连接手机查看并记录手探报警次数等数据；</w:t>
      </w:r>
    </w:p>
    <w:p>
      <w:pPr>
        <w:pStyle w:val="24"/>
        <w:ind w:firstLine="560" w:firstLineChars="200"/>
        <w:rPr>
          <w:rFonts w:ascii="仿宋" w:hAnsi="仿宋" w:eastAsia="仿宋" w:cs="仿宋"/>
          <w:szCs w:val="28"/>
        </w:rPr>
      </w:pPr>
      <w:r>
        <w:rPr>
          <w:rFonts w:hint="eastAsia" w:ascii="仿宋" w:hAnsi="仿宋" w:eastAsia="仿宋" w:cs="仿宋"/>
          <w:szCs w:val="28"/>
        </w:rPr>
        <w:t>7.提供具有CMA计量认证的检测机构出具的检测报告，并提供检验报告复印件；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8.打★参数要求在检测报告中体现。</w:t>
      </w:r>
    </w:p>
    <w:p>
      <w:pPr>
        <w:pStyle w:val="24"/>
        <w:ind w:firstLine="560" w:firstLineChars="200"/>
        <w:rPr>
          <w:rFonts w:ascii="仿宋" w:hAnsi="仿宋" w:eastAsia="仿宋" w:cs="仿宋"/>
          <w:szCs w:val="28"/>
        </w:rPr>
      </w:pPr>
      <w:r>
        <w:rPr>
          <w:rFonts w:hint="eastAsia" w:ascii="仿宋" w:hAnsi="仿宋" w:eastAsia="仿宋" w:cs="仿宋"/>
          <w:szCs w:val="28"/>
        </w:rPr>
        <w:t>9</w:t>
      </w:r>
      <w:r>
        <w:rPr>
          <w:rFonts w:ascii="仿宋" w:hAnsi="仿宋" w:eastAsia="仿宋" w:cs="仿宋"/>
          <w:szCs w:val="28"/>
        </w:rPr>
        <w:t>.</w:t>
      </w:r>
      <w:r>
        <w:rPr>
          <w:rFonts w:hint="eastAsia" w:ascii="仿宋" w:hAnsi="仿宋" w:eastAsia="仿宋" w:cs="仿宋"/>
          <w:szCs w:val="28"/>
        </w:rPr>
        <w:t>提供样品</w:t>
      </w:r>
    </w:p>
    <w:p>
      <w:pPr>
        <w:pStyle w:val="24"/>
        <w:rPr>
          <w:rFonts w:ascii="仿宋" w:hAnsi="仿宋" w:eastAsia="仿宋" w:cs="仿宋"/>
          <w:bCs/>
          <w:szCs w:val="28"/>
        </w:rPr>
      </w:pPr>
    </w:p>
    <w:p>
      <w:pPr>
        <w:pStyle w:val="24"/>
        <w:ind w:firstLine="560" w:firstLineChars="200"/>
        <w:rPr>
          <w:rFonts w:ascii="仿宋" w:hAnsi="仿宋" w:eastAsia="仿宋" w:cs="仿宋"/>
          <w:szCs w:val="28"/>
        </w:rPr>
      </w:pPr>
      <w:r>
        <w:rPr>
          <w:rFonts w:hint="eastAsia" w:ascii="仿宋" w:hAnsi="仿宋" w:eastAsia="仿宋" w:cs="仿宋"/>
          <w:szCs w:val="28"/>
        </w:rPr>
        <w:t>（三）智能违禁品探测门</w:t>
      </w:r>
    </w:p>
    <w:p>
      <w:pPr>
        <w:pStyle w:val="24"/>
        <w:ind w:firstLine="560" w:firstLineChars="200"/>
        <w:rPr>
          <w:rFonts w:ascii="仿宋" w:hAnsi="仿宋" w:eastAsia="仿宋" w:cs="仿宋"/>
          <w:szCs w:val="28"/>
        </w:rPr>
      </w:pPr>
      <w:r>
        <w:rPr>
          <w:rFonts w:hint="eastAsia" w:ascii="仿宋" w:hAnsi="仿宋" w:eastAsia="仿宋" w:cs="仿宋"/>
          <w:szCs w:val="28"/>
        </w:rPr>
        <w:t>1.★</w:t>
      </w:r>
      <w:r>
        <w:rPr>
          <w:rFonts w:hint="eastAsia" w:ascii="仿宋" w:hAnsi="仿宋" w:eastAsia="仿宋" w:cs="仿宋"/>
          <w:color w:val="000000" w:themeColor="text1"/>
          <w:szCs w:val="28"/>
        </w:rPr>
        <w:t>执行标准：</w:t>
      </w:r>
      <w:r>
        <w:rPr>
          <w:rFonts w:hint="eastAsia" w:ascii="仿宋" w:hAnsi="仿宋" w:eastAsia="仿宋" w:cs="仿宋"/>
          <w:szCs w:val="28"/>
        </w:rPr>
        <w:t>《GB15210-2018通过式金属探测门通用技术规范》；</w:t>
      </w:r>
    </w:p>
    <w:p>
      <w:pPr>
        <w:ind w:firstLine="560" w:firstLineChars="200"/>
        <w:rPr>
          <w:rFonts w:ascii="仿宋" w:hAnsi="仿宋" w:eastAsia="仿宋" w:cs="仿宋"/>
          <w:sz w:val="28"/>
          <w:szCs w:val="28"/>
        </w:rPr>
      </w:pPr>
      <w:r>
        <w:rPr>
          <w:rFonts w:hint="eastAsia" w:ascii="仿宋" w:hAnsi="仿宋" w:eastAsia="仿宋" w:cs="仿宋"/>
          <w:sz w:val="28"/>
          <w:szCs w:val="28"/>
        </w:rPr>
        <w:t>2.★执行标准：《GB/T19416-2010红外人体表面温度快速筛检仪》；</w:t>
      </w:r>
    </w:p>
    <w:p>
      <w:pPr>
        <w:pStyle w:val="24"/>
        <w:ind w:firstLine="560" w:firstLineChars="200"/>
        <w:rPr>
          <w:rFonts w:ascii="仿宋" w:hAnsi="仿宋" w:eastAsia="仿宋" w:cs="仿宋"/>
          <w:szCs w:val="28"/>
        </w:rPr>
      </w:pPr>
      <w:r>
        <w:rPr>
          <w:rFonts w:hint="eastAsia" w:ascii="仿宋" w:hAnsi="仿宋" w:eastAsia="仿宋" w:cs="仿宋"/>
          <w:szCs w:val="28"/>
        </w:rPr>
        <w:t>3.智能违禁品探测门主要由快速安检探测分析软件、工业级计算机、探测门板、中央处理主机等模块组成；</w:t>
      </w:r>
    </w:p>
    <w:p>
      <w:pPr>
        <w:pStyle w:val="24"/>
        <w:ind w:firstLine="560" w:firstLineChars="200"/>
        <w:rPr>
          <w:rFonts w:ascii="仿宋" w:hAnsi="仿宋" w:eastAsia="仿宋" w:cs="仿宋"/>
          <w:szCs w:val="28"/>
        </w:rPr>
      </w:pPr>
      <w:r>
        <w:rPr>
          <w:rFonts w:hint="eastAsia" w:ascii="仿宋" w:hAnsi="仿宋" w:eastAsia="仿宋" w:cs="仿宋"/>
          <w:szCs w:val="28"/>
        </w:rPr>
        <w:t>4.快速安检探测分析软件要求：实现对违禁品的探测与分析功能；</w:t>
      </w:r>
    </w:p>
    <w:p>
      <w:pPr>
        <w:pStyle w:val="981"/>
        <w:numPr>
          <w:ilvl w:val="255"/>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5.★智能违禁品探测门应至少配备≥10寸液晶功能触摸屏，当内置电脑损坏时，依然可通过10寸液晶触摸屏进行设备调试、参数设置。设备还能配备≥28寸大液晶显示屏显示通过人数、报警人数、报警物品类别、报警物品虚拟人形区位、摄像头抓拍照片、检测日期、检测时间等；</w:t>
      </w:r>
    </w:p>
    <w:p>
      <w:pPr>
        <w:pStyle w:val="24"/>
        <w:ind w:firstLine="560" w:firstLineChars="200"/>
        <w:rPr>
          <w:rFonts w:ascii="仿宋" w:hAnsi="仿宋" w:eastAsia="仿宋" w:cs="仿宋"/>
          <w:szCs w:val="28"/>
        </w:rPr>
      </w:pPr>
      <w:r>
        <w:rPr>
          <w:rFonts w:hint="eastAsia" w:ascii="仿宋" w:hAnsi="仿宋" w:eastAsia="仿宋" w:cs="仿宋"/>
          <w:szCs w:val="28"/>
        </w:rPr>
        <w:t>6.人行通道尺寸：高度≥1980mm，宽度≥700mm，深度≤900mm。门板材质：防火板外加防水膜，外有铝合金支柱；</w:t>
      </w:r>
    </w:p>
    <w:p>
      <w:pPr>
        <w:pStyle w:val="24"/>
        <w:ind w:firstLine="560" w:firstLineChars="200"/>
        <w:rPr>
          <w:rFonts w:ascii="仿宋" w:hAnsi="仿宋" w:eastAsia="仿宋" w:cs="仿宋"/>
          <w:szCs w:val="28"/>
        </w:rPr>
      </w:pPr>
      <w:r>
        <w:rPr>
          <w:rFonts w:hint="eastAsia" w:ascii="仿宋" w:hAnsi="仿宋" w:eastAsia="仿宋" w:cs="仿宋"/>
          <w:szCs w:val="28"/>
        </w:rPr>
        <w:t>7.中央处理主机要求：包含中央处理单元、电源模块、内置 NANO 边缘计算机、一体式液晶屏、操作按键面板等，具有管控单元模块与运算单元模块；</w:t>
      </w:r>
    </w:p>
    <w:p>
      <w:pPr>
        <w:pStyle w:val="981"/>
        <w:spacing w:line="24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8.接口要求：控制模块应预留外设接口，实现与闸机、门禁系统等其他安防设备联动。预留通讯接口，可以与摄像头、闸机等连接；</w:t>
      </w:r>
    </w:p>
    <w:p>
      <w:pPr>
        <w:pStyle w:val="24"/>
        <w:ind w:firstLine="560" w:firstLineChars="200"/>
        <w:rPr>
          <w:rFonts w:ascii="仿宋" w:hAnsi="仿宋" w:eastAsia="仿宋" w:cs="仿宋"/>
          <w:szCs w:val="28"/>
        </w:rPr>
      </w:pPr>
      <w:r>
        <w:rPr>
          <w:rFonts w:hint="eastAsia" w:ascii="仿宋" w:hAnsi="仿宋" w:eastAsia="仿宋" w:cs="仿宋"/>
          <w:szCs w:val="28"/>
        </w:rPr>
        <w:t>9.数据感知系统平台：设备具备人脸识别系统与数据感知系统平台；</w:t>
      </w:r>
    </w:p>
    <w:p>
      <w:pPr>
        <w:pStyle w:val="24"/>
        <w:ind w:firstLine="560" w:firstLineChars="200"/>
        <w:jc w:val="left"/>
        <w:rPr>
          <w:rFonts w:ascii="仿宋" w:hAnsi="仿宋" w:eastAsia="仿宋" w:cs="仿宋"/>
          <w:szCs w:val="28"/>
          <w:highlight w:val="yellow"/>
        </w:rPr>
      </w:pPr>
      <w:r>
        <w:rPr>
          <w:rFonts w:hint="eastAsia" w:ascii="仿宋" w:hAnsi="仿宋" w:eastAsia="仿宋" w:cs="仿宋"/>
          <w:szCs w:val="28"/>
        </w:rPr>
        <w:t>10.设备核心原理采用金属分类识别技术，及金属分类探测的图文显示技术；</w:t>
      </w:r>
    </w:p>
    <w:p>
      <w:pPr>
        <w:pStyle w:val="981"/>
        <w:spacing w:line="24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11.信号采样处理模块（采集卡）采用“浮点运算微处理器+FPGA现场可编程门阵列”结构，微处理器主频&gt;100MHz，Flash&gt;256KB；FPGA现场可编程门阵列配合采样芯片进行双通道信号采样，采样速率&gt;20MHz；</w:t>
      </w:r>
    </w:p>
    <w:p>
      <w:pPr>
        <w:pStyle w:val="981"/>
        <w:spacing w:line="24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12.★探测门能在全金属探测模式、电子产品探测模式、违禁品探测模式、电子产品及违禁品探测模式之间进行切换；</w:t>
      </w:r>
    </w:p>
    <w:p>
      <w:pPr>
        <w:pStyle w:val="981"/>
        <w:spacing w:line="240" w:lineRule="auto"/>
        <w:ind w:left="0" w:firstLine="560" w:firstLineChars="200"/>
        <w:jc w:val="left"/>
        <w:rPr>
          <w:rFonts w:ascii="仿宋" w:hAnsi="仿宋" w:eastAsia="仿宋" w:cs="仿宋"/>
          <w:color w:val="000000" w:themeColor="text1"/>
          <w:sz w:val="28"/>
          <w:szCs w:val="28"/>
        </w:rPr>
      </w:pPr>
      <w:r>
        <w:rPr>
          <w:rFonts w:hint="eastAsia" w:ascii="仿宋" w:hAnsi="仿宋" w:eastAsia="仿宋" w:cs="仿宋"/>
          <w:sz w:val="28"/>
          <w:szCs w:val="28"/>
        </w:rPr>
        <w:t>13. ★在全金属探测模式下，人员以标准姿势通过安检门时，正常着装上的硬币、钥匙、金属</w:t>
      </w:r>
      <w:r>
        <w:rPr>
          <w:rFonts w:hint="eastAsia" w:ascii="仿宋" w:hAnsi="仿宋" w:eastAsia="仿宋" w:cs="仿宋"/>
          <w:color w:val="000000" w:themeColor="text1"/>
          <w:sz w:val="28"/>
          <w:szCs w:val="28"/>
        </w:rPr>
        <w:t>纽扣、皮带扣等小金属及违禁品通过时均应报警并提示违禁品的藏匿位置；</w:t>
      </w:r>
    </w:p>
    <w:p>
      <w:pPr>
        <w:pStyle w:val="981"/>
        <w:spacing w:line="240" w:lineRule="auto"/>
        <w:ind w:left="0"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在电子产品及违禁品探测模式下，正常着装上的机械手表、金属纽扣、项链、打火机、钥匙、硬币等小金属通过时均应系统不报警,可探测到屏幕大于4寸的智能手机、对讲机、笔记本电脑等违禁品，并图文显示出来所测违禁品的形状和材质，同时进行声光报警；</w:t>
      </w:r>
    </w:p>
    <w:p>
      <w:pPr>
        <w:pStyle w:val="981"/>
        <w:spacing w:line="240" w:lineRule="auto"/>
        <w:ind w:left="0"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在违禁品探测模式下灵敏度可调，人员以标准姿势通过安检门时，正常着装上的机械手表、金属纽扣、项链、打火机、钥匙、硬币、皮带扣、钥匙等小金属通过时系统应不报警。 人员以标准姿势通过安检门时，当携带 L型铁器、弹簧刀、水果刀、扳手等物品时系统应有声光报警，并以图形和文字的形式提示铁质类物品；</w:t>
      </w:r>
    </w:p>
    <w:p>
      <w:pPr>
        <w:pStyle w:val="981"/>
        <w:spacing w:line="240" w:lineRule="auto"/>
        <w:ind w:left="0" w:firstLine="560" w:firstLineChars="200"/>
        <w:rPr>
          <w:rFonts w:ascii="仿宋" w:hAnsi="仿宋" w:eastAsia="仿宋" w:cs="仿宋"/>
          <w:bCs/>
          <w:color w:val="000000" w:themeColor="text1"/>
          <w:kern w:val="0"/>
          <w:sz w:val="28"/>
          <w:szCs w:val="28"/>
        </w:rPr>
      </w:pPr>
      <w:r>
        <w:rPr>
          <w:rFonts w:hint="eastAsia" w:ascii="仿宋" w:hAnsi="仿宋" w:eastAsia="仿宋" w:cs="仿宋"/>
          <w:color w:val="000000" w:themeColor="text1"/>
          <w:sz w:val="28"/>
          <w:szCs w:val="28"/>
        </w:rPr>
        <w:t>14.★设备可配有热成像测温模块和红外测温模块，实现二路测温。当测到通过人员的温度超过预先设定的报警阈值时，系统应有声光及语音报警；</w:t>
      </w:r>
    </w:p>
    <w:p>
      <w:pPr>
        <w:pStyle w:val="24"/>
        <w:ind w:firstLine="560" w:firstLineChars="200"/>
        <w:rPr>
          <w:rFonts w:ascii="仿宋" w:hAnsi="仿宋" w:eastAsia="仿宋" w:cs="仿宋"/>
          <w:szCs w:val="28"/>
        </w:rPr>
      </w:pPr>
      <w:r>
        <w:rPr>
          <w:rFonts w:hint="eastAsia" w:ascii="仿宋" w:hAnsi="仿宋" w:eastAsia="仿宋" w:cs="仿宋"/>
          <w:color w:val="000000" w:themeColor="text1"/>
          <w:szCs w:val="28"/>
        </w:rPr>
        <w:t>15.本地化恢复要求：当远程电脑或机箱内置主机发生故障后，探测门依然能够独立工作；</w:t>
      </w:r>
    </w:p>
    <w:p>
      <w:pPr>
        <w:pStyle w:val="24"/>
        <w:ind w:firstLine="560" w:firstLineChars="200"/>
        <w:rPr>
          <w:rFonts w:ascii="仿宋" w:hAnsi="仿宋" w:eastAsia="仿宋" w:cs="仿宋"/>
          <w:szCs w:val="28"/>
        </w:rPr>
      </w:pPr>
      <w:r>
        <w:rPr>
          <w:rFonts w:hint="eastAsia" w:ascii="仿宋" w:hAnsi="仿宋" w:eastAsia="仿宋" w:cs="仿宋"/>
          <w:szCs w:val="28"/>
        </w:rPr>
        <w:t>16.提供具有CMA计量认证的检测机构出具的检测报告，并提供检验报告复印件；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17.打★参数要求在检测报告中体现。</w:t>
      </w:r>
    </w:p>
    <w:p>
      <w:pPr>
        <w:pStyle w:val="3"/>
        <w:spacing w:line="240" w:lineRule="auto"/>
        <w:rPr>
          <w:rFonts w:ascii="仿宋" w:hAnsi="仿宋" w:eastAsia="仿宋" w:cs="仿宋"/>
          <w:b w:val="0"/>
          <w:bCs w:val="0"/>
          <w:sz w:val="28"/>
          <w:szCs w:val="28"/>
        </w:rPr>
      </w:pPr>
      <w:r>
        <w:rPr>
          <w:rFonts w:hint="eastAsia" w:ascii="仿宋" w:hAnsi="仿宋" w:eastAsia="仿宋" w:cs="仿宋"/>
          <w:b w:val="0"/>
          <w:bCs w:val="0"/>
          <w:sz w:val="28"/>
          <w:szCs w:val="28"/>
        </w:rPr>
        <w:t>标项四：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处突类装备物资</w:t>
      </w:r>
    </w:p>
    <w:tbl>
      <w:tblPr>
        <w:tblStyle w:val="59"/>
        <w:tblW w:w="8241" w:type="dxa"/>
        <w:jc w:val="center"/>
        <w:tblLayout w:type="fixed"/>
        <w:tblCellMar>
          <w:top w:w="15" w:type="dxa"/>
          <w:left w:w="15" w:type="dxa"/>
          <w:bottom w:w="15" w:type="dxa"/>
          <w:right w:w="15" w:type="dxa"/>
        </w:tblCellMar>
      </w:tblPr>
      <w:tblGrid>
        <w:gridCol w:w="961"/>
        <w:gridCol w:w="3641"/>
        <w:gridCol w:w="1438"/>
        <w:gridCol w:w="1107"/>
        <w:gridCol w:w="1094"/>
      </w:tblGrid>
      <w:tr>
        <w:tblPrEx>
          <w:tblCellMar>
            <w:top w:w="15" w:type="dxa"/>
            <w:left w:w="15" w:type="dxa"/>
            <w:bottom w:w="15" w:type="dxa"/>
            <w:right w:w="15" w:type="dxa"/>
          </w:tblCellMar>
        </w:tblPrEx>
        <w:trPr>
          <w:trHeight w:val="75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序号</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装备名称</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计划采购</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单位</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多功能背心</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100</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件</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核心产品</w:t>
            </w: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应急切割笔</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2</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套</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警用便携式气溶胶灭火器</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50</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声波驱散器</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1</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便携式无人机管控设备</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1</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频谱探测反制一体机</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1</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警用抓捕器</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30</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微光夜视仪</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3</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bl>
    <w:p>
      <w:pPr>
        <w:widowControl/>
        <w:shd w:val="clear" w:color="auto" w:fill="FFFFFF"/>
        <w:ind w:firstLine="480"/>
        <w:rPr>
          <w:rFonts w:ascii="仿宋" w:hAnsi="仿宋" w:eastAsia="仿宋" w:cs="仿宋"/>
          <w:sz w:val="28"/>
          <w:szCs w:val="28"/>
        </w:rPr>
      </w:pP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（一）多功能背心</w:t>
      </w:r>
    </w:p>
    <w:p>
      <w:pPr>
        <w:pStyle w:val="24"/>
        <w:ind w:firstLine="560" w:firstLineChars="200"/>
        <w:rPr>
          <w:rFonts w:ascii="仿宋" w:hAnsi="仿宋" w:eastAsia="仿宋" w:cs="仿宋"/>
          <w:szCs w:val="28"/>
        </w:rPr>
      </w:pPr>
      <w:r>
        <w:rPr>
          <w:rFonts w:hint="eastAsia" w:ascii="仿宋" w:hAnsi="仿宋" w:eastAsia="仿宋" w:cs="仿宋"/>
          <w:szCs w:val="28"/>
        </w:rPr>
        <w:t>1.多功能背心正面左、右胸口分别配备对讲机套和执法记录仪套，并可贴警号和胸徽标识；正面腹部配置警棍套、手电套、催泪喷射器套、弹夹套、多功能枪套、手铐套（件数和次序可灵活调整）；背面腰部配备工作包套；</w:t>
      </w:r>
    </w:p>
    <w:p>
      <w:pPr>
        <w:pStyle w:val="24"/>
        <w:ind w:firstLine="560" w:firstLineChars="200"/>
        <w:rPr>
          <w:rFonts w:ascii="仿宋" w:hAnsi="仿宋" w:eastAsia="仿宋" w:cs="仿宋"/>
          <w:szCs w:val="28"/>
        </w:rPr>
      </w:pPr>
      <w:r>
        <w:rPr>
          <w:rFonts w:hint="eastAsia" w:ascii="仿宋" w:hAnsi="仿宋" w:eastAsia="仿宋" w:cs="仿宋"/>
          <w:szCs w:val="28"/>
        </w:rPr>
        <w:t>2.产品主要材料可选黑色涤纶加厚网眼布，规格可选  1200D  涤纶长丝，装具套材料可选黑色涤纶涂层阻燃牛津布，规格可选 1000D×1000D 涤纶长丝，尼龙搭；</w:t>
      </w:r>
    </w:p>
    <w:p>
      <w:pPr>
        <w:pStyle w:val="24"/>
        <w:ind w:firstLine="560" w:firstLineChars="200"/>
        <w:rPr>
          <w:rFonts w:ascii="仿宋" w:hAnsi="仿宋" w:eastAsia="仿宋" w:cs="仿宋"/>
          <w:szCs w:val="28"/>
        </w:rPr>
      </w:pPr>
      <w:r>
        <w:rPr>
          <w:rFonts w:hint="eastAsia" w:ascii="仿宋" w:hAnsi="仿宋" w:eastAsia="仿宋" w:cs="仿宋"/>
          <w:szCs w:val="28"/>
        </w:rPr>
        <w:t xml:space="preserve">3.扣材质符合 FZ/T66315 标准，黑色丙纶机织带可选规格 600D，主要用于肩扣袢、对讲机袢、挂袢、横向穿带，缝制可选黑色涤纶长丝缝纫线，规格可选 2 10D×3 符合  FZ/T63010 标准，四件按扣可选黑色铜质四件子母扣（经化学氧化黑色处理），主要用于弹夹套、手铐套； </w:t>
      </w:r>
    </w:p>
    <w:p>
      <w:pPr>
        <w:pStyle w:val="24"/>
        <w:ind w:firstLine="560" w:firstLineChars="200"/>
        <w:rPr>
          <w:rFonts w:ascii="仿宋" w:hAnsi="仿宋" w:eastAsia="仿宋" w:cs="仿宋"/>
          <w:szCs w:val="28"/>
        </w:rPr>
      </w:pPr>
      <w:r>
        <w:rPr>
          <w:rFonts w:hint="eastAsia" w:ascii="仿宋" w:hAnsi="仿宋" w:eastAsia="仿宋" w:cs="仿宋"/>
          <w:szCs w:val="28"/>
        </w:rPr>
        <w:t>4.多功能背心前胸设有二条反光条及带有“警察”字样的反光条，后背设 有三条反光条及带有“ POLICE”字样的反光条，反光条 采用 银白色 高光 泽度晶 格反光 材料 ，经网印刷 工艺印 制而成，材料执行《GA446 -2003 警服  反光背心》技术标准，“警察”和“POLICE”字样须显眼、易识别；</w:t>
      </w:r>
    </w:p>
    <w:p>
      <w:pPr>
        <w:pStyle w:val="24"/>
        <w:ind w:firstLine="560" w:firstLineChars="200"/>
        <w:rPr>
          <w:rFonts w:ascii="仿宋" w:hAnsi="仿宋" w:eastAsia="仿宋" w:cs="仿宋"/>
          <w:szCs w:val="28"/>
        </w:rPr>
      </w:pPr>
      <w:r>
        <w:rPr>
          <w:rFonts w:hint="eastAsia" w:ascii="仿宋" w:hAnsi="仿宋" w:eastAsia="仿宋" w:cs="仿宋"/>
          <w:szCs w:val="28"/>
        </w:rPr>
        <w:t>5.符合《浙江省机关110现场取证及处警人员着装携装规定》的多功能背心样式功能要求；</w:t>
      </w:r>
    </w:p>
    <w:p>
      <w:pPr>
        <w:pStyle w:val="24"/>
        <w:ind w:firstLine="560" w:firstLineChars="200"/>
        <w:rPr>
          <w:rFonts w:ascii="仿宋" w:hAnsi="仿宋" w:eastAsia="仿宋" w:cs="仿宋"/>
          <w:szCs w:val="28"/>
        </w:rPr>
      </w:pPr>
      <w:r>
        <w:rPr>
          <w:rFonts w:hint="eastAsia" w:ascii="仿宋" w:hAnsi="仿宋" w:eastAsia="仿宋" w:cs="仿宋"/>
          <w:szCs w:val="28"/>
        </w:rPr>
        <w:t>6.提供样品。</w:t>
      </w:r>
    </w:p>
    <w:p>
      <w:pPr>
        <w:widowControl/>
        <w:shd w:val="clear" w:color="auto" w:fill="FFFFFF"/>
        <w:ind w:firstLine="480"/>
        <w:rPr>
          <w:rFonts w:ascii="仿宋" w:hAnsi="仿宋" w:eastAsia="仿宋" w:cs="仿宋"/>
          <w:sz w:val="28"/>
          <w:szCs w:val="28"/>
        </w:rPr>
      </w:pP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（二）应急切割笔</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1.切割笔由纸管、药柱、堵头、引火套和套管组成。无需使用电源、气源和其他设备辅助，通过电子点火手柄即可点燃进行切割物体工作；</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2.外形尺寸：全长≤200mm，药柱直径≤15.5mm，药柱长度≤170mm，最大总质量≤850克（含药柱质量）；</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3.适用切割材料：圆钢Q235、Q255、Q275不锈钢等圆钢或板材，玻璃，有机玻璃，铝合金等常用材料；</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4.★切割时间：切割Φ16mm的Q255螺纹钢用时≤5.0s；</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5.产品成份不含有任何危险化学品、火工品，可以通过正常的物流运输，常规保管；</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6.一套切割笔含：10支无电切割笔、1个电子点火手柄、1个可充电电池、1个充电器、1副护目眼镜、1副专用防护手套、产品使用操作说明书；</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7.提供相关检测报告，并提供检验报告复印件；</w:t>
      </w:r>
    </w:p>
    <w:p>
      <w:pPr>
        <w:widowControl/>
        <w:shd w:val="clear" w:color="auto" w:fill="FFFFFF"/>
        <w:ind w:firstLine="480"/>
        <w:rPr>
          <w:rFonts w:ascii="仿宋" w:hAnsi="仿宋" w:eastAsia="仿宋" w:cs="仿宋"/>
          <w:sz w:val="28"/>
          <w:szCs w:val="28"/>
        </w:rPr>
      </w:pPr>
      <w:r>
        <w:rPr>
          <w:rFonts w:hint="eastAsia" w:ascii="仿宋" w:hAnsi="仿宋" w:eastAsia="仿宋" w:cs="仿宋"/>
          <w:sz w:val="28"/>
          <w:szCs w:val="28"/>
        </w:rPr>
        <w:t>8.打★参数要求在检测报告中体现；</w:t>
      </w:r>
    </w:p>
    <w:p>
      <w:pPr>
        <w:pStyle w:val="24"/>
        <w:ind w:firstLine="420"/>
        <w:rPr>
          <w:rFonts w:ascii="仿宋" w:hAnsi="仿宋" w:eastAsia="仿宋" w:cs="仿宋"/>
          <w:szCs w:val="28"/>
        </w:rPr>
      </w:pPr>
      <w:r>
        <w:rPr>
          <w:rFonts w:hint="eastAsia" w:ascii="仿宋" w:hAnsi="仿宋" w:eastAsia="仿宋" w:cs="仿宋"/>
          <w:szCs w:val="28"/>
        </w:rPr>
        <w:t>9.需提供样品</w:t>
      </w:r>
    </w:p>
    <w:p>
      <w:pPr>
        <w:pStyle w:val="24"/>
        <w:ind w:firstLine="420"/>
        <w:rPr>
          <w:rFonts w:ascii="仿宋" w:hAnsi="仿宋" w:eastAsia="仿宋" w:cs="仿宋"/>
          <w:szCs w:val="28"/>
        </w:rPr>
      </w:pPr>
    </w:p>
    <w:p>
      <w:pPr>
        <w:pStyle w:val="24"/>
        <w:ind w:firstLine="560" w:firstLineChars="200"/>
        <w:rPr>
          <w:rFonts w:ascii="仿宋" w:hAnsi="仿宋" w:eastAsia="仿宋" w:cs="仿宋"/>
          <w:szCs w:val="28"/>
        </w:rPr>
      </w:pPr>
      <w:r>
        <w:rPr>
          <w:rFonts w:hint="eastAsia" w:ascii="仿宋" w:hAnsi="仿宋" w:eastAsia="仿宋" w:cs="仿宋"/>
          <w:szCs w:val="28"/>
        </w:rPr>
        <w:t>（三）警用便携式气溶胶灭火器</w:t>
      </w:r>
    </w:p>
    <w:p>
      <w:pPr>
        <w:pStyle w:val="24"/>
        <w:ind w:firstLine="560" w:firstLineChars="200"/>
        <w:rPr>
          <w:rFonts w:ascii="仿宋" w:hAnsi="仿宋" w:eastAsia="仿宋" w:cs="仿宋"/>
          <w:szCs w:val="28"/>
        </w:rPr>
      </w:pPr>
      <w:r>
        <w:rPr>
          <w:rFonts w:hint="eastAsia" w:ascii="仿宋" w:hAnsi="仿宋" w:eastAsia="仿宋" w:cs="仿宋"/>
          <w:szCs w:val="28"/>
        </w:rPr>
        <w:t>1.灭火能力：13B ；</w:t>
      </w:r>
    </w:p>
    <w:p>
      <w:pPr>
        <w:pStyle w:val="24"/>
        <w:ind w:firstLine="560" w:firstLineChars="200"/>
        <w:rPr>
          <w:rFonts w:ascii="仿宋" w:hAnsi="仿宋" w:eastAsia="仿宋" w:cs="仿宋"/>
          <w:szCs w:val="28"/>
        </w:rPr>
      </w:pPr>
      <w:r>
        <w:rPr>
          <w:rFonts w:hint="eastAsia" w:ascii="仿宋" w:hAnsi="仿宋" w:eastAsia="仿宋" w:cs="仿宋"/>
          <w:szCs w:val="28"/>
        </w:rPr>
        <w:t>2灭火类别：B、C、E、F类火；</w:t>
      </w:r>
    </w:p>
    <w:p>
      <w:pPr>
        <w:pStyle w:val="24"/>
        <w:ind w:firstLine="560" w:firstLineChars="200"/>
        <w:rPr>
          <w:rFonts w:ascii="仿宋" w:hAnsi="仿宋" w:eastAsia="仿宋" w:cs="仿宋"/>
          <w:szCs w:val="28"/>
        </w:rPr>
      </w:pPr>
      <w:r>
        <w:rPr>
          <w:rFonts w:hint="eastAsia" w:ascii="仿宋" w:hAnsi="仿宋" w:eastAsia="仿宋" w:cs="仿宋"/>
          <w:szCs w:val="28"/>
        </w:rPr>
        <w:t>3.灭火有效距离：≥2m；</w:t>
      </w:r>
    </w:p>
    <w:p>
      <w:pPr>
        <w:pStyle w:val="24"/>
        <w:ind w:firstLine="560" w:firstLineChars="200"/>
        <w:rPr>
          <w:rFonts w:ascii="仿宋" w:hAnsi="仿宋" w:eastAsia="仿宋" w:cs="仿宋"/>
          <w:szCs w:val="28"/>
        </w:rPr>
      </w:pPr>
      <w:r>
        <w:rPr>
          <w:rFonts w:hint="eastAsia" w:ascii="仿宋" w:hAnsi="仿宋" w:eastAsia="仿宋" w:cs="仿宋"/>
          <w:szCs w:val="28"/>
        </w:rPr>
        <w:t>4.有效喷射时间：≥8s；</w:t>
      </w:r>
    </w:p>
    <w:p>
      <w:pPr>
        <w:pStyle w:val="24"/>
        <w:ind w:firstLine="560" w:firstLineChars="200"/>
        <w:rPr>
          <w:rFonts w:ascii="仿宋" w:hAnsi="仿宋" w:eastAsia="仿宋" w:cs="仿宋"/>
          <w:szCs w:val="28"/>
        </w:rPr>
      </w:pPr>
      <w:r>
        <w:rPr>
          <w:rFonts w:hint="eastAsia" w:ascii="仿宋" w:hAnsi="仿宋" w:eastAsia="仿宋" w:cs="仿宋"/>
          <w:szCs w:val="28"/>
        </w:rPr>
        <w:t>5.产品长度：≤250mm；</w:t>
      </w:r>
    </w:p>
    <w:p>
      <w:pPr>
        <w:pStyle w:val="24"/>
        <w:ind w:firstLine="560" w:firstLineChars="200"/>
        <w:rPr>
          <w:rFonts w:ascii="仿宋" w:hAnsi="仿宋" w:eastAsia="仿宋" w:cs="仿宋"/>
          <w:szCs w:val="28"/>
        </w:rPr>
      </w:pPr>
      <w:r>
        <w:rPr>
          <w:rFonts w:hint="eastAsia" w:ascii="仿宋" w:hAnsi="仿宋" w:eastAsia="仿宋" w:cs="仿宋"/>
          <w:szCs w:val="28"/>
        </w:rPr>
        <w:t>6.最大径向尺寸：≤55mm；</w:t>
      </w:r>
    </w:p>
    <w:p>
      <w:pPr>
        <w:pStyle w:val="24"/>
        <w:ind w:firstLine="560" w:firstLineChars="200"/>
        <w:rPr>
          <w:rFonts w:ascii="仿宋" w:hAnsi="仿宋" w:eastAsia="仿宋" w:cs="仿宋"/>
          <w:szCs w:val="28"/>
        </w:rPr>
      </w:pPr>
      <w:r>
        <w:rPr>
          <w:rFonts w:hint="eastAsia" w:ascii="仿宋" w:hAnsi="仿宋" w:eastAsia="仿宋" w:cs="仿宋"/>
          <w:szCs w:val="28"/>
        </w:rPr>
        <w:t>7.产品净重：≤510g；</w:t>
      </w:r>
    </w:p>
    <w:p>
      <w:pPr>
        <w:pStyle w:val="24"/>
        <w:ind w:firstLine="560" w:firstLineChars="200"/>
        <w:rPr>
          <w:rFonts w:ascii="仿宋" w:hAnsi="仿宋" w:eastAsia="仿宋" w:cs="仿宋"/>
          <w:szCs w:val="28"/>
        </w:rPr>
      </w:pPr>
      <w:r>
        <w:rPr>
          <w:rFonts w:hint="eastAsia" w:ascii="仿宋" w:hAnsi="仿宋" w:eastAsia="仿宋" w:cs="仿宋"/>
          <w:szCs w:val="28"/>
        </w:rPr>
        <w:t>8.使用温度：-30℃-+70℃；</w:t>
      </w:r>
    </w:p>
    <w:p>
      <w:pPr>
        <w:pStyle w:val="24"/>
        <w:ind w:firstLine="560" w:firstLineChars="200"/>
        <w:rPr>
          <w:rFonts w:ascii="仿宋" w:hAnsi="仿宋" w:eastAsia="仿宋" w:cs="仿宋"/>
          <w:szCs w:val="28"/>
        </w:rPr>
      </w:pPr>
      <w:r>
        <w:rPr>
          <w:rFonts w:hint="eastAsia" w:ascii="仿宋" w:hAnsi="仿宋" w:eastAsia="仿宋" w:cs="仿宋"/>
          <w:szCs w:val="28"/>
        </w:rPr>
        <w:t>9.产品存储压力：无压存储；</w:t>
      </w:r>
    </w:p>
    <w:p>
      <w:pPr>
        <w:pStyle w:val="24"/>
        <w:ind w:firstLine="560" w:firstLineChars="200"/>
        <w:rPr>
          <w:rFonts w:ascii="仿宋" w:hAnsi="仿宋" w:eastAsia="仿宋" w:cs="仿宋"/>
          <w:szCs w:val="28"/>
        </w:rPr>
      </w:pPr>
      <w:r>
        <w:rPr>
          <w:rFonts w:hint="eastAsia" w:ascii="仿宋" w:hAnsi="仿宋" w:eastAsia="仿宋" w:cs="仿宋"/>
          <w:szCs w:val="28"/>
        </w:rPr>
        <w:t>10.有效期：自生产之日起4年；</w:t>
      </w:r>
    </w:p>
    <w:p>
      <w:pPr>
        <w:pStyle w:val="24"/>
        <w:ind w:firstLine="560" w:firstLineChars="200"/>
        <w:rPr>
          <w:rFonts w:ascii="仿宋" w:hAnsi="仿宋" w:eastAsia="仿宋" w:cs="仿宋"/>
          <w:szCs w:val="28"/>
        </w:rPr>
      </w:pPr>
      <w:r>
        <w:rPr>
          <w:rFonts w:hint="eastAsia" w:ascii="仿宋" w:hAnsi="仿宋" w:eastAsia="仿宋" w:cs="仿宋"/>
          <w:szCs w:val="28"/>
        </w:rPr>
        <w:t>11.需提供样品</w:t>
      </w:r>
    </w:p>
    <w:p>
      <w:pPr>
        <w:pStyle w:val="24"/>
        <w:ind w:firstLine="420"/>
        <w:rPr>
          <w:rFonts w:ascii="仿宋" w:hAnsi="仿宋" w:eastAsia="仿宋" w:cs="仿宋"/>
          <w:szCs w:val="28"/>
        </w:rPr>
      </w:pPr>
    </w:p>
    <w:p>
      <w:pPr>
        <w:pStyle w:val="24"/>
        <w:ind w:firstLine="560" w:firstLineChars="200"/>
        <w:rPr>
          <w:rFonts w:ascii="仿宋" w:hAnsi="仿宋" w:eastAsia="仿宋" w:cs="仿宋"/>
          <w:szCs w:val="28"/>
        </w:rPr>
      </w:pPr>
      <w:r>
        <w:rPr>
          <w:rFonts w:hint="eastAsia" w:ascii="仿宋" w:hAnsi="仿宋" w:eastAsia="仿宋" w:cs="仿宋"/>
          <w:szCs w:val="28"/>
        </w:rPr>
        <w:t>（四）声波驱散器</w:t>
      </w:r>
    </w:p>
    <w:p>
      <w:pPr>
        <w:pStyle w:val="24"/>
        <w:ind w:firstLine="560" w:firstLineChars="200"/>
        <w:rPr>
          <w:rFonts w:ascii="仿宋" w:hAnsi="仿宋" w:eastAsia="仿宋" w:cs="仿宋"/>
          <w:szCs w:val="28"/>
        </w:rPr>
      </w:pPr>
      <w:r>
        <w:rPr>
          <w:rFonts w:hint="eastAsia" w:ascii="仿宋" w:hAnsi="仿宋" w:eastAsia="仿宋" w:cs="仿宋"/>
          <w:szCs w:val="28"/>
        </w:rPr>
        <w:t>1.★执行标准：《GB 16796-2009安全防范报警设备安全要求和试验方法》；</w:t>
      </w:r>
    </w:p>
    <w:p>
      <w:pPr>
        <w:pStyle w:val="24"/>
        <w:ind w:firstLine="560" w:firstLineChars="200"/>
        <w:rPr>
          <w:rFonts w:ascii="仿宋" w:hAnsi="仿宋" w:eastAsia="仿宋" w:cs="仿宋"/>
          <w:szCs w:val="28"/>
        </w:rPr>
      </w:pPr>
      <w:r>
        <w:rPr>
          <w:rFonts w:hint="eastAsia" w:ascii="仿宋" w:hAnsi="仿宋" w:eastAsia="仿宋" w:cs="仿宋"/>
          <w:szCs w:val="28"/>
        </w:rPr>
        <w:t>2.声波驱散器由主机、适配器、充电器、有线话筒、无线话筒及无线遥控器组成；</w:t>
      </w:r>
    </w:p>
    <w:p>
      <w:pPr>
        <w:pStyle w:val="24"/>
        <w:ind w:firstLine="560" w:firstLineChars="200"/>
        <w:rPr>
          <w:rFonts w:ascii="仿宋" w:hAnsi="仿宋" w:eastAsia="仿宋" w:cs="仿宋"/>
          <w:szCs w:val="28"/>
        </w:rPr>
      </w:pPr>
      <w:r>
        <w:rPr>
          <w:rFonts w:hint="eastAsia" w:ascii="仿宋" w:hAnsi="仿宋" w:eastAsia="仿宋" w:cs="仿宋"/>
          <w:szCs w:val="28"/>
        </w:rPr>
        <w:t>3.★具备录音、播放、喊话、音量调节功能；</w:t>
      </w:r>
    </w:p>
    <w:p>
      <w:pPr>
        <w:pStyle w:val="24"/>
        <w:ind w:firstLine="560" w:firstLineChars="200"/>
        <w:rPr>
          <w:rFonts w:ascii="仿宋" w:hAnsi="仿宋" w:eastAsia="仿宋" w:cs="仿宋"/>
          <w:szCs w:val="28"/>
        </w:rPr>
      </w:pPr>
      <w:r>
        <w:rPr>
          <w:rFonts w:hint="eastAsia" w:ascii="仿宋" w:hAnsi="仿宋" w:eastAsia="仿宋" w:cs="仿宋"/>
          <w:szCs w:val="28"/>
        </w:rPr>
        <w:t>4 .★声级：按下驱散按钮或音量调至最大时，出声口正前方1m处声级不低于128dB；</w:t>
      </w:r>
    </w:p>
    <w:p>
      <w:pPr>
        <w:pStyle w:val="24"/>
        <w:ind w:firstLine="560" w:firstLineChars="200"/>
        <w:rPr>
          <w:rFonts w:ascii="仿宋" w:hAnsi="仿宋" w:eastAsia="仿宋" w:cs="仿宋"/>
          <w:szCs w:val="28"/>
        </w:rPr>
      </w:pPr>
      <w:r>
        <w:rPr>
          <w:rFonts w:hint="eastAsia" w:ascii="仿宋" w:hAnsi="仿宋" w:eastAsia="仿宋" w:cs="仿宋"/>
          <w:szCs w:val="28"/>
        </w:rPr>
        <w:t>5.防尘防水等级:≥IP55；</w:t>
      </w:r>
    </w:p>
    <w:p>
      <w:pPr>
        <w:pStyle w:val="24"/>
        <w:ind w:firstLine="560" w:firstLineChars="200"/>
        <w:rPr>
          <w:rFonts w:ascii="仿宋" w:hAnsi="仿宋" w:eastAsia="仿宋" w:cs="仿宋"/>
          <w:szCs w:val="28"/>
        </w:rPr>
      </w:pPr>
      <w:r>
        <w:rPr>
          <w:rFonts w:hint="eastAsia" w:ascii="仿宋" w:hAnsi="仿宋" w:eastAsia="仿宋" w:cs="仿宋"/>
          <w:szCs w:val="28"/>
        </w:rPr>
        <w:t>6.净重:≤10KG；</w:t>
      </w:r>
    </w:p>
    <w:p>
      <w:pPr>
        <w:pStyle w:val="24"/>
        <w:ind w:firstLine="560" w:firstLineChars="200"/>
        <w:rPr>
          <w:rFonts w:ascii="仿宋" w:hAnsi="仿宋" w:eastAsia="仿宋" w:cs="仿宋"/>
          <w:szCs w:val="28"/>
        </w:rPr>
      </w:pPr>
      <w:r>
        <w:rPr>
          <w:rFonts w:hint="eastAsia" w:ascii="仿宋" w:hAnsi="仿宋" w:eastAsia="仿宋" w:cs="仿宋"/>
          <w:szCs w:val="28"/>
        </w:rPr>
        <w:t>7.提供具有CMA计量认证的检测机构出具的检测报告。并提供检验报告复印件；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8</w:t>
      </w:r>
      <w:r>
        <w:rPr>
          <w:rFonts w:ascii="仿宋" w:hAnsi="仿宋" w:eastAsia="仿宋" w:cs="仿宋"/>
          <w:szCs w:val="28"/>
        </w:rPr>
        <w:t>.</w:t>
      </w:r>
      <w:r>
        <w:rPr>
          <w:rFonts w:hint="eastAsia" w:ascii="仿宋" w:hAnsi="仿宋" w:eastAsia="仿宋" w:cs="仿宋"/>
          <w:szCs w:val="28"/>
        </w:rPr>
        <w:t>打★参数要求在检测报告中体现。</w:t>
      </w:r>
    </w:p>
    <w:p>
      <w:pPr>
        <w:pStyle w:val="602"/>
        <w:ind w:firstLine="480"/>
        <w:rPr>
          <w:rFonts w:ascii="仿宋" w:hAnsi="仿宋" w:eastAsia="仿宋" w:cs="仿宋"/>
          <w:sz w:val="28"/>
          <w:szCs w:val="28"/>
          <w:lang w:val="en-US"/>
        </w:rPr>
      </w:pPr>
    </w:p>
    <w:p>
      <w:pPr>
        <w:pStyle w:val="24"/>
        <w:ind w:left="210"/>
        <w:rPr>
          <w:rFonts w:ascii="仿宋" w:hAnsi="仿宋" w:eastAsia="仿宋" w:cs="仿宋"/>
          <w:szCs w:val="28"/>
        </w:rPr>
      </w:pPr>
      <w:r>
        <w:rPr>
          <w:rFonts w:hint="eastAsia" w:ascii="仿宋" w:hAnsi="仿宋" w:eastAsia="仿宋" w:cs="仿宋"/>
          <w:szCs w:val="28"/>
        </w:rPr>
        <w:t>（五）便携式无人机管控设备</w:t>
      </w:r>
    </w:p>
    <w:p>
      <w:pPr>
        <w:pStyle w:val="24"/>
        <w:ind w:firstLine="560" w:firstLineChars="200"/>
        <w:rPr>
          <w:rFonts w:ascii="仿宋" w:hAnsi="仿宋" w:eastAsia="仿宋" w:cs="仿宋"/>
          <w:szCs w:val="28"/>
        </w:rPr>
      </w:pPr>
      <w:r>
        <w:rPr>
          <w:rFonts w:hint="eastAsia" w:ascii="仿宋" w:hAnsi="仿宋" w:eastAsia="仿宋" w:cs="仿宋"/>
          <w:szCs w:val="28"/>
        </w:rPr>
        <w:t>1、执行标准：《GA/T 1169-2014警用电子封控设备技术规范》；</w:t>
      </w:r>
    </w:p>
    <w:p>
      <w:pPr>
        <w:pStyle w:val="24"/>
        <w:ind w:firstLine="560" w:firstLineChars="200"/>
        <w:rPr>
          <w:rFonts w:ascii="仿宋" w:hAnsi="仿宋" w:eastAsia="仿宋" w:cs="仿宋"/>
          <w:szCs w:val="28"/>
        </w:rPr>
      </w:pPr>
      <w:r>
        <w:rPr>
          <w:rFonts w:hint="eastAsia" w:ascii="仿宋" w:hAnsi="仿宋" w:eastAsia="仿宋" w:cs="仿宋"/>
          <w:szCs w:val="28"/>
        </w:rPr>
        <w:t>2、手持式干扰枪应为一体式结构，集成探测和干扰功能；</w:t>
      </w:r>
    </w:p>
    <w:p>
      <w:pPr>
        <w:pStyle w:val="24"/>
        <w:ind w:firstLine="560" w:firstLineChars="200"/>
        <w:rPr>
          <w:rFonts w:ascii="仿宋" w:hAnsi="仿宋" w:eastAsia="仿宋" w:cs="仿宋"/>
          <w:szCs w:val="28"/>
        </w:rPr>
      </w:pPr>
      <w:r>
        <w:rPr>
          <w:rFonts w:hint="eastAsia" w:ascii="仿宋" w:hAnsi="仿宋" w:eastAsia="仿宋" w:cs="仿宋"/>
          <w:szCs w:val="28"/>
        </w:rPr>
        <w:t>3、尺寸最长边≤500mm；</w:t>
      </w:r>
    </w:p>
    <w:p>
      <w:pPr>
        <w:pStyle w:val="24"/>
        <w:ind w:firstLine="560" w:firstLineChars="200"/>
        <w:rPr>
          <w:rFonts w:ascii="仿宋" w:hAnsi="仿宋" w:eastAsia="仿宋" w:cs="仿宋"/>
          <w:szCs w:val="28"/>
        </w:rPr>
      </w:pPr>
      <w:r>
        <w:rPr>
          <w:rFonts w:hint="eastAsia" w:ascii="仿宋" w:hAnsi="仿宋" w:eastAsia="仿宋" w:cs="仿宋"/>
          <w:szCs w:val="28"/>
        </w:rPr>
        <w:t>4、整机重量（含电池）：≤3.5kg；</w:t>
      </w:r>
    </w:p>
    <w:p>
      <w:pPr>
        <w:pStyle w:val="24"/>
        <w:ind w:firstLine="560" w:firstLineChars="200"/>
        <w:rPr>
          <w:rFonts w:ascii="仿宋" w:hAnsi="仿宋" w:eastAsia="仿宋" w:cs="仿宋"/>
          <w:szCs w:val="28"/>
        </w:rPr>
      </w:pPr>
      <w:r>
        <w:rPr>
          <w:rFonts w:hint="eastAsia" w:ascii="仿宋" w:hAnsi="仿宋" w:eastAsia="仿宋" w:cs="仿宋"/>
          <w:szCs w:val="28"/>
        </w:rPr>
        <w:t>5、★探测频率范围：70MHz~6000MHz；</w:t>
      </w:r>
    </w:p>
    <w:p>
      <w:pPr>
        <w:pStyle w:val="24"/>
        <w:ind w:firstLine="560" w:firstLineChars="200"/>
        <w:rPr>
          <w:rFonts w:ascii="仿宋" w:hAnsi="仿宋" w:eastAsia="仿宋" w:cs="仿宋"/>
          <w:szCs w:val="28"/>
        </w:rPr>
      </w:pPr>
      <w:r>
        <w:rPr>
          <w:rFonts w:hint="eastAsia" w:ascii="仿宋" w:hAnsi="仿宋" w:eastAsia="仿宋" w:cs="仿宋"/>
          <w:szCs w:val="28"/>
        </w:rPr>
        <w:t xml:space="preserve">6、★探测距离：≥2km； </w:t>
      </w:r>
    </w:p>
    <w:p>
      <w:pPr>
        <w:pStyle w:val="24"/>
        <w:ind w:firstLine="560" w:firstLineChars="200"/>
        <w:rPr>
          <w:rFonts w:ascii="仿宋" w:hAnsi="仿宋" w:eastAsia="仿宋" w:cs="仿宋"/>
          <w:szCs w:val="28"/>
        </w:rPr>
      </w:pPr>
      <w:r>
        <w:rPr>
          <w:rFonts w:hint="eastAsia" w:ascii="仿宋" w:hAnsi="仿宋" w:eastAsia="仿宋" w:cs="仿宋"/>
          <w:szCs w:val="28"/>
        </w:rPr>
        <w:t>7、探测发现时间：≤3s，测向误差：＜5°；</w:t>
      </w:r>
    </w:p>
    <w:p>
      <w:pPr>
        <w:pStyle w:val="24"/>
        <w:ind w:firstLine="560" w:firstLineChars="200"/>
        <w:rPr>
          <w:rFonts w:ascii="仿宋" w:hAnsi="仿宋" w:eastAsia="仿宋" w:cs="仿宋"/>
          <w:szCs w:val="28"/>
        </w:rPr>
      </w:pPr>
      <w:r>
        <w:rPr>
          <w:rFonts w:hint="eastAsia" w:ascii="仿宋" w:hAnsi="仿宋" w:eastAsia="仿宋" w:cs="仿宋"/>
          <w:szCs w:val="28"/>
        </w:rPr>
        <w:t>8、★基础干扰频段：至少包括1.5GHz、2.4GHz、5.2GHz、5.8GHz；</w:t>
      </w:r>
    </w:p>
    <w:p>
      <w:pPr>
        <w:pStyle w:val="24"/>
        <w:ind w:firstLine="560" w:firstLineChars="200"/>
        <w:rPr>
          <w:rFonts w:ascii="仿宋" w:hAnsi="仿宋" w:eastAsia="仿宋" w:cs="仿宋"/>
          <w:szCs w:val="28"/>
        </w:rPr>
      </w:pPr>
      <w:r>
        <w:rPr>
          <w:rFonts w:hint="eastAsia" w:ascii="仿宋" w:hAnsi="仿宋" w:eastAsia="仿宋" w:cs="仿宋"/>
          <w:szCs w:val="28"/>
        </w:rPr>
        <w:t>9、★300MHz~2GHz范围内支持自定义干扰发射频段和带宽；</w:t>
      </w:r>
    </w:p>
    <w:p>
      <w:pPr>
        <w:pStyle w:val="24"/>
        <w:ind w:firstLine="560" w:firstLineChars="200"/>
        <w:rPr>
          <w:rFonts w:ascii="仿宋" w:hAnsi="仿宋" w:eastAsia="仿宋" w:cs="仿宋"/>
          <w:szCs w:val="28"/>
        </w:rPr>
      </w:pPr>
      <w:r>
        <w:rPr>
          <w:rFonts w:hint="eastAsia" w:ascii="仿宋" w:hAnsi="仿宋" w:eastAsia="仿宋" w:cs="仿宋"/>
          <w:szCs w:val="28"/>
        </w:rPr>
        <w:t>10、★支持最大同时输出的干扰信道数：＞10个；</w:t>
      </w:r>
    </w:p>
    <w:p>
      <w:pPr>
        <w:pStyle w:val="24"/>
        <w:ind w:firstLine="560" w:firstLineChars="200"/>
        <w:rPr>
          <w:rFonts w:ascii="仿宋" w:hAnsi="仿宋" w:eastAsia="仿宋" w:cs="仿宋"/>
          <w:szCs w:val="28"/>
        </w:rPr>
      </w:pPr>
      <w:r>
        <w:rPr>
          <w:rFonts w:hint="eastAsia" w:ascii="仿宋" w:hAnsi="仿宋" w:eastAsia="仿宋" w:cs="仿宋"/>
          <w:szCs w:val="28"/>
        </w:rPr>
        <w:t>11、干扰距离≥1km（干通比≥20：1）；</w:t>
      </w:r>
    </w:p>
    <w:p>
      <w:pPr>
        <w:pStyle w:val="24"/>
        <w:ind w:firstLine="560" w:firstLineChars="200"/>
        <w:rPr>
          <w:rFonts w:ascii="仿宋" w:hAnsi="仿宋" w:eastAsia="仿宋" w:cs="仿宋"/>
          <w:szCs w:val="28"/>
        </w:rPr>
      </w:pPr>
      <w:r>
        <w:rPr>
          <w:rFonts w:hint="eastAsia" w:ascii="仿宋" w:hAnsi="仿宋" w:eastAsia="仿宋" w:cs="仿宋"/>
          <w:szCs w:val="28"/>
        </w:rPr>
        <w:t>12、响应时间：干扰生效时间：≤3s；</w:t>
      </w:r>
    </w:p>
    <w:p>
      <w:pPr>
        <w:pStyle w:val="24"/>
        <w:ind w:firstLine="560" w:firstLineChars="200"/>
        <w:rPr>
          <w:rFonts w:ascii="仿宋" w:hAnsi="仿宋" w:eastAsia="仿宋" w:cs="仿宋"/>
          <w:szCs w:val="28"/>
        </w:rPr>
      </w:pPr>
      <w:r>
        <w:rPr>
          <w:rFonts w:hint="eastAsia" w:ascii="仿宋" w:hAnsi="仿宋" w:eastAsia="仿宋" w:cs="仿宋"/>
          <w:szCs w:val="28"/>
        </w:rPr>
        <w:t>13、待机时间：≥12小时，持续发射时间：≥2小时；</w:t>
      </w:r>
    </w:p>
    <w:p>
      <w:pPr>
        <w:pStyle w:val="24"/>
        <w:ind w:firstLine="560" w:firstLineChars="200"/>
        <w:rPr>
          <w:rFonts w:ascii="仿宋" w:hAnsi="仿宋" w:eastAsia="仿宋" w:cs="仿宋"/>
          <w:szCs w:val="28"/>
        </w:rPr>
      </w:pPr>
      <w:r>
        <w:rPr>
          <w:rFonts w:hint="eastAsia" w:ascii="仿宋" w:hAnsi="仿宋" w:eastAsia="仿宋" w:cs="仿宋"/>
          <w:szCs w:val="28"/>
        </w:rPr>
        <w:t>14、★按照GB8702-2014中限值和评价方法，距离设备后方≤0.3m处环境电场强度应≤12V/m；</w:t>
      </w:r>
    </w:p>
    <w:p>
      <w:pPr>
        <w:pStyle w:val="24"/>
        <w:ind w:firstLine="560" w:firstLineChars="200"/>
        <w:rPr>
          <w:rFonts w:ascii="仿宋" w:hAnsi="仿宋" w:eastAsia="仿宋" w:cs="仿宋"/>
          <w:szCs w:val="28"/>
        </w:rPr>
      </w:pPr>
      <w:r>
        <w:rPr>
          <w:rFonts w:hint="eastAsia" w:ascii="仿宋" w:hAnsi="仿宋" w:eastAsia="仿宋" w:cs="仿宋"/>
          <w:szCs w:val="28"/>
        </w:rPr>
        <w:t>15、支持连接移动终端，APP可调用摄像头进行视频取证；</w:t>
      </w:r>
    </w:p>
    <w:p>
      <w:pPr>
        <w:pStyle w:val="24"/>
        <w:ind w:firstLine="560" w:firstLineChars="200"/>
        <w:rPr>
          <w:rFonts w:ascii="仿宋" w:hAnsi="仿宋" w:eastAsia="仿宋" w:cs="仿宋"/>
          <w:szCs w:val="28"/>
        </w:rPr>
      </w:pPr>
      <w:r>
        <w:rPr>
          <w:rFonts w:hint="eastAsia" w:ascii="仿宋" w:hAnsi="仿宋" w:eastAsia="仿宋" w:cs="仿宋"/>
          <w:szCs w:val="28"/>
        </w:rPr>
        <w:t>16、支持黑白名单功能；</w:t>
      </w:r>
    </w:p>
    <w:p>
      <w:pPr>
        <w:pStyle w:val="24"/>
        <w:ind w:firstLine="560" w:firstLineChars="200"/>
        <w:rPr>
          <w:rFonts w:ascii="仿宋" w:hAnsi="仿宋" w:eastAsia="仿宋" w:cs="仿宋"/>
          <w:szCs w:val="28"/>
        </w:rPr>
      </w:pPr>
      <w:r>
        <w:rPr>
          <w:rFonts w:hint="eastAsia" w:ascii="仿宋" w:hAnsi="仿宋" w:eastAsia="仿宋" w:cs="仿宋"/>
          <w:szCs w:val="28"/>
        </w:rPr>
        <w:t>17、提供具有CMA计量认证的检测机构出具的检测报告，并提供检验报告复印件。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18、提供样品。</w:t>
      </w:r>
    </w:p>
    <w:p>
      <w:pPr>
        <w:pStyle w:val="24"/>
        <w:rPr>
          <w:rFonts w:ascii="仿宋" w:hAnsi="仿宋" w:eastAsia="仿宋" w:cs="仿宋"/>
          <w:szCs w:val="28"/>
          <w:highlight w:val="yellow"/>
        </w:rPr>
      </w:pPr>
    </w:p>
    <w:p>
      <w:pPr>
        <w:pStyle w:val="24"/>
        <w:ind w:firstLine="560" w:firstLineChars="200"/>
        <w:rPr>
          <w:rFonts w:ascii="仿宋" w:hAnsi="仿宋" w:eastAsia="仿宋" w:cs="仿宋"/>
          <w:szCs w:val="28"/>
        </w:rPr>
      </w:pPr>
      <w:r>
        <w:rPr>
          <w:rFonts w:hint="eastAsia" w:ascii="仿宋" w:hAnsi="仿宋" w:eastAsia="仿宋" w:cs="仿宋"/>
          <w:szCs w:val="28"/>
        </w:rPr>
        <w:t>（六）无人机探测防御系统</w:t>
      </w:r>
    </w:p>
    <w:p>
      <w:pPr>
        <w:pStyle w:val="24"/>
        <w:ind w:firstLine="560" w:firstLineChars="200"/>
        <w:rPr>
          <w:rFonts w:ascii="仿宋" w:hAnsi="仿宋" w:eastAsia="仿宋" w:cs="仿宋"/>
          <w:szCs w:val="28"/>
        </w:rPr>
      </w:pPr>
      <w:r>
        <w:rPr>
          <w:rFonts w:hint="eastAsia" w:ascii="仿宋" w:hAnsi="仿宋" w:eastAsia="仿宋" w:cs="仿宋"/>
          <w:szCs w:val="28"/>
        </w:rPr>
        <w:t>1、执行标准：《GA/T 1169-2014警用电子封控设备技术规范》；《GB 8702-2014电磁环境控制限值》；</w:t>
      </w:r>
    </w:p>
    <w:p>
      <w:pPr>
        <w:pStyle w:val="24"/>
        <w:ind w:firstLine="560" w:firstLineChars="200"/>
        <w:rPr>
          <w:rFonts w:ascii="仿宋" w:hAnsi="仿宋" w:eastAsia="仿宋" w:cs="仿宋"/>
          <w:szCs w:val="28"/>
        </w:rPr>
      </w:pPr>
      <w:r>
        <w:rPr>
          <w:rFonts w:hint="eastAsia" w:ascii="仿宋" w:hAnsi="仿宋" w:eastAsia="仿宋" w:cs="仿宋"/>
          <w:szCs w:val="28"/>
        </w:rPr>
        <w:t>2、探测频谱范围：可实时探测显示70MHz~6000MHz；</w:t>
      </w:r>
    </w:p>
    <w:p>
      <w:pPr>
        <w:pStyle w:val="24"/>
        <w:ind w:firstLine="560" w:firstLineChars="200"/>
        <w:rPr>
          <w:rFonts w:ascii="仿宋" w:hAnsi="仿宋" w:eastAsia="仿宋" w:cs="仿宋"/>
          <w:szCs w:val="28"/>
        </w:rPr>
      </w:pPr>
      <w:r>
        <w:rPr>
          <w:rFonts w:hint="eastAsia" w:ascii="仿宋" w:hAnsi="仿宋" w:eastAsia="仿宋" w:cs="仿宋"/>
          <w:szCs w:val="28"/>
        </w:rPr>
        <w:t>3、发射频率要求：（840~950）±5Mhz,（1480~1620）±5Mhz,（2400MHz~2483）±5Mhz MHz，（5725MHz~5850）±5Mhz</w:t>
      </w:r>
    </w:p>
    <w:p>
      <w:pPr>
        <w:pStyle w:val="24"/>
        <w:ind w:firstLine="560" w:firstLineChars="200"/>
        <w:rPr>
          <w:rFonts w:ascii="仿宋" w:hAnsi="仿宋" w:eastAsia="仿宋" w:cs="仿宋"/>
          <w:szCs w:val="28"/>
        </w:rPr>
      </w:pPr>
      <w:r>
        <w:rPr>
          <w:rFonts w:hint="eastAsia" w:ascii="仿宋" w:hAnsi="仿宋" w:eastAsia="仿宋" w:cs="仿宋"/>
          <w:szCs w:val="28"/>
        </w:rPr>
        <w:t>4、探测距离：≥3000m；</w:t>
      </w:r>
    </w:p>
    <w:p>
      <w:pPr>
        <w:pStyle w:val="24"/>
        <w:ind w:firstLine="560" w:firstLineChars="200"/>
        <w:rPr>
          <w:rFonts w:ascii="仿宋" w:hAnsi="仿宋" w:eastAsia="仿宋" w:cs="仿宋"/>
          <w:szCs w:val="28"/>
        </w:rPr>
      </w:pPr>
      <w:r>
        <w:rPr>
          <w:rFonts w:hint="eastAsia" w:ascii="仿宋" w:hAnsi="仿宋" w:eastAsia="仿宋" w:cs="仿宋"/>
          <w:szCs w:val="28"/>
        </w:rPr>
        <w:t>5、打击距离：≥2000m；</w:t>
      </w:r>
    </w:p>
    <w:p>
      <w:pPr>
        <w:pStyle w:val="24"/>
        <w:ind w:firstLine="560" w:firstLineChars="200"/>
        <w:rPr>
          <w:rFonts w:ascii="仿宋" w:hAnsi="仿宋" w:eastAsia="仿宋" w:cs="仿宋"/>
          <w:szCs w:val="28"/>
        </w:rPr>
      </w:pPr>
      <w:r>
        <w:rPr>
          <w:rFonts w:hint="eastAsia" w:ascii="仿宋" w:hAnsi="仿宋" w:eastAsia="仿宋" w:cs="仿宋"/>
          <w:szCs w:val="28"/>
        </w:rPr>
        <w:t>6、识别时间：≤2s；</w:t>
      </w:r>
    </w:p>
    <w:p>
      <w:pPr>
        <w:pStyle w:val="24"/>
        <w:ind w:firstLine="560" w:firstLineChars="200"/>
        <w:rPr>
          <w:rFonts w:ascii="仿宋" w:hAnsi="仿宋" w:eastAsia="仿宋" w:cs="仿宋"/>
          <w:szCs w:val="28"/>
        </w:rPr>
      </w:pPr>
      <w:r>
        <w:rPr>
          <w:rFonts w:hint="eastAsia" w:ascii="仿宋" w:hAnsi="仿宋" w:eastAsia="仿宋" w:cs="仿宋"/>
          <w:szCs w:val="28"/>
        </w:rPr>
        <w:t>7、无人机探测数量：一次性探测无人机数量≥28架；</w:t>
      </w:r>
    </w:p>
    <w:p>
      <w:pPr>
        <w:pStyle w:val="24"/>
        <w:ind w:firstLine="560" w:firstLineChars="200"/>
        <w:rPr>
          <w:rFonts w:ascii="仿宋" w:hAnsi="仿宋" w:eastAsia="仿宋" w:cs="仿宋"/>
          <w:szCs w:val="28"/>
        </w:rPr>
      </w:pPr>
      <w:r>
        <w:rPr>
          <w:rFonts w:hint="eastAsia" w:ascii="仿宋" w:hAnsi="仿宋" w:eastAsia="仿宋" w:cs="仿宋"/>
          <w:szCs w:val="28"/>
        </w:rPr>
        <w:t>8、★同时拦截无人机数量：≥28架；</w:t>
      </w:r>
    </w:p>
    <w:p>
      <w:pPr>
        <w:pStyle w:val="24"/>
        <w:ind w:firstLine="560" w:firstLineChars="200"/>
        <w:rPr>
          <w:rFonts w:ascii="仿宋" w:hAnsi="仿宋" w:eastAsia="仿宋" w:cs="仿宋"/>
          <w:szCs w:val="28"/>
        </w:rPr>
      </w:pPr>
      <w:r>
        <w:rPr>
          <w:rFonts w:hint="eastAsia" w:ascii="仿宋" w:hAnsi="仿宋" w:eastAsia="仿宋" w:cs="仿宋"/>
          <w:szCs w:val="28"/>
        </w:rPr>
        <w:t>9、精准识别 ：区分特征库内相同品牌、相同型、不同ID的无人机，能识别并区分相同频段的多架无人机；</w:t>
      </w:r>
    </w:p>
    <w:p>
      <w:pPr>
        <w:pStyle w:val="24"/>
        <w:ind w:firstLine="560" w:firstLineChars="200"/>
        <w:rPr>
          <w:rFonts w:ascii="仿宋" w:hAnsi="仿宋" w:eastAsia="仿宋" w:cs="仿宋"/>
          <w:szCs w:val="28"/>
        </w:rPr>
      </w:pPr>
      <w:r>
        <w:rPr>
          <w:rFonts w:hint="eastAsia" w:ascii="仿宋" w:hAnsi="仿宋" w:eastAsia="仿宋" w:cs="仿宋"/>
          <w:szCs w:val="28"/>
        </w:rPr>
        <w:t>10、★黑白名单：系统具有黑白名单功能，拦截黑名单中无人机距离≥2km；</w:t>
      </w:r>
    </w:p>
    <w:p>
      <w:pPr>
        <w:pStyle w:val="24"/>
        <w:ind w:firstLine="560" w:firstLineChars="200"/>
        <w:rPr>
          <w:rFonts w:ascii="仿宋" w:hAnsi="仿宋" w:eastAsia="仿宋" w:cs="仿宋"/>
          <w:szCs w:val="28"/>
        </w:rPr>
      </w:pPr>
      <w:r>
        <w:rPr>
          <w:rFonts w:hint="eastAsia" w:ascii="仿宋" w:hAnsi="仿宋" w:eastAsia="仿宋" w:cs="仿宋"/>
          <w:szCs w:val="28"/>
        </w:rPr>
        <w:t>11、信息显示：能在系统软件界面上显示识别出的无人机品牌、型号、ID号、无人机的方位、距离、经纬度位置信息；</w:t>
      </w:r>
    </w:p>
    <w:p>
      <w:pPr>
        <w:pStyle w:val="24"/>
        <w:ind w:firstLine="560" w:firstLineChars="200"/>
        <w:rPr>
          <w:rFonts w:ascii="仿宋" w:hAnsi="仿宋" w:eastAsia="仿宋" w:cs="仿宋"/>
          <w:szCs w:val="28"/>
        </w:rPr>
      </w:pPr>
      <w:r>
        <w:rPr>
          <w:rFonts w:hint="eastAsia" w:ascii="仿宋" w:hAnsi="仿宋" w:eastAsia="仿宋" w:cs="仿宋"/>
          <w:szCs w:val="28"/>
        </w:rPr>
        <w:t>12、日志记录功能：支持报警信息记录存储、查询及回放。存储的报警记录、访问日志应不低于365天；</w:t>
      </w:r>
    </w:p>
    <w:p>
      <w:pPr>
        <w:pStyle w:val="24"/>
        <w:ind w:firstLine="560" w:firstLineChars="200"/>
        <w:rPr>
          <w:rFonts w:ascii="仿宋" w:hAnsi="仿宋" w:eastAsia="仿宋" w:cs="仿宋"/>
          <w:szCs w:val="28"/>
        </w:rPr>
      </w:pPr>
      <w:r>
        <w:rPr>
          <w:rFonts w:hint="eastAsia" w:ascii="仿宋" w:hAnsi="仿宋" w:eastAsia="仿宋" w:cs="仿宋"/>
          <w:szCs w:val="28"/>
        </w:rPr>
        <w:t>13、★外壳防护等级：≥IP66；</w:t>
      </w:r>
    </w:p>
    <w:p>
      <w:pPr>
        <w:pStyle w:val="24"/>
        <w:ind w:firstLine="560" w:firstLineChars="200"/>
        <w:rPr>
          <w:rFonts w:ascii="仿宋" w:hAnsi="仿宋" w:eastAsia="仿宋" w:cs="仿宋"/>
          <w:szCs w:val="28"/>
        </w:rPr>
      </w:pPr>
      <w:r>
        <w:rPr>
          <w:rFonts w:hint="eastAsia" w:ascii="仿宋" w:hAnsi="仿宋" w:eastAsia="仿宋" w:cs="仿宋"/>
          <w:szCs w:val="28"/>
        </w:rPr>
        <w:t>14、工作温度：-40℃～＋70℃</w:t>
      </w:r>
    </w:p>
    <w:p>
      <w:pPr>
        <w:pStyle w:val="24"/>
        <w:ind w:firstLine="560" w:firstLineChars="200"/>
        <w:rPr>
          <w:rFonts w:ascii="仿宋" w:hAnsi="仿宋" w:eastAsia="仿宋" w:cs="仿宋"/>
          <w:szCs w:val="28"/>
        </w:rPr>
      </w:pPr>
      <w:r>
        <w:rPr>
          <w:rFonts w:hint="eastAsia" w:ascii="仿宋" w:hAnsi="仿宋" w:eastAsia="仿宋" w:cs="仿宋"/>
          <w:szCs w:val="28"/>
        </w:rPr>
        <w:t>15、按照GB8702-2014中限值和评价方法，环境电场强度:≤12v/m</w:t>
      </w:r>
    </w:p>
    <w:p>
      <w:pPr>
        <w:pStyle w:val="24"/>
        <w:ind w:firstLine="560" w:firstLineChars="200"/>
        <w:rPr>
          <w:rFonts w:ascii="仿宋" w:hAnsi="仿宋" w:eastAsia="仿宋" w:cs="仿宋"/>
          <w:szCs w:val="28"/>
        </w:rPr>
      </w:pPr>
      <w:r>
        <w:rPr>
          <w:rFonts w:hint="eastAsia" w:ascii="仿宋" w:hAnsi="仿宋" w:eastAsia="仿宋" w:cs="仿宋"/>
          <w:szCs w:val="28"/>
        </w:rPr>
        <w:t>16、提供具有CMA计量认证的检测机构出具的检测报告，并提供检验报告复印件。</w:t>
      </w:r>
    </w:p>
    <w:p>
      <w:pPr>
        <w:pStyle w:val="24"/>
        <w:rPr>
          <w:rFonts w:ascii="仿宋" w:hAnsi="仿宋" w:eastAsia="仿宋" w:cs="仿宋"/>
          <w:color w:val="000000"/>
          <w:kern w:val="0"/>
          <w:szCs w:val="28"/>
        </w:rPr>
      </w:pPr>
    </w:p>
    <w:p>
      <w:pPr>
        <w:pStyle w:val="24"/>
        <w:rPr>
          <w:rFonts w:ascii="仿宋" w:hAnsi="仿宋" w:eastAsia="仿宋" w:cs="仿宋"/>
          <w:color w:val="000000"/>
          <w:kern w:val="0"/>
          <w:szCs w:val="28"/>
        </w:rPr>
      </w:pPr>
      <w:r>
        <w:rPr>
          <w:rFonts w:hint="eastAsia" w:ascii="仿宋" w:hAnsi="仿宋" w:eastAsia="仿宋" w:cs="仿宋"/>
          <w:color w:val="000000"/>
          <w:kern w:val="0"/>
          <w:szCs w:val="28"/>
        </w:rPr>
        <w:t>（七）警用抓捕器</w:t>
      </w:r>
    </w:p>
    <w:p>
      <w:pPr>
        <w:pStyle w:val="24"/>
        <w:ind w:firstLine="560" w:firstLineChars="200"/>
        <w:rPr>
          <w:rFonts w:ascii="仿宋" w:hAnsi="仿宋" w:eastAsia="仿宋" w:cs="仿宋"/>
          <w:szCs w:val="28"/>
        </w:rPr>
      </w:pPr>
      <w:r>
        <w:rPr>
          <w:rFonts w:hint="eastAsia" w:ascii="仿宋" w:hAnsi="仿宋" w:eastAsia="仿宋" w:cs="仿宋"/>
          <w:szCs w:val="28"/>
        </w:rPr>
        <w:t>1.★执行标准：《GB1145-2014警用约束叉》；</w:t>
      </w:r>
    </w:p>
    <w:p>
      <w:pPr>
        <w:pStyle w:val="24"/>
        <w:ind w:firstLine="560" w:firstLineChars="200"/>
        <w:rPr>
          <w:rFonts w:ascii="仿宋" w:hAnsi="仿宋" w:eastAsia="仿宋" w:cs="仿宋"/>
          <w:szCs w:val="28"/>
        </w:rPr>
      </w:pPr>
      <w:r>
        <w:rPr>
          <w:rFonts w:hint="eastAsia" w:ascii="仿宋" w:hAnsi="仿宋" w:eastAsia="仿宋" w:cs="仿宋"/>
          <w:szCs w:val="28"/>
        </w:rPr>
        <w:t>2.★尺寸：工作长度≥2000mm ；携行长度≤1300mm；叉头闭合缝隙≤20mm；</w:t>
      </w:r>
    </w:p>
    <w:p>
      <w:pPr>
        <w:pStyle w:val="24"/>
        <w:ind w:firstLine="560" w:firstLineChars="200"/>
        <w:rPr>
          <w:rFonts w:ascii="仿宋" w:hAnsi="仿宋" w:eastAsia="仿宋" w:cs="仿宋"/>
          <w:szCs w:val="28"/>
        </w:rPr>
      </w:pPr>
      <w:r>
        <w:rPr>
          <w:rFonts w:hint="eastAsia" w:ascii="仿宋" w:hAnsi="仿宋" w:eastAsia="仿宋" w:cs="仿宋"/>
          <w:szCs w:val="28"/>
        </w:rPr>
        <w:t>3.★快速约束功能：通过触碰方式叉套被约束对象，当叉头触碰约束部位时，叉头能迅速叉套并闭合。通过操作控制部件（若有）叉套约束对象，叉头叉套约束部位并闭合的时间≤5s；</w:t>
      </w:r>
    </w:p>
    <w:p>
      <w:pPr>
        <w:pStyle w:val="24"/>
        <w:ind w:firstLine="560" w:firstLineChars="200"/>
        <w:rPr>
          <w:rFonts w:ascii="仿宋" w:hAnsi="仿宋" w:eastAsia="仿宋" w:cs="仿宋"/>
          <w:szCs w:val="28"/>
        </w:rPr>
      </w:pPr>
      <w:r>
        <w:rPr>
          <w:rFonts w:hint="eastAsia" w:ascii="仿宋" w:hAnsi="仿宋" w:eastAsia="仿宋" w:cs="仿宋"/>
          <w:szCs w:val="28"/>
        </w:rPr>
        <w:t>4.自锁能力：警用约束叉叉头闭合后，叉头自内向外不能自由开启；</w:t>
      </w:r>
    </w:p>
    <w:p>
      <w:pPr>
        <w:pStyle w:val="24"/>
        <w:ind w:firstLine="560" w:firstLineChars="200"/>
        <w:rPr>
          <w:rFonts w:ascii="仿宋" w:hAnsi="仿宋" w:eastAsia="仿宋" w:cs="仿宋"/>
          <w:szCs w:val="28"/>
        </w:rPr>
      </w:pPr>
      <w:r>
        <w:rPr>
          <w:rFonts w:hint="eastAsia" w:ascii="仿宋" w:hAnsi="仿宋" w:eastAsia="仿宋" w:cs="仿宋"/>
          <w:szCs w:val="28"/>
        </w:rPr>
        <w:t>5.★抗破坏能力：在叉头闭合状态下，沿叉杆轴向承受500N的静拉力作用时，叉杆的连接部位、叉杆与叉头的连接部位及叉头部件等不出现裂纹、断裂或拉脱，叉头横向开口尺寸≤20mm；</w:t>
      </w:r>
    </w:p>
    <w:p>
      <w:pPr>
        <w:pStyle w:val="24"/>
        <w:ind w:firstLine="560" w:firstLineChars="200"/>
        <w:rPr>
          <w:rFonts w:ascii="仿宋" w:hAnsi="仿宋" w:eastAsia="仿宋" w:cs="仿宋"/>
          <w:szCs w:val="28"/>
        </w:rPr>
      </w:pPr>
      <w:r>
        <w:rPr>
          <w:rFonts w:hint="eastAsia" w:ascii="仿宋" w:hAnsi="仿宋" w:eastAsia="仿宋" w:cs="仿宋"/>
          <w:szCs w:val="28"/>
        </w:rPr>
        <w:t>6.★叉头横向抗拉能力：在叉头闭合状态下，沿叉杆轴向承受500N的静拉力作用时，叉杆的连接部位、叉杆与叉头的连接部位及叉头部件等不出现裂纹、断裂或拉脱，叉头横向开口尺寸≤20mm；</w:t>
      </w:r>
    </w:p>
    <w:p>
      <w:pPr>
        <w:pStyle w:val="24"/>
        <w:ind w:firstLine="560" w:firstLineChars="200"/>
        <w:rPr>
          <w:rFonts w:ascii="仿宋" w:hAnsi="仿宋" w:eastAsia="仿宋" w:cs="仿宋"/>
          <w:szCs w:val="28"/>
        </w:rPr>
      </w:pPr>
      <w:r>
        <w:rPr>
          <w:rFonts w:hint="eastAsia" w:ascii="仿宋" w:hAnsi="仿宋" w:eastAsia="仿宋" w:cs="仿宋"/>
          <w:szCs w:val="28"/>
        </w:rPr>
        <w:t>7.操作可靠性：警用约束叉经过1000次开启、闭合循环后，能正常使用；</w:t>
      </w:r>
    </w:p>
    <w:p>
      <w:pPr>
        <w:pStyle w:val="24"/>
        <w:ind w:firstLine="560" w:firstLineChars="200"/>
        <w:rPr>
          <w:rFonts w:ascii="仿宋" w:hAnsi="仿宋" w:eastAsia="仿宋" w:cs="仿宋"/>
          <w:szCs w:val="28"/>
        </w:rPr>
      </w:pPr>
      <w:r>
        <w:rPr>
          <w:rFonts w:hint="eastAsia" w:ascii="仿宋" w:hAnsi="仿宋" w:eastAsia="仿宋" w:cs="仿宋"/>
          <w:szCs w:val="28"/>
        </w:rPr>
        <w:t>8.提供产品责任保险金额不少于500万元的保险单；</w:t>
      </w:r>
    </w:p>
    <w:p>
      <w:pPr>
        <w:pStyle w:val="24"/>
        <w:ind w:firstLine="560" w:firstLineChars="200"/>
        <w:rPr>
          <w:rFonts w:ascii="仿宋" w:hAnsi="仿宋" w:eastAsia="仿宋" w:cs="仿宋"/>
          <w:szCs w:val="28"/>
        </w:rPr>
      </w:pPr>
      <w:r>
        <w:rPr>
          <w:rFonts w:hint="eastAsia" w:ascii="仿宋" w:hAnsi="仿宋" w:eastAsia="仿宋" w:cs="仿宋"/>
          <w:szCs w:val="28"/>
        </w:rPr>
        <w:t>9.提供具有CMA计量认证的检测机构出具的检测报告，并提供检验报告复印件；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10.打★参数要求在检测报告中体现。</w:t>
      </w:r>
    </w:p>
    <w:p>
      <w:pPr>
        <w:pStyle w:val="24"/>
        <w:ind w:firstLine="560" w:firstLineChars="200"/>
        <w:rPr>
          <w:rFonts w:ascii="仿宋" w:hAnsi="仿宋" w:eastAsia="仿宋" w:cs="仿宋"/>
          <w:szCs w:val="28"/>
        </w:rPr>
      </w:pPr>
      <w:r>
        <w:rPr>
          <w:rFonts w:hint="eastAsia" w:ascii="仿宋" w:hAnsi="仿宋" w:eastAsia="仿宋" w:cs="仿宋"/>
          <w:szCs w:val="28"/>
        </w:rPr>
        <w:t>11.提供样品</w:t>
      </w:r>
    </w:p>
    <w:p>
      <w:pPr>
        <w:pStyle w:val="24"/>
        <w:rPr>
          <w:rFonts w:ascii="仿宋" w:hAnsi="仿宋" w:eastAsia="仿宋" w:cs="仿宋"/>
          <w:color w:val="000000"/>
          <w:kern w:val="0"/>
          <w:szCs w:val="28"/>
        </w:rPr>
      </w:pPr>
    </w:p>
    <w:p>
      <w:pPr>
        <w:pStyle w:val="24"/>
        <w:rPr>
          <w:rFonts w:ascii="仿宋" w:hAnsi="仿宋" w:eastAsia="仿宋" w:cs="仿宋"/>
          <w:color w:val="000000"/>
          <w:kern w:val="0"/>
          <w:szCs w:val="28"/>
        </w:rPr>
      </w:pPr>
      <w:r>
        <w:rPr>
          <w:rFonts w:hint="eastAsia" w:ascii="仿宋" w:hAnsi="仿宋" w:eastAsia="仿宋" w:cs="仿宋"/>
          <w:color w:val="000000"/>
          <w:kern w:val="0"/>
          <w:szCs w:val="28"/>
        </w:rPr>
        <w:t>（八）微光夜视仪</w:t>
      </w:r>
    </w:p>
    <w:p>
      <w:pPr>
        <w:pStyle w:val="24"/>
        <w:ind w:firstLine="560" w:firstLineChars="200"/>
        <w:rPr>
          <w:rFonts w:ascii="仿宋" w:hAnsi="仿宋" w:eastAsia="仿宋" w:cs="仿宋"/>
          <w:szCs w:val="28"/>
        </w:rPr>
      </w:pPr>
      <w:r>
        <w:rPr>
          <w:rFonts w:hint="eastAsia" w:ascii="仿宋" w:hAnsi="仿宋" w:eastAsia="仿宋" w:cs="仿宋"/>
          <w:szCs w:val="28"/>
        </w:rPr>
        <w:t>1.夜视仪尺寸：≤220mmx125mmx75mm ；重量：≤700g。</w:t>
      </w:r>
    </w:p>
    <w:p>
      <w:pPr>
        <w:pStyle w:val="24"/>
        <w:ind w:firstLine="560" w:firstLineChars="200"/>
        <w:rPr>
          <w:rFonts w:ascii="仿宋" w:hAnsi="仿宋" w:eastAsia="仿宋" w:cs="仿宋"/>
          <w:szCs w:val="28"/>
        </w:rPr>
      </w:pPr>
      <w:r>
        <w:rPr>
          <w:rFonts w:hint="eastAsia" w:ascii="仿宋" w:hAnsi="仿宋" w:eastAsia="仿宋" w:cs="仿宋"/>
          <w:szCs w:val="28"/>
        </w:rPr>
        <w:t>2.★数字变倍：≥5倍；水平视场角≥7°；视度调节范围：±5D。</w:t>
      </w:r>
    </w:p>
    <w:p>
      <w:pPr>
        <w:pStyle w:val="24"/>
        <w:ind w:firstLine="560" w:firstLineChars="200"/>
        <w:rPr>
          <w:rFonts w:ascii="仿宋" w:hAnsi="仿宋" w:eastAsia="仿宋" w:cs="仿宋"/>
          <w:szCs w:val="28"/>
        </w:rPr>
      </w:pPr>
      <w:r>
        <w:rPr>
          <w:rFonts w:hint="eastAsia" w:ascii="仿宋" w:hAnsi="仿宋" w:eastAsia="仿宋" w:cs="仿宋"/>
          <w:szCs w:val="28"/>
        </w:rPr>
        <w:t>3.物镜口径：≥50mm</w:t>
      </w:r>
    </w:p>
    <w:p>
      <w:pPr>
        <w:pStyle w:val="24"/>
        <w:ind w:firstLine="560" w:firstLineChars="200"/>
        <w:rPr>
          <w:rFonts w:ascii="仿宋" w:hAnsi="仿宋" w:eastAsia="仿宋" w:cs="仿宋"/>
          <w:szCs w:val="28"/>
        </w:rPr>
      </w:pPr>
      <w:r>
        <w:rPr>
          <w:rFonts w:hint="eastAsia" w:ascii="仿宋" w:hAnsi="仿宋" w:eastAsia="仿宋" w:cs="仿宋"/>
          <w:szCs w:val="28"/>
        </w:rPr>
        <w:t>4.防水等级：≥IPX4</w:t>
      </w:r>
    </w:p>
    <w:p>
      <w:pPr>
        <w:pStyle w:val="24"/>
        <w:ind w:firstLine="560" w:firstLineChars="200"/>
        <w:rPr>
          <w:rFonts w:ascii="仿宋" w:hAnsi="仿宋" w:eastAsia="仿宋" w:cs="仿宋"/>
          <w:szCs w:val="28"/>
        </w:rPr>
      </w:pPr>
      <w:r>
        <w:rPr>
          <w:rFonts w:hint="eastAsia" w:ascii="仿宋" w:hAnsi="仿宋" w:eastAsia="仿宋" w:cs="仿宋"/>
          <w:szCs w:val="28"/>
        </w:rPr>
        <w:t>5.★夜视距离：可识别≥500米处人体轮廓</w:t>
      </w:r>
    </w:p>
    <w:p>
      <w:pPr>
        <w:pStyle w:val="24"/>
        <w:ind w:firstLine="560" w:firstLineChars="200"/>
        <w:rPr>
          <w:rFonts w:ascii="仿宋" w:hAnsi="仿宋" w:eastAsia="仿宋" w:cs="仿宋"/>
          <w:szCs w:val="28"/>
        </w:rPr>
      </w:pPr>
      <w:r>
        <w:rPr>
          <w:rFonts w:hint="eastAsia" w:ascii="仿宋" w:hAnsi="仿宋" w:eastAsia="仿宋" w:cs="仿宋"/>
          <w:szCs w:val="28"/>
        </w:rPr>
        <w:t>6.★抓拍图片分辨率：≥1920x1080。</w:t>
      </w:r>
    </w:p>
    <w:p>
      <w:pPr>
        <w:pStyle w:val="24"/>
        <w:ind w:firstLine="560" w:firstLineChars="200"/>
        <w:rPr>
          <w:rFonts w:ascii="仿宋" w:hAnsi="仿宋" w:eastAsia="仿宋" w:cs="仿宋"/>
          <w:szCs w:val="28"/>
        </w:rPr>
      </w:pPr>
      <w:r>
        <w:rPr>
          <w:rFonts w:hint="eastAsia" w:ascii="仿宋" w:hAnsi="仿宋" w:eastAsia="仿宋" w:cs="仿宋"/>
          <w:szCs w:val="28"/>
        </w:rPr>
        <w:t>7.TF卡最大支持：128GB</w:t>
      </w:r>
    </w:p>
    <w:p>
      <w:pPr>
        <w:pStyle w:val="24"/>
        <w:ind w:firstLine="560" w:firstLineChars="200"/>
        <w:rPr>
          <w:rFonts w:ascii="仿宋" w:hAnsi="仿宋" w:eastAsia="仿宋" w:cs="仿宋"/>
          <w:szCs w:val="28"/>
        </w:rPr>
      </w:pPr>
      <w:r>
        <w:rPr>
          <w:rFonts w:hint="eastAsia" w:ascii="仿宋" w:hAnsi="仿宋" w:eastAsia="仿宋" w:cs="仿宋"/>
          <w:szCs w:val="28"/>
        </w:rPr>
        <w:t>8.操作时间（无红外，+20℃）：大于等于4小时</w:t>
      </w:r>
    </w:p>
    <w:p>
      <w:pPr>
        <w:pStyle w:val="24"/>
        <w:ind w:firstLine="560" w:firstLineChars="200"/>
        <w:rPr>
          <w:rFonts w:ascii="仿宋" w:hAnsi="仿宋" w:eastAsia="仿宋" w:cs="仿宋"/>
          <w:szCs w:val="28"/>
        </w:rPr>
      </w:pPr>
      <w:r>
        <w:rPr>
          <w:rFonts w:hint="eastAsia" w:ascii="仿宋" w:hAnsi="仿宋" w:eastAsia="仿宋" w:cs="仿宋"/>
          <w:szCs w:val="28"/>
        </w:rPr>
        <w:t>9.工作温度范围：-10℃~50℃；</w:t>
      </w:r>
    </w:p>
    <w:p>
      <w:pPr>
        <w:pStyle w:val="24"/>
        <w:ind w:firstLine="560" w:firstLineChars="200"/>
        <w:rPr>
          <w:rFonts w:ascii="仿宋" w:hAnsi="仿宋" w:eastAsia="仿宋" w:cs="仿宋"/>
          <w:szCs w:val="28"/>
        </w:rPr>
      </w:pPr>
      <w:r>
        <w:rPr>
          <w:rFonts w:hint="eastAsia" w:ascii="仿宋" w:hAnsi="仿宋" w:eastAsia="仿宋" w:cs="仿宋"/>
          <w:szCs w:val="28"/>
        </w:rPr>
        <w:t>10.拍照录像曝光调节：自动</w:t>
      </w:r>
    </w:p>
    <w:p>
      <w:pPr>
        <w:pStyle w:val="24"/>
        <w:ind w:firstLine="560" w:firstLineChars="200"/>
        <w:rPr>
          <w:rFonts w:ascii="仿宋" w:hAnsi="仿宋" w:eastAsia="仿宋" w:cs="仿宋"/>
          <w:szCs w:val="28"/>
        </w:rPr>
      </w:pPr>
      <w:r>
        <w:rPr>
          <w:rFonts w:hint="eastAsia" w:ascii="仿宋" w:hAnsi="仿宋" w:eastAsia="仿宋" w:cs="仿宋"/>
          <w:szCs w:val="28"/>
        </w:rPr>
        <w:t>11.提供相关检测报告，并提供检验报告复印件。</w:t>
      </w:r>
    </w:p>
    <w:p>
      <w:pPr>
        <w:pStyle w:val="24"/>
        <w:ind w:firstLine="560" w:firstLineChars="200"/>
        <w:rPr>
          <w:rFonts w:ascii="仿宋" w:hAnsi="仿宋" w:eastAsia="仿宋" w:cs="仿宋"/>
          <w:szCs w:val="28"/>
        </w:rPr>
      </w:pPr>
      <w:r>
        <w:rPr>
          <w:rFonts w:hint="eastAsia" w:ascii="仿宋" w:hAnsi="仿宋" w:eastAsia="仿宋" w:cs="仿宋"/>
          <w:szCs w:val="28"/>
        </w:rPr>
        <w:t>1</w:t>
      </w:r>
      <w:r>
        <w:rPr>
          <w:rFonts w:ascii="仿宋" w:hAnsi="仿宋" w:eastAsia="仿宋" w:cs="仿宋"/>
          <w:szCs w:val="28"/>
        </w:rPr>
        <w:t>2.</w:t>
      </w:r>
      <w:r>
        <w:rPr>
          <w:rFonts w:hint="eastAsia" w:ascii="仿宋" w:hAnsi="仿宋" w:eastAsia="仿宋" w:cs="仿宋"/>
          <w:szCs w:val="28"/>
        </w:rPr>
        <w:t>打★参数要求在检测报告中体现。</w:t>
      </w:r>
    </w:p>
    <w:p>
      <w:pPr>
        <w:pStyle w:val="24"/>
        <w:ind w:firstLine="560" w:firstLineChars="200"/>
        <w:rPr>
          <w:rFonts w:ascii="仿宋" w:hAnsi="仿宋" w:eastAsia="仿宋" w:cs="仿宋"/>
          <w:szCs w:val="28"/>
        </w:rPr>
      </w:pPr>
    </w:p>
    <w:p>
      <w:pPr>
        <w:pStyle w:val="3"/>
        <w:spacing w:line="240" w:lineRule="auto"/>
        <w:rPr>
          <w:rFonts w:ascii="仿宋" w:hAnsi="仿宋" w:eastAsia="仿宋" w:cs="仿宋"/>
          <w:b w:val="0"/>
          <w:bCs w:val="0"/>
          <w:sz w:val="28"/>
          <w:szCs w:val="28"/>
        </w:rPr>
      </w:pPr>
      <w:r>
        <w:rPr>
          <w:rFonts w:hint="eastAsia" w:ascii="仿宋" w:hAnsi="仿宋" w:eastAsia="仿宋" w:cs="仿宋"/>
          <w:b w:val="0"/>
          <w:bCs w:val="0"/>
          <w:sz w:val="28"/>
          <w:szCs w:val="28"/>
        </w:rPr>
        <w:t>标项五：抢险救援类装备物资</w:t>
      </w:r>
    </w:p>
    <w:tbl>
      <w:tblPr>
        <w:tblStyle w:val="59"/>
        <w:tblW w:w="7892" w:type="dxa"/>
        <w:jc w:val="center"/>
        <w:tblLayout w:type="fixed"/>
        <w:tblCellMar>
          <w:top w:w="15" w:type="dxa"/>
          <w:left w:w="15" w:type="dxa"/>
          <w:bottom w:w="15" w:type="dxa"/>
          <w:right w:w="15" w:type="dxa"/>
        </w:tblCellMar>
      </w:tblPr>
      <w:tblGrid>
        <w:gridCol w:w="1211"/>
        <w:gridCol w:w="3246"/>
        <w:gridCol w:w="1234"/>
        <w:gridCol w:w="1107"/>
        <w:gridCol w:w="1094"/>
      </w:tblGrid>
      <w:tr>
        <w:tblPrEx>
          <w:tblCellMar>
            <w:top w:w="15" w:type="dxa"/>
            <w:left w:w="15" w:type="dxa"/>
            <w:bottom w:w="15" w:type="dxa"/>
            <w:right w:w="15"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序号</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装备名称</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计划采购</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单位</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15" w:type="dxa"/>
            <w:left w:w="15" w:type="dxa"/>
            <w:bottom w:w="15" w:type="dxa"/>
            <w:right w:w="15" w:type="dxa"/>
          </w:tblCellMar>
        </w:tblPrEx>
        <w:trPr>
          <w:trHeight w:val="600"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便携式高空悬停灯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4</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救生手环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50</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核心产品</w:t>
            </w:r>
          </w:p>
        </w:tc>
      </w:tr>
      <w:tr>
        <w:tblPrEx>
          <w:tblCellMar>
            <w:top w:w="15" w:type="dxa"/>
            <w:left w:w="15" w:type="dxa"/>
            <w:bottom w:w="15" w:type="dxa"/>
            <w:right w:w="15" w:type="dxa"/>
          </w:tblCellMar>
        </w:tblPrEx>
        <w:trPr>
          <w:trHeight w:val="600"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强光搜索灯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40</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个</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无人机（带云台、喊话器）</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2</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CellMar>
            <w:top w:w="15" w:type="dxa"/>
            <w:left w:w="15" w:type="dxa"/>
            <w:bottom w:w="15" w:type="dxa"/>
            <w:right w:w="15" w:type="dxa"/>
          </w:tblCellMar>
        </w:tblPrEx>
        <w:trPr>
          <w:trHeight w:val="600"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折叠式桌椅</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rPr>
              <w:t>20</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套</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bl>
    <w:p>
      <w:pPr>
        <w:pStyle w:val="50"/>
        <w:widowControl w:val="0"/>
        <w:numPr>
          <w:ilvl w:val="0"/>
          <w:numId w:val="33"/>
        </w:numPr>
        <w:snapToGrid/>
        <w:spacing w:before="0" w:afterLines="0" w:line="240" w:lineRule="auto"/>
        <w:ind w:left="-60" w:firstLine="480"/>
        <w:jc w:val="both"/>
        <w:rPr>
          <w:rFonts w:ascii="仿宋" w:hAnsi="仿宋" w:eastAsia="仿宋" w:cs="仿宋"/>
          <w:sz w:val="28"/>
          <w:szCs w:val="28"/>
        </w:rPr>
      </w:pPr>
      <w:r>
        <w:rPr>
          <w:rFonts w:hint="eastAsia" w:ascii="仿宋" w:hAnsi="仿宋" w:eastAsia="仿宋" w:cs="仿宋"/>
          <w:sz w:val="28"/>
          <w:szCs w:val="28"/>
        </w:rPr>
        <w:t>便携式高空悬停灯</w:t>
      </w:r>
    </w:p>
    <w:p>
      <w:pPr>
        <w:pStyle w:val="24"/>
        <w:numPr>
          <w:ilvl w:val="0"/>
          <w:numId w:val="34"/>
        </w:numPr>
        <w:ind w:firstLine="560" w:firstLineChars="200"/>
        <w:rPr>
          <w:rFonts w:ascii="仿宋" w:hAnsi="仿宋" w:eastAsia="仿宋" w:cs="仿宋"/>
          <w:szCs w:val="28"/>
        </w:rPr>
      </w:pPr>
      <w:r>
        <w:rPr>
          <w:rFonts w:hint="eastAsia" w:ascii="仿宋" w:hAnsi="仿宋" w:eastAsia="仿宋" w:cs="仿宋"/>
          <w:szCs w:val="28"/>
        </w:rPr>
        <w:t>便携式高空悬停灯主要设备为飞行器，配套安装发电机、图传设备、照明、广播设备等挂载设备，可广泛应用于长时间的高空侦查，抢险救援时的夜间照明等；</w:t>
      </w:r>
    </w:p>
    <w:p>
      <w:pPr>
        <w:pStyle w:val="24"/>
        <w:numPr>
          <w:ilvl w:val="0"/>
          <w:numId w:val="34"/>
        </w:numPr>
        <w:ind w:firstLine="560" w:firstLineChars="200"/>
        <w:rPr>
          <w:rFonts w:ascii="仿宋" w:hAnsi="仿宋" w:eastAsia="仿宋" w:cs="仿宋"/>
          <w:szCs w:val="28"/>
        </w:rPr>
      </w:pPr>
      <w:r>
        <w:rPr>
          <w:rFonts w:hint="eastAsia" w:ascii="仿宋" w:hAnsi="仿宋" w:eastAsia="仿宋" w:cs="仿宋"/>
          <w:szCs w:val="28"/>
        </w:rPr>
        <w:t>飞行器参数：（1）四旋翼无人机：（2）定位支持GPS/北斗双模定位，悬停精度：垂直：≤1m，水平：≤0.5m；（3）★上升速度：≥3 m/s；下降速度：≥2 m/s；水平飞行速度：≥4 m/s；遥控距离：≥200m。（4）工作环境温度：-10℃ 至 55℃；起飞海拔高度：≥4000 M；持续飞行时间≥12小时；电源异常中断时，无人机可正常应急降落；</w:t>
      </w:r>
    </w:p>
    <w:p>
      <w:pPr>
        <w:pStyle w:val="24"/>
        <w:numPr>
          <w:ilvl w:val="0"/>
          <w:numId w:val="34"/>
        </w:numPr>
        <w:ind w:firstLine="560" w:firstLineChars="200"/>
        <w:rPr>
          <w:rFonts w:ascii="仿宋" w:hAnsi="仿宋" w:eastAsia="仿宋" w:cs="仿宋"/>
          <w:szCs w:val="28"/>
        </w:rPr>
      </w:pPr>
      <w:r>
        <w:rPr>
          <w:rFonts w:hint="eastAsia" w:ascii="仿宋" w:hAnsi="仿宋" w:eastAsia="仿宋" w:cs="仿宋"/>
          <w:szCs w:val="28"/>
        </w:rPr>
        <w:t>照明系统参数：灯具功率≥600W；光效≥140Lm/W；光通≥100000lm；最佳照明范围≥4500m²-7000m²。灯组可在地面遥控调节照明角度满足高空侧向照明需要，角度≥0-90度；</w:t>
      </w:r>
    </w:p>
    <w:p>
      <w:pPr>
        <w:pStyle w:val="24"/>
        <w:numPr>
          <w:ilvl w:val="0"/>
          <w:numId w:val="34"/>
        </w:numPr>
        <w:ind w:firstLine="560" w:firstLineChars="200"/>
        <w:rPr>
          <w:rFonts w:ascii="仿宋" w:hAnsi="仿宋" w:eastAsia="仿宋" w:cs="仿宋"/>
          <w:szCs w:val="28"/>
        </w:rPr>
      </w:pPr>
      <w:r>
        <w:rPr>
          <w:rFonts w:hint="eastAsia" w:ascii="仿宋" w:hAnsi="仿宋" w:eastAsia="仿宋" w:cs="仿宋"/>
          <w:szCs w:val="28"/>
        </w:rPr>
        <w:t>图传设备参数：镜头规格：6玻150°广角；视频分辨率：1920*1080、1280*720 可设置；</w:t>
      </w:r>
    </w:p>
    <w:p>
      <w:pPr>
        <w:pStyle w:val="24"/>
        <w:ind w:firstLine="560" w:firstLineChars="200"/>
        <w:rPr>
          <w:rFonts w:ascii="仿宋" w:hAnsi="仿宋" w:eastAsia="仿宋" w:cs="仿宋"/>
          <w:szCs w:val="28"/>
        </w:rPr>
      </w:pPr>
      <w:r>
        <w:rPr>
          <w:rFonts w:hint="eastAsia" w:ascii="仿宋" w:hAnsi="仿宋" w:eastAsia="仿宋" w:cs="仿宋"/>
          <w:szCs w:val="28"/>
        </w:rPr>
        <w:t>5.传输方式：4G或者WIFI，支持远程实时图传、回放视频；</w:t>
      </w:r>
    </w:p>
    <w:p>
      <w:pPr>
        <w:pStyle w:val="24"/>
        <w:ind w:firstLine="560" w:firstLineChars="200"/>
        <w:rPr>
          <w:rFonts w:ascii="仿宋" w:hAnsi="仿宋" w:eastAsia="仿宋" w:cs="仿宋"/>
          <w:szCs w:val="28"/>
        </w:rPr>
      </w:pPr>
      <w:r>
        <w:rPr>
          <w:rFonts w:hint="eastAsia" w:ascii="仿宋" w:hAnsi="仿宋" w:eastAsia="仿宋" w:cs="仿宋"/>
          <w:szCs w:val="28"/>
        </w:rPr>
        <w:t>6.云台：三轴自稳云台；具有机械防抖/电子防抖功能；</w:t>
      </w:r>
    </w:p>
    <w:p>
      <w:pPr>
        <w:pStyle w:val="24"/>
        <w:ind w:firstLine="560" w:firstLineChars="200"/>
        <w:rPr>
          <w:rFonts w:ascii="仿宋" w:hAnsi="仿宋" w:eastAsia="仿宋" w:cs="仿宋"/>
          <w:szCs w:val="28"/>
        </w:rPr>
      </w:pPr>
      <w:r>
        <w:rPr>
          <w:rFonts w:hint="eastAsia" w:ascii="仿宋" w:hAnsi="仿宋" w:eastAsia="仿宋" w:cs="仿宋"/>
          <w:szCs w:val="28"/>
        </w:rPr>
        <w:t>7.广播系统参数：声音覆盖范围 : 500m；声音分贝 : 约100dB；支持录播喊话，24小时播放；</w:t>
      </w:r>
    </w:p>
    <w:p>
      <w:pPr>
        <w:pStyle w:val="24"/>
        <w:ind w:firstLine="560" w:firstLineChars="200"/>
        <w:rPr>
          <w:rFonts w:ascii="仿宋" w:hAnsi="仿宋" w:eastAsia="仿宋" w:cs="仿宋"/>
          <w:szCs w:val="28"/>
        </w:rPr>
      </w:pPr>
      <w:r>
        <w:rPr>
          <w:rFonts w:hint="eastAsia" w:ascii="仿宋" w:hAnsi="仿宋" w:eastAsia="仿宋" w:cs="仿宋"/>
          <w:szCs w:val="28"/>
        </w:rPr>
        <w:t>8.系留平台参数：供电线缆≥50米航空复合线缆，具备自动收放线功能；</w:t>
      </w:r>
    </w:p>
    <w:p>
      <w:pPr>
        <w:pStyle w:val="24"/>
        <w:ind w:firstLine="560" w:firstLineChars="200"/>
        <w:rPr>
          <w:rFonts w:ascii="仿宋" w:hAnsi="仿宋" w:eastAsia="仿宋" w:cs="仿宋"/>
          <w:szCs w:val="28"/>
        </w:rPr>
      </w:pPr>
      <w:r>
        <w:rPr>
          <w:rFonts w:hint="eastAsia" w:ascii="仿宋" w:hAnsi="仿宋" w:eastAsia="仿宋" w:cs="仿宋"/>
          <w:szCs w:val="28"/>
        </w:rPr>
        <w:t>供电方式为发电机、外置电池、市电等多种方式；</w:t>
      </w:r>
    </w:p>
    <w:p>
      <w:pPr>
        <w:pStyle w:val="24"/>
        <w:ind w:firstLine="560" w:firstLineChars="200"/>
        <w:rPr>
          <w:rFonts w:ascii="仿宋" w:hAnsi="仿宋" w:eastAsia="仿宋" w:cs="仿宋"/>
          <w:szCs w:val="28"/>
        </w:rPr>
      </w:pPr>
      <w:r>
        <w:rPr>
          <w:rFonts w:hint="eastAsia" w:ascii="仿宋" w:hAnsi="仿宋" w:eastAsia="仿宋" w:cs="仿宋"/>
          <w:szCs w:val="28"/>
        </w:rPr>
        <w:t>9.发电机参数：额定功率≥1.8kw/3000rpm；额定输出≥1.8kva，最大输出 2kva；</w:t>
      </w:r>
    </w:p>
    <w:p>
      <w:pPr>
        <w:pStyle w:val="24"/>
        <w:ind w:firstLine="560" w:firstLineChars="200"/>
        <w:rPr>
          <w:rFonts w:ascii="仿宋" w:hAnsi="仿宋" w:eastAsia="仿宋" w:cs="仿宋"/>
          <w:szCs w:val="28"/>
        </w:rPr>
      </w:pPr>
      <w:r>
        <w:rPr>
          <w:rFonts w:hint="eastAsia" w:ascii="仿宋" w:hAnsi="仿宋" w:eastAsia="仿宋" w:cs="仿宋"/>
          <w:szCs w:val="28"/>
        </w:rPr>
        <w:t>10.提供具有CMA计量认证的检测机构出具的检测报告复印件；</w:t>
      </w:r>
    </w:p>
    <w:p>
      <w:pPr>
        <w:pStyle w:val="24"/>
        <w:ind w:firstLine="560" w:firstLineChars="200"/>
        <w:rPr>
          <w:rFonts w:ascii="仿宋" w:hAnsi="仿宋" w:eastAsia="仿宋" w:cs="仿宋"/>
          <w:szCs w:val="28"/>
        </w:rPr>
      </w:pPr>
      <w:r>
        <w:rPr>
          <w:rFonts w:hint="eastAsia" w:ascii="仿宋" w:hAnsi="仿宋" w:eastAsia="仿宋" w:cs="仿宋"/>
          <w:szCs w:val="28"/>
        </w:rPr>
        <w:t>11.提供样品。</w:t>
      </w:r>
    </w:p>
    <w:p>
      <w:pPr>
        <w:pStyle w:val="24"/>
        <w:rPr>
          <w:rFonts w:ascii="仿宋" w:hAnsi="仿宋" w:eastAsia="仿宋" w:cs="仿宋"/>
          <w:szCs w:val="28"/>
        </w:rPr>
      </w:pPr>
    </w:p>
    <w:p>
      <w:pPr>
        <w:pStyle w:val="24"/>
        <w:ind w:firstLine="560" w:firstLineChars="200"/>
        <w:rPr>
          <w:rFonts w:ascii="仿宋" w:hAnsi="仿宋" w:eastAsia="仿宋" w:cs="仿宋"/>
          <w:szCs w:val="28"/>
        </w:rPr>
      </w:pPr>
      <w:r>
        <w:rPr>
          <w:rFonts w:hint="eastAsia" w:ascii="仿宋" w:hAnsi="仿宋" w:eastAsia="仿宋" w:cs="仿宋"/>
          <w:szCs w:val="28"/>
        </w:rPr>
        <w:t>（二）救生手环</w:t>
      </w:r>
    </w:p>
    <w:p>
      <w:pPr>
        <w:pStyle w:val="24"/>
        <w:ind w:firstLine="560" w:firstLineChars="200"/>
        <w:rPr>
          <w:rFonts w:ascii="仿宋" w:hAnsi="仿宋" w:eastAsia="仿宋" w:cs="仿宋"/>
          <w:szCs w:val="28"/>
        </w:rPr>
      </w:pPr>
      <w:r>
        <w:rPr>
          <w:rFonts w:hint="eastAsia" w:ascii="仿宋" w:hAnsi="仿宋" w:eastAsia="仿宋" w:cs="仿宋"/>
          <w:szCs w:val="28"/>
        </w:rPr>
        <w:t>1.未使用时，充气手环收纳手腕小盒子中。遇水后，拉动银色手柄后，气囊就会自动充气；</w:t>
      </w:r>
    </w:p>
    <w:p>
      <w:pPr>
        <w:pStyle w:val="24"/>
        <w:ind w:firstLine="560" w:firstLineChars="200"/>
        <w:rPr>
          <w:rFonts w:ascii="仿宋" w:hAnsi="仿宋" w:eastAsia="仿宋" w:cs="仿宋"/>
          <w:szCs w:val="28"/>
        </w:rPr>
      </w:pPr>
      <w:r>
        <w:rPr>
          <w:rFonts w:hint="eastAsia" w:ascii="仿宋" w:hAnsi="仿宋" w:eastAsia="仿宋" w:cs="仿宋"/>
          <w:szCs w:val="28"/>
        </w:rPr>
        <w:t>2.气囊1秒充气，在水中可支撑120Kg，使用后，气囊泄气后可折叠回收重复使用，重量小于170g；</w:t>
      </w:r>
    </w:p>
    <w:p>
      <w:pPr>
        <w:pStyle w:val="24"/>
        <w:ind w:firstLine="560" w:firstLineChars="200"/>
        <w:rPr>
          <w:rFonts w:ascii="仿宋" w:hAnsi="仿宋" w:eastAsia="仿宋" w:cs="仿宋"/>
          <w:szCs w:val="28"/>
        </w:rPr>
      </w:pPr>
      <w:r>
        <w:rPr>
          <w:rFonts w:hint="eastAsia" w:ascii="仿宋" w:hAnsi="仿宋" w:eastAsia="仿宋" w:cs="仿宋"/>
          <w:szCs w:val="28"/>
        </w:rPr>
        <w:t>3.配备CO2 气罐，搬动阀门，高压气罐可在瞬间释放大量气体充满气囊，使气囊膨胀、从气囊仓弹出并产生浮力；</w:t>
      </w:r>
    </w:p>
    <w:p>
      <w:pPr>
        <w:pStyle w:val="24"/>
        <w:ind w:firstLine="560" w:firstLineChars="200"/>
        <w:rPr>
          <w:rFonts w:ascii="仿宋" w:hAnsi="仿宋" w:eastAsia="仿宋" w:cs="仿宋"/>
          <w:szCs w:val="28"/>
        </w:rPr>
      </w:pPr>
      <w:r>
        <w:rPr>
          <w:rFonts w:hint="eastAsia" w:ascii="仿宋" w:hAnsi="仿宋" w:eastAsia="仿宋" w:cs="仿宋"/>
          <w:szCs w:val="28"/>
        </w:rPr>
        <w:t>4.配备指南针（辨认方位）、救生哨（发出高分贝声响）；</w:t>
      </w:r>
    </w:p>
    <w:p>
      <w:pPr>
        <w:pStyle w:val="24"/>
        <w:ind w:firstLine="560" w:firstLineChars="200"/>
        <w:rPr>
          <w:rFonts w:ascii="仿宋" w:hAnsi="仿宋" w:eastAsia="仿宋" w:cs="仿宋"/>
          <w:szCs w:val="28"/>
        </w:rPr>
      </w:pPr>
      <w:r>
        <w:rPr>
          <w:rFonts w:hint="eastAsia" w:ascii="仿宋" w:hAnsi="仿宋" w:eastAsia="仿宋" w:cs="仿宋"/>
          <w:szCs w:val="28"/>
        </w:rPr>
        <w:t>5.整套包含一个手环一个气瓶，另外每套加配2个原厂气瓶；</w:t>
      </w:r>
    </w:p>
    <w:p>
      <w:pPr>
        <w:pStyle w:val="24"/>
        <w:ind w:firstLine="560" w:firstLineChars="200"/>
        <w:rPr>
          <w:rFonts w:ascii="仿宋" w:hAnsi="仿宋" w:eastAsia="仿宋" w:cs="仿宋"/>
          <w:szCs w:val="28"/>
        </w:rPr>
      </w:pPr>
      <w:r>
        <w:rPr>
          <w:rFonts w:hint="eastAsia" w:ascii="仿宋" w:hAnsi="仿宋" w:eastAsia="仿宋" w:cs="仿宋"/>
          <w:szCs w:val="28"/>
        </w:rPr>
        <w:t>6.没有充气的规格：≤12*7*3cm； 充气后的包装大小：≤16*105*7cm； 一个手环+2个充气瓶：重量：≤2300g;一个气瓶重量≤40g;气体量：≥5.5/co2; 浮力：≥120公斤；二氧化碳气瓶类别：UN1013；</w:t>
      </w:r>
    </w:p>
    <w:p>
      <w:pPr>
        <w:pStyle w:val="24"/>
        <w:ind w:firstLine="560" w:firstLineChars="200"/>
        <w:rPr>
          <w:rFonts w:ascii="仿宋" w:hAnsi="仿宋" w:eastAsia="仿宋" w:cs="仿宋"/>
          <w:szCs w:val="28"/>
        </w:rPr>
      </w:pPr>
      <w:r>
        <w:rPr>
          <w:rFonts w:hint="eastAsia" w:ascii="仿宋" w:hAnsi="仿宋" w:eastAsia="仿宋" w:cs="仿宋"/>
          <w:szCs w:val="28"/>
        </w:rPr>
        <w:t>7.提供样品</w:t>
      </w:r>
    </w:p>
    <w:p>
      <w:pPr>
        <w:pStyle w:val="602"/>
        <w:rPr>
          <w:rFonts w:ascii="仿宋" w:hAnsi="仿宋" w:eastAsia="仿宋" w:cs="仿宋"/>
          <w:sz w:val="28"/>
          <w:szCs w:val="28"/>
        </w:rPr>
      </w:pPr>
    </w:p>
    <w:p>
      <w:pPr>
        <w:pStyle w:val="24"/>
        <w:ind w:firstLine="560" w:firstLineChars="200"/>
        <w:rPr>
          <w:rFonts w:ascii="仿宋" w:hAnsi="仿宋" w:eastAsia="仿宋" w:cs="仿宋"/>
          <w:szCs w:val="28"/>
        </w:rPr>
      </w:pPr>
      <w:r>
        <w:rPr>
          <w:rFonts w:hint="eastAsia" w:ascii="仿宋" w:hAnsi="仿宋" w:eastAsia="仿宋" w:cs="仿宋"/>
          <w:szCs w:val="28"/>
        </w:rPr>
        <w:t>（三）强光搜索灯</w:t>
      </w:r>
    </w:p>
    <w:p>
      <w:pPr>
        <w:pStyle w:val="24"/>
        <w:ind w:firstLine="560" w:firstLineChars="200"/>
        <w:rPr>
          <w:rFonts w:ascii="仿宋" w:hAnsi="仿宋" w:eastAsia="仿宋" w:cs="仿宋"/>
          <w:szCs w:val="28"/>
        </w:rPr>
      </w:pPr>
      <w:r>
        <w:rPr>
          <w:rFonts w:hint="eastAsia" w:ascii="仿宋" w:hAnsi="仿宋" w:eastAsia="仿宋" w:cs="仿宋"/>
          <w:szCs w:val="28"/>
        </w:rPr>
        <w:t>1.设备外壳采用铝合金材质，设备主机≤1.8kg；</w:t>
      </w:r>
    </w:p>
    <w:p>
      <w:pPr>
        <w:pStyle w:val="24"/>
        <w:ind w:firstLine="560" w:firstLineChars="200"/>
        <w:rPr>
          <w:rFonts w:ascii="仿宋" w:hAnsi="仿宋" w:eastAsia="仿宋" w:cs="仿宋"/>
          <w:szCs w:val="28"/>
        </w:rPr>
      </w:pPr>
      <w:r>
        <w:rPr>
          <w:rFonts w:hint="eastAsia" w:ascii="仿宋" w:hAnsi="仿宋" w:eastAsia="仿宋" w:cs="仿宋"/>
          <w:szCs w:val="28"/>
        </w:rPr>
        <w:t>2.产品尺寸：设备尺寸（长*宽*高）≦235mm*100mm*140mm；具有5档出光模式；</w:t>
      </w:r>
    </w:p>
    <w:p>
      <w:pPr>
        <w:pStyle w:val="24"/>
        <w:ind w:firstLine="560" w:firstLineChars="200"/>
        <w:rPr>
          <w:rFonts w:ascii="仿宋" w:hAnsi="仿宋" w:eastAsia="仿宋" w:cs="仿宋"/>
          <w:szCs w:val="28"/>
        </w:rPr>
      </w:pPr>
      <w:r>
        <w:rPr>
          <w:rFonts w:hint="eastAsia" w:ascii="仿宋" w:hAnsi="仿宋" w:eastAsia="仿宋" w:cs="仿宋"/>
          <w:szCs w:val="28"/>
        </w:rPr>
        <w:t>3.设备置于强出光模式时的光通量≥3100lm；</w:t>
      </w:r>
    </w:p>
    <w:p>
      <w:pPr>
        <w:pStyle w:val="24"/>
        <w:ind w:firstLine="560" w:firstLineChars="200"/>
        <w:rPr>
          <w:rFonts w:ascii="仿宋" w:hAnsi="仿宋" w:eastAsia="仿宋" w:cs="仿宋"/>
          <w:szCs w:val="28"/>
        </w:rPr>
      </w:pPr>
      <w:r>
        <w:rPr>
          <w:rFonts w:hint="eastAsia" w:ascii="仿宋" w:hAnsi="仿宋" w:eastAsia="仿宋" w:cs="仿宋"/>
          <w:szCs w:val="28"/>
        </w:rPr>
        <w:t>4.★光照度：设备置于强光出光模式时，距灯头10m处中心光斑照度≥2900lx；置于弱光出光模式时，距灯头5m处中心光斑照度≥1300lx；</w:t>
      </w:r>
    </w:p>
    <w:p>
      <w:pPr>
        <w:pStyle w:val="24"/>
        <w:ind w:firstLine="560" w:firstLineChars="200"/>
        <w:rPr>
          <w:rFonts w:ascii="仿宋" w:hAnsi="仿宋" w:eastAsia="仿宋" w:cs="仿宋"/>
          <w:szCs w:val="28"/>
        </w:rPr>
      </w:pPr>
      <w:r>
        <w:rPr>
          <w:rFonts w:hint="eastAsia" w:ascii="仿宋" w:hAnsi="仿宋" w:eastAsia="仿宋" w:cs="仿宋"/>
          <w:szCs w:val="28"/>
        </w:rPr>
        <w:t>5.当设备置于强出光模式时的消耗功率≥50W；</w:t>
      </w:r>
    </w:p>
    <w:p>
      <w:pPr>
        <w:pStyle w:val="24"/>
        <w:ind w:firstLine="560" w:firstLineChars="200"/>
        <w:rPr>
          <w:rFonts w:ascii="仿宋" w:hAnsi="仿宋" w:eastAsia="仿宋" w:cs="仿宋"/>
          <w:szCs w:val="28"/>
        </w:rPr>
      </w:pPr>
      <w:r>
        <w:rPr>
          <w:rFonts w:hint="eastAsia" w:ascii="仿宋" w:hAnsi="仿宋" w:eastAsia="仿宋" w:cs="仿宋"/>
          <w:szCs w:val="28"/>
        </w:rPr>
        <w:t>6.照明时间：在电池充满电的情况下 ，设备至于强出光模式的照明时间≥2.5h；在电池充满电的情况下，设备置于弱出光模式的照明时间≥7h；</w:t>
      </w:r>
    </w:p>
    <w:p>
      <w:pPr>
        <w:pStyle w:val="24"/>
        <w:ind w:firstLine="560" w:firstLineChars="200"/>
        <w:rPr>
          <w:rFonts w:ascii="仿宋" w:hAnsi="仿宋" w:eastAsia="仿宋" w:cs="仿宋"/>
          <w:szCs w:val="28"/>
        </w:rPr>
      </w:pPr>
      <w:r>
        <w:rPr>
          <w:rFonts w:hint="eastAsia" w:ascii="仿宋" w:hAnsi="仿宋" w:eastAsia="仿宋" w:cs="仿宋"/>
          <w:szCs w:val="28"/>
        </w:rPr>
        <w:t>7.★设备采用恒流技术，光亮不会随着续航时间增加而出现明显衰减，强光模式下持续照明2.5h后距灯头5m处中心光斑照度≥12000lx；</w:t>
      </w:r>
    </w:p>
    <w:p>
      <w:pPr>
        <w:pStyle w:val="24"/>
        <w:ind w:firstLine="560" w:firstLineChars="200"/>
        <w:rPr>
          <w:rFonts w:ascii="仿宋" w:hAnsi="仿宋" w:eastAsia="仿宋" w:cs="仿宋"/>
          <w:szCs w:val="28"/>
        </w:rPr>
      </w:pPr>
      <w:r>
        <w:rPr>
          <w:rFonts w:hint="eastAsia" w:ascii="仿宋" w:hAnsi="仿宋" w:eastAsia="仿宋" w:cs="仿宋"/>
          <w:szCs w:val="28"/>
        </w:rPr>
        <w:t xml:space="preserve">8.★能在水下1米使用， 满足GB/T4208-2017中 IP65/IPX7的等级； </w:t>
      </w:r>
    </w:p>
    <w:p>
      <w:pPr>
        <w:pStyle w:val="24"/>
        <w:ind w:firstLine="560" w:firstLineChars="200"/>
        <w:rPr>
          <w:rFonts w:ascii="仿宋" w:hAnsi="仿宋" w:eastAsia="仿宋" w:cs="仿宋"/>
          <w:szCs w:val="28"/>
        </w:rPr>
      </w:pPr>
      <w:r>
        <w:rPr>
          <w:rFonts w:hint="eastAsia" w:ascii="仿宋" w:hAnsi="仿宋" w:eastAsia="仿宋" w:cs="仿宋"/>
          <w:szCs w:val="28"/>
        </w:rPr>
        <w:t>9.提供具有CMA计量认证的检测机构出具的检测报告复印件；</w:t>
      </w:r>
    </w:p>
    <w:p>
      <w:pPr>
        <w:pStyle w:val="24"/>
        <w:ind w:firstLine="560" w:firstLineChars="200"/>
        <w:rPr>
          <w:rFonts w:ascii="仿宋" w:hAnsi="仿宋" w:eastAsia="仿宋" w:cs="仿宋"/>
          <w:szCs w:val="28"/>
        </w:rPr>
      </w:pPr>
      <w:r>
        <w:rPr>
          <w:rFonts w:hint="eastAsia" w:ascii="仿宋" w:hAnsi="仿宋" w:eastAsia="仿宋" w:cs="仿宋"/>
          <w:szCs w:val="28"/>
        </w:rPr>
        <w:t>10.提供样品；</w:t>
      </w:r>
    </w:p>
    <w:p>
      <w:pPr>
        <w:pStyle w:val="24"/>
        <w:ind w:firstLine="560" w:firstLineChars="200"/>
        <w:rPr>
          <w:rFonts w:ascii="仿宋" w:hAnsi="仿宋" w:eastAsia="仿宋" w:cs="仿宋"/>
          <w:szCs w:val="28"/>
        </w:rPr>
      </w:pPr>
      <w:r>
        <w:rPr>
          <w:rFonts w:hint="eastAsia" w:ascii="仿宋" w:hAnsi="仿宋" w:eastAsia="仿宋" w:cs="仿宋"/>
          <w:szCs w:val="28"/>
        </w:rPr>
        <w:t>11.打★参数要求在检测报告中体现。</w:t>
      </w:r>
    </w:p>
    <w:p>
      <w:pPr>
        <w:pStyle w:val="24"/>
        <w:rPr>
          <w:rFonts w:ascii="仿宋" w:hAnsi="仿宋" w:eastAsia="仿宋" w:cs="仿宋"/>
          <w:color w:val="000000"/>
          <w:kern w:val="0"/>
          <w:szCs w:val="28"/>
        </w:rPr>
      </w:pPr>
    </w:p>
    <w:p>
      <w:pPr>
        <w:ind w:firstLine="482"/>
        <w:rPr>
          <w:rFonts w:ascii="仿宋" w:hAnsi="仿宋" w:eastAsia="仿宋" w:cs="仿宋"/>
          <w:sz w:val="28"/>
          <w:szCs w:val="28"/>
        </w:rPr>
      </w:pPr>
      <w:r>
        <w:rPr>
          <w:rFonts w:hint="eastAsia" w:ascii="仿宋" w:hAnsi="仿宋" w:eastAsia="仿宋" w:cs="仿宋"/>
          <w:bCs/>
          <w:sz w:val="28"/>
          <w:szCs w:val="28"/>
        </w:rPr>
        <w:t>（四）无人机（带云台、喊话器）</w:t>
      </w:r>
    </w:p>
    <w:p>
      <w:pPr>
        <w:pStyle w:val="24"/>
        <w:ind w:firstLine="560" w:firstLineChars="200"/>
        <w:rPr>
          <w:rFonts w:ascii="仿宋" w:hAnsi="仿宋" w:eastAsia="仿宋" w:cs="仿宋"/>
          <w:szCs w:val="28"/>
        </w:rPr>
      </w:pPr>
      <w:r>
        <w:rPr>
          <w:rFonts w:hint="eastAsia" w:ascii="仿宋" w:hAnsi="仿宋" w:eastAsia="仿宋" w:cs="仿宋"/>
          <w:szCs w:val="28"/>
        </w:rPr>
        <w:t>1.多旋翼无人机机长： ≥800mm（长）x630mm（宽）（展开，不含桨叶）；≥430mm（长）x420mm（宽）；</w:t>
      </w:r>
    </w:p>
    <w:p>
      <w:pPr>
        <w:pStyle w:val="24"/>
        <w:ind w:firstLine="560" w:firstLineChars="200"/>
        <w:rPr>
          <w:rFonts w:ascii="仿宋" w:hAnsi="仿宋" w:eastAsia="仿宋" w:cs="仿宋"/>
          <w:szCs w:val="28"/>
        </w:rPr>
      </w:pPr>
      <w:r>
        <w:rPr>
          <w:rFonts w:hint="eastAsia" w:ascii="仿宋" w:hAnsi="仿宋" w:eastAsia="仿宋" w:cs="仿宋"/>
          <w:szCs w:val="28"/>
        </w:rPr>
        <w:t>2.无人机重量：≤3.60kg（空机，含下置云台架）；≤6.5kg（含双电池、下置云台架）。最大负载重量≥2.7kg；</w:t>
      </w:r>
    </w:p>
    <w:p>
      <w:pPr>
        <w:pStyle w:val="24"/>
        <w:ind w:firstLine="560" w:firstLineChars="200"/>
        <w:rPr>
          <w:rFonts w:ascii="仿宋" w:hAnsi="仿宋" w:eastAsia="仿宋" w:cs="仿宋"/>
          <w:szCs w:val="28"/>
        </w:rPr>
      </w:pPr>
      <w:r>
        <w:rPr>
          <w:rFonts w:hint="eastAsia" w:ascii="仿宋" w:hAnsi="仿宋" w:eastAsia="仿宋" w:cs="仿宋"/>
          <w:szCs w:val="28"/>
        </w:rPr>
        <w:t>3.最大遥控距离：≥7公里；主从机：支持多机互联；</w:t>
      </w:r>
    </w:p>
    <w:p>
      <w:pPr>
        <w:pStyle w:val="24"/>
        <w:ind w:firstLine="560" w:firstLineChars="200"/>
        <w:rPr>
          <w:rFonts w:ascii="仿宋" w:hAnsi="仿宋" w:eastAsia="仿宋" w:cs="仿宋"/>
          <w:szCs w:val="28"/>
        </w:rPr>
      </w:pPr>
      <w:r>
        <w:rPr>
          <w:rFonts w:hint="eastAsia" w:ascii="仿宋" w:hAnsi="仿宋" w:eastAsia="仿宋" w:cs="仿宋"/>
          <w:szCs w:val="28"/>
        </w:rPr>
        <w:t>4.最大上升速度：≥6 m/s；最大水平飞行速度：≥90 km/h；最大飞行海拔高度：≥5000 m；最大可承受风速：≥5级风；最大飞行时间：≥28 min；</w:t>
      </w:r>
    </w:p>
    <w:p>
      <w:pPr>
        <w:pStyle w:val="24"/>
        <w:ind w:firstLine="560" w:firstLineChars="200"/>
        <w:rPr>
          <w:rFonts w:ascii="仿宋" w:hAnsi="仿宋" w:eastAsia="仿宋" w:cs="仿宋"/>
          <w:szCs w:val="28"/>
        </w:rPr>
      </w:pPr>
      <w:r>
        <w:rPr>
          <w:rFonts w:hint="eastAsia" w:ascii="仿宋" w:hAnsi="仿宋" w:eastAsia="仿宋" w:cs="仿宋"/>
          <w:szCs w:val="28"/>
        </w:rPr>
        <w:t>5.双频双通道图像传输、两轴FPV摄像头，双信号传输、双IMU、双气压计、双电池设计；</w:t>
      </w:r>
    </w:p>
    <w:p>
      <w:pPr>
        <w:pStyle w:val="24"/>
        <w:ind w:firstLine="560" w:firstLineChars="200"/>
        <w:rPr>
          <w:rFonts w:ascii="仿宋" w:hAnsi="仿宋" w:eastAsia="仿宋" w:cs="仿宋"/>
          <w:szCs w:val="28"/>
        </w:rPr>
      </w:pPr>
      <w:r>
        <w:rPr>
          <w:rFonts w:hint="eastAsia" w:ascii="仿宋" w:hAnsi="仿宋" w:eastAsia="仿宋" w:cs="仿宋"/>
          <w:szCs w:val="28"/>
        </w:rPr>
        <w:t>6.视觉系统：含下视视觉系统、上视视觉系统和顶部红外感知系统；</w:t>
      </w:r>
    </w:p>
    <w:p>
      <w:pPr>
        <w:pStyle w:val="24"/>
        <w:ind w:firstLine="560" w:firstLineChars="200"/>
        <w:rPr>
          <w:rFonts w:ascii="仿宋" w:hAnsi="仿宋" w:eastAsia="仿宋" w:cs="仿宋"/>
          <w:szCs w:val="28"/>
        </w:rPr>
      </w:pPr>
      <w:r>
        <w:rPr>
          <w:rFonts w:hint="eastAsia" w:ascii="仿宋" w:hAnsi="仿宋" w:eastAsia="仿宋" w:cs="仿宋"/>
          <w:szCs w:val="28"/>
        </w:rPr>
        <w:t>7.云台相机：传感器 CMOS，4/3”，有效像素：≥2000万；</w:t>
      </w:r>
    </w:p>
    <w:p>
      <w:pPr>
        <w:pStyle w:val="24"/>
        <w:ind w:firstLine="560" w:firstLineChars="200"/>
        <w:rPr>
          <w:rFonts w:ascii="仿宋" w:hAnsi="仿宋" w:eastAsia="仿宋" w:cs="仿宋"/>
          <w:szCs w:val="28"/>
        </w:rPr>
      </w:pPr>
      <w:r>
        <w:rPr>
          <w:rFonts w:hint="eastAsia" w:ascii="仿宋" w:hAnsi="仿宋" w:eastAsia="仿宋" w:cs="仿宋"/>
          <w:szCs w:val="28"/>
        </w:rPr>
        <w:t>8.支持的镜头：支持多款包含变焦镜头在内的标准M4/3镜头，焦段覆盖9mm - 45mm（35mm画幅等效焦距为18mm - 90mm）；</w:t>
      </w:r>
    </w:p>
    <w:p>
      <w:pPr>
        <w:pStyle w:val="24"/>
        <w:ind w:firstLine="560" w:firstLineChars="200"/>
        <w:rPr>
          <w:rFonts w:ascii="仿宋" w:hAnsi="仿宋" w:eastAsia="仿宋" w:cs="仿宋"/>
          <w:szCs w:val="28"/>
        </w:rPr>
      </w:pPr>
      <w:r>
        <w:rPr>
          <w:rFonts w:hint="eastAsia" w:ascii="仿宋" w:hAnsi="仿宋" w:eastAsia="仿宋" w:cs="仿宋"/>
          <w:szCs w:val="28"/>
        </w:rPr>
        <w:t>9.工作模式：拍照模式，录像模式，回放模式；</w:t>
      </w:r>
    </w:p>
    <w:p>
      <w:pPr>
        <w:pStyle w:val="24"/>
        <w:ind w:firstLine="560" w:firstLineChars="200"/>
        <w:rPr>
          <w:rFonts w:ascii="仿宋" w:hAnsi="仿宋" w:eastAsia="仿宋" w:cs="仿宋"/>
          <w:szCs w:val="28"/>
        </w:rPr>
      </w:pPr>
      <w:r>
        <w:rPr>
          <w:rFonts w:hint="eastAsia" w:ascii="仿宋" w:hAnsi="仿宋" w:eastAsia="仿宋" w:cs="仿宋"/>
          <w:szCs w:val="28"/>
        </w:rPr>
        <w:t>10.ISO范围：100–6400（视频），100–25600（照片）；</w:t>
      </w:r>
    </w:p>
    <w:p>
      <w:pPr>
        <w:pStyle w:val="24"/>
        <w:ind w:firstLine="560" w:firstLineChars="200"/>
        <w:rPr>
          <w:rFonts w:ascii="仿宋" w:hAnsi="仿宋" w:eastAsia="仿宋" w:cs="仿宋"/>
          <w:szCs w:val="28"/>
        </w:rPr>
      </w:pPr>
      <w:r>
        <w:rPr>
          <w:rFonts w:hint="eastAsia" w:ascii="仿宋" w:hAnsi="仿宋" w:eastAsia="仿宋" w:cs="仿宋"/>
          <w:szCs w:val="28"/>
        </w:rPr>
        <w:t>11.增配1组高容量电池；电池容量：≥9560 mAh；电池类型：LiPo 6S；</w:t>
      </w:r>
    </w:p>
    <w:p>
      <w:pPr>
        <w:pStyle w:val="24"/>
        <w:ind w:firstLine="560" w:firstLineChars="200"/>
        <w:rPr>
          <w:rFonts w:ascii="仿宋" w:hAnsi="仿宋" w:eastAsia="仿宋" w:cs="仿宋"/>
          <w:szCs w:val="28"/>
        </w:rPr>
      </w:pPr>
      <w:r>
        <w:rPr>
          <w:rFonts w:hint="eastAsia" w:ascii="仿宋" w:hAnsi="仿宋" w:eastAsia="仿宋" w:cs="仿宋"/>
          <w:szCs w:val="28"/>
        </w:rPr>
        <w:t>12.支持高清无线视频传输、语音实时对讲和应急调度；</w:t>
      </w:r>
    </w:p>
    <w:p>
      <w:pPr>
        <w:pStyle w:val="24"/>
        <w:ind w:firstLine="560" w:firstLineChars="200"/>
        <w:rPr>
          <w:rFonts w:ascii="仿宋" w:hAnsi="仿宋" w:eastAsia="仿宋" w:cs="仿宋"/>
          <w:szCs w:val="28"/>
        </w:rPr>
      </w:pPr>
      <w:r>
        <w:rPr>
          <w:rFonts w:hint="eastAsia" w:ascii="仿宋" w:hAnsi="仿宋" w:eastAsia="仿宋" w:cs="仿宋"/>
          <w:szCs w:val="28"/>
        </w:rPr>
        <w:t>13.压缩标准：H.265和H.264；分辨率HDMI：1080P，720P，VGA；网络：支持4G双卡和WiFi，WIFI支持多种常用加密方式；卫星定位：支持GPS和北斗定位；充电：DC 5V/2.0A；</w:t>
      </w:r>
    </w:p>
    <w:p>
      <w:pPr>
        <w:pStyle w:val="24"/>
        <w:ind w:firstLine="560" w:firstLineChars="200"/>
        <w:rPr>
          <w:rFonts w:ascii="仿宋" w:hAnsi="仿宋" w:eastAsia="仿宋" w:cs="仿宋"/>
          <w:szCs w:val="28"/>
        </w:rPr>
      </w:pPr>
      <w:r>
        <w:rPr>
          <w:rFonts w:hint="eastAsia" w:ascii="仿宋" w:hAnsi="仿宋" w:eastAsia="仿宋" w:cs="仿宋"/>
          <w:szCs w:val="28"/>
        </w:rPr>
        <w:t>14.提供无人机主机和云台意外保障服务，保期3年，后续维修无需付费，保额为主机和云台整套设备价值；</w:t>
      </w:r>
    </w:p>
    <w:p>
      <w:pPr>
        <w:pStyle w:val="24"/>
        <w:ind w:firstLine="560" w:firstLineChars="200"/>
        <w:rPr>
          <w:rFonts w:ascii="仿宋" w:hAnsi="仿宋" w:eastAsia="仿宋" w:cs="仿宋"/>
          <w:szCs w:val="28"/>
        </w:rPr>
      </w:pPr>
      <w:r>
        <w:rPr>
          <w:rFonts w:hint="eastAsia" w:ascii="仿宋" w:hAnsi="仿宋" w:eastAsia="仿宋" w:cs="仿宋"/>
          <w:szCs w:val="28"/>
        </w:rPr>
        <w:t>15.提供100W额度的第三者人身意外险和财产损失险，保期3年；</w:t>
      </w:r>
    </w:p>
    <w:p>
      <w:pPr>
        <w:pStyle w:val="24"/>
        <w:rPr>
          <w:rFonts w:ascii="仿宋" w:hAnsi="仿宋" w:eastAsia="仿宋" w:cs="仿宋"/>
          <w:color w:val="000000"/>
          <w:kern w:val="0"/>
          <w:szCs w:val="28"/>
        </w:rPr>
      </w:pPr>
    </w:p>
    <w:p>
      <w:pPr>
        <w:ind w:left="239" w:leftChars="114" w:firstLine="280" w:firstLineChars="100"/>
        <w:rPr>
          <w:rFonts w:ascii="仿宋" w:hAnsi="仿宋" w:eastAsia="仿宋" w:cs="仿宋"/>
          <w:color w:val="000000"/>
          <w:kern w:val="0"/>
          <w:sz w:val="28"/>
          <w:szCs w:val="28"/>
          <w:highlight w:val="yellow"/>
        </w:rPr>
      </w:pPr>
      <w:r>
        <w:rPr>
          <w:rFonts w:hint="eastAsia" w:ascii="仿宋" w:hAnsi="仿宋" w:eastAsia="仿宋" w:cs="仿宋"/>
          <w:bCs/>
          <w:kern w:val="0"/>
          <w:sz w:val="28"/>
          <w:szCs w:val="28"/>
        </w:rPr>
        <w:t>（五）折叠式桌椅</w:t>
      </w:r>
    </w:p>
    <w:p>
      <w:pPr>
        <w:pStyle w:val="24"/>
        <w:ind w:firstLine="560" w:firstLineChars="200"/>
        <w:rPr>
          <w:rFonts w:ascii="仿宋" w:hAnsi="仿宋" w:eastAsia="仿宋" w:cs="仿宋"/>
          <w:szCs w:val="28"/>
        </w:rPr>
      </w:pPr>
      <w:r>
        <w:rPr>
          <w:rFonts w:hint="eastAsia" w:ascii="仿宋" w:hAnsi="仿宋" w:eastAsia="仿宋" w:cs="仿宋"/>
          <w:szCs w:val="28"/>
        </w:rPr>
        <w:t>1.桌椅配备可拆卸带刹车万向轮；</w:t>
      </w:r>
    </w:p>
    <w:p>
      <w:pPr>
        <w:pStyle w:val="24"/>
        <w:ind w:firstLine="560" w:firstLineChars="200"/>
        <w:rPr>
          <w:rFonts w:ascii="仿宋" w:hAnsi="仿宋" w:eastAsia="仿宋" w:cs="仿宋"/>
          <w:szCs w:val="28"/>
        </w:rPr>
      </w:pPr>
      <w:r>
        <w:rPr>
          <w:rFonts w:hint="eastAsia" w:ascii="仿宋" w:hAnsi="仿宋" w:eastAsia="仿宋" w:cs="仿宋"/>
          <w:szCs w:val="28"/>
        </w:rPr>
        <w:t>2.框架材质：桌椅主体材质均采用6063#磨砂航空铝打造；</w:t>
      </w:r>
    </w:p>
    <w:p>
      <w:pPr>
        <w:pStyle w:val="24"/>
        <w:ind w:firstLine="560" w:firstLineChars="200"/>
        <w:rPr>
          <w:rFonts w:ascii="仿宋" w:hAnsi="仿宋" w:eastAsia="仿宋" w:cs="仿宋"/>
          <w:szCs w:val="28"/>
        </w:rPr>
      </w:pPr>
      <w:r>
        <w:rPr>
          <w:rFonts w:hint="eastAsia" w:ascii="仿宋" w:hAnsi="仿宋" w:eastAsia="仿宋" w:cs="仿宋"/>
          <w:szCs w:val="28"/>
        </w:rPr>
        <w:t>3.桌面材质：6063#磨砂氧化航空铝无缝拼接。防火、防水、耐高温，不生锈、使用年限长；</w:t>
      </w:r>
    </w:p>
    <w:p>
      <w:pPr>
        <w:pStyle w:val="24"/>
        <w:ind w:firstLine="560" w:firstLineChars="200"/>
        <w:rPr>
          <w:rFonts w:ascii="仿宋" w:hAnsi="仿宋" w:eastAsia="仿宋" w:cs="仿宋"/>
          <w:szCs w:val="28"/>
        </w:rPr>
      </w:pPr>
      <w:r>
        <w:rPr>
          <w:rFonts w:hint="eastAsia" w:ascii="仿宋" w:hAnsi="仿宋" w:eastAsia="仿宋" w:cs="仿宋"/>
          <w:szCs w:val="28"/>
        </w:rPr>
        <w:t>4.桌子打开尺寸：≥115x68cmx52/67/73cm（可三档调节）；折叠尺寸：≥58x70x11cm；</w:t>
      </w:r>
    </w:p>
    <w:p>
      <w:pPr>
        <w:pStyle w:val="24"/>
        <w:ind w:firstLine="560" w:firstLineChars="200"/>
        <w:rPr>
          <w:rFonts w:ascii="仿宋" w:hAnsi="仿宋" w:eastAsia="仿宋" w:cs="仿宋"/>
          <w:kern w:val="0"/>
          <w:szCs w:val="28"/>
        </w:rPr>
      </w:pPr>
      <w:r>
        <w:rPr>
          <w:rFonts w:hint="eastAsia" w:ascii="仿宋" w:hAnsi="仿宋" w:eastAsia="仿宋" w:cs="仿宋"/>
          <w:szCs w:val="28"/>
        </w:rPr>
        <w:t>5.凳子打开尺寸：≥25x28x40cm；折叠尺寸：≥45x28x4.5cm；</w:t>
      </w:r>
    </w:p>
    <w:p>
      <w:pPr>
        <w:pStyle w:val="24"/>
        <w:ind w:firstLine="560" w:firstLineChars="200"/>
        <w:rPr>
          <w:rFonts w:ascii="仿宋" w:hAnsi="仿宋" w:eastAsia="仿宋" w:cs="仿宋"/>
          <w:szCs w:val="28"/>
        </w:rPr>
      </w:pPr>
      <w:r>
        <w:rPr>
          <w:rFonts w:hint="eastAsia" w:ascii="仿宋" w:hAnsi="仿宋" w:eastAsia="仿宋" w:cs="仿宋"/>
          <w:szCs w:val="28"/>
        </w:rPr>
        <w:t>6.包含桌椅外袋、侧兜收纳网、桌布；</w:t>
      </w:r>
    </w:p>
    <w:p>
      <w:pPr>
        <w:pStyle w:val="24"/>
        <w:ind w:firstLine="560" w:firstLineChars="200"/>
        <w:rPr>
          <w:rFonts w:ascii="仿宋" w:hAnsi="仿宋" w:eastAsia="仿宋" w:cs="仿宋"/>
          <w:szCs w:val="28"/>
        </w:rPr>
      </w:pPr>
      <w:r>
        <w:rPr>
          <w:rFonts w:hint="eastAsia" w:ascii="仿宋" w:hAnsi="仿宋" w:eastAsia="仿宋" w:cs="仿宋"/>
          <w:szCs w:val="28"/>
        </w:rPr>
        <w:t>7.提供样品。</w:t>
      </w:r>
    </w:p>
    <w:p>
      <w:pPr>
        <w:pStyle w:val="57"/>
        <w:ind w:firstLine="281"/>
        <w:rPr>
          <w:rFonts w:ascii="仿宋" w:hAnsi="仿宋" w:eastAsia="仿宋" w:cs="仿宋"/>
          <w:b/>
          <w:sz w:val="28"/>
          <w:szCs w:val="28"/>
        </w:rPr>
      </w:pPr>
      <w:r>
        <w:rPr>
          <w:rFonts w:hint="eastAsia" w:ascii="仿宋" w:hAnsi="仿宋" w:eastAsia="仿宋" w:cs="仿宋"/>
          <w:b/>
          <w:sz w:val="28"/>
          <w:szCs w:val="28"/>
        </w:rPr>
        <w:t>标项一至五商务需求表</w:t>
      </w:r>
    </w:p>
    <w:p>
      <w:pPr>
        <w:pStyle w:val="57"/>
        <w:ind w:firstLine="280"/>
        <w:rPr>
          <w:rFonts w:ascii="仿宋" w:hAnsi="仿宋" w:eastAsia="仿宋" w:cs="仿宋"/>
          <w:sz w:val="28"/>
          <w:szCs w:val="28"/>
        </w:rPr>
      </w:pP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▲项目工期（交货期）及地点</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合同签订之日起一个月内供货至甲方指定地点。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▲付款条件（明确是否需要履约保证金）</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乙方在合同签订后向甲方指定账户交纳合同总价的5%作为履约保证金。合同签订且采购方收到中标方缴纳的履约保证金后支付合同金额30%，项目验收合格后支付合同余款。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履约保证金</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1）签订合同后中标人应向采购人(浙江省公安厅)缴纳合同金额的5%作为履约保证金。</w:t>
            </w:r>
          </w:p>
          <w:p>
            <w:pPr>
              <w:rPr>
                <w:rFonts w:ascii="仿宋" w:hAnsi="仿宋" w:eastAsia="仿宋" w:cs="仿宋"/>
                <w:sz w:val="28"/>
                <w:szCs w:val="28"/>
              </w:rPr>
            </w:pPr>
            <w:r>
              <w:rPr>
                <w:rFonts w:hint="eastAsia" w:ascii="仿宋" w:hAnsi="仿宋" w:eastAsia="仿宋" w:cs="仿宋"/>
                <w:sz w:val="28"/>
                <w:szCs w:val="28"/>
              </w:rPr>
              <w:t>缴纳方式：中标人应当以支票、汇票、本票或者金融机构、担保机构出具的保函等非现金形式提交。</w:t>
            </w:r>
          </w:p>
          <w:p>
            <w:pPr>
              <w:rPr>
                <w:rFonts w:ascii="仿宋" w:hAnsi="仿宋" w:eastAsia="仿宋" w:cs="仿宋"/>
                <w:sz w:val="28"/>
                <w:szCs w:val="28"/>
              </w:rPr>
            </w:pPr>
            <w:r>
              <w:rPr>
                <w:rFonts w:hint="eastAsia" w:ascii="仿宋" w:hAnsi="仿宋" w:eastAsia="仿宋" w:cs="仿宋"/>
                <w:sz w:val="28"/>
                <w:szCs w:val="28"/>
              </w:rPr>
              <w:t>履约保证金若以电汇、网上银行方式缴纳的,请将电汇底单、网上银行电脑打印凭证写上中标项目名称及编号、中标人及联系人、联系电话传真至0571-87286473）。</w:t>
            </w:r>
          </w:p>
          <w:p>
            <w:pPr>
              <w:rPr>
                <w:rFonts w:ascii="仿宋" w:hAnsi="仿宋" w:eastAsia="仿宋" w:cs="仿宋"/>
                <w:sz w:val="28"/>
                <w:szCs w:val="28"/>
              </w:rPr>
            </w:pPr>
            <w:r>
              <w:rPr>
                <w:rFonts w:hint="eastAsia" w:ascii="仿宋" w:hAnsi="仿宋" w:eastAsia="仿宋" w:cs="仿宋"/>
                <w:sz w:val="28"/>
                <w:szCs w:val="28"/>
              </w:rPr>
              <w:t>缴款账户信息为：</w:t>
            </w:r>
          </w:p>
          <w:p>
            <w:pPr>
              <w:rPr>
                <w:rFonts w:ascii="仿宋" w:hAnsi="仿宋" w:eastAsia="仿宋" w:cs="仿宋"/>
                <w:sz w:val="28"/>
                <w:szCs w:val="28"/>
              </w:rPr>
            </w:pPr>
            <w:r>
              <w:rPr>
                <w:rFonts w:hint="eastAsia" w:ascii="仿宋" w:hAnsi="仿宋" w:eastAsia="仿宋" w:cs="仿宋"/>
                <w:sz w:val="28"/>
                <w:szCs w:val="28"/>
              </w:rPr>
              <w:t>户   名：浙江省公安厅</w:t>
            </w:r>
          </w:p>
          <w:p>
            <w:pPr>
              <w:rPr>
                <w:rFonts w:ascii="仿宋" w:hAnsi="仿宋" w:eastAsia="仿宋" w:cs="仿宋"/>
                <w:sz w:val="28"/>
                <w:szCs w:val="28"/>
              </w:rPr>
            </w:pPr>
            <w:r>
              <w:rPr>
                <w:rFonts w:hint="eastAsia" w:ascii="仿宋" w:hAnsi="仿宋" w:eastAsia="仿宋" w:cs="仿宋"/>
                <w:sz w:val="28"/>
                <w:szCs w:val="28"/>
              </w:rPr>
              <w:t>开户 行：工行解放路支行</w:t>
            </w:r>
          </w:p>
          <w:p>
            <w:pPr>
              <w:rPr>
                <w:rFonts w:ascii="仿宋" w:hAnsi="仿宋" w:eastAsia="仿宋" w:cs="仿宋"/>
                <w:sz w:val="28"/>
                <w:szCs w:val="28"/>
              </w:rPr>
            </w:pPr>
            <w:r>
              <w:rPr>
                <w:rFonts w:hint="eastAsia" w:ascii="仿宋" w:hAnsi="仿宋" w:eastAsia="仿宋" w:cs="仿宋"/>
                <w:sz w:val="28"/>
                <w:szCs w:val="28"/>
              </w:rPr>
              <w:t>银行帐号：1202020709900011266</w:t>
            </w:r>
          </w:p>
          <w:p>
            <w:pPr>
              <w:rPr>
                <w:rFonts w:ascii="仿宋" w:hAnsi="仿宋" w:eastAsia="仿宋" w:cs="仿宋"/>
                <w:sz w:val="28"/>
                <w:szCs w:val="28"/>
              </w:rPr>
            </w:pPr>
            <w:r>
              <w:rPr>
                <w:rFonts w:hint="eastAsia" w:ascii="仿宋" w:hAnsi="仿宋" w:eastAsia="仿宋" w:cs="仿宋"/>
                <w:sz w:val="28"/>
                <w:szCs w:val="28"/>
              </w:rPr>
              <w:t>2）履约保证金退还：项目验收合格后满三年无质量问题索赔的，30个工作日内无息退还。办理履约保证金退还手续时，中标人凭以下材料办理退保手续。</w:t>
            </w:r>
          </w:p>
          <w:p>
            <w:pPr>
              <w:rPr>
                <w:rFonts w:ascii="仿宋" w:hAnsi="仿宋" w:eastAsia="仿宋" w:cs="仿宋"/>
                <w:sz w:val="28"/>
                <w:szCs w:val="28"/>
              </w:rPr>
            </w:pPr>
            <w:r>
              <w:rPr>
                <w:rFonts w:hint="eastAsia" w:ascii="仿宋" w:hAnsi="仿宋" w:eastAsia="仿宋" w:cs="仿宋"/>
                <w:sz w:val="28"/>
                <w:szCs w:val="28"/>
              </w:rPr>
              <w:t>（1）由采购人开具的交入履约保证金往来款收据原件(如无法提供原件的，提供复印件及采购单位开具的收据)；</w:t>
            </w:r>
          </w:p>
          <w:p>
            <w:pPr>
              <w:rPr>
                <w:rFonts w:ascii="仿宋" w:hAnsi="仿宋" w:eastAsia="仿宋" w:cs="仿宋"/>
                <w:sz w:val="28"/>
                <w:szCs w:val="28"/>
              </w:rPr>
            </w:pPr>
            <w:r>
              <w:rPr>
                <w:rFonts w:hint="eastAsia" w:ascii="仿宋" w:hAnsi="仿宋" w:eastAsia="仿宋" w:cs="仿宋"/>
                <w:sz w:val="28"/>
                <w:szCs w:val="28"/>
              </w:rPr>
              <w:t>（2）合同原件或复印件一份；</w:t>
            </w:r>
          </w:p>
          <w:p>
            <w:pPr>
              <w:rPr>
                <w:rFonts w:ascii="仿宋" w:hAnsi="仿宋" w:eastAsia="仿宋" w:cs="仿宋"/>
                <w:sz w:val="28"/>
                <w:szCs w:val="28"/>
              </w:rPr>
            </w:pPr>
            <w:r>
              <w:rPr>
                <w:rFonts w:hint="eastAsia" w:ascii="仿宋" w:hAnsi="仿宋" w:eastAsia="仿宋" w:cs="仿宋"/>
                <w:sz w:val="28"/>
                <w:szCs w:val="28"/>
              </w:rPr>
              <w:t>（3）使用单位的验收证明(需两人以上签名并盖章)；</w:t>
            </w:r>
          </w:p>
          <w:p>
            <w:pPr>
              <w:rPr>
                <w:rFonts w:ascii="仿宋" w:hAnsi="仿宋" w:eastAsia="仿宋" w:cs="仿宋"/>
                <w:sz w:val="28"/>
                <w:szCs w:val="28"/>
              </w:rPr>
            </w:pPr>
            <w:r>
              <w:rPr>
                <w:rFonts w:hint="eastAsia" w:ascii="仿宋" w:hAnsi="仿宋" w:eastAsia="仿宋" w:cs="仿宋"/>
                <w:sz w:val="28"/>
                <w:szCs w:val="28"/>
              </w:rPr>
              <w:t>（4）保证金交入时的银行回单复印件；</w:t>
            </w:r>
          </w:p>
          <w:p>
            <w:pPr>
              <w:rPr>
                <w:rFonts w:ascii="仿宋" w:hAnsi="仿宋" w:eastAsia="仿宋" w:cs="仿宋"/>
                <w:sz w:val="28"/>
                <w:szCs w:val="28"/>
              </w:rPr>
            </w:pPr>
            <w:r>
              <w:rPr>
                <w:rFonts w:hint="eastAsia" w:ascii="仿宋" w:hAnsi="仿宋" w:eastAsia="仿宋" w:cs="仿宋"/>
                <w:sz w:val="28"/>
                <w:szCs w:val="28"/>
              </w:rPr>
              <w:t>（5）如原账户发生变更，提供说明和账户变更资料。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违约责任及争议解决方式</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质保期</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标项四中的便携式无人机管控设备、无人机探测防御系统质保期2年，其余物资质保期3年。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验收标准</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1.招标人根据货物的技术规格要求、质量标准对比样品对货物进行检查验收，对货物有异议，招标人有权当场拒收。如果发现数量不足或有质量、技术等问题，中标人应负责按照招标人的要求采取补足、更换或退货等处理措施，并承担由此发生的一切损失和费用。</w:t>
            </w:r>
          </w:p>
          <w:p>
            <w:pPr>
              <w:rPr>
                <w:rFonts w:ascii="仿宋" w:hAnsi="仿宋" w:eastAsia="仿宋" w:cs="仿宋"/>
                <w:sz w:val="28"/>
                <w:szCs w:val="28"/>
              </w:rPr>
            </w:pPr>
            <w:r>
              <w:rPr>
                <w:rFonts w:hint="eastAsia" w:ascii="仿宋" w:hAnsi="仿宋" w:eastAsia="仿宋" w:cs="仿宋"/>
                <w:sz w:val="28"/>
                <w:szCs w:val="28"/>
              </w:rPr>
              <w:t>2.货物验收合格后，填写验收单，并由招标人及中标人双方共同盖章后方可生效。</w:t>
            </w:r>
          </w:p>
          <w:p>
            <w:pPr>
              <w:rPr>
                <w:rFonts w:ascii="仿宋" w:hAnsi="仿宋" w:eastAsia="仿宋" w:cs="仿宋"/>
                <w:sz w:val="28"/>
                <w:szCs w:val="28"/>
              </w:rPr>
            </w:pPr>
            <w:r>
              <w:rPr>
                <w:rFonts w:hint="eastAsia" w:ascii="仿宋" w:hAnsi="仿宋" w:eastAsia="仿宋" w:cs="仿宋"/>
                <w:sz w:val="28"/>
                <w:szCs w:val="28"/>
              </w:rPr>
              <w:t>3.招标人有权对货物抽样并送交法定质量检测机构进行检测，抽检产品费用由中标人承担。产品经检测合格的，检验费用由招标人支付。经检测，货物质量不符合技术要求和质量标准的，检测费用由中标人承担，招标人有权退货；中标人应负责按照招标人的要求采取补足、更换或退货等处理措施，并承担由此发生的一切损失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售后服务及培训</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1.在质保期内如发现质量问题，实行包修、包换、包退，直至产品符合质量要求。中标人应保证货物为全新、未使用过的原装正品，保证所提供的货物的外观和内在质量都无任何问题。如质量出现问题，中标人负责“三包”，费用由中标人负责。</w:t>
            </w:r>
          </w:p>
          <w:p>
            <w:pPr>
              <w:rPr>
                <w:rFonts w:ascii="仿宋" w:hAnsi="仿宋" w:eastAsia="仿宋" w:cs="仿宋"/>
                <w:sz w:val="28"/>
                <w:szCs w:val="28"/>
              </w:rPr>
            </w:pPr>
            <w:r>
              <w:rPr>
                <w:rFonts w:hint="eastAsia" w:ascii="仿宋" w:hAnsi="仿宋" w:eastAsia="仿宋" w:cs="仿宋"/>
                <w:sz w:val="28"/>
                <w:szCs w:val="28"/>
              </w:rPr>
              <w:t>2.投标人保证所供产品在质保期内因设备本身缺陷造成各种故障应由投标人免费技术服务和维修，在保修期内出现的产品质量问题应能够在24小时内做出响应，若不能在24小时内解决，须提供同等性能、同等配置的货物替换。</w:t>
            </w:r>
          </w:p>
          <w:p>
            <w:pPr>
              <w:rPr>
                <w:rFonts w:ascii="仿宋" w:hAnsi="仿宋" w:eastAsia="仿宋" w:cs="仿宋"/>
                <w:sz w:val="28"/>
                <w:szCs w:val="28"/>
              </w:rPr>
            </w:pPr>
            <w:r>
              <w:rPr>
                <w:rFonts w:hint="eastAsia" w:ascii="仿宋" w:hAnsi="仿宋" w:eastAsia="仿宋" w:cs="仿宋"/>
                <w:sz w:val="28"/>
                <w:szCs w:val="28"/>
              </w:rPr>
              <w:t>3.中标人无偿培训采购人的操作使用人员，培训人员不少于2人，培训时间不少于4个小时，培训次数不少于1次。培训主要内容为设备的基本结构、性能、操作使用方法、主要部件的构造及修理，日常使用保养与管理，安全防范，常见故障的排除，紧急情况的处理等，培训时间按采购人要求，培训地点主要在设备安装现场或按采购人安排，培训要求采购人相关人员能够正确操作使用。所产生的一切费用由中标人支付。</w:t>
            </w:r>
          </w:p>
        </w:tc>
      </w:tr>
    </w:tbl>
    <w:p>
      <w:pPr>
        <w:pStyle w:val="24"/>
        <w:ind w:firstLine="560" w:firstLineChars="200"/>
        <w:rPr>
          <w:rFonts w:ascii="仿宋" w:hAnsi="仿宋" w:eastAsia="仿宋" w:cs="仿宋"/>
          <w:szCs w:val="28"/>
        </w:rPr>
      </w:pPr>
    </w:p>
    <w:p>
      <w:pPr>
        <w:pStyle w:val="24"/>
        <w:ind w:firstLine="560" w:firstLineChars="200"/>
        <w:rPr>
          <w:rFonts w:ascii="仿宋" w:hAnsi="仿宋" w:eastAsia="仿宋" w:cs="仿宋"/>
          <w:szCs w:val="28"/>
        </w:rPr>
      </w:pPr>
    </w:p>
    <w:p>
      <w:pPr>
        <w:pStyle w:val="3"/>
        <w:spacing w:line="240" w:lineRule="auto"/>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标项六：防护类装备物资代储</w:t>
      </w:r>
    </w:p>
    <w:tbl>
      <w:tblPr>
        <w:tblStyle w:val="59"/>
        <w:tblW w:w="8520" w:type="dxa"/>
        <w:tblInd w:w="0" w:type="dxa"/>
        <w:tblLayout w:type="fixed"/>
        <w:tblCellMar>
          <w:top w:w="15" w:type="dxa"/>
          <w:left w:w="15" w:type="dxa"/>
          <w:bottom w:w="15" w:type="dxa"/>
          <w:right w:w="15" w:type="dxa"/>
        </w:tblCellMar>
      </w:tblPr>
      <w:tblGrid>
        <w:gridCol w:w="948"/>
        <w:gridCol w:w="1902"/>
        <w:gridCol w:w="1418"/>
        <w:gridCol w:w="1417"/>
        <w:gridCol w:w="1276"/>
        <w:gridCol w:w="1559"/>
      </w:tblGrid>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序号</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装备名称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代储数量</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使用单价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备注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说明</w:t>
            </w:r>
          </w:p>
        </w:tc>
      </w:tr>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防暴头盔</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150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c>
          <w:tcPr>
            <w:tcW w:w="15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代储期自代储协议签订之日起1年。无论招标人是否使用代储物资，招标人均需支付代储服务费用。若招标人使用代储物资，使用代储物资费用按照投标使用单价按实结算。代储服务费用及使用代储物资费用，由招标人在合同服务期满后30个工作日内一次性按实支付。</w:t>
            </w:r>
          </w:p>
        </w:tc>
      </w:tr>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防暴服</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150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c>
          <w:tcPr>
            <w:tcW w:w="1559"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r>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防刺服</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300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c>
          <w:tcPr>
            <w:tcW w:w="1559"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r>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防割手套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300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c>
          <w:tcPr>
            <w:tcW w:w="1559"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r>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防割护脖</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300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c>
          <w:tcPr>
            <w:tcW w:w="1559"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r>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防暴盾牌</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200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r>
      <w:tr>
        <w:tblPrEx>
          <w:tblCellMar>
            <w:top w:w="15" w:type="dxa"/>
            <w:left w:w="15" w:type="dxa"/>
            <w:bottom w:w="15" w:type="dxa"/>
            <w:right w:w="15" w:type="dxa"/>
          </w:tblCellMar>
        </w:tblPrEx>
        <w:trPr>
          <w:trHeight w:val="75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警用长棍</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500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核心产品</w:t>
            </w:r>
          </w:p>
        </w:tc>
        <w:tc>
          <w:tcPr>
            <w:tcW w:w="15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r>
      <w:tr>
        <w:tblPrEx>
          <w:tblCellMar>
            <w:top w:w="15" w:type="dxa"/>
            <w:left w:w="15" w:type="dxa"/>
            <w:bottom w:w="15" w:type="dxa"/>
            <w:right w:w="15" w:type="dxa"/>
          </w:tblCellMar>
        </w:tblPrEx>
        <w:trPr>
          <w:trHeight w:val="600" w:hRule="atLeast"/>
        </w:trPr>
        <w:tc>
          <w:tcPr>
            <w:tcW w:w="42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使用价格小计</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c>
          <w:tcPr>
            <w:tcW w:w="1559" w:type="dxa"/>
            <w:vMerge w:val="continue"/>
            <w:tcBorders>
              <w:left w:val="single" w:color="auto" w:sz="4" w:space="0"/>
              <w:right w:val="single" w:color="auto" w:sz="4" w:space="0"/>
            </w:tcBorders>
            <w:shd w:val="clear" w:color="auto" w:fill="auto"/>
            <w:vAlign w:val="center"/>
          </w:tcPr>
          <w:p>
            <w:pPr>
              <w:rPr>
                <w:rFonts w:ascii="仿宋" w:hAnsi="仿宋" w:eastAsia="仿宋" w:cs="仿宋"/>
                <w:bCs/>
                <w:color w:val="000000"/>
                <w:sz w:val="28"/>
                <w:szCs w:val="28"/>
              </w:rPr>
            </w:pPr>
          </w:p>
        </w:tc>
      </w:tr>
      <w:tr>
        <w:tblPrEx>
          <w:tblCellMar>
            <w:top w:w="15" w:type="dxa"/>
            <w:left w:w="15" w:type="dxa"/>
            <w:bottom w:w="15" w:type="dxa"/>
            <w:right w:w="15" w:type="dxa"/>
          </w:tblCellMar>
        </w:tblPrEx>
        <w:trPr>
          <w:trHeight w:val="600" w:hRule="atLeast"/>
        </w:trPr>
        <w:tc>
          <w:tcPr>
            <w:tcW w:w="42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代储服务费</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c>
          <w:tcPr>
            <w:tcW w:w="1559" w:type="dxa"/>
            <w:vMerge w:val="continue"/>
            <w:tcBorders>
              <w:left w:val="single" w:color="auto" w:sz="4" w:space="0"/>
              <w:right w:val="single" w:color="auto" w:sz="4" w:space="0"/>
            </w:tcBorders>
            <w:shd w:val="clear" w:color="auto" w:fill="auto"/>
            <w:vAlign w:val="center"/>
          </w:tcPr>
          <w:p>
            <w:pPr>
              <w:rPr>
                <w:rFonts w:ascii="仿宋" w:hAnsi="仿宋" w:eastAsia="仿宋" w:cs="仿宋"/>
                <w:bCs/>
                <w:color w:val="000000"/>
                <w:sz w:val="28"/>
                <w:szCs w:val="28"/>
              </w:rPr>
            </w:pPr>
          </w:p>
        </w:tc>
      </w:tr>
      <w:tr>
        <w:tblPrEx>
          <w:tblCellMar>
            <w:top w:w="15" w:type="dxa"/>
            <w:left w:w="15" w:type="dxa"/>
            <w:bottom w:w="15" w:type="dxa"/>
            <w:right w:w="15" w:type="dxa"/>
          </w:tblCellMar>
        </w:tblPrEx>
        <w:trPr>
          <w:trHeight w:val="600" w:hRule="atLeast"/>
        </w:trPr>
        <w:tc>
          <w:tcPr>
            <w:tcW w:w="42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合计（代储服务费+使用价格小计）</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bCs/>
                <w:color w:val="000000"/>
                <w:sz w:val="28"/>
                <w:szCs w:val="28"/>
              </w:rPr>
            </w:pPr>
          </w:p>
        </w:tc>
      </w:tr>
    </w:tbl>
    <w:p>
      <w:pPr>
        <w:ind w:firstLine="480"/>
        <w:rPr>
          <w:rFonts w:ascii="仿宋" w:hAnsi="仿宋" w:eastAsia="仿宋" w:cs="仿宋"/>
          <w:sz w:val="28"/>
          <w:szCs w:val="28"/>
        </w:rPr>
      </w:pPr>
      <w:r>
        <w:rPr>
          <w:rFonts w:hint="eastAsia" w:ascii="仿宋" w:hAnsi="仿宋" w:eastAsia="仿宋" w:cs="仿宋"/>
          <w:sz w:val="28"/>
          <w:szCs w:val="28"/>
        </w:rPr>
        <w:t>代储服务费：根据财政部门对于粮油、化肥等重要储备物资商业储备服务收费相关标准，最高按代储物资价值的5%计算。服务内容主要包括代储物资的储备管理、维护保养等一切费用。</w:t>
      </w:r>
    </w:p>
    <w:p>
      <w:pPr>
        <w:adjustRightInd w:val="0"/>
        <w:snapToGrid w:val="0"/>
        <w:ind w:firstLine="480"/>
        <w:rPr>
          <w:rFonts w:ascii="仿宋" w:hAnsi="仿宋" w:eastAsia="仿宋" w:cs="仿宋"/>
          <w:bCs/>
          <w:sz w:val="28"/>
          <w:szCs w:val="28"/>
        </w:rPr>
      </w:pPr>
      <w:r>
        <w:rPr>
          <w:rFonts w:hint="eastAsia" w:ascii="仿宋" w:hAnsi="仿宋" w:eastAsia="仿宋" w:cs="仿宋"/>
          <w:sz w:val="28"/>
          <w:szCs w:val="28"/>
        </w:rPr>
        <w:t>本标项，通过公开招标</w:t>
      </w:r>
      <w:r>
        <w:rPr>
          <w:rFonts w:hint="eastAsia" w:ascii="仿宋" w:hAnsi="仿宋" w:eastAsia="仿宋" w:cs="仿宋"/>
          <w:bCs/>
          <w:sz w:val="28"/>
          <w:szCs w:val="28"/>
        </w:rPr>
        <w:t>确定代储物资的供应商、物资品牌型号、使用单价，代储服务费用并签订代储协议。</w:t>
      </w:r>
    </w:p>
    <w:p>
      <w:pPr>
        <w:pStyle w:val="57"/>
        <w:ind w:firstLine="280"/>
        <w:rPr>
          <w:rFonts w:ascii="仿宋" w:hAnsi="仿宋" w:eastAsia="仿宋" w:cs="仿宋"/>
          <w:sz w:val="28"/>
          <w:szCs w:val="28"/>
        </w:rPr>
      </w:pPr>
    </w:p>
    <w:p>
      <w:pPr>
        <w:numPr>
          <w:ilvl w:val="0"/>
          <w:numId w:val="35"/>
        </w:numPr>
        <w:ind w:firstLine="560" w:firstLineChars="200"/>
        <w:rPr>
          <w:rFonts w:ascii="仿宋" w:hAnsi="仿宋" w:eastAsia="仿宋" w:cs="仿宋"/>
          <w:sz w:val="28"/>
          <w:szCs w:val="28"/>
        </w:rPr>
      </w:pPr>
      <w:r>
        <w:rPr>
          <w:rFonts w:hint="eastAsia" w:ascii="仿宋" w:hAnsi="仿宋" w:eastAsia="仿宋" w:cs="仿宋"/>
          <w:bCs/>
          <w:sz w:val="28"/>
          <w:szCs w:val="28"/>
        </w:rPr>
        <w:t>防暴头盔</w:t>
      </w:r>
    </w:p>
    <w:p>
      <w:pPr>
        <w:numPr>
          <w:ilvl w:val="0"/>
          <w:numId w:val="36"/>
        </w:numPr>
        <w:tabs>
          <w:tab w:val="left" w:pos="0"/>
        </w:tabs>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★执行标准：《GA 294-2012 警用防暴头盔》；</w:t>
      </w:r>
    </w:p>
    <w:p>
      <w:pPr>
        <w:widowControl/>
        <w:numPr>
          <w:ilvl w:val="0"/>
          <w:numId w:val="36"/>
        </w:numPr>
        <w:tabs>
          <w:tab w:val="left" w:pos="0"/>
        </w:tabs>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材质：壳体使用工程塑料制作，面罩使用 PC 材料制作；</w:t>
      </w:r>
    </w:p>
    <w:p>
      <w:pPr>
        <w:widowControl/>
        <w:numPr>
          <w:ilvl w:val="0"/>
          <w:numId w:val="36"/>
        </w:numPr>
        <w:tabs>
          <w:tab w:val="left" w:pos="0"/>
        </w:tabs>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标识：盔体上印有“警察”字样；</w:t>
      </w:r>
    </w:p>
    <w:p>
      <w:pPr>
        <w:widowControl/>
        <w:numPr>
          <w:ilvl w:val="0"/>
          <w:numId w:val="36"/>
        </w:numPr>
        <w:tabs>
          <w:tab w:val="left" w:pos="0"/>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重量：≤1.6kg； </w:t>
      </w:r>
    </w:p>
    <w:p>
      <w:pPr>
        <w:widowControl/>
        <w:numPr>
          <w:ilvl w:val="0"/>
          <w:numId w:val="36"/>
        </w:numPr>
        <w:tabs>
          <w:tab w:val="left" w:pos="0"/>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★抗撞击防护性能、抗冲击强度性能、耐穿透性能、阻燃性能均应符合标准；</w:t>
      </w:r>
    </w:p>
    <w:p>
      <w:pPr>
        <w:widowControl/>
        <w:numPr>
          <w:ilvl w:val="0"/>
          <w:numId w:val="36"/>
        </w:numPr>
        <w:tabs>
          <w:tab w:val="left" w:pos="0"/>
        </w:tabs>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提供公安部特种警用装备质量监督检验中心出具的合格的检测报告（复印件加盖公章），开标时原件备查； </w:t>
      </w:r>
    </w:p>
    <w:p>
      <w:pPr>
        <w:widowControl/>
        <w:numPr>
          <w:ilvl w:val="0"/>
          <w:numId w:val="36"/>
        </w:numPr>
        <w:tabs>
          <w:tab w:val="left" w:pos="0"/>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提供不低于500 万元的产品质量和责任保险保单（保单复印件加盖公章）；</w:t>
      </w:r>
    </w:p>
    <w:p>
      <w:pPr>
        <w:widowControl/>
        <w:numPr>
          <w:ilvl w:val="0"/>
          <w:numId w:val="36"/>
        </w:numPr>
        <w:tabs>
          <w:tab w:val="left" w:pos="0"/>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打★参数要求在检测报告中体现。</w:t>
      </w:r>
    </w:p>
    <w:p>
      <w:pPr>
        <w:pStyle w:val="57"/>
        <w:ind w:firstLine="280"/>
        <w:rPr>
          <w:rFonts w:ascii="仿宋" w:hAnsi="仿宋" w:eastAsia="仿宋" w:cs="仿宋"/>
          <w:sz w:val="28"/>
          <w:szCs w:val="28"/>
        </w:rPr>
      </w:pPr>
      <w:r>
        <w:rPr>
          <w:rFonts w:hint="eastAsia" w:ascii="仿宋" w:hAnsi="仿宋" w:eastAsia="仿宋" w:cs="仿宋"/>
          <w:color w:val="000000"/>
          <w:kern w:val="0"/>
          <w:sz w:val="28"/>
          <w:szCs w:val="28"/>
        </w:rPr>
        <w:t xml:space="preserve">  9.提供样品</w:t>
      </w:r>
    </w:p>
    <w:p>
      <w:pPr>
        <w:ind w:firstLine="480"/>
        <w:rPr>
          <w:rFonts w:ascii="仿宋" w:hAnsi="仿宋" w:eastAsia="仿宋" w:cs="仿宋"/>
          <w:sz w:val="28"/>
          <w:szCs w:val="28"/>
        </w:rPr>
      </w:pPr>
    </w:p>
    <w:p>
      <w:pPr>
        <w:numPr>
          <w:ilvl w:val="0"/>
          <w:numId w:val="35"/>
        </w:numPr>
        <w:ind w:firstLine="560" w:firstLineChars="200"/>
        <w:rPr>
          <w:rFonts w:ascii="仿宋" w:hAnsi="仿宋" w:eastAsia="仿宋" w:cs="仿宋"/>
          <w:bCs/>
          <w:sz w:val="28"/>
          <w:szCs w:val="28"/>
        </w:rPr>
      </w:pPr>
      <w:r>
        <w:rPr>
          <w:rFonts w:hint="eastAsia" w:ascii="仿宋" w:hAnsi="仿宋" w:eastAsia="仿宋" w:cs="仿宋"/>
          <w:bCs/>
          <w:sz w:val="28"/>
          <w:szCs w:val="28"/>
        </w:rPr>
        <w:t>防暴服</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★执行标准：《GA420-2008 防暴服》；</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适合身高尺寸（cm）：包含165cm～185cm；</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质量（kg）：≤7.0 kg；</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击打能量吸收性能：前胸、后背以100J动能冲击防护层，胶泥压痕为≤10mm；</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有效防护面积：前胸及前档：≥0.10㎡；后背：≥0.10㎡；上肢（含肩、肘）：≥0.18㎡；下肢（含脚背）：≥0.30㎡；</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★耐冲击性能：以≥120J动能冲击，防护层不应破损、开裂；</w:t>
      </w:r>
    </w:p>
    <w:p>
      <w:pPr>
        <w:numPr>
          <w:ilvl w:val="0"/>
          <w:numId w:val="37"/>
        </w:numPr>
        <w:tabs>
          <w:tab w:val="left" w:pos="0"/>
        </w:tabs>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★防刺性能：前胸、后背、前裆防护层≥20J动能穿刺，刀尖不穿透；</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提供公安部特种警用装备质量监督检验中心出具的合格的检测报告（复印件加盖公章），开标时原件备查；</w:t>
      </w:r>
    </w:p>
    <w:p>
      <w:pPr>
        <w:numPr>
          <w:ilvl w:val="0"/>
          <w:numId w:val="37"/>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提供不低于500 万元的产品质量和责任保险保单（保单复印件加盖公章）；</w:t>
      </w:r>
    </w:p>
    <w:p>
      <w:pPr>
        <w:numPr>
          <w:ilvl w:val="0"/>
          <w:numId w:val="37"/>
        </w:numPr>
        <w:tabs>
          <w:tab w:val="left" w:pos="0"/>
        </w:tabs>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打★参数要求在检测报告中体现。</w:t>
      </w:r>
    </w:p>
    <w:p>
      <w:pPr>
        <w:pStyle w:val="57"/>
        <w:ind w:firstLine="280"/>
        <w:rPr>
          <w:rFonts w:ascii="仿宋" w:hAnsi="仿宋" w:eastAsia="仿宋" w:cs="仿宋"/>
          <w:sz w:val="28"/>
          <w:szCs w:val="28"/>
        </w:rPr>
      </w:pPr>
      <w:r>
        <w:rPr>
          <w:rFonts w:hint="eastAsia" w:ascii="仿宋" w:hAnsi="仿宋" w:eastAsia="仿宋" w:cs="仿宋"/>
          <w:color w:val="000000"/>
          <w:kern w:val="0"/>
          <w:sz w:val="28"/>
          <w:szCs w:val="28"/>
        </w:rPr>
        <w:t xml:space="preserve"> </w:t>
      </w:r>
    </w:p>
    <w:p>
      <w:pPr>
        <w:numPr>
          <w:ilvl w:val="0"/>
          <w:numId w:val="35"/>
        </w:numPr>
        <w:ind w:firstLine="560" w:firstLineChars="200"/>
        <w:rPr>
          <w:rFonts w:ascii="仿宋" w:hAnsi="仿宋" w:eastAsia="仿宋" w:cs="仿宋"/>
          <w:bCs/>
          <w:sz w:val="28"/>
          <w:szCs w:val="28"/>
        </w:rPr>
      </w:pPr>
      <w:r>
        <w:rPr>
          <w:rFonts w:hint="eastAsia" w:ascii="仿宋" w:hAnsi="仿宋" w:eastAsia="仿宋" w:cs="仿宋"/>
          <w:bCs/>
          <w:sz w:val="28"/>
          <w:szCs w:val="28"/>
        </w:rPr>
        <w:t>防刺服</w:t>
      </w:r>
    </w:p>
    <w:p>
      <w:pPr>
        <w:numPr>
          <w:ilvl w:val="0"/>
          <w:numId w:val="38"/>
        </w:numPr>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w:t>
      </w:r>
      <w:r>
        <w:rPr>
          <w:rFonts w:hint="eastAsia" w:ascii="仿宋" w:hAnsi="仿宋" w:eastAsia="仿宋" w:cs="仿宋"/>
          <w:sz w:val="28"/>
          <w:szCs w:val="28"/>
        </w:rPr>
        <w:t>执行标准：GA 68-2019《警用防刺服》A类非金属防刺服；</w:t>
      </w:r>
    </w:p>
    <w:p>
      <w:pPr>
        <w:pStyle w:val="24"/>
        <w:numPr>
          <w:ilvl w:val="0"/>
          <w:numId w:val="38"/>
        </w:numPr>
        <w:ind w:firstLine="560" w:firstLineChars="200"/>
        <w:rPr>
          <w:rFonts w:ascii="仿宋" w:hAnsi="仿宋" w:eastAsia="仿宋" w:cs="仿宋"/>
          <w:szCs w:val="28"/>
        </w:rPr>
      </w:pPr>
      <w:r>
        <w:rPr>
          <w:rFonts w:hint="eastAsia" w:ascii="仿宋" w:hAnsi="仿宋" w:eastAsia="仿宋" w:cs="仿宋"/>
          <w:color w:val="000000"/>
          <w:kern w:val="0"/>
          <w:szCs w:val="28"/>
        </w:rPr>
        <w:t>★</w:t>
      </w:r>
      <w:r>
        <w:rPr>
          <w:rFonts w:hint="eastAsia" w:ascii="仿宋" w:hAnsi="仿宋" w:eastAsia="仿宋" w:cs="仿宋"/>
          <w:szCs w:val="28"/>
        </w:rPr>
        <w:t>防刺层主要结构：≥17层芳纶纤维浸胶机织布；</w:t>
      </w:r>
    </w:p>
    <w:p>
      <w:pPr>
        <w:numPr>
          <w:ilvl w:val="0"/>
          <w:numId w:val="38"/>
        </w:numPr>
        <w:ind w:firstLine="560" w:firstLineChars="200"/>
        <w:rPr>
          <w:rFonts w:ascii="仿宋" w:hAnsi="仿宋" w:eastAsia="仿宋" w:cs="仿宋"/>
          <w:sz w:val="28"/>
          <w:szCs w:val="28"/>
        </w:rPr>
      </w:pPr>
      <w:r>
        <w:rPr>
          <w:rFonts w:hint="eastAsia" w:ascii="仿宋" w:hAnsi="仿宋" w:eastAsia="仿宋" w:cs="仿宋"/>
          <w:sz w:val="28"/>
          <w:szCs w:val="28"/>
        </w:rPr>
        <w:t>防刺服重量：≤2.8kg；</w:t>
      </w:r>
    </w:p>
    <w:p>
      <w:pPr>
        <w:numPr>
          <w:ilvl w:val="0"/>
          <w:numId w:val="38"/>
        </w:numPr>
        <w:ind w:firstLine="560" w:firstLineChars="200"/>
        <w:rPr>
          <w:rFonts w:ascii="仿宋" w:hAnsi="仿宋" w:eastAsia="仿宋" w:cs="仿宋"/>
          <w:sz w:val="28"/>
          <w:szCs w:val="28"/>
        </w:rPr>
      </w:pPr>
      <w:r>
        <w:rPr>
          <w:rFonts w:hint="eastAsia" w:ascii="仿宋" w:hAnsi="仿宋" w:eastAsia="仿宋" w:cs="仿宋"/>
          <w:sz w:val="28"/>
          <w:szCs w:val="28"/>
        </w:rPr>
        <w:t>防护面积：≥0.25㎡；</w:t>
      </w:r>
    </w:p>
    <w:p>
      <w:pPr>
        <w:numPr>
          <w:ilvl w:val="0"/>
          <w:numId w:val="38"/>
        </w:numPr>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w:t>
      </w:r>
      <w:r>
        <w:rPr>
          <w:rFonts w:hint="eastAsia" w:ascii="仿宋" w:hAnsi="仿宋" w:eastAsia="仿宋" w:cs="仿宋"/>
          <w:sz w:val="28"/>
          <w:szCs w:val="28"/>
        </w:rPr>
        <w:t>防刺性能：用标准试验刀具，以≥23J动能垂直刺入防护部件，刀尖不应穿透</w:t>
      </w:r>
      <w:r>
        <w:rPr>
          <w:rFonts w:hint="eastAsia" w:ascii="仿宋" w:hAnsi="仿宋" w:eastAsia="仿宋" w:cs="仿宋"/>
          <w:color w:val="000000"/>
          <w:kern w:val="0"/>
          <w:sz w:val="28"/>
          <w:szCs w:val="28"/>
        </w:rPr>
        <w:t>；</w:t>
      </w:r>
    </w:p>
    <w:p>
      <w:pPr>
        <w:numPr>
          <w:ilvl w:val="0"/>
          <w:numId w:val="38"/>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提供公安部特种警用装备质量监督检验中心出具的合格的检测报告（复印件加盖公章），开标时原件备查；</w:t>
      </w:r>
    </w:p>
    <w:p>
      <w:pPr>
        <w:numPr>
          <w:ilvl w:val="0"/>
          <w:numId w:val="38"/>
        </w:numPr>
        <w:tabs>
          <w:tab w:val="left" w:pos="0"/>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提供不低于500 万元的产品质量和责任保险保单（保单复印件加盖公章）；</w:t>
      </w:r>
    </w:p>
    <w:p>
      <w:pPr>
        <w:numPr>
          <w:ilvl w:val="0"/>
          <w:numId w:val="38"/>
        </w:numPr>
        <w:tabs>
          <w:tab w:val="left" w:pos="0"/>
        </w:tabs>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打★参数要求在检测报告中体现。</w:t>
      </w:r>
    </w:p>
    <w:p>
      <w:pPr>
        <w:pStyle w:val="57"/>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9.提供样品</w:t>
      </w:r>
    </w:p>
    <w:p>
      <w:pPr>
        <w:pStyle w:val="24"/>
        <w:ind w:firstLine="560" w:firstLineChars="200"/>
        <w:rPr>
          <w:rFonts w:ascii="仿宋" w:hAnsi="仿宋" w:eastAsia="仿宋" w:cs="仿宋"/>
          <w:szCs w:val="28"/>
        </w:rPr>
      </w:pPr>
    </w:p>
    <w:p>
      <w:pPr>
        <w:numPr>
          <w:ilvl w:val="0"/>
          <w:numId w:val="35"/>
        </w:numPr>
        <w:ind w:firstLine="560" w:firstLineChars="200"/>
        <w:rPr>
          <w:rFonts w:ascii="仿宋" w:hAnsi="仿宋" w:eastAsia="仿宋" w:cs="仿宋"/>
          <w:bCs/>
          <w:sz w:val="28"/>
          <w:szCs w:val="28"/>
        </w:rPr>
      </w:pPr>
      <w:r>
        <w:rPr>
          <w:rFonts w:hint="eastAsia" w:ascii="仿宋" w:hAnsi="仿宋" w:eastAsia="仿宋" w:cs="仿宋"/>
          <w:bCs/>
          <w:sz w:val="28"/>
          <w:szCs w:val="28"/>
        </w:rPr>
        <w:t>防割手套</w:t>
      </w:r>
    </w:p>
    <w:p>
      <w:pPr>
        <w:numPr>
          <w:ilvl w:val="0"/>
          <w:numId w:val="39"/>
        </w:numPr>
        <w:tabs>
          <w:tab w:val="left" w:pos="312"/>
        </w:tabs>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w:t>
      </w:r>
      <w:r>
        <w:rPr>
          <w:rFonts w:hint="eastAsia" w:ascii="仿宋" w:hAnsi="仿宋" w:eastAsia="仿宋" w:cs="仿宋"/>
          <w:sz w:val="28"/>
          <w:szCs w:val="28"/>
        </w:rPr>
        <w:t>执行标准：《GA 614-2006 警用防割手套》；</w:t>
      </w:r>
    </w:p>
    <w:p>
      <w:pPr>
        <w:numPr>
          <w:ilvl w:val="0"/>
          <w:numId w:val="39"/>
        </w:numPr>
        <w:tabs>
          <w:tab w:val="left" w:pos="312"/>
        </w:tabs>
        <w:ind w:firstLine="560" w:firstLineChars="200"/>
        <w:rPr>
          <w:rFonts w:ascii="仿宋" w:hAnsi="仿宋" w:eastAsia="仿宋" w:cs="仿宋"/>
          <w:sz w:val="28"/>
          <w:szCs w:val="28"/>
        </w:rPr>
      </w:pPr>
      <w:r>
        <w:rPr>
          <w:rFonts w:hint="eastAsia" w:ascii="仿宋" w:hAnsi="仿宋" w:eastAsia="仿宋" w:cs="仿宋"/>
          <w:sz w:val="28"/>
          <w:szCs w:val="28"/>
        </w:rPr>
        <w:t>材质：采用超高分子材料包裹金属不锈钢丝；</w:t>
      </w:r>
    </w:p>
    <w:p>
      <w:pPr>
        <w:numPr>
          <w:ilvl w:val="0"/>
          <w:numId w:val="39"/>
        </w:numPr>
        <w:tabs>
          <w:tab w:val="left" w:pos="312"/>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sz w:val="28"/>
          <w:szCs w:val="28"/>
        </w:rPr>
        <w:t>防割性能：用专用手套切割试验机，设定刀口压力为 20N，刀片转速为 20r/min，在防割手套的掌部或背部垂直手指方向进行 5 次切割，每次割穿发生时，切割周数均大于 7，耐切割系数≥ 2.5；</w:t>
      </w:r>
    </w:p>
    <w:p>
      <w:pPr>
        <w:numPr>
          <w:ilvl w:val="0"/>
          <w:numId w:val="39"/>
        </w:numPr>
        <w:tabs>
          <w:tab w:val="left" w:pos="312"/>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提供公安部特种警用装备质量监督检验中心出具的合格的检测报告（复印件加盖公章），开标时原件备查；</w:t>
      </w:r>
    </w:p>
    <w:p>
      <w:pPr>
        <w:numPr>
          <w:ilvl w:val="0"/>
          <w:numId w:val="39"/>
        </w:numPr>
        <w:tabs>
          <w:tab w:val="left" w:pos="312"/>
        </w:tabs>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提供不低于500 万元的产品质量和责任保险保单（保单复印件加盖公章）；</w:t>
      </w:r>
    </w:p>
    <w:p>
      <w:pPr>
        <w:numPr>
          <w:ilvl w:val="0"/>
          <w:numId w:val="39"/>
        </w:numPr>
        <w:tabs>
          <w:tab w:val="left" w:pos="312"/>
        </w:tabs>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打★参数要求在检测报告中体现。</w:t>
      </w:r>
    </w:p>
    <w:p>
      <w:pPr>
        <w:pStyle w:val="24"/>
        <w:ind w:left="420" w:leftChars="200"/>
        <w:rPr>
          <w:rFonts w:ascii="仿宋" w:hAnsi="仿宋" w:eastAsia="仿宋" w:cs="仿宋"/>
          <w:szCs w:val="28"/>
        </w:rPr>
      </w:pPr>
      <w:r>
        <w:rPr>
          <w:rFonts w:hint="eastAsia" w:ascii="仿宋" w:hAnsi="仿宋" w:eastAsia="仿宋" w:cs="仿宋"/>
          <w:szCs w:val="28"/>
        </w:rPr>
        <w:t>7.提供样品</w:t>
      </w:r>
    </w:p>
    <w:p>
      <w:pPr>
        <w:pStyle w:val="24"/>
        <w:ind w:left="420" w:leftChars="200"/>
        <w:rPr>
          <w:rFonts w:ascii="仿宋" w:hAnsi="仿宋" w:eastAsia="仿宋" w:cs="仿宋"/>
          <w:szCs w:val="28"/>
        </w:rPr>
      </w:pPr>
    </w:p>
    <w:p>
      <w:pPr>
        <w:numPr>
          <w:ilvl w:val="0"/>
          <w:numId w:val="35"/>
        </w:numPr>
        <w:ind w:firstLine="560" w:firstLineChars="200"/>
        <w:rPr>
          <w:rFonts w:ascii="仿宋" w:hAnsi="仿宋" w:eastAsia="仿宋" w:cs="仿宋"/>
          <w:bCs/>
          <w:sz w:val="28"/>
          <w:szCs w:val="28"/>
        </w:rPr>
      </w:pPr>
      <w:r>
        <w:rPr>
          <w:rFonts w:hint="eastAsia" w:ascii="仿宋" w:hAnsi="仿宋" w:eastAsia="仿宋" w:cs="仿宋"/>
          <w:bCs/>
          <w:sz w:val="28"/>
          <w:szCs w:val="28"/>
        </w:rPr>
        <w:t>防割护脖</w:t>
      </w:r>
    </w:p>
    <w:p>
      <w:pPr>
        <w:widowControl/>
        <w:numPr>
          <w:ilvl w:val="0"/>
          <w:numId w:val="40"/>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采用防割纤维或PC材料；</w:t>
      </w:r>
    </w:p>
    <w:p>
      <w:pPr>
        <w:widowControl/>
        <w:numPr>
          <w:ilvl w:val="0"/>
          <w:numId w:val="40"/>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具有防割及防刺功能；</w:t>
      </w:r>
    </w:p>
    <w:p>
      <w:pPr>
        <w:widowControl/>
        <w:numPr>
          <w:ilvl w:val="0"/>
          <w:numId w:val="40"/>
        </w:numPr>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提供相关检测机构出具的检测报告；</w:t>
      </w:r>
    </w:p>
    <w:p>
      <w:pPr>
        <w:widowControl/>
        <w:numPr>
          <w:ilvl w:val="0"/>
          <w:numId w:val="40"/>
        </w:numPr>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提供不低于 300 万元的产品质量和责任保险（保险公司保单复印件加盖公章）。</w:t>
      </w:r>
    </w:p>
    <w:p>
      <w:pPr>
        <w:pStyle w:val="24"/>
        <w:ind w:firstLine="560" w:firstLineChars="200"/>
        <w:rPr>
          <w:rFonts w:ascii="仿宋" w:hAnsi="仿宋" w:eastAsia="仿宋" w:cs="仿宋"/>
          <w:szCs w:val="28"/>
        </w:rPr>
      </w:pPr>
      <w:r>
        <w:rPr>
          <w:rFonts w:hint="eastAsia" w:ascii="仿宋" w:hAnsi="仿宋" w:eastAsia="仿宋" w:cs="仿宋"/>
          <w:szCs w:val="28"/>
        </w:rPr>
        <w:t>5.提供样品</w:t>
      </w:r>
    </w:p>
    <w:p>
      <w:pPr>
        <w:pStyle w:val="24"/>
        <w:ind w:firstLine="560" w:firstLineChars="200"/>
        <w:rPr>
          <w:rFonts w:ascii="仿宋" w:hAnsi="仿宋" w:eastAsia="仿宋" w:cs="仿宋"/>
          <w:szCs w:val="28"/>
        </w:rPr>
      </w:pPr>
    </w:p>
    <w:p>
      <w:pPr>
        <w:numPr>
          <w:ilvl w:val="0"/>
          <w:numId w:val="35"/>
        </w:numPr>
        <w:ind w:firstLine="560" w:firstLineChars="200"/>
        <w:rPr>
          <w:rFonts w:ascii="仿宋" w:hAnsi="仿宋" w:eastAsia="仿宋" w:cs="仿宋"/>
          <w:bCs/>
          <w:sz w:val="28"/>
          <w:szCs w:val="28"/>
        </w:rPr>
      </w:pPr>
      <w:r>
        <w:rPr>
          <w:rFonts w:hint="eastAsia" w:ascii="仿宋" w:hAnsi="仿宋" w:eastAsia="仿宋" w:cs="仿宋"/>
          <w:bCs/>
          <w:sz w:val="28"/>
          <w:szCs w:val="28"/>
        </w:rPr>
        <w:t>防暴盾牌</w:t>
      </w:r>
    </w:p>
    <w:p>
      <w:pPr>
        <w:widowControl/>
        <w:numPr>
          <w:ilvl w:val="0"/>
          <w:numId w:val="41"/>
        </w:numPr>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★执行标准：《GA 422-2019 防暴盾牌》；</w:t>
      </w:r>
    </w:p>
    <w:p>
      <w:pPr>
        <w:widowControl/>
        <w:numPr>
          <w:ilvl w:val="0"/>
          <w:numId w:val="41"/>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盾体材质：PC 材料； </w:t>
      </w:r>
    </w:p>
    <w:p>
      <w:pPr>
        <w:widowControl/>
        <w:numPr>
          <w:ilvl w:val="0"/>
          <w:numId w:val="41"/>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盾体尺寸：高度≥900mm；宽度≥500mm；厚度：≥4.0mm； </w:t>
      </w:r>
    </w:p>
    <w:p>
      <w:pPr>
        <w:widowControl/>
        <w:numPr>
          <w:ilvl w:val="0"/>
          <w:numId w:val="41"/>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防护面积：≥0.45 ㎡；  </w:t>
      </w:r>
    </w:p>
    <w:p>
      <w:pPr>
        <w:widowControl/>
        <w:numPr>
          <w:ilvl w:val="0"/>
          <w:numId w:val="41"/>
        </w:numPr>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重量：≤2.7kg； </w:t>
      </w:r>
    </w:p>
    <w:p>
      <w:pPr>
        <w:widowControl/>
        <w:numPr>
          <w:ilvl w:val="0"/>
          <w:numId w:val="41"/>
        </w:numPr>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★耐冲击强度、耐穿刺性能检验、耐击打强度检验均满足技术标准；</w:t>
      </w:r>
    </w:p>
    <w:p>
      <w:pPr>
        <w:numPr>
          <w:ilvl w:val="0"/>
          <w:numId w:val="41"/>
        </w:numPr>
        <w:tabs>
          <w:tab w:val="left" w:pos="312"/>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提供公安部特种警用装备质量监督检验中心出具的合格的检测报告（复印件加盖公章），开标时原件备查；</w:t>
      </w:r>
    </w:p>
    <w:p>
      <w:pPr>
        <w:numPr>
          <w:ilvl w:val="0"/>
          <w:numId w:val="41"/>
        </w:numPr>
        <w:tabs>
          <w:tab w:val="left" w:pos="312"/>
        </w:tabs>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打★参数要求在检测报告中体现。</w:t>
      </w:r>
    </w:p>
    <w:p>
      <w:pPr>
        <w:ind w:firstLine="480"/>
        <w:rPr>
          <w:rFonts w:ascii="仿宋" w:hAnsi="仿宋" w:eastAsia="仿宋" w:cs="仿宋"/>
          <w:sz w:val="28"/>
          <w:szCs w:val="28"/>
        </w:rPr>
      </w:pPr>
      <w:r>
        <w:rPr>
          <w:rFonts w:hint="eastAsia" w:ascii="仿宋" w:hAnsi="仿宋" w:eastAsia="仿宋" w:cs="仿宋"/>
          <w:sz w:val="28"/>
          <w:szCs w:val="28"/>
        </w:rPr>
        <w:t>9.提供样品</w:t>
      </w:r>
    </w:p>
    <w:p>
      <w:pPr>
        <w:pStyle w:val="57"/>
        <w:ind w:left="420" w:leftChars="200" w:firstLine="0" w:firstLineChars="0"/>
        <w:rPr>
          <w:rFonts w:ascii="仿宋" w:hAnsi="仿宋" w:eastAsia="仿宋" w:cs="仿宋"/>
          <w:sz w:val="28"/>
          <w:szCs w:val="28"/>
        </w:rPr>
      </w:pPr>
    </w:p>
    <w:p>
      <w:pPr>
        <w:numPr>
          <w:ilvl w:val="0"/>
          <w:numId w:val="35"/>
        </w:numPr>
        <w:ind w:firstLine="560" w:firstLineChars="200"/>
        <w:rPr>
          <w:rFonts w:ascii="仿宋" w:hAnsi="仿宋" w:eastAsia="仿宋" w:cs="仿宋"/>
          <w:bCs/>
          <w:sz w:val="28"/>
          <w:szCs w:val="28"/>
        </w:rPr>
      </w:pPr>
      <w:r>
        <w:rPr>
          <w:rFonts w:hint="eastAsia" w:ascii="仿宋" w:hAnsi="仿宋" w:eastAsia="仿宋" w:cs="仿宋"/>
          <w:bCs/>
          <w:sz w:val="28"/>
          <w:szCs w:val="28"/>
        </w:rPr>
        <w:t>警用长棍</w:t>
      </w:r>
    </w:p>
    <w:p>
      <w:pPr>
        <w:numPr>
          <w:ilvl w:val="0"/>
          <w:numId w:val="42"/>
        </w:numPr>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w:t>
      </w:r>
      <w:r>
        <w:rPr>
          <w:rFonts w:hint="eastAsia" w:ascii="仿宋" w:hAnsi="仿宋" w:eastAsia="仿宋" w:cs="仿宋"/>
          <w:sz w:val="28"/>
          <w:szCs w:val="28"/>
        </w:rPr>
        <w:t>执行标准：《GA1124-2013长警棍》；</w:t>
      </w:r>
    </w:p>
    <w:p>
      <w:pPr>
        <w:widowControl/>
        <w:numPr>
          <w:ilvl w:val="0"/>
          <w:numId w:val="42"/>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尺寸：棍体总长度：≥1.6m； </w:t>
      </w:r>
    </w:p>
    <w:p>
      <w:pPr>
        <w:widowControl/>
        <w:numPr>
          <w:ilvl w:val="0"/>
          <w:numId w:val="42"/>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★重量：≤1.1kg；</w:t>
      </w:r>
    </w:p>
    <w:p>
      <w:pPr>
        <w:widowControl/>
        <w:numPr>
          <w:ilvl w:val="0"/>
          <w:numId w:val="42"/>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★抗拉性能：长警棍在≥ 2000N 拉力作用下，棍体未出现裂纹或断裂；</w:t>
      </w:r>
    </w:p>
    <w:p>
      <w:pPr>
        <w:widowControl/>
        <w:numPr>
          <w:ilvl w:val="0"/>
          <w:numId w:val="42"/>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★抗击打性能：≥2000 次 ；</w:t>
      </w:r>
    </w:p>
    <w:p>
      <w:pPr>
        <w:widowControl/>
        <w:numPr>
          <w:ilvl w:val="0"/>
          <w:numId w:val="42"/>
        </w:numPr>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长警棍应具有阻燃性，棍体表面续燃时间应≤5S；  </w:t>
      </w:r>
    </w:p>
    <w:p>
      <w:pPr>
        <w:widowControl/>
        <w:numPr>
          <w:ilvl w:val="0"/>
          <w:numId w:val="42"/>
        </w:numPr>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提供公安部特种警用装备质量监督检验中心出具的检验报告（复印件加盖公章）。 </w:t>
      </w:r>
    </w:p>
    <w:p>
      <w:pPr>
        <w:pStyle w:val="31"/>
        <w:spacing w:before="120" w:after="120"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标项六商务需求表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▲项目工期（交货期）及地点</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代储合同签订之日起一个月内，由中标人完成代储应急物资储备。如招标人需使用，由中标人负责在10小时内将装备物资运抵招标人指定地点。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▲付款条件（明确是否需要履约保证金）</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代储服务费用及所使用代储装备物资费用，由招标人在合同服务期满后30个工作日内一次性按实支付。若招标人未使用代储装备物资，招标人仅需支付代储服务费用。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履约保证金</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违约责任及争议解决方式</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质保期</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3年，使用应急物资自交付货物并验收合格之日开始计算。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验收标准</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1.使用代储应急物资时，中标人接到招标人指令将物资运抵现场后，招标人根据货物的技术规格要求和质量标准，对货物进行检查验收，对货物有异议，招标人有权当场拒收。如果发现数量不足或有质量、技术等问题，投标人应负责按照招标人的要求采取补足、更换或退货等处理措施，并承担由此发生的一切损失和费用。</w:t>
            </w:r>
          </w:p>
          <w:p>
            <w:pPr>
              <w:rPr>
                <w:rFonts w:ascii="仿宋" w:hAnsi="仿宋" w:eastAsia="仿宋" w:cs="仿宋"/>
                <w:sz w:val="28"/>
                <w:szCs w:val="28"/>
              </w:rPr>
            </w:pPr>
            <w:r>
              <w:rPr>
                <w:rFonts w:hint="eastAsia" w:ascii="仿宋" w:hAnsi="仿宋" w:eastAsia="仿宋" w:cs="仿宋"/>
                <w:sz w:val="28"/>
                <w:szCs w:val="28"/>
              </w:rPr>
              <w:t>2.招标人有权对所使用的代储物资按进行抽样并送交具有相关检测资质的检测机构进行检测，抽检产品费用由中标人承担。产品经检测合格的，检验费用由招标人支付。经检测，货物质量不符合技术要求和质量标准的，检测费用由中标人承担，招标人有权退货；中标人应负责按照招标人的要求采取补足、更换或退货等处理措施，并承担由此发生的一切损失和费用。</w:t>
            </w:r>
          </w:p>
          <w:p>
            <w:pPr>
              <w:rPr>
                <w:rFonts w:ascii="仿宋" w:hAnsi="仿宋" w:eastAsia="仿宋" w:cs="仿宋"/>
                <w:sz w:val="28"/>
                <w:szCs w:val="28"/>
              </w:rPr>
            </w:pPr>
            <w:r>
              <w:rPr>
                <w:rFonts w:hint="eastAsia" w:ascii="仿宋" w:hAnsi="仿宋" w:eastAsia="仿宋" w:cs="仿宋"/>
                <w:sz w:val="28"/>
                <w:szCs w:val="28"/>
              </w:rPr>
              <w:t>3.招标人有权对代储物资存储数量、物资质量进行抽检，评估物资储备数量、质量等是否达标。若发现质量问题，中标人应该将批次货物全部更换，直至抽检合格为止，所产生的一切费用由中标人承担。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售后服务及培训</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1.使用代储应急物资时，中标人接到招标人指令将物资运抵现场后，招标人根据货物的技术规格要求和质量标准，对货物进行检查验收，对货物有异议，招标人有权当场拒收。如果发现数量不足或有质量、技术等问题，投标人应负责按照招标人的要求采取补足、更换或退货等处理措施，并承担由此发生的一切损失和费用。</w:t>
            </w:r>
          </w:p>
          <w:p>
            <w:pPr>
              <w:rPr>
                <w:rFonts w:ascii="仿宋" w:hAnsi="仿宋" w:eastAsia="仿宋" w:cs="仿宋"/>
                <w:sz w:val="28"/>
                <w:szCs w:val="28"/>
              </w:rPr>
            </w:pPr>
            <w:r>
              <w:rPr>
                <w:rFonts w:hint="eastAsia" w:ascii="仿宋" w:hAnsi="仿宋" w:eastAsia="仿宋" w:cs="仿宋"/>
                <w:sz w:val="28"/>
                <w:szCs w:val="28"/>
              </w:rPr>
              <w:t>2.招标人有权对所使用的代储物资按进行抽样并送交具有相关检测资质的检测机构进行检测，抽检产品费用由中标人承担。产品经检测合格的，检验费用由招标人支付。经检测，货物质量不符合技术要求和质量标准的，检测费用由中标人承担，招标人有权退货；中标人应负责按照招标人的要求采取补足、更换或退货等处理措施，并承担由此发生的一切损失和费用。</w:t>
            </w:r>
          </w:p>
          <w:p>
            <w:pPr>
              <w:rPr>
                <w:rFonts w:ascii="仿宋" w:hAnsi="仿宋" w:eastAsia="仿宋" w:cs="仿宋"/>
                <w:sz w:val="28"/>
                <w:szCs w:val="28"/>
              </w:rPr>
            </w:pPr>
            <w:r>
              <w:rPr>
                <w:rFonts w:hint="eastAsia" w:ascii="仿宋" w:hAnsi="仿宋" w:eastAsia="仿宋" w:cs="仿宋"/>
                <w:sz w:val="28"/>
                <w:szCs w:val="28"/>
              </w:rPr>
              <w:t>3.招标人有权对代储物资存储数量、物资质量进行抽检，评估物资储备数量、质量等是否达标。若发现质量问题，中标人应该将批次货物全部更换，直至抽检合格为止，所产生的一切费用由中标人承担。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管理及质量要求</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（一）管理要求</w:t>
            </w:r>
          </w:p>
          <w:p>
            <w:pPr>
              <w:rPr>
                <w:rFonts w:ascii="仿宋" w:hAnsi="仿宋" w:eastAsia="仿宋" w:cs="仿宋"/>
                <w:sz w:val="28"/>
                <w:szCs w:val="28"/>
              </w:rPr>
            </w:pPr>
            <w:r>
              <w:rPr>
                <w:rFonts w:hint="eastAsia" w:ascii="仿宋" w:hAnsi="仿宋" w:eastAsia="仿宋" w:cs="仿宋"/>
                <w:sz w:val="28"/>
                <w:szCs w:val="28"/>
              </w:rPr>
              <w:t>1.中标人需根据招标文件明确代储物资的品牌、型号、使用单价、储备数量、代储服务费用。</w:t>
            </w:r>
          </w:p>
          <w:p>
            <w:pPr>
              <w:rPr>
                <w:rFonts w:ascii="仿宋" w:hAnsi="仿宋" w:eastAsia="仿宋" w:cs="仿宋"/>
                <w:sz w:val="28"/>
                <w:szCs w:val="28"/>
              </w:rPr>
            </w:pPr>
            <w:r>
              <w:rPr>
                <w:rFonts w:hint="eastAsia" w:ascii="仿宋" w:hAnsi="仿宋" w:eastAsia="仿宋" w:cs="仿宋"/>
                <w:sz w:val="28"/>
                <w:szCs w:val="28"/>
              </w:rPr>
              <w:t>2.中标人应确保代储物资为质量合格的全新产品，在有效使用期内，性能良好。</w:t>
            </w:r>
          </w:p>
          <w:p>
            <w:pPr>
              <w:rPr>
                <w:rFonts w:ascii="仿宋" w:hAnsi="仿宋" w:eastAsia="仿宋" w:cs="仿宋"/>
                <w:sz w:val="28"/>
                <w:szCs w:val="28"/>
              </w:rPr>
            </w:pPr>
            <w:r>
              <w:rPr>
                <w:rFonts w:hint="eastAsia" w:ascii="仿宋" w:hAnsi="仿宋" w:eastAsia="仿宋" w:cs="仿宋"/>
                <w:sz w:val="28"/>
                <w:szCs w:val="28"/>
              </w:rPr>
              <w:t>3.代储物资需在同一地点进行集中存放。</w:t>
            </w:r>
          </w:p>
          <w:p>
            <w:pPr>
              <w:rPr>
                <w:rFonts w:ascii="仿宋" w:hAnsi="仿宋" w:eastAsia="仿宋" w:cs="仿宋"/>
                <w:sz w:val="28"/>
                <w:szCs w:val="28"/>
              </w:rPr>
            </w:pPr>
            <w:r>
              <w:rPr>
                <w:rFonts w:hint="eastAsia" w:ascii="仿宋" w:hAnsi="仿宋" w:eastAsia="仿宋" w:cs="仿宋"/>
                <w:sz w:val="28"/>
                <w:szCs w:val="28"/>
              </w:rPr>
              <w:t>4.中标人负责代储物资日常保养维护，确保物资性能良好。</w:t>
            </w:r>
          </w:p>
          <w:p>
            <w:pPr>
              <w:rPr>
                <w:rFonts w:ascii="仿宋" w:hAnsi="仿宋" w:eastAsia="仿宋" w:cs="仿宋"/>
                <w:sz w:val="28"/>
                <w:szCs w:val="28"/>
              </w:rPr>
            </w:pPr>
            <w:r>
              <w:rPr>
                <w:rFonts w:hint="eastAsia" w:ascii="仿宋" w:hAnsi="仿宋" w:eastAsia="仿宋" w:cs="仿宋"/>
                <w:sz w:val="28"/>
                <w:szCs w:val="28"/>
              </w:rPr>
              <w:t>5.中标人对代储物资应单独建立明细帐簿，确保帐实相符，随时接受、配合招标人检查。</w:t>
            </w:r>
          </w:p>
          <w:p>
            <w:pPr>
              <w:rPr>
                <w:rFonts w:ascii="仿宋" w:hAnsi="仿宋" w:eastAsia="仿宋" w:cs="仿宋"/>
                <w:sz w:val="28"/>
                <w:szCs w:val="28"/>
                <w:highlight w:val="yellow"/>
              </w:rPr>
            </w:pPr>
            <w:r>
              <w:rPr>
                <w:rFonts w:hint="eastAsia" w:ascii="仿宋" w:hAnsi="仿宋" w:eastAsia="仿宋" w:cs="仿宋"/>
                <w:sz w:val="28"/>
                <w:szCs w:val="28"/>
                <w:highlight w:val="yellow"/>
              </w:rPr>
              <w:t>（二）代储地点</w:t>
            </w:r>
          </w:p>
          <w:p>
            <w:pPr>
              <w:rPr>
                <w:rFonts w:ascii="仿宋" w:hAnsi="仿宋" w:eastAsia="仿宋" w:cs="仿宋"/>
                <w:sz w:val="28"/>
                <w:szCs w:val="28"/>
                <w:highlight w:val="yellow"/>
              </w:rPr>
            </w:pPr>
            <w:r>
              <w:rPr>
                <w:rFonts w:hint="eastAsia" w:ascii="仿宋" w:hAnsi="仿宋" w:eastAsia="仿宋" w:cs="仿宋"/>
                <w:sz w:val="28"/>
                <w:szCs w:val="28"/>
                <w:highlight w:val="yellow"/>
              </w:rPr>
              <w:t>储备地点优先安排在交通便利的地点，符合应急物资仓储相关要求。</w:t>
            </w:r>
          </w:p>
          <w:p>
            <w:pPr>
              <w:rPr>
                <w:rFonts w:ascii="仿宋" w:hAnsi="仿宋" w:eastAsia="仿宋" w:cs="仿宋"/>
                <w:sz w:val="28"/>
                <w:szCs w:val="28"/>
              </w:rPr>
            </w:pPr>
            <w:r>
              <w:rPr>
                <w:rFonts w:hint="eastAsia" w:ascii="仿宋" w:hAnsi="仿宋" w:eastAsia="仿宋" w:cs="仿宋"/>
                <w:sz w:val="28"/>
                <w:szCs w:val="28"/>
              </w:rPr>
              <w:t>（三）使用物资要求</w:t>
            </w:r>
          </w:p>
          <w:p>
            <w:pPr>
              <w:rPr>
                <w:rFonts w:ascii="仿宋" w:hAnsi="仿宋" w:eastAsia="仿宋" w:cs="仿宋"/>
                <w:sz w:val="28"/>
                <w:szCs w:val="28"/>
              </w:rPr>
            </w:pPr>
            <w:r>
              <w:rPr>
                <w:rFonts w:hint="eastAsia" w:ascii="仿宋" w:hAnsi="仿宋" w:eastAsia="仿宋" w:cs="仿宋"/>
                <w:sz w:val="28"/>
                <w:szCs w:val="28"/>
              </w:rPr>
              <w:t xml:space="preserve">在代储服务期间，如招标人需使用，由中标人负责在10小时内将装备物资运抵招标人指定地点，招标人验收合格后，招标人按照使用价格在代储期满后支付费用，相关运输费用包含在使用单价内，招标人不另行支付费用。    </w:t>
            </w:r>
          </w:p>
          <w:p>
            <w:pPr>
              <w:rPr>
                <w:rFonts w:ascii="仿宋" w:hAnsi="仿宋" w:eastAsia="仿宋" w:cs="仿宋"/>
                <w:sz w:val="28"/>
                <w:szCs w:val="28"/>
              </w:rPr>
            </w:pPr>
            <w:r>
              <w:rPr>
                <w:rFonts w:hint="eastAsia" w:ascii="仿宋" w:hAnsi="仿宋" w:eastAsia="仿宋" w:cs="仿宋"/>
                <w:sz w:val="28"/>
                <w:szCs w:val="28"/>
              </w:rPr>
              <w:t>（四）代储期限</w:t>
            </w:r>
          </w:p>
          <w:p>
            <w:pPr>
              <w:rPr>
                <w:rFonts w:ascii="仿宋" w:hAnsi="仿宋" w:eastAsia="仿宋" w:cs="仿宋"/>
                <w:sz w:val="28"/>
                <w:szCs w:val="28"/>
              </w:rPr>
            </w:pPr>
            <w:r>
              <w:rPr>
                <w:rFonts w:hint="eastAsia" w:ascii="仿宋" w:hAnsi="仿宋" w:eastAsia="仿宋" w:cs="仿宋"/>
                <w:sz w:val="28"/>
                <w:szCs w:val="28"/>
              </w:rPr>
              <w:t>代储合同签订之日起1年。</w:t>
            </w:r>
          </w:p>
        </w:tc>
      </w:tr>
    </w:tbl>
    <w:p>
      <w:pPr>
        <w:ind w:firstLine="480"/>
        <w:rPr>
          <w:rFonts w:ascii="仿宋" w:hAnsi="仿宋" w:eastAsia="仿宋" w:cs="仿宋"/>
          <w:sz w:val="28"/>
          <w:szCs w:val="28"/>
        </w:rPr>
      </w:pPr>
    </w:p>
    <w:p>
      <w:pPr>
        <w:ind w:firstLine="480"/>
        <w:rPr>
          <w:rFonts w:ascii="仿宋" w:hAnsi="仿宋" w:eastAsia="仿宋" w:cs="仿宋"/>
          <w:bCs/>
          <w:color w:val="000000"/>
          <w:kern w:val="0"/>
          <w:sz w:val="28"/>
          <w:szCs w:val="28"/>
        </w:rPr>
      </w:pPr>
    </w:p>
    <w:p>
      <w:pPr>
        <w:ind w:firstLine="480"/>
        <w:rPr>
          <w:rFonts w:ascii="仿宋" w:hAnsi="仿宋" w:eastAsia="仿宋" w:cs="仿宋"/>
          <w:color w:val="000000"/>
          <w:sz w:val="28"/>
          <w:szCs w:val="28"/>
        </w:rPr>
      </w:pPr>
    </w:p>
    <w:p>
      <w:pPr>
        <w:pStyle w:val="2"/>
        <w:tabs>
          <w:tab w:val="left" w:pos="0"/>
        </w:tabs>
        <w:ind w:firstLine="562" w:firstLineChars="200"/>
        <w:rPr>
          <w:rFonts w:ascii="仿宋" w:hAnsi="仿宋" w:eastAsia="仿宋" w:cs="仿宋"/>
          <w:sz w:val="28"/>
          <w:szCs w:val="28"/>
        </w:rPr>
      </w:pPr>
      <w:r>
        <w:rPr>
          <w:rFonts w:hint="eastAsia" w:ascii="仿宋" w:hAnsi="仿宋" w:eastAsia="仿宋" w:cs="仿宋"/>
          <w:sz w:val="28"/>
          <w:szCs w:val="28"/>
          <w:highlight w:val="lightGray"/>
        </w:rPr>
        <w:t>二、</w:t>
      </w:r>
      <w:r>
        <w:rPr>
          <w:rFonts w:hint="eastAsia" w:ascii="仿宋" w:hAnsi="仿宋" w:eastAsia="仿宋" w:cs="仿宋"/>
          <w:bCs w:val="0"/>
          <w:sz w:val="28"/>
          <w:szCs w:val="28"/>
        </w:rPr>
        <w:t>样品要求</w:t>
      </w:r>
    </w:p>
    <w:tbl>
      <w:tblPr>
        <w:tblStyle w:val="59"/>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785"/>
        <w:gridCol w:w="1116"/>
        <w:gridCol w:w="253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6"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标项</w:t>
            </w:r>
          </w:p>
        </w:tc>
        <w:tc>
          <w:tcPr>
            <w:tcW w:w="3785"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样品名称</w:t>
            </w:r>
          </w:p>
        </w:tc>
        <w:tc>
          <w:tcPr>
            <w:tcW w:w="1116"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样品要求</w:t>
            </w:r>
          </w:p>
        </w:tc>
        <w:tc>
          <w:tcPr>
            <w:tcW w:w="2538"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递交时间及地点</w:t>
            </w:r>
          </w:p>
        </w:tc>
        <w:tc>
          <w:tcPr>
            <w:tcW w:w="737"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6"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标项一</w:t>
            </w:r>
          </w:p>
        </w:tc>
        <w:tc>
          <w:tcPr>
            <w:tcW w:w="3785"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执法记录仪</w:t>
            </w:r>
          </w:p>
        </w:tc>
        <w:tc>
          <w:tcPr>
            <w:tcW w:w="1116" w:type="dxa"/>
            <w:vMerge w:val="restart"/>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现场评审</w:t>
            </w:r>
          </w:p>
          <w:p>
            <w:pPr>
              <w:spacing w:line="276" w:lineRule="auto"/>
              <w:jc w:val="center"/>
              <w:rPr>
                <w:rFonts w:ascii="仿宋" w:hAnsi="仿宋" w:eastAsia="仿宋" w:cs="仿宋"/>
                <w:sz w:val="28"/>
                <w:szCs w:val="28"/>
              </w:rPr>
            </w:pPr>
            <w:r>
              <w:rPr>
                <w:rFonts w:hint="eastAsia" w:ascii="仿宋" w:hAnsi="仿宋" w:eastAsia="仿宋" w:cs="仿宋"/>
                <w:sz w:val="28"/>
                <w:szCs w:val="28"/>
              </w:rPr>
              <w:t>样品</w:t>
            </w:r>
          </w:p>
        </w:tc>
        <w:tc>
          <w:tcPr>
            <w:tcW w:w="2538" w:type="dxa"/>
            <w:vMerge w:val="restart"/>
            <w:vAlign w:val="center"/>
          </w:tcPr>
          <w:p>
            <w:pPr>
              <w:spacing w:line="276" w:lineRule="auto"/>
              <w:rPr>
                <w:rFonts w:ascii="仿宋" w:hAnsi="仿宋" w:eastAsia="仿宋" w:cs="仿宋"/>
                <w:sz w:val="28"/>
                <w:szCs w:val="28"/>
              </w:rPr>
            </w:pPr>
            <w:r>
              <w:rPr>
                <w:rFonts w:hint="eastAsia" w:ascii="仿宋" w:hAnsi="仿宋" w:eastAsia="仿宋"/>
                <w:sz w:val="24"/>
                <w:szCs w:val="24"/>
              </w:rPr>
              <w:t>投标样品以邮寄的方式，由快递送达至浙江省政府采购中心。接收样品的快递时间为：2021年10月11日，上午8:30-11:00时，下午14:00-17：00。收件填写人：陶振宇，联系方式：0571-88901836，收件地址：浙江省杭州市下城区环城北路305号耀江发展中心二楼会议室。</w:t>
            </w:r>
          </w:p>
        </w:tc>
        <w:tc>
          <w:tcPr>
            <w:tcW w:w="737" w:type="dxa"/>
            <w:vMerge w:val="restart"/>
            <w:vAlign w:val="center"/>
          </w:tcPr>
          <w:p>
            <w:pPr>
              <w:spacing w:line="276" w:lineRule="auto"/>
              <w:rPr>
                <w:rFonts w:ascii="仿宋" w:hAnsi="仿宋" w:eastAsia="仿宋" w:cs="仿宋"/>
                <w:sz w:val="28"/>
                <w:szCs w:val="28"/>
                <w:highlight w:val="yellow"/>
              </w:rPr>
            </w:pPr>
            <w:r>
              <w:rPr>
                <w:rFonts w:hint="eastAsia" w:ascii="仿宋" w:hAnsi="仿宋" w:eastAsia="仿宋" w:cs="仿宋"/>
                <w:sz w:val="28"/>
                <w:szCs w:val="28"/>
                <w:highlight w:val="yellow"/>
              </w:rPr>
              <w:t>每种样品提供数量各1件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6"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标项二</w:t>
            </w:r>
          </w:p>
        </w:tc>
        <w:tc>
          <w:tcPr>
            <w:tcW w:w="3785"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复合防爆毯</w:t>
            </w:r>
          </w:p>
        </w:tc>
        <w:tc>
          <w:tcPr>
            <w:tcW w:w="1116" w:type="dxa"/>
            <w:vMerge w:val="continue"/>
            <w:vAlign w:val="center"/>
          </w:tcPr>
          <w:p>
            <w:pPr>
              <w:spacing w:line="276" w:lineRule="auto"/>
              <w:jc w:val="center"/>
              <w:rPr>
                <w:rFonts w:ascii="仿宋" w:hAnsi="仿宋" w:eastAsia="仿宋" w:cs="仿宋"/>
                <w:sz w:val="28"/>
                <w:szCs w:val="28"/>
              </w:rPr>
            </w:pPr>
          </w:p>
        </w:tc>
        <w:tc>
          <w:tcPr>
            <w:tcW w:w="2538" w:type="dxa"/>
            <w:vMerge w:val="continue"/>
            <w:vAlign w:val="center"/>
          </w:tcPr>
          <w:p>
            <w:pPr>
              <w:spacing w:line="276" w:lineRule="auto"/>
              <w:rPr>
                <w:rFonts w:ascii="仿宋" w:hAnsi="仿宋" w:eastAsia="仿宋" w:cs="仿宋"/>
                <w:sz w:val="28"/>
                <w:szCs w:val="28"/>
              </w:rPr>
            </w:pPr>
          </w:p>
        </w:tc>
        <w:tc>
          <w:tcPr>
            <w:tcW w:w="737" w:type="dxa"/>
            <w:vMerge w:val="continue"/>
            <w:vAlign w:val="center"/>
          </w:tcPr>
          <w:p>
            <w:pPr>
              <w:spacing w:line="276"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06"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标项三</w:t>
            </w:r>
          </w:p>
        </w:tc>
        <w:tc>
          <w:tcPr>
            <w:tcW w:w="3785"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手持式金属探测器</w:t>
            </w:r>
          </w:p>
        </w:tc>
        <w:tc>
          <w:tcPr>
            <w:tcW w:w="1116" w:type="dxa"/>
            <w:vMerge w:val="continue"/>
            <w:vAlign w:val="center"/>
          </w:tcPr>
          <w:p>
            <w:pPr>
              <w:spacing w:line="276" w:lineRule="auto"/>
              <w:jc w:val="center"/>
              <w:rPr>
                <w:rFonts w:ascii="仿宋" w:hAnsi="仿宋" w:eastAsia="仿宋" w:cs="仿宋"/>
                <w:sz w:val="28"/>
                <w:szCs w:val="28"/>
              </w:rPr>
            </w:pPr>
          </w:p>
        </w:tc>
        <w:tc>
          <w:tcPr>
            <w:tcW w:w="2538" w:type="dxa"/>
            <w:vMerge w:val="continue"/>
            <w:vAlign w:val="center"/>
          </w:tcPr>
          <w:p>
            <w:pPr>
              <w:spacing w:line="276" w:lineRule="auto"/>
              <w:rPr>
                <w:rFonts w:ascii="仿宋" w:hAnsi="仿宋" w:eastAsia="仿宋" w:cs="仿宋"/>
                <w:sz w:val="28"/>
                <w:szCs w:val="28"/>
              </w:rPr>
            </w:pPr>
          </w:p>
        </w:tc>
        <w:tc>
          <w:tcPr>
            <w:tcW w:w="737" w:type="dxa"/>
            <w:vMerge w:val="continue"/>
            <w:vAlign w:val="center"/>
          </w:tcPr>
          <w:p>
            <w:pPr>
              <w:spacing w:line="276"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6"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标项四</w:t>
            </w:r>
          </w:p>
        </w:tc>
        <w:tc>
          <w:tcPr>
            <w:tcW w:w="3785" w:type="dxa"/>
            <w:vAlign w:val="center"/>
          </w:tcPr>
          <w:p>
            <w:pPr>
              <w:spacing w:line="276" w:lineRule="auto"/>
              <w:jc w:val="left"/>
              <w:rPr>
                <w:rFonts w:ascii="仿宋" w:hAnsi="仿宋" w:eastAsia="仿宋" w:cs="仿宋"/>
                <w:sz w:val="28"/>
                <w:szCs w:val="28"/>
              </w:rPr>
            </w:pPr>
            <w:r>
              <w:rPr>
                <w:rFonts w:hint="eastAsia" w:ascii="仿宋" w:hAnsi="仿宋" w:eastAsia="仿宋" w:cs="仿宋"/>
                <w:sz w:val="28"/>
                <w:szCs w:val="28"/>
              </w:rPr>
              <w:t>多功能背心、应急切割笔、警用便携式气溶胶灭火器、便携式无人机管设备、警用抓捕器</w:t>
            </w:r>
          </w:p>
        </w:tc>
        <w:tc>
          <w:tcPr>
            <w:tcW w:w="1116" w:type="dxa"/>
            <w:vMerge w:val="continue"/>
            <w:vAlign w:val="center"/>
          </w:tcPr>
          <w:p>
            <w:pPr>
              <w:spacing w:line="276" w:lineRule="auto"/>
              <w:jc w:val="center"/>
              <w:rPr>
                <w:rFonts w:ascii="仿宋" w:hAnsi="仿宋" w:eastAsia="仿宋" w:cs="仿宋"/>
                <w:sz w:val="28"/>
                <w:szCs w:val="28"/>
              </w:rPr>
            </w:pPr>
          </w:p>
        </w:tc>
        <w:tc>
          <w:tcPr>
            <w:tcW w:w="2538" w:type="dxa"/>
            <w:vMerge w:val="continue"/>
            <w:vAlign w:val="center"/>
          </w:tcPr>
          <w:p>
            <w:pPr>
              <w:spacing w:line="276" w:lineRule="auto"/>
              <w:rPr>
                <w:rFonts w:ascii="仿宋" w:hAnsi="仿宋" w:eastAsia="仿宋" w:cs="仿宋"/>
                <w:sz w:val="28"/>
                <w:szCs w:val="28"/>
              </w:rPr>
            </w:pPr>
          </w:p>
        </w:tc>
        <w:tc>
          <w:tcPr>
            <w:tcW w:w="737" w:type="dxa"/>
            <w:vMerge w:val="continue"/>
            <w:vAlign w:val="center"/>
          </w:tcPr>
          <w:p>
            <w:pPr>
              <w:spacing w:line="276"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06" w:type="dxa"/>
            <w:vAlign w:val="center"/>
          </w:tcPr>
          <w:p>
            <w:pPr>
              <w:spacing w:line="276" w:lineRule="auto"/>
              <w:jc w:val="center"/>
              <w:rPr>
                <w:rFonts w:ascii="仿宋" w:hAnsi="仿宋" w:eastAsia="仿宋" w:cs="仿宋"/>
                <w:sz w:val="28"/>
                <w:szCs w:val="28"/>
              </w:rPr>
            </w:pPr>
            <w:r>
              <w:rPr>
                <w:rFonts w:hint="eastAsia" w:ascii="仿宋" w:hAnsi="仿宋" w:eastAsia="仿宋" w:cs="仿宋"/>
                <w:sz w:val="28"/>
                <w:szCs w:val="28"/>
              </w:rPr>
              <w:t>标项五</w:t>
            </w:r>
          </w:p>
        </w:tc>
        <w:tc>
          <w:tcPr>
            <w:tcW w:w="3785" w:type="dxa"/>
            <w:vAlign w:val="center"/>
          </w:tcPr>
          <w:p>
            <w:pPr>
              <w:spacing w:line="276" w:lineRule="auto"/>
              <w:rPr>
                <w:rFonts w:ascii="仿宋" w:hAnsi="仿宋" w:eastAsia="仿宋" w:cs="仿宋"/>
                <w:sz w:val="28"/>
                <w:szCs w:val="28"/>
              </w:rPr>
            </w:pPr>
            <w:r>
              <w:rPr>
                <w:rFonts w:hint="eastAsia" w:ascii="仿宋" w:hAnsi="仿宋" w:eastAsia="仿宋" w:cs="仿宋"/>
                <w:sz w:val="28"/>
                <w:szCs w:val="28"/>
              </w:rPr>
              <w:t>便携式高空悬停灯、救生手环、强光搜索灯、折叠式桌椅</w:t>
            </w:r>
          </w:p>
        </w:tc>
        <w:tc>
          <w:tcPr>
            <w:tcW w:w="1116" w:type="dxa"/>
            <w:vMerge w:val="continue"/>
            <w:vAlign w:val="center"/>
          </w:tcPr>
          <w:p>
            <w:pPr>
              <w:spacing w:line="276" w:lineRule="auto"/>
              <w:jc w:val="center"/>
              <w:rPr>
                <w:rFonts w:ascii="仿宋" w:hAnsi="仿宋" w:eastAsia="仿宋" w:cs="仿宋"/>
                <w:sz w:val="28"/>
                <w:szCs w:val="28"/>
              </w:rPr>
            </w:pPr>
          </w:p>
        </w:tc>
        <w:tc>
          <w:tcPr>
            <w:tcW w:w="2538" w:type="dxa"/>
            <w:vMerge w:val="continue"/>
            <w:vAlign w:val="center"/>
          </w:tcPr>
          <w:p>
            <w:pPr>
              <w:spacing w:line="276" w:lineRule="auto"/>
              <w:rPr>
                <w:rFonts w:ascii="仿宋" w:hAnsi="仿宋" w:eastAsia="仿宋" w:cs="仿宋"/>
                <w:sz w:val="28"/>
                <w:szCs w:val="28"/>
              </w:rPr>
            </w:pPr>
          </w:p>
        </w:tc>
        <w:tc>
          <w:tcPr>
            <w:tcW w:w="737" w:type="dxa"/>
            <w:vMerge w:val="continue"/>
            <w:vAlign w:val="center"/>
          </w:tcPr>
          <w:p>
            <w:pPr>
              <w:spacing w:line="276"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6" w:type="dxa"/>
            <w:vAlign w:val="center"/>
          </w:tcPr>
          <w:p>
            <w:pPr>
              <w:spacing w:line="276" w:lineRule="auto"/>
              <w:rPr>
                <w:rFonts w:ascii="仿宋" w:hAnsi="仿宋" w:eastAsia="仿宋" w:cs="仿宋"/>
                <w:sz w:val="28"/>
                <w:szCs w:val="28"/>
              </w:rPr>
            </w:pPr>
            <w:r>
              <w:rPr>
                <w:rFonts w:hint="eastAsia" w:ascii="仿宋" w:hAnsi="仿宋" w:eastAsia="仿宋" w:cs="仿宋"/>
                <w:sz w:val="28"/>
                <w:szCs w:val="28"/>
              </w:rPr>
              <w:t>标项六</w:t>
            </w:r>
          </w:p>
        </w:tc>
        <w:tc>
          <w:tcPr>
            <w:tcW w:w="3785" w:type="dxa"/>
            <w:vAlign w:val="center"/>
          </w:tcPr>
          <w:p>
            <w:pPr>
              <w:spacing w:line="276" w:lineRule="auto"/>
              <w:rPr>
                <w:rFonts w:ascii="仿宋" w:hAnsi="仿宋" w:eastAsia="仿宋" w:cs="仿宋"/>
                <w:sz w:val="28"/>
                <w:szCs w:val="28"/>
              </w:rPr>
            </w:pPr>
            <w:r>
              <w:rPr>
                <w:rFonts w:hint="eastAsia" w:ascii="仿宋" w:hAnsi="仿宋" w:eastAsia="仿宋" w:cs="仿宋"/>
                <w:sz w:val="28"/>
                <w:szCs w:val="28"/>
              </w:rPr>
              <w:t>防暴头盔、防刺服、防割手套、防割护脖、防暴盾牌</w:t>
            </w:r>
          </w:p>
        </w:tc>
        <w:tc>
          <w:tcPr>
            <w:tcW w:w="1116" w:type="dxa"/>
            <w:vMerge w:val="continue"/>
            <w:vAlign w:val="center"/>
          </w:tcPr>
          <w:p>
            <w:pPr>
              <w:spacing w:line="276" w:lineRule="auto"/>
              <w:jc w:val="center"/>
              <w:rPr>
                <w:rFonts w:ascii="仿宋" w:hAnsi="仿宋" w:eastAsia="仿宋" w:cs="仿宋"/>
                <w:sz w:val="28"/>
                <w:szCs w:val="28"/>
              </w:rPr>
            </w:pPr>
          </w:p>
        </w:tc>
        <w:tc>
          <w:tcPr>
            <w:tcW w:w="2538" w:type="dxa"/>
            <w:vMerge w:val="continue"/>
            <w:vAlign w:val="center"/>
          </w:tcPr>
          <w:p>
            <w:pPr>
              <w:spacing w:line="276" w:lineRule="auto"/>
              <w:rPr>
                <w:rFonts w:ascii="仿宋" w:hAnsi="仿宋" w:eastAsia="仿宋" w:cs="仿宋"/>
                <w:sz w:val="28"/>
                <w:szCs w:val="28"/>
              </w:rPr>
            </w:pPr>
          </w:p>
        </w:tc>
        <w:tc>
          <w:tcPr>
            <w:tcW w:w="737" w:type="dxa"/>
            <w:vMerge w:val="continue"/>
            <w:vAlign w:val="center"/>
          </w:tcPr>
          <w:p>
            <w:pPr>
              <w:spacing w:line="276" w:lineRule="auto"/>
              <w:rPr>
                <w:rFonts w:ascii="仿宋" w:hAnsi="仿宋" w:eastAsia="仿宋" w:cs="仿宋"/>
                <w:sz w:val="28"/>
                <w:szCs w:val="28"/>
              </w:rPr>
            </w:pPr>
          </w:p>
        </w:tc>
      </w:tr>
    </w:tbl>
    <w:p>
      <w:pPr>
        <w:rPr>
          <w:rFonts w:ascii="仿宋" w:hAnsi="仿宋" w:eastAsia="仿宋" w:cs="仿宋"/>
          <w:sz w:val="28"/>
          <w:szCs w:val="28"/>
        </w:rPr>
      </w:pPr>
    </w:p>
    <w:p>
      <w:pPr>
        <w:numPr>
          <w:ilvl w:val="0"/>
          <w:numId w:val="43"/>
        </w:numPr>
        <w:rPr>
          <w:rFonts w:ascii="仿宋" w:hAnsi="仿宋" w:eastAsia="仿宋" w:cs="仿宋"/>
          <w:color w:val="000000"/>
          <w:sz w:val="28"/>
          <w:szCs w:val="28"/>
        </w:rPr>
      </w:pPr>
      <w:r>
        <w:rPr>
          <w:rFonts w:hint="eastAsia" w:ascii="仿宋" w:hAnsi="仿宋" w:eastAsia="仿宋" w:cs="仿宋"/>
          <w:color w:val="000000"/>
          <w:sz w:val="28"/>
          <w:szCs w:val="28"/>
        </w:rPr>
        <w:t>本次采购要求提供样品，验收时如果中标人提供的产品质量低于样品质量，招标人将不予接受，其造成的一切损失和后果由中标人承担。</w:t>
      </w:r>
    </w:p>
    <w:p>
      <w:pPr>
        <w:numPr>
          <w:ilvl w:val="0"/>
          <w:numId w:val="43"/>
        </w:numPr>
        <w:rPr>
          <w:rFonts w:ascii="仿宋" w:hAnsi="仿宋" w:eastAsia="仿宋" w:cs="仿宋"/>
          <w:color w:val="000000"/>
          <w:sz w:val="28"/>
          <w:szCs w:val="28"/>
        </w:rPr>
      </w:pPr>
      <w:r>
        <w:rPr>
          <w:rFonts w:hint="eastAsia" w:ascii="仿宋" w:hAnsi="仿宋" w:eastAsia="仿宋" w:cs="仿宋"/>
          <w:color w:val="000000"/>
          <w:sz w:val="28"/>
          <w:szCs w:val="28"/>
        </w:rPr>
        <w:t>样品递交时间、方式：投标人可以通过EMS或顺丰邮寄等形式在投标文件提交截止时间前递交样品，通过邮寄形式提交的样品应当密封包装并在包装上标注响应项目名称、标项、投标人名称并加盖公章。</w:t>
      </w:r>
    </w:p>
    <w:p>
      <w:pPr>
        <w:numPr>
          <w:ilvl w:val="0"/>
          <w:numId w:val="43"/>
        </w:numPr>
        <w:rPr>
          <w:rFonts w:ascii="仿宋" w:hAnsi="仿宋" w:eastAsia="仿宋" w:cs="仿宋"/>
          <w:color w:val="000000"/>
          <w:sz w:val="28"/>
          <w:szCs w:val="28"/>
        </w:rPr>
      </w:pPr>
      <w:r>
        <w:rPr>
          <w:rFonts w:hint="eastAsia" w:ascii="仿宋" w:hAnsi="仿宋" w:eastAsia="仿宋" w:cs="仿宋"/>
          <w:color w:val="000000"/>
          <w:sz w:val="28"/>
          <w:szCs w:val="28"/>
        </w:rPr>
        <w:t>在评审过程中，评标委员会小组可能会对样品进行破坏性试验，请投标人自行考虑并承担该风险，样品费用由投标人自行承担。</w:t>
      </w:r>
    </w:p>
    <w:p>
      <w:pPr>
        <w:numPr>
          <w:ilvl w:val="0"/>
          <w:numId w:val="43"/>
        </w:numPr>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采购活动结束后，中标人投标样品，将作为验收对照物，待验收通过后归还。未中标投标人提供的样品，省采购中心将在质疑答复期满且对样品无异议后，以邮寄的方式退还或者经未中标投标人书面同意后自行处理。</w:t>
      </w:r>
    </w:p>
    <w:p>
      <w:pPr>
        <w:pStyle w:val="981"/>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spacing w:afterLines="100" w:line="340" w:lineRule="exact"/>
        <w:rPr>
          <w:rFonts w:hAnsi="宋体"/>
          <w:b/>
          <w:sz w:val="36"/>
          <w:szCs w:val="36"/>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9"/>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Lines="5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Lines="5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Lines="5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30" w:name="_Toc496796640"/>
      <w:r>
        <w:rPr>
          <w:rFonts w:hint="eastAsia" w:hAnsi="宋体"/>
          <w:b/>
          <w:sz w:val="36"/>
          <w:szCs w:val="36"/>
        </w:rPr>
        <w:t>第六章  投标文件格式附件</w:t>
      </w:r>
      <w:bookmarkEnd w:id="30"/>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Lines="50" w:after="50"/>
        <w:ind w:right="1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1" w:name="PO_15528_PM001_2"/>
      <w:r>
        <w:rPr>
          <w:rFonts w:ascii="仿宋" w:hAnsi="仿宋" w:eastAsia="仿宋"/>
          <w:sz w:val="36"/>
          <w:szCs w:val="36"/>
        </w:rPr>
        <w:t>ZZCG2021G-GK-103</w:t>
      </w:r>
      <w:bookmarkEnd w:id="31"/>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2" w:name="PO_15528_PM001_3"/>
      <w:r>
        <w:rPr>
          <w:rFonts w:ascii="仿宋" w:hAnsi="仿宋" w:eastAsia="仿宋"/>
          <w:sz w:val="30"/>
          <w:szCs w:val="30"/>
          <w:u w:val="single"/>
        </w:rPr>
        <w:t>ZZCG2021G-GK-103</w:t>
      </w:r>
      <w:bookmarkEnd w:id="32"/>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Lines="50" w:after="50"/>
        <w:jc w:val="center"/>
        <w:rPr>
          <w:rFonts w:ascii="仿宋" w:hAnsi="仿宋" w:eastAsia="仿宋"/>
          <w:b/>
          <w:sz w:val="30"/>
          <w:szCs w:val="30"/>
        </w:rPr>
      </w:pPr>
    </w:p>
    <w:p>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Lines="50" w:after="50" w:line="460" w:lineRule="exact"/>
        <w:ind w:firstLine="480"/>
        <w:rPr>
          <w:rFonts w:ascii="仿宋" w:hAnsi="仿宋" w:eastAsia="仿宋"/>
          <w:sz w:val="30"/>
          <w:szCs w:val="30"/>
        </w:rPr>
      </w:pPr>
    </w:p>
    <w:p>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ind w:firstLine="6150" w:firstLineChars="2050"/>
        <w:rPr>
          <w:rFonts w:ascii="仿宋" w:hAnsi="仿宋" w:eastAsia="仿宋"/>
          <w:sz w:val="30"/>
          <w:szCs w:val="30"/>
        </w:rPr>
      </w:pPr>
    </w:p>
    <w:p>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  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rPr>
      </w:pP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3" w:name="PO_15528_PM001_4"/>
      <w:r>
        <w:rPr>
          <w:rFonts w:ascii="仿宋" w:hAnsi="仿宋" w:eastAsia="仿宋"/>
          <w:sz w:val="36"/>
          <w:szCs w:val="36"/>
        </w:rPr>
        <w:t>ZZCG2021G-GK-103</w:t>
      </w:r>
      <w:bookmarkEnd w:id="33"/>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标项一至五</w:t>
      </w:r>
    </w:p>
    <w:tbl>
      <w:tblPr>
        <w:tblStyle w:val="59"/>
        <w:tblW w:w="88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规格型号</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r>
    </w:tbl>
    <w:p/>
    <w:p>
      <w:pPr>
        <w:snapToGrid w:val="0"/>
        <w:spacing w:beforeLines="50"/>
        <w:rPr>
          <w:rFonts w:ascii="仿宋" w:hAnsi="仿宋" w:eastAsia="仿宋"/>
          <w:sz w:val="30"/>
          <w:szCs w:val="30"/>
        </w:rPr>
      </w:pPr>
      <w:r>
        <w:rPr>
          <w:rFonts w:hint="eastAsia" w:ascii="仿宋" w:hAnsi="仿宋" w:eastAsia="仿宋"/>
          <w:sz w:val="30"/>
          <w:szCs w:val="30"/>
        </w:rPr>
        <w:t>标项六</w:t>
      </w:r>
    </w:p>
    <w:tbl>
      <w:tblPr>
        <w:tblStyle w:val="59"/>
        <w:tblW w:w="8804" w:type="dxa"/>
        <w:tblInd w:w="0" w:type="dxa"/>
        <w:tblLayout w:type="fixed"/>
        <w:tblCellMar>
          <w:top w:w="15" w:type="dxa"/>
          <w:left w:w="15" w:type="dxa"/>
          <w:bottom w:w="15" w:type="dxa"/>
          <w:right w:w="15" w:type="dxa"/>
        </w:tblCellMar>
      </w:tblPr>
      <w:tblGrid>
        <w:gridCol w:w="947"/>
        <w:gridCol w:w="1475"/>
        <w:gridCol w:w="1276"/>
        <w:gridCol w:w="712"/>
        <w:gridCol w:w="1276"/>
        <w:gridCol w:w="1133"/>
        <w:gridCol w:w="993"/>
        <w:gridCol w:w="992"/>
      </w:tblGrid>
      <w:tr>
        <w:tblPrEx>
          <w:tblCellMar>
            <w:top w:w="15" w:type="dxa"/>
            <w:left w:w="15" w:type="dxa"/>
            <w:bottom w:w="15" w:type="dxa"/>
            <w:right w:w="15" w:type="dxa"/>
          </w:tblCellMar>
        </w:tblPrEx>
        <w:trPr>
          <w:trHeight w:val="750" w:hRule="atLeast"/>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序号</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货物名称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厂家</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规格型号</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p>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sz w:val="28"/>
                <w:szCs w:val="28"/>
              </w:rPr>
              <w:t>代储数量</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使用单价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使用价格</w:t>
            </w:r>
          </w:p>
        </w:tc>
      </w:tr>
      <w:tr>
        <w:tblPrEx>
          <w:tblCellMar>
            <w:top w:w="15" w:type="dxa"/>
            <w:left w:w="15" w:type="dxa"/>
            <w:bottom w:w="15" w:type="dxa"/>
            <w:right w:w="15" w:type="dxa"/>
          </w:tblCellMar>
        </w:tblPrEx>
        <w:trPr>
          <w:trHeight w:val="600" w:hRule="atLeast"/>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71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1133"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000000"/>
                <w:sz w:val="28"/>
                <w:szCs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color w:val="000000"/>
                <w:sz w:val="28"/>
                <w:szCs w:val="28"/>
              </w:rPr>
            </w:pPr>
          </w:p>
        </w:tc>
      </w:tr>
      <w:tr>
        <w:tblPrEx>
          <w:tblCellMar>
            <w:top w:w="15" w:type="dxa"/>
            <w:left w:w="15" w:type="dxa"/>
            <w:bottom w:w="15" w:type="dxa"/>
            <w:right w:w="15" w:type="dxa"/>
          </w:tblCellMar>
        </w:tblPrEx>
        <w:trPr>
          <w:trHeight w:val="600" w:hRule="atLeast"/>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71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1133"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000000"/>
                <w:sz w:val="28"/>
                <w:szCs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color w:val="000000"/>
                <w:sz w:val="28"/>
                <w:szCs w:val="28"/>
              </w:rPr>
            </w:pPr>
          </w:p>
        </w:tc>
      </w:tr>
      <w:tr>
        <w:tblPrEx>
          <w:tblCellMar>
            <w:top w:w="15" w:type="dxa"/>
            <w:left w:w="15" w:type="dxa"/>
            <w:bottom w:w="15" w:type="dxa"/>
            <w:right w:w="15" w:type="dxa"/>
          </w:tblCellMar>
        </w:tblPrEx>
        <w:trPr>
          <w:trHeight w:val="600" w:hRule="atLeast"/>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71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1133"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bCs/>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000000"/>
                <w:sz w:val="28"/>
                <w:szCs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color w:val="000000"/>
                <w:sz w:val="28"/>
                <w:szCs w:val="28"/>
              </w:rPr>
            </w:pPr>
          </w:p>
        </w:tc>
      </w:tr>
      <w:tr>
        <w:tblPrEx>
          <w:tblCellMar>
            <w:top w:w="15" w:type="dxa"/>
            <w:left w:w="15" w:type="dxa"/>
            <w:bottom w:w="15" w:type="dxa"/>
            <w:right w:w="15" w:type="dxa"/>
          </w:tblCellMar>
        </w:tblPrEx>
        <w:trPr>
          <w:trHeight w:val="600" w:hRule="atLeast"/>
        </w:trPr>
        <w:tc>
          <w:tcPr>
            <w:tcW w:w="6819"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使用价格小计</w:t>
            </w:r>
          </w:p>
        </w:tc>
        <w:tc>
          <w:tcPr>
            <w:tcW w:w="1985"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r>
      <w:tr>
        <w:tblPrEx>
          <w:tblCellMar>
            <w:top w:w="15" w:type="dxa"/>
            <w:left w:w="15" w:type="dxa"/>
            <w:bottom w:w="15" w:type="dxa"/>
            <w:right w:w="15" w:type="dxa"/>
          </w:tblCellMar>
        </w:tblPrEx>
        <w:trPr>
          <w:trHeight w:val="600" w:hRule="atLeast"/>
        </w:trPr>
        <w:tc>
          <w:tcPr>
            <w:tcW w:w="6819"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代储服务费</w:t>
            </w:r>
          </w:p>
        </w:tc>
        <w:tc>
          <w:tcPr>
            <w:tcW w:w="1985"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r>
      <w:tr>
        <w:tblPrEx>
          <w:tblCellMar>
            <w:top w:w="15" w:type="dxa"/>
            <w:left w:w="15" w:type="dxa"/>
            <w:bottom w:w="15" w:type="dxa"/>
            <w:right w:w="15" w:type="dxa"/>
          </w:tblCellMar>
        </w:tblPrEx>
        <w:trPr>
          <w:trHeight w:val="600" w:hRule="atLeast"/>
        </w:trPr>
        <w:tc>
          <w:tcPr>
            <w:tcW w:w="6819"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合计（代储服务费+使用价格小计）</w:t>
            </w:r>
          </w:p>
        </w:tc>
        <w:tc>
          <w:tcPr>
            <w:tcW w:w="1985"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r>
    </w:tbl>
    <w:p>
      <w:pPr>
        <w:snapToGrid w:val="0"/>
        <w:spacing w:beforeLines="50"/>
        <w:rPr>
          <w:rFonts w:ascii="仿宋" w:hAnsi="仿宋" w:eastAsia="仿宋"/>
          <w:sz w:val="30"/>
          <w:szCs w:val="30"/>
        </w:rPr>
      </w:pPr>
    </w:p>
    <w:p>
      <w:pPr>
        <w:snapToGrid w:val="0"/>
        <w:spacing w:beforeLines="50"/>
        <w:rPr>
          <w:rFonts w:ascii="仿宋" w:hAnsi="仿宋" w:eastAsia="仿宋"/>
          <w:sz w:val="30"/>
          <w:szCs w:val="30"/>
        </w:rPr>
      </w:pPr>
    </w:p>
    <w:p>
      <w:pPr>
        <w:snapToGrid w:val="0"/>
        <w:spacing w:beforeLines="50"/>
        <w:rPr>
          <w:rFonts w:ascii="仿宋" w:hAnsi="仿宋" w:eastAsia="仿宋"/>
          <w:sz w:val="30"/>
          <w:szCs w:val="30"/>
        </w:rPr>
      </w:pPr>
    </w:p>
    <w:p>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Lines="50"/>
        <w:rPr>
          <w:rFonts w:ascii="仿宋" w:hAnsi="仿宋" w:eastAsia="仿宋"/>
          <w:sz w:val="30"/>
          <w:szCs w:val="30"/>
        </w:rPr>
      </w:pPr>
    </w:p>
    <w:p>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bl>
    <w:p>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jc w:val="center"/>
        <w:rPr>
          <w:rFonts w:ascii="仿宋" w:hAnsi="仿宋" w:eastAsia="仿宋"/>
          <w:b/>
          <w:sz w:val="30"/>
          <w:szCs w:val="30"/>
        </w:rPr>
      </w:pPr>
      <w:r>
        <w:rPr>
          <w:rFonts w:hint="eastAsia" w:ascii="仿宋" w:hAnsi="仿宋" w:eastAsia="仿宋"/>
          <w:b/>
          <w:sz w:val="30"/>
          <w:szCs w:val="30"/>
        </w:rPr>
        <w:t>商务响应表</w:t>
      </w:r>
    </w:p>
    <w:p>
      <w:pPr>
        <w:snapToGrid w:val="0"/>
        <w:spacing w:before="50"/>
        <w:jc w:val="left"/>
        <w:rPr>
          <w:rFonts w:ascii="仿宋" w:hAnsi="仿宋" w:eastAsia="仿宋"/>
          <w:b/>
          <w:sz w:val="30"/>
          <w:szCs w:val="30"/>
        </w:rPr>
      </w:pPr>
    </w:p>
    <w:p>
      <w:pPr>
        <w:snapToGrid w:val="0"/>
        <w:spacing w:before="50"/>
        <w:jc w:val="left"/>
        <w:rPr>
          <w:rFonts w:ascii="仿宋" w:hAnsi="仿宋" w:eastAsia="仿宋"/>
          <w:sz w:val="30"/>
          <w:szCs w:val="30"/>
          <w:u w:val="single"/>
        </w:rPr>
      </w:pPr>
      <w:r>
        <w:rPr>
          <w:rFonts w:hint="eastAsia" w:ascii="仿宋" w:hAnsi="仿宋" w:eastAsia="仿宋"/>
          <w:sz w:val="30"/>
          <w:szCs w:val="30"/>
        </w:rPr>
        <w:t>投标人全称（公章）：              标项：一至五</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50"/>
              <w:jc w:val="left"/>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jc w:val="left"/>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jc w:val="left"/>
              <w:rPr>
                <w:rFonts w:ascii="仿宋" w:hAnsi="仿宋" w:eastAsia="仿宋"/>
                <w:sz w:val="30"/>
                <w:szCs w:val="30"/>
              </w:rPr>
            </w:pPr>
            <w:r>
              <w:rPr>
                <w:rFonts w:hint="eastAsia" w:ascii="仿宋" w:hAnsi="仿宋" w:eastAsia="仿宋"/>
                <w:sz w:val="30"/>
                <w:szCs w:val="30"/>
              </w:rPr>
              <w:t>是否</w:t>
            </w:r>
          </w:p>
          <w:p>
            <w:pPr>
              <w:snapToGrid w:val="0"/>
              <w:spacing w:before="50"/>
              <w:jc w:val="left"/>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jc w:val="left"/>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项目工期（交货期）及地点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付款条件（明确是否需要履约保证金）</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履约保证金</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rPr>
                <w:rFonts w:hint="eastAsia"/>
              </w:rPr>
              <w:t>验收标准</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rPr>
                <w:rFonts w:hint="eastAsia"/>
              </w:rPr>
              <w:t>售后服务及培训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仿宋" w:hAnsi="仿宋" w:eastAsia="仿宋"/>
                <w:b/>
                <w:bCs/>
                <w:sz w:val="30"/>
                <w:szCs w:val="30"/>
              </w:rPr>
            </w:pPr>
          </w:p>
        </w:tc>
      </w:tr>
    </w:tbl>
    <w:p>
      <w:pPr>
        <w:snapToGrid w:val="0"/>
        <w:spacing w:before="50"/>
        <w:jc w:val="left"/>
        <w:rPr>
          <w:rFonts w:ascii="仿宋" w:hAnsi="仿宋" w:eastAsia="仿宋"/>
          <w:sz w:val="30"/>
          <w:szCs w:val="30"/>
          <w:u w:val="single"/>
        </w:rPr>
        <w:sectPr>
          <w:footerReference r:id="rId3" w:type="default"/>
          <w:pgSz w:w="11906" w:h="16838"/>
          <w:pgMar w:top="1474" w:right="1797" w:bottom="1247" w:left="1797" w:header="851" w:footer="851" w:gutter="0"/>
          <w:cols w:space="720" w:num="1"/>
        </w:sectPr>
      </w:pPr>
      <w:r>
        <w:rPr>
          <w:rFonts w:hint="eastAsia" w:ascii="仿宋" w:hAnsi="仿宋" w:eastAsia="仿宋"/>
          <w:sz w:val="30"/>
          <w:szCs w:val="30"/>
        </w:rPr>
        <w:t>授权代表签名：               日</w:t>
      </w:r>
    </w:p>
    <w:p>
      <w:pPr>
        <w:snapToGrid w:val="0"/>
        <w:spacing w:before="50"/>
        <w:jc w:val="left"/>
        <w:rPr>
          <w:rFonts w:ascii="仿宋" w:hAnsi="仿宋" w:eastAsia="仿宋"/>
          <w:sz w:val="30"/>
          <w:szCs w:val="30"/>
        </w:rPr>
      </w:pP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标项：六</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项目工期（交货期）及地点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付款条件（明确是否需要履约保证金）</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履约保证金</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tcPr>
          <w:p>
            <w:r>
              <w:rPr>
                <w:rFonts w:hint="eastAsia"/>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rPr>
                <w:rFonts w:hint="eastAsia"/>
              </w:rPr>
              <w:t>验收标准</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rPr>
                <w:rFonts w:hint="eastAsia"/>
              </w:rPr>
              <w:t>售后服务及培训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rPr>
                <w:rFonts w:hint="eastAsia"/>
              </w:rPr>
              <w:t>管理及质量要求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rPr>
                <w:rFonts w:hint="eastAsia"/>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b/>
                <w:bCs/>
                <w:sz w:val="30"/>
                <w:szCs w:val="30"/>
              </w:rPr>
            </w:pPr>
          </w:p>
        </w:tc>
      </w:tr>
    </w:tbl>
    <w:p>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sectPr>
          <w:footerReference r:id="rId4" w:type="default"/>
          <w:pgSz w:w="11906" w:h="16838"/>
          <w:pgMar w:top="1474" w:right="1797" w:bottom="1247" w:left="1797" w:header="851" w:footer="851" w:gutter="0"/>
          <w:cols w:space="720" w:num="1"/>
        </w:sectPr>
      </w:pPr>
    </w:p>
    <w:p>
      <w:pPr>
        <w:snapToGrid w:val="0"/>
        <w:spacing w:before="5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4"/>
        <w:snapToGrid w:val="0"/>
        <w:spacing w:line="460" w:lineRule="exact"/>
        <w:ind w:left="0" w:leftChars="0"/>
        <w:rPr>
          <w:rFonts w:ascii="仿宋" w:hAnsi="仿宋" w:eastAsia="仿宋"/>
        </w:rPr>
      </w:pPr>
      <w:r>
        <w:rPr>
          <w:rFonts w:hint="eastAsia" w:ascii="仿宋" w:hAnsi="仿宋" w:eastAsia="仿宋"/>
          <w:sz w:val="30"/>
          <w:szCs w:val="30"/>
        </w:rPr>
        <w:t>（3）中小企业声明函（见附件15）；</w:t>
      </w:r>
    </w:p>
    <w:p>
      <w:pPr>
        <w:pStyle w:val="50"/>
        <w:widowControl w:val="0"/>
        <w:spacing w:after="120"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（4）残疾人福利企业声明函（见附件16）。</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招标编号及标项：标项一至五</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招标编号及标项：标项六</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货物名称</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厂家</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品牌</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sz w:val="28"/>
                <w:szCs w:val="28"/>
              </w:rPr>
              <w:t>规格型号</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sz w:val="28"/>
                <w:szCs w:val="28"/>
              </w:rPr>
            </w:pPr>
          </w:p>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sz w:val="28"/>
                <w:szCs w:val="28"/>
              </w:rPr>
              <w:t>代储数量</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使用单价</w:t>
            </w:r>
          </w:p>
        </w:tc>
        <w:tc>
          <w:tcPr>
            <w:tcW w:w="8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使用价格</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458"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使用价格小计</w:t>
            </w:r>
          </w:p>
        </w:tc>
        <w:tc>
          <w:tcPr>
            <w:tcW w:w="89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458"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代储服务费</w:t>
            </w:r>
          </w:p>
        </w:tc>
        <w:tc>
          <w:tcPr>
            <w:tcW w:w="89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458"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合计（代储服务费+使用价格小计）</w:t>
            </w:r>
          </w:p>
        </w:tc>
        <w:tc>
          <w:tcPr>
            <w:tcW w:w="89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color w:val="00000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 （联合体）参加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投标人名称（盖章）：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ascii="仿宋" w:hAnsi="仿宋" w:eastAsia="仿宋"/>
          <w:sz w:val="28"/>
          <w:szCs w:val="28"/>
        </w:rPr>
        <w:t>本公司（联合体）郑重声明，根据《政府采购促进中小 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 万元</w:t>
      </w:r>
      <w:r>
        <w:rPr>
          <w:rFonts w:ascii="仿宋" w:hAnsi="仿宋" w:eastAsia="仿宋"/>
          <w:sz w:val="28"/>
          <w:szCs w:val="28"/>
          <w:vertAlign w:val="superscript"/>
        </w:rPr>
        <w:t xml:space="preserve"> 1</w:t>
      </w:r>
      <w:r>
        <w:rPr>
          <w:rFonts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 xml:space="preserve">名称（盖章）： </w:t>
      </w:r>
    </w:p>
    <w:p>
      <w:pPr>
        <w:snapToGrid w:val="0"/>
        <w:spacing w:line="312" w:lineRule="auto"/>
        <w:ind w:firstLine="4620" w:firstLineChars="1650"/>
        <w:rPr>
          <w:rFonts w:ascii="仿宋" w:hAnsi="仿宋" w:eastAsia="仿宋"/>
          <w:sz w:val="28"/>
          <w:szCs w:val="28"/>
        </w:rPr>
      </w:pPr>
      <w:r>
        <w:rPr>
          <w:rFonts w:ascii="仿宋" w:hAnsi="仿宋" w:eastAsia="仿宋"/>
          <w:sz w:val="28"/>
          <w:szCs w:val="28"/>
        </w:rPr>
        <w:t>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附件16：</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9</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77</w:t>
    </w:r>
    <w:r>
      <w:rPr>
        <w:lang w:val="zh-CN"/>
      </w:rP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84</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83762"/>
    <w:multiLevelType w:val="singleLevel"/>
    <w:tmpl w:val="9B883762"/>
    <w:lvl w:ilvl="0" w:tentative="0">
      <w:start w:val="1"/>
      <w:numFmt w:val="chineseCounting"/>
      <w:suff w:val="nothing"/>
      <w:lvlText w:val="（%1）"/>
      <w:lvlJc w:val="left"/>
      <w:rPr>
        <w:rFonts w:hint="eastAsia"/>
      </w:rPr>
    </w:lvl>
  </w:abstractNum>
  <w:abstractNum w:abstractNumId="1">
    <w:nsid w:val="A0E051A7"/>
    <w:multiLevelType w:val="singleLevel"/>
    <w:tmpl w:val="A0E051A7"/>
    <w:lvl w:ilvl="0" w:tentative="0">
      <w:start w:val="1"/>
      <w:numFmt w:val="decimal"/>
      <w:suff w:val="nothing"/>
      <w:lvlText w:val="%1."/>
      <w:lvlJc w:val="left"/>
      <w:pPr>
        <w:ind w:left="0" w:firstLine="0"/>
      </w:pPr>
      <w:rPr>
        <w:rFonts w:hint="default"/>
      </w:rPr>
    </w:lvl>
  </w:abstractNum>
  <w:abstractNum w:abstractNumId="2">
    <w:nsid w:val="ACD0E047"/>
    <w:multiLevelType w:val="singleLevel"/>
    <w:tmpl w:val="ACD0E047"/>
    <w:lvl w:ilvl="0" w:tentative="0">
      <w:start w:val="1"/>
      <w:numFmt w:val="decimal"/>
      <w:suff w:val="nothing"/>
      <w:lvlText w:val="%1."/>
      <w:lvlJc w:val="left"/>
      <w:pPr>
        <w:ind w:left="0" w:firstLine="0"/>
      </w:pPr>
      <w:rPr>
        <w:rFonts w:hint="default"/>
      </w:rPr>
    </w:lvl>
  </w:abstractNum>
  <w:abstractNum w:abstractNumId="3">
    <w:nsid w:val="B03E1458"/>
    <w:multiLevelType w:val="singleLevel"/>
    <w:tmpl w:val="B03E1458"/>
    <w:lvl w:ilvl="0" w:tentative="0">
      <w:start w:val="1"/>
      <w:numFmt w:val="decimal"/>
      <w:suff w:val="nothing"/>
      <w:lvlText w:val="%1."/>
      <w:lvlJc w:val="left"/>
    </w:lvl>
  </w:abstractNum>
  <w:abstractNum w:abstractNumId="4">
    <w:nsid w:val="BE8FCBC2"/>
    <w:multiLevelType w:val="singleLevel"/>
    <w:tmpl w:val="BE8FCBC2"/>
    <w:lvl w:ilvl="0" w:tentative="0">
      <w:start w:val="1"/>
      <w:numFmt w:val="decimal"/>
      <w:suff w:val="nothing"/>
      <w:lvlText w:val="%1."/>
      <w:lvlJc w:val="left"/>
      <w:pPr>
        <w:ind w:left="0" w:firstLine="0"/>
      </w:pPr>
      <w:rPr>
        <w:rFonts w:hint="default"/>
      </w:rPr>
    </w:lvl>
  </w:abstractNum>
  <w:abstractNum w:abstractNumId="5">
    <w:nsid w:val="BF05C0CA"/>
    <w:multiLevelType w:val="singleLevel"/>
    <w:tmpl w:val="BF05C0CA"/>
    <w:lvl w:ilvl="0" w:tentative="0">
      <w:start w:val="1"/>
      <w:numFmt w:val="chineseCounting"/>
      <w:suff w:val="nothing"/>
      <w:lvlText w:val="（%1）"/>
      <w:lvlJc w:val="left"/>
      <w:pPr>
        <w:ind w:left="5" w:firstLine="420"/>
      </w:pPr>
      <w:rPr>
        <w:rFonts w:hint="eastAsia"/>
      </w:rPr>
    </w:lvl>
  </w:abstractNum>
  <w:abstractNum w:abstractNumId="6">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7">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8">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9">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1D73B0B"/>
    <w:multiLevelType w:val="singleLevel"/>
    <w:tmpl w:val="11D73B0B"/>
    <w:lvl w:ilvl="0" w:tentative="0">
      <w:start w:val="1"/>
      <w:numFmt w:val="chineseCounting"/>
      <w:suff w:val="nothing"/>
      <w:lvlText w:val="（%1）"/>
      <w:lvlJc w:val="left"/>
      <w:rPr>
        <w:rFonts w:hint="eastAsia"/>
      </w:rPr>
    </w:lvl>
  </w:abstractNum>
  <w:abstractNum w:abstractNumId="15">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7">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0">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F5AD5B2"/>
    <w:multiLevelType w:val="singleLevel"/>
    <w:tmpl w:val="2F5AD5B2"/>
    <w:lvl w:ilvl="0" w:tentative="0">
      <w:start w:val="3"/>
      <w:numFmt w:val="chineseCounting"/>
      <w:suff w:val="nothing"/>
      <w:lvlText w:val="(%1）"/>
      <w:lvlJc w:val="left"/>
      <w:rPr>
        <w:rFonts w:hint="eastAsia"/>
      </w:rPr>
    </w:lvl>
  </w:abstractNum>
  <w:abstractNum w:abstractNumId="22">
    <w:nsid w:val="34CB46EB"/>
    <w:multiLevelType w:val="singleLevel"/>
    <w:tmpl w:val="34CB46EB"/>
    <w:lvl w:ilvl="0" w:tentative="0">
      <w:start w:val="1"/>
      <w:numFmt w:val="decimal"/>
      <w:suff w:val="nothing"/>
      <w:lvlText w:val="%1."/>
      <w:lvlJc w:val="left"/>
      <w:pPr>
        <w:ind w:left="0" w:firstLine="0"/>
      </w:pPr>
      <w:rPr>
        <w:rFonts w:hint="default"/>
      </w:rPr>
    </w:lvl>
  </w:abstractNum>
  <w:abstractNum w:abstractNumId="23">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7">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8">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9">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1">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2">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3">
    <w:nsid w:val="57AD45BA"/>
    <w:multiLevelType w:val="singleLevel"/>
    <w:tmpl w:val="57AD45BA"/>
    <w:lvl w:ilvl="0" w:tentative="0">
      <w:start w:val="1"/>
      <w:numFmt w:val="decimal"/>
      <w:suff w:val="nothing"/>
      <w:lvlText w:val="%1."/>
      <w:lvlJc w:val="left"/>
      <w:pPr>
        <w:ind w:left="0" w:firstLine="0"/>
      </w:pPr>
      <w:rPr>
        <w:rFonts w:hint="default"/>
      </w:rPr>
    </w:lvl>
  </w:abstractNum>
  <w:abstractNum w:abstractNumId="3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62121ED1"/>
    <w:multiLevelType w:val="singleLevel"/>
    <w:tmpl w:val="62121ED1"/>
    <w:lvl w:ilvl="0" w:tentative="0">
      <w:start w:val="1"/>
      <w:numFmt w:val="decimal"/>
      <w:suff w:val="nothing"/>
      <w:lvlText w:val="%1."/>
      <w:lvlJc w:val="left"/>
      <w:pPr>
        <w:ind w:left="0" w:firstLine="0"/>
      </w:pPr>
      <w:rPr>
        <w:rFonts w:hint="default"/>
      </w:rPr>
    </w:lvl>
  </w:abstractNum>
  <w:abstractNum w:abstractNumId="36">
    <w:nsid w:val="6467562D"/>
    <w:multiLevelType w:val="singleLevel"/>
    <w:tmpl w:val="6467562D"/>
    <w:lvl w:ilvl="0" w:tentative="0">
      <w:start w:val="1"/>
      <w:numFmt w:val="decimal"/>
      <w:suff w:val="nothing"/>
      <w:lvlText w:val="%1."/>
      <w:lvlJc w:val="left"/>
      <w:pPr>
        <w:ind w:left="0" w:firstLine="0"/>
      </w:pPr>
      <w:rPr>
        <w:rFonts w:hint="default"/>
      </w:rPr>
    </w:lvl>
  </w:abstractNum>
  <w:abstractNum w:abstractNumId="3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797B5F6C"/>
    <w:multiLevelType w:val="singleLevel"/>
    <w:tmpl w:val="797B5F6C"/>
    <w:lvl w:ilvl="0" w:tentative="0">
      <w:start w:val="1"/>
      <w:numFmt w:val="decimal"/>
      <w:suff w:val="nothing"/>
      <w:lvlText w:val="%1."/>
      <w:lvlJc w:val="left"/>
      <w:pPr>
        <w:ind w:left="0" w:firstLine="0"/>
      </w:pPr>
      <w:rPr>
        <w:rFonts w:hint="default"/>
      </w:rPr>
    </w:lvl>
  </w:abstractNum>
  <w:num w:numId="1">
    <w:abstractNumId w:val="19"/>
  </w:num>
  <w:num w:numId="2">
    <w:abstractNumId w:val="8"/>
  </w:num>
  <w:num w:numId="3">
    <w:abstractNumId w:val="6"/>
  </w:num>
  <w:num w:numId="4">
    <w:abstractNumId w:val="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1"/>
  </w:num>
  <w:num w:numId="8">
    <w:abstractNumId w:val="30"/>
  </w:num>
  <w:num w:numId="9">
    <w:abstractNumId w:val="38"/>
    <w:lvlOverride w:ilvl="0">
      <w:startOverride w:val="1"/>
    </w:lvlOverride>
  </w:num>
  <w:num w:numId="10">
    <w:abstractNumId w:val="15"/>
  </w:num>
  <w:num w:numId="11">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5"/>
  </w:num>
  <w:num w:numId="14">
    <w:abstractNumId w:val="34"/>
  </w:num>
  <w:num w:numId="15">
    <w:abstractNumId w:val="27"/>
  </w:num>
  <w:num w:numId="16">
    <w:abstractNumId w:val="24"/>
  </w:num>
  <w:num w:numId="17">
    <w:abstractNumId w:val="10"/>
  </w:num>
  <w:num w:numId="18">
    <w:abstractNumId w:val="31"/>
  </w:num>
  <w:num w:numId="19">
    <w:abstractNumId w:val="12"/>
  </w:num>
  <w:num w:numId="20">
    <w:abstractNumId w:val="20"/>
  </w:num>
  <w:num w:numId="21">
    <w:abstractNumId w:val="18"/>
  </w:num>
  <w:num w:numId="22">
    <w:abstractNumId w:val="28"/>
  </w:num>
  <w:num w:numId="23">
    <w:abstractNumId w:val="13"/>
  </w:num>
  <w:num w:numId="24">
    <w:abstractNumId w:val="40"/>
  </w:num>
  <w:num w:numId="25">
    <w:abstractNumId w:val="9"/>
  </w:num>
  <w:num w:numId="26">
    <w:abstractNumId w:val="37"/>
  </w:num>
  <w:num w:numId="27">
    <w:abstractNumId w:val="29"/>
  </w:num>
  <w:num w:numId="28">
    <w:abstractNumId w:val="17"/>
  </w:num>
  <w:num w:numId="29">
    <w:abstractNumId w:val="32"/>
  </w:num>
  <w:num w:numId="30">
    <w:abstractNumId w:val="39"/>
  </w:num>
  <w:num w:numId="31">
    <w:abstractNumId w:val="21"/>
  </w:num>
  <w:num w:numId="32">
    <w:abstractNumId w:val="2"/>
  </w:num>
  <w:num w:numId="33">
    <w:abstractNumId w:val="14"/>
  </w:num>
  <w:num w:numId="34">
    <w:abstractNumId w:val="36"/>
  </w:num>
  <w:num w:numId="35">
    <w:abstractNumId w:val="0"/>
  </w:num>
  <w:num w:numId="36">
    <w:abstractNumId w:val="22"/>
  </w:num>
  <w:num w:numId="37">
    <w:abstractNumId w:val="33"/>
  </w:num>
  <w:num w:numId="38">
    <w:abstractNumId w:val="35"/>
  </w:num>
  <w:num w:numId="39">
    <w:abstractNumId w:val="3"/>
  </w:num>
  <w:num w:numId="40">
    <w:abstractNumId w:val="4"/>
  </w:num>
  <w:num w:numId="41">
    <w:abstractNumId w:val="1"/>
  </w:num>
  <w:num w:numId="42">
    <w:abstractNumId w:val="4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0NDgxODg5YTQyNDQ3N2ZkMWZkZWQxZTA4NjhkZDMifQ=="/>
  </w:docVars>
  <w:rsids>
    <w:rsidRoot w:val="007B39CD"/>
    <w:rsid w:val="00014A25"/>
    <w:rsid w:val="000869A0"/>
    <w:rsid w:val="00097B32"/>
    <w:rsid w:val="000A0C44"/>
    <w:rsid w:val="000D47BF"/>
    <w:rsid w:val="000F7EE7"/>
    <w:rsid w:val="0012623F"/>
    <w:rsid w:val="00162FF4"/>
    <w:rsid w:val="001A46E4"/>
    <w:rsid w:val="001B3980"/>
    <w:rsid w:val="001D0E9A"/>
    <w:rsid w:val="002641A2"/>
    <w:rsid w:val="00297C33"/>
    <w:rsid w:val="003325FB"/>
    <w:rsid w:val="00360F0E"/>
    <w:rsid w:val="0036152B"/>
    <w:rsid w:val="0036174A"/>
    <w:rsid w:val="003E2398"/>
    <w:rsid w:val="00411BA0"/>
    <w:rsid w:val="00473394"/>
    <w:rsid w:val="004825F5"/>
    <w:rsid w:val="0049675C"/>
    <w:rsid w:val="004A290E"/>
    <w:rsid w:val="004B659A"/>
    <w:rsid w:val="004C0111"/>
    <w:rsid w:val="004F6C12"/>
    <w:rsid w:val="005855C1"/>
    <w:rsid w:val="005C254C"/>
    <w:rsid w:val="005F25FA"/>
    <w:rsid w:val="006111E0"/>
    <w:rsid w:val="0065516D"/>
    <w:rsid w:val="0067593C"/>
    <w:rsid w:val="006A75FB"/>
    <w:rsid w:val="006E1042"/>
    <w:rsid w:val="006F3E5C"/>
    <w:rsid w:val="0079512C"/>
    <w:rsid w:val="007A7510"/>
    <w:rsid w:val="007B33D8"/>
    <w:rsid w:val="007B39CD"/>
    <w:rsid w:val="008010EC"/>
    <w:rsid w:val="008139C8"/>
    <w:rsid w:val="0084546F"/>
    <w:rsid w:val="00861FBA"/>
    <w:rsid w:val="00935B2B"/>
    <w:rsid w:val="009A098E"/>
    <w:rsid w:val="009A1F91"/>
    <w:rsid w:val="009F00A7"/>
    <w:rsid w:val="00A45A96"/>
    <w:rsid w:val="00A9015D"/>
    <w:rsid w:val="00AD2CC9"/>
    <w:rsid w:val="00AD31D5"/>
    <w:rsid w:val="00AE108B"/>
    <w:rsid w:val="00AE1438"/>
    <w:rsid w:val="00AE7939"/>
    <w:rsid w:val="00AF0810"/>
    <w:rsid w:val="00B03733"/>
    <w:rsid w:val="00B06CDB"/>
    <w:rsid w:val="00B32EBF"/>
    <w:rsid w:val="00B81671"/>
    <w:rsid w:val="00BF76D9"/>
    <w:rsid w:val="00C21114"/>
    <w:rsid w:val="00C22B7F"/>
    <w:rsid w:val="00C239F2"/>
    <w:rsid w:val="00C42BF5"/>
    <w:rsid w:val="00C50CB8"/>
    <w:rsid w:val="00C8441C"/>
    <w:rsid w:val="00CE069F"/>
    <w:rsid w:val="00D06379"/>
    <w:rsid w:val="00D34D4C"/>
    <w:rsid w:val="00D67996"/>
    <w:rsid w:val="00DB219B"/>
    <w:rsid w:val="00E05EDB"/>
    <w:rsid w:val="00E456BB"/>
    <w:rsid w:val="00E94ADE"/>
    <w:rsid w:val="00EA67ED"/>
    <w:rsid w:val="00ED4653"/>
    <w:rsid w:val="00EE21BE"/>
    <w:rsid w:val="00EF085D"/>
    <w:rsid w:val="00F65755"/>
    <w:rsid w:val="00FC29AB"/>
    <w:rsid w:val="5B2A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99"/>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99"/>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0"/>
    <w:pPr>
      <w:tabs>
        <w:tab w:val="center" w:pos="4153"/>
        <w:tab w:val="right" w:pos="8306"/>
      </w:tabs>
      <w:snapToGrid w:val="0"/>
      <w:jc w:val="left"/>
    </w:pPr>
    <w:rPr>
      <w:sz w:val="18"/>
      <w:szCs w:val="18"/>
    </w:rPr>
  </w:style>
  <w:style w:type="paragraph" w:styleId="39">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autoRedefine/>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99"/>
    <w:rPr>
      <w:b/>
      <w:bCs/>
    </w:rPr>
  </w:style>
  <w:style w:type="paragraph" w:styleId="57">
    <w:name w:val="Body Text First Indent"/>
    <w:basedOn w:val="24"/>
    <w:link w:val="102"/>
    <w:qFormat/>
    <w:uiPriority w:val="99"/>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Char"/>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Char"/>
    <w:basedOn w:val="64"/>
    <w:link w:val="4"/>
    <w:qFormat/>
    <w:uiPriority w:val="9"/>
    <w:rPr>
      <w:rFonts w:ascii="Calibri" w:hAnsi="Calibri" w:eastAsia="宋体" w:cs="Times New Roman"/>
      <w:b/>
      <w:bCs/>
      <w:sz w:val="32"/>
      <w:szCs w:val="32"/>
    </w:rPr>
  </w:style>
  <w:style w:type="character" w:customStyle="1" w:styleId="75">
    <w:name w:val="标题 4 Char"/>
    <w:basedOn w:val="64"/>
    <w:link w:val="5"/>
    <w:qFormat/>
    <w:uiPriority w:val="0"/>
    <w:rPr>
      <w:rFonts w:ascii="Arial" w:hAnsi="Arial" w:eastAsia="黑体" w:cs="Times New Roman"/>
      <w:b/>
      <w:bCs/>
      <w:sz w:val="28"/>
      <w:szCs w:val="28"/>
    </w:rPr>
  </w:style>
  <w:style w:type="character" w:customStyle="1" w:styleId="76">
    <w:name w:val="标题 5 Char"/>
    <w:basedOn w:val="64"/>
    <w:link w:val="6"/>
    <w:qFormat/>
    <w:uiPriority w:val="0"/>
    <w:rPr>
      <w:rFonts w:ascii="Calibri" w:hAnsi="Calibri" w:eastAsia="宋体" w:cs="Times New Roman"/>
      <w:b/>
      <w:bCs/>
      <w:sz w:val="28"/>
      <w:szCs w:val="28"/>
    </w:rPr>
  </w:style>
  <w:style w:type="character" w:customStyle="1" w:styleId="77">
    <w:name w:val="标题 6 Char"/>
    <w:basedOn w:val="64"/>
    <w:link w:val="7"/>
    <w:qFormat/>
    <w:uiPriority w:val="0"/>
    <w:rPr>
      <w:rFonts w:ascii="Arial" w:hAnsi="Arial" w:eastAsia="黑体" w:cs="Times New Roman"/>
      <w:b/>
      <w:bCs/>
      <w:sz w:val="24"/>
      <w:szCs w:val="24"/>
    </w:rPr>
  </w:style>
  <w:style w:type="character" w:customStyle="1" w:styleId="78">
    <w:name w:val="标题 7 Char"/>
    <w:basedOn w:val="64"/>
    <w:link w:val="8"/>
    <w:qFormat/>
    <w:uiPriority w:val="0"/>
    <w:rPr>
      <w:rFonts w:ascii="Calibri" w:hAnsi="Calibri" w:eastAsia="宋体" w:cs="Times New Roman"/>
      <w:b/>
      <w:bCs/>
      <w:sz w:val="24"/>
      <w:szCs w:val="24"/>
    </w:rPr>
  </w:style>
  <w:style w:type="character" w:customStyle="1" w:styleId="79">
    <w:name w:val="标题 8 Char"/>
    <w:basedOn w:val="64"/>
    <w:link w:val="9"/>
    <w:qFormat/>
    <w:uiPriority w:val="0"/>
    <w:rPr>
      <w:rFonts w:ascii="Cambria" w:hAnsi="Cambria" w:eastAsia="宋体" w:cs="Times New Roman"/>
      <w:sz w:val="24"/>
      <w:szCs w:val="24"/>
    </w:rPr>
  </w:style>
  <w:style w:type="character" w:customStyle="1" w:styleId="80">
    <w:name w:val="标题 9 Char"/>
    <w:basedOn w:val="64"/>
    <w:link w:val="10"/>
    <w:qFormat/>
    <w:uiPriority w:val="0"/>
    <w:rPr>
      <w:rFonts w:ascii="Cambria" w:hAnsi="Cambria" w:eastAsia="宋体" w:cs="Times New Roman"/>
      <w:szCs w:val="21"/>
    </w:rPr>
  </w:style>
  <w:style w:type="character" w:customStyle="1" w:styleId="81">
    <w:name w:val="文档结构图 Char"/>
    <w:basedOn w:val="64"/>
    <w:link w:val="20"/>
    <w:qFormat/>
    <w:uiPriority w:val="99"/>
    <w:rPr>
      <w:rFonts w:ascii="宋体" w:hAnsi="Calibri" w:eastAsia="宋体" w:cs="Times New Roman"/>
      <w:sz w:val="18"/>
      <w:szCs w:val="18"/>
    </w:rPr>
  </w:style>
  <w:style w:type="character" w:customStyle="1" w:styleId="82">
    <w:name w:val="批注文字 Char"/>
    <w:basedOn w:val="64"/>
    <w:link w:val="21"/>
    <w:qFormat/>
    <w:uiPriority w:val="99"/>
    <w:rPr>
      <w:rFonts w:ascii="Calibri" w:hAnsi="Calibri" w:eastAsia="宋体" w:cs="Times New Roman"/>
    </w:rPr>
  </w:style>
  <w:style w:type="character" w:customStyle="1" w:styleId="83">
    <w:name w:val="称呼 Char"/>
    <w:basedOn w:val="64"/>
    <w:link w:val="22"/>
    <w:qFormat/>
    <w:uiPriority w:val="0"/>
    <w:rPr>
      <w:rFonts w:ascii="宋体" w:hAnsi="Times New Roman" w:eastAsia="宋体" w:cs="Times New Roman"/>
      <w:b/>
      <w:sz w:val="28"/>
      <w:szCs w:val="20"/>
    </w:rPr>
  </w:style>
  <w:style w:type="character" w:customStyle="1" w:styleId="84">
    <w:name w:val="正文文本 3 Char"/>
    <w:basedOn w:val="64"/>
    <w:link w:val="23"/>
    <w:qFormat/>
    <w:uiPriority w:val="0"/>
    <w:rPr>
      <w:rFonts w:ascii="Times New Roman" w:hAnsi="宋体" w:eastAsia="仿宋_GB2312" w:cs="Times New Roman"/>
      <w:b/>
      <w:bCs/>
      <w:sz w:val="24"/>
      <w:szCs w:val="20"/>
    </w:rPr>
  </w:style>
  <w:style w:type="character" w:customStyle="1" w:styleId="85">
    <w:name w:val="正文文本 Char"/>
    <w:basedOn w:val="64"/>
    <w:link w:val="24"/>
    <w:qFormat/>
    <w:uiPriority w:val="0"/>
    <w:rPr>
      <w:rFonts w:ascii="Calibri" w:hAnsi="Calibri" w:eastAsia="宋体" w:cs="Times New Roman"/>
      <w:sz w:val="28"/>
      <w:szCs w:val="24"/>
    </w:rPr>
  </w:style>
  <w:style w:type="character" w:customStyle="1" w:styleId="86">
    <w:name w:val="正文文本缩进 Char"/>
    <w:basedOn w:val="64"/>
    <w:link w:val="25"/>
    <w:qFormat/>
    <w:uiPriority w:val="0"/>
    <w:rPr>
      <w:rFonts w:ascii="宋体" w:hAnsi="Courier New" w:eastAsia="宋体" w:cs="Times New Roman"/>
      <w:spacing w:val="-4"/>
      <w:sz w:val="18"/>
      <w:szCs w:val="20"/>
    </w:rPr>
  </w:style>
  <w:style w:type="character" w:customStyle="1" w:styleId="87">
    <w:name w:val="纯文本 Char"/>
    <w:basedOn w:val="64"/>
    <w:link w:val="31"/>
    <w:qFormat/>
    <w:uiPriority w:val="0"/>
    <w:rPr>
      <w:rFonts w:ascii="宋体" w:hAnsi="Courier New" w:eastAsia="宋体" w:cs="Times New Roman"/>
      <w:sz w:val="24"/>
      <w:szCs w:val="24"/>
    </w:rPr>
  </w:style>
  <w:style w:type="character" w:customStyle="1" w:styleId="88">
    <w:name w:val="日期 Char"/>
    <w:basedOn w:val="64"/>
    <w:link w:val="34"/>
    <w:qFormat/>
    <w:uiPriority w:val="0"/>
    <w:rPr>
      <w:rFonts w:ascii="Calibri" w:hAnsi="Calibri" w:eastAsia="楷体_GB2312" w:cs="Times New Roman"/>
      <w:sz w:val="32"/>
      <w:szCs w:val="20"/>
    </w:rPr>
  </w:style>
  <w:style w:type="character" w:customStyle="1" w:styleId="89">
    <w:name w:val="正文文本缩进 2 Char"/>
    <w:basedOn w:val="64"/>
    <w:link w:val="35"/>
    <w:qFormat/>
    <w:uiPriority w:val="0"/>
    <w:rPr>
      <w:rFonts w:ascii="仿宋_GB2312" w:hAnsi="宋体" w:eastAsia="宋体" w:cs="Times New Roman"/>
      <w:b/>
      <w:bCs/>
      <w:color w:val="000000"/>
      <w:sz w:val="24"/>
      <w:szCs w:val="24"/>
    </w:rPr>
  </w:style>
  <w:style w:type="character" w:customStyle="1" w:styleId="90">
    <w:name w:val="尾注文本 Char"/>
    <w:basedOn w:val="64"/>
    <w:link w:val="36"/>
    <w:qFormat/>
    <w:uiPriority w:val="0"/>
    <w:rPr>
      <w:rFonts w:ascii="宋体" w:hAnsi="Calibri" w:eastAsia="宋体" w:cs="Times New Roman"/>
      <w:snapToGrid w:val="0"/>
      <w:kern w:val="0"/>
      <w:szCs w:val="20"/>
    </w:rPr>
  </w:style>
  <w:style w:type="character" w:customStyle="1" w:styleId="91">
    <w:name w:val="批注框文本 Char"/>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Char"/>
    <w:basedOn w:val="64"/>
    <w:link w:val="42"/>
    <w:qFormat/>
    <w:uiPriority w:val="11"/>
    <w:rPr>
      <w:rFonts w:ascii="Times New Roman" w:hAnsi="Times New Roman" w:eastAsia="Times New Roman" w:cs="Times New Roman"/>
      <w:sz w:val="18"/>
      <w:szCs w:val="18"/>
    </w:rPr>
  </w:style>
  <w:style w:type="character" w:customStyle="1" w:styleId="95">
    <w:name w:val="脚注文本 Char"/>
    <w:basedOn w:val="64"/>
    <w:link w:val="44"/>
    <w:qFormat/>
    <w:uiPriority w:val="99"/>
    <w:rPr>
      <w:rFonts w:ascii="Calibri" w:hAnsi="Calibri" w:eastAsia="宋体" w:cs="Times New Roman"/>
      <w:sz w:val="18"/>
      <w:szCs w:val="18"/>
    </w:rPr>
  </w:style>
  <w:style w:type="character" w:customStyle="1" w:styleId="96">
    <w:name w:val="正文文本缩进 3 Char"/>
    <w:basedOn w:val="64"/>
    <w:link w:val="46"/>
    <w:qFormat/>
    <w:uiPriority w:val="0"/>
    <w:rPr>
      <w:rFonts w:ascii="仿宋_GB2312" w:hAnsi="宋体" w:eastAsia="仿宋_GB2312" w:cs="Times New Roman"/>
      <w:color w:val="000000"/>
      <w:sz w:val="24"/>
      <w:szCs w:val="24"/>
    </w:rPr>
  </w:style>
  <w:style w:type="character" w:customStyle="1" w:styleId="97">
    <w:name w:val="正文文本 2 Char"/>
    <w:basedOn w:val="64"/>
    <w:link w:val="50"/>
    <w:qFormat/>
    <w:uiPriority w:val="0"/>
    <w:rPr>
      <w:rFonts w:ascii="宋体" w:hAnsi="宋体" w:eastAsia="宋体" w:cs="Times New Roman"/>
      <w:color w:val="000000"/>
      <w:sz w:val="24"/>
      <w:szCs w:val="24"/>
    </w:rPr>
  </w:style>
  <w:style w:type="character" w:customStyle="1" w:styleId="98">
    <w:name w:val="HTML 预设格式 Char"/>
    <w:basedOn w:val="64"/>
    <w:link w:val="52"/>
    <w:qFormat/>
    <w:uiPriority w:val="99"/>
    <w:rPr>
      <w:rFonts w:ascii="Courier New" w:hAnsi="Courier New" w:eastAsia="宋体" w:cs="Times New Roman"/>
      <w:sz w:val="20"/>
      <w:szCs w:val="20"/>
    </w:rPr>
  </w:style>
  <w:style w:type="character" w:customStyle="1" w:styleId="99">
    <w:name w:val="标题 Char"/>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Char"/>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autoRedefine/>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autoRedefine/>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Char"/>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Char1"/>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autoRedefine/>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autoRedefine/>
    <w:qFormat/>
    <w:uiPriority w:val="0"/>
    <w:rPr>
      <w:szCs w:val="21"/>
    </w:rPr>
  </w:style>
  <w:style w:type="paragraph" w:customStyle="1" w:styleId="243">
    <w:name w:val="正文（首行缩进2字符）"/>
    <w:basedOn w:val="1"/>
    <w:link w:val="242"/>
    <w:autoRedefine/>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Char1"/>
    <w:link w:val="38"/>
    <w:autoRedefine/>
    <w:qFormat/>
    <w:uiPriority w:val="0"/>
    <w:rPr>
      <w:rFonts w:ascii="Calibri" w:hAnsi="Calibri" w:eastAsia="宋体" w:cs="Times New Roman"/>
      <w:sz w:val="18"/>
      <w:szCs w:val="18"/>
    </w:rPr>
  </w:style>
  <w:style w:type="character" w:customStyle="1" w:styleId="246">
    <w:name w:val="浅色网格 - 强调文字颜色 3 Char"/>
    <w:autoRedefine/>
    <w:qFormat/>
    <w:locked/>
    <w:uiPriority w:val="0"/>
    <w:rPr>
      <w:rFonts w:ascii="Calibri" w:hAnsi="Calibri" w:eastAsia="宋体" w:cs="Times New Roman"/>
    </w:rPr>
  </w:style>
  <w:style w:type="character" w:customStyle="1" w:styleId="247">
    <w:name w:val="Char Char21"/>
    <w:autoRedefine/>
    <w:qFormat/>
    <w:uiPriority w:val="0"/>
    <w:rPr>
      <w:rFonts w:ascii="宋体" w:hAnsi="Courier New" w:eastAsia="宋体"/>
      <w:sz w:val="21"/>
      <w:lang w:val="en-US" w:eastAsia="zh-CN" w:bidi="ar-SA"/>
    </w:rPr>
  </w:style>
  <w:style w:type="character" w:customStyle="1" w:styleId="248">
    <w:name w:val="H2 Char3"/>
    <w:autoRedefine/>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autoRedefine/>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autoRedefine/>
    <w:qFormat/>
    <w:uiPriority w:val="0"/>
    <w:rPr>
      <w:rFonts w:ascii="Courier New" w:hAnsi="Courier New"/>
      <w:color w:val="00FF00"/>
      <w:sz w:val="40"/>
    </w:rPr>
  </w:style>
  <w:style w:type="character" w:customStyle="1" w:styleId="253">
    <w:name w:val="正文4 Char"/>
    <w:link w:val="254"/>
    <w:autoRedefine/>
    <w:qFormat/>
    <w:uiPriority w:val="0"/>
    <w:rPr>
      <w:rFonts w:ascii="Calibri" w:hAnsi="Calibri"/>
      <w:sz w:val="24"/>
      <w:szCs w:val="24"/>
    </w:rPr>
  </w:style>
  <w:style w:type="paragraph" w:customStyle="1" w:styleId="254">
    <w:name w:val="正文4"/>
    <w:basedOn w:val="1"/>
    <w:link w:val="253"/>
    <w:autoRedefine/>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autoRedefine/>
    <w:qFormat/>
    <w:uiPriority w:val="0"/>
    <w:rPr>
      <w:rFonts w:ascii="Times New Roman" w:hAnsi="宋体"/>
      <w:sz w:val="24"/>
      <w:szCs w:val="24"/>
    </w:rPr>
  </w:style>
  <w:style w:type="paragraph" w:customStyle="1" w:styleId="258">
    <w:name w:val="衢州正文"/>
    <w:basedOn w:val="1"/>
    <w:link w:val="257"/>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autoRedefine/>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列表1、 Char"/>
    <w:link w:val="263"/>
    <w:autoRedefine/>
    <w:qFormat/>
    <w:locked/>
    <w:uiPriority w:val="0"/>
    <w:rPr>
      <w:rFonts w:ascii="仿宋" w:hAnsi="仿宋" w:eastAsia="仿宋"/>
      <w:sz w:val="28"/>
      <w:szCs w:val="21"/>
    </w:rPr>
  </w:style>
  <w:style w:type="paragraph" w:customStyle="1" w:styleId="263">
    <w:name w:val="列表1、"/>
    <w:basedOn w:val="126"/>
    <w:link w:val="262"/>
    <w:autoRedefine/>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autoRedefine/>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autoRedefine/>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autoRedefine/>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autoRedefine/>
    <w:qFormat/>
    <w:uiPriority w:val="0"/>
    <w:pPr>
      <w:spacing w:line="360" w:lineRule="auto"/>
      <w:ind w:firstLine="480"/>
    </w:pPr>
    <w:rPr>
      <w:rFonts w:cs="宋体" w:asciiTheme="minorHAnsi" w:hAnsiTheme="minorHAnsi"/>
      <w:sz w:val="24"/>
    </w:rPr>
  </w:style>
  <w:style w:type="character" w:customStyle="1" w:styleId="297">
    <w:name w:val="style31"/>
    <w:autoRedefine/>
    <w:qFormat/>
    <w:uiPriority w:val="0"/>
    <w:rPr>
      <w:color w:val="666666"/>
    </w:rPr>
  </w:style>
  <w:style w:type="character" w:customStyle="1" w:styleId="298">
    <w:name w:val="_正文段落 Char"/>
    <w:link w:val="299"/>
    <w:autoRedefine/>
    <w:qFormat/>
    <w:uiPriority w:val="0"/>
    <w:rPr>
      <w:rFonts w:ascii="Times New Roman" w:hAnsi="Times New Roman"/>
      <w:szCs w:val="24"/>
    </w:rPr>
  </w:style>
  <w:style w:type="paragraph" w:customStyle="1" w:styleId="299">
    <w:name w:val="_正文段落"/>
    <w:basedOn w:val="1"/>
    <w:link w:val="298"/>
    <w:autoRedefine/>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autoRedefine/>
    <w:qFormat/>
    <w:uiPriority w:val="0"/>
  </w:style>
  <w:style w:type="character" w:customStyle="1" w:styleId="301">
    <w:name w:val="Char Char611"/>
    <w:autoRedefine/>
    <w:qFormat/>
    <w:uiPriority w:val="0"/>
    <w:rPr>
      <w:rFonts w:ascii="Calibri" w:hAnsi="Calibri" w:eastAsia="宋体"/>
      <w:b/>
      <w:bCs/>
      <w:kern w:val="2"/>
      <w:sz w:val="28"/>
      <w:szCs w:val="28"/>
      <w:lang w:bidi="ar-SA"/>
    </w:rPr>
  </w:style>
  <w:style w:type="character" w:customStyle="1" w:styleId="302">
    <w:name w:val="数据小节格式"/>
    <w:autoRedefine/>
    <w:qFormat/>
    <w:uiPriority w:val="0"/>
    <w:rPr>
      <w:rFonts w:ascii="新宋体" w:hAnsi="新宋体" w:eastAsia="华文中宋"/>
      <w:b/>
      <w:bCs/>
      <w:sz w:val="27"/>
      <w:szCs w:val="26"/>
      <w:shd w:val="clear" w:color="auto" w:fill="auto"/>
    </w:rPr>
  </w:style>
  <w:style w:type="character" w:customStyle="1" w:styleId="303">
    <w:name w:val="自定义正文 Char Char"/>
    <w:autoRedefine/>
    <w:qFormat/>
    <w:uiPriority w:val="0"/>
    <w:rPr>
      <w:rFonts w:eastAsia="宋体"/>
      <w:kern w:val="2"/>
      <w:sz w:val="24"/>
      <w:szCs w:val="24"/>
      <w:lang w:val="en-US" w:eastAsia="zh-CN" w:bidi="ar-SA"/>
    </w:rPr>
  </w:style>
  <w:style w:type="character" w:customStyle="1" w:styleId="304">
    <w:name w:val="apple-converted-space"/>
    <w:autoRedefine/>
    <w:qFormat/>
    <w:uiPriority w:val="0"/>
  </w:style>
  <w:style w:type="character" w:customStyle="1" w:styleId="305">
    <w:name w:val="表格文字 Char"/>
    <w:link w:val="306"/>
    <w:autoRedefine/>
    <w:qFormat/>
    <w:uiPriority w:val="0"/>
    <w:rPr>
      <w:rFonts w:ascii="Times New Roman" w:hAnsi="Times New Roman"/>
      <w:sz w:val="18"/>
      <w:szCs w:val="24"/>
    </w:rPr>
  </w:style>
  <w:style w:type="paragraph" w:customStyle="1" w:styleId="306">
    <w:name w:val="表格文字"/>
    <w:basedOn w:val="1"/>
    <w:link w:val="305"/>
    <w:autoRedefine/>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autoRedefine/>
    <w:qFormat/>
    <w:uiPriority w:val="0"/>
    <w:rPr>
      <w:rFonts w:eastAsia="仿宋_GB2312" w:cs="宋体"/>
      <w:sz w:val="24"/>
    </w:rPr>
  </w:style>
  <w:style w:type="paragraph" w:customStyle="1" w:styleId="308">
    <w:name w:val="我的正文"/>
    <w:basedOn w:val="1"/>
    <w:link w:val="307"/>
    <w:autoRedefine/>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autoRedefine/>
    <w:qFormat/>
    <w:uiPriority w:val="0"/>
    <w:rPr>
      <w:rFonts w:ascii="宋体" w:hAnsi="宋体" w:eastAsia="宋体"/>
      <w:sz w:val="24"/>
      <w:szCs w:val="24"/>
    </w:rPr>
  </w:style>
  <w:style w:type="paragraph" w:customStyle="1" w:styleId="310">
    <w:name w:val="7.表小四"/>
    <w:basedOn w:val="1"/>
    <w:link w:val="309"/>
    <w:autoRedefine/>
    <w:qFormat/>
    <w:uiPriority w:val="0"/>
    <w:pPr>
      <w:spacing w:beforeLines="50" w:afterLines="50"/>
    </w:pPr>
    <w:rPr>
      <w:rFonts w:ascii="宋体" w:hAnsi="宋体" w:cstheme="minorBidi"/>
      <w:sz w:val="24"/>
      <w:szCs w:val="24"/>
    </w:rPr>
  </w:style>
  <w:style w:type="character" w:customStyle="1" w:styleId="311">
    <w:name w:val="标题 1 Char Char"/>
    <w:autoRedefine/>
    <w:qFormat/>
    <w:uiPriority w:val="0"/>
    <w:rPr>
      <w:rFonts w:eastAsia="宋体"/>
      <w:b/>
      <w:spacing w:val="-2"/>
      <w:sz w:val="24"/>
      <w:lang w:val="en-US" w:eastAsia="zh-CN" w:bidi="ar-SA"/>
    </w:rPr>
  </w:style>
  <w:style w:type="character" w:customStyle="1" w:styleId="312">
    <w:name w:val="b11_01b Char Char"/>
    <w:autoRedefine/>
    <w:qFormat/>
    <w:uiPriority w:val="0"/>
    <w:rPr>
      <w:rFonts w:ascii="Verdana" w:hAnsi="Verdana" w:eastAsia="宋体"/>
      <w:b/>
      <w:bCs/>
      <w:color w:val="4A82CA"/>
      <w:sz w:val="17"/>
      <w:szCs w:val="17"/>
      <w:lang w:val="en-US" w:eastAsia="zh-CN" w:bidi="ar-SA"/>
    </w:rPr>
  </w:style>
  <w:style w:type="character" w:customStyle="1" w:styleId="313">
    <w:name w:val="方案正文 Char"/>
    <w:link w:val="314"/>
    <w:autoRedefine/>
    <w:qFormat/>
    <w:uiPriority w:val="0"/>
    <w:rPr>
      <w:rFonts w:ascii="Calibri" w:hAnsi="Calibri" w:eastAsia="仿宋_GB2312"/>
      <w:sz w:val="32"/>
      <w:szCs w:val="24"/>
    </w:rPr>
  </w:style>
  <w:style w:type="paragraph" w:customStyle="1" w:styleId="314">
    <w:name w:val="方案正文"/>
    <w:basedOn w:val="1"/>
    <w:link w:val="313"/>
    <w:autoRedefine/>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autoRedefine/>
    <w:qFormat/>
    <w:uiPriority w:val="0"/>
    <w:rPr>
      <w:rFonts w:ascii="Arial" w:hAnsi="Arial" w:eastAsia="黑体"/>
      <w:b/>
      <w:bCs/>
      <w:kern w:val="2"/>
      <w:sz w:val="32"/>
      <w:szCs w:val="32"/>
      <w:lang w:val="en-US" w:eastAsia="zh-CN" w:bidi="ar-SA"/>
    </w:rPr>
  </w:style>
  <w:style w:type="character" w:customStyle="1" w:styleId="316">
    <w:name w:val="标准正文格式 Char Char"/>
    <w:autoRedefine/>
    <w:qFormat/>
    <w:uiPriority w:val="0"/>
    <w:rPr>
      <w:rFonts w:ascii="宋体" w:eastAsia="仿宋_GB2312" w:cs="宋体"/>
      <w:color w:val="000000"/>
      <w:sz w:val="24"/>
      <w:lang w:val="en-US" w:eastAsia="zh-CN" w:bidi="ar-SA"/>
    </w:rPr>
  </w:style>
  <w:style w:type="character" w:customStyle="1" w:styleId="317">
    <w:name w:val="页脚 Char Char"/>
    <w:autoRedefine/>
    <w:qFormat/>
    <w:uiPriority w:val="0"/>
    <w:rPr>
      <w:kern w:val="2"/>
      <w:sz w:val="18"/>
      <w:szCs w:val="18"/>
      <w:lang w:bidi="ar-SA"/>
    </w:rPr>
  </w:style>
  <w:style w:type="character" w:customStyle="1" w:styleId="318">
    <w:name w:val="Char Char221"/>
    <w:autoRedefine/>
    <w:qFormat/>
    <w:uiPriority w:val="0"/>
    <w:rPr>
      <w:rFonts w:ascii="宋体" w:hAnsi="Courier New" w:eastAsia="宋体"/>
      <w:sz w:val="21"/>
      <w:lang w:val="en-US" w:eastAsia="zh-CN" w:bidi="ar-SA"/>
    </w:rPr>
  </w:style>
  <w:style w:type="character" w:customStyle="1" w:styleId="319">
    <w:name w:val="投标正文 Char"/>
    <w:link w:val="320"/>
    <w:autoRedefine/>
    <w:qFormat/>
    <w:uiPriority w:val="0"/>
    <w:rPr>
      <w:rFonts w:ascii="宋体" w:hAnsi="宋体" w:eastAsia="宋体"/>
      <w:sz w:val="24"/>
      <w:szCs w:val="24"/>
    </w:rPr>
  </w:style>
  <w:style w:type="paragraph" w:customStyle="1" w:styleId="320">
    <w:name w:val="投标正文"/>
    <w:basedOn w:val="1"/>
    <w:link w:val="319"/>
    <w:autoRedefine/>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autoRedefine/>
    <w:qFormat/>
    <w:uiPriority w:val="0"/>
    <w:rPr>
      <w:rFonts w:eastAsia="楷体_GB2312"/>
      <w:kern w:val="2"/>
      <w:sz w:val="32"/>
      <w:lang w:val="en-US" w:eastAsia="zh-CN" w:bidi="ar-SA"/>
    </w:rPr>
  </w:style>
  <w:style w:type="character" w:customStyle="1" w:styleId="322">
    <w:name w:val="正文0缩进 Char"/>
    <w:link w:val="323"/>
    <w:autoRedefine/>
    <w:qFormat/>
    <w:uiPriority w:val="0"/>
    <w:rPr>
      <w:rFonts w:ascii="宋体" w:hAnsi="宋体"/>
      <w:sz w:val="24"/>
      <w:szCs w:val="24"/>
    </w:rPr>
  </w:style>
  <w:style w:type="paragraph" w:customStyle="1" w:styleId="323">
    <w:name w:val="正文0缩进"/>
    <w:basedOn w:val="1"/>
    <w:link w:val="322"/>
    <w:autoRedefine/>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autoRedefine/>
    <w:qFormat/>
    <w:uiPriority w:val="0"/>
    <w:rPr>
      <w:rFonts w:ascii="新宋体" w:hAnsi="新宋体" w:eastAsia="新宋体"/>
      <w:sz w:val="24"/>
      <w:szCs w:val="24"/>
    </w:rPr>
  </w:style>
  <w:style w:type="paragraph" w:customStyle="1" w:styleId="325">
    <w:name w:val="表格中文字"/>
    <w:basedOn w:val="1"/>
    <w:link w:val="324"/>
    <w:autoRedefine/>
    <w:qFormat/>
    <w:uiPriority w:val="0"/>
    <w:pPr>
      <w:spacing w:line="288" w:lineRule="auto"/>
    </w:pPr>
    <w:rPr>
      <w:rFonts w:ascii="新宋体" w:hAnsi="新宋体" w:eastAsia="新宋体" w:cstheme="minorBidi"/>
      <w:sz w:val="24"/>
      <w:szCs w:val="24"/>
    </w:rPr>
  </w:style>
  <w:style w:type="character" w:styleId="326">
    <w:name w:val="Placeholder Text"/>
    <w:autoRedefine/>
    <w:qFormat/>
    <w:uiPriority w:val="99"/>
    <w:rPr>
      <w:color w:val="808080"/>
    </w:rPr>
  </w:style>
  <w:style w:type="character" w:customStyle="1" w:styleId="3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autoRedefine/>
    <w:qFormat/>
    <w:uiPriority w:val="0"/>
    <w:rPr>
      <w:rFonts w:ascii="Calibri" w:hAnsi="Calibri" w:eastAsia="楷体_GB2312"/>
      <w:kern w:val="2"/>
      <w:sz w:val="32"/>
      <w:lang w:val="en-US" w:eastAsia="zh-CN" w:bidi="ar-SA"/>
    </w:rPr>
  </w:style>
  <w:style w:type="character" w:customStyle="1" w:styleId="329">
    <w:name w:val="viewdoctitle"/>
    <w:basedOn w:val="64"/>
    <w:autoRedefine/>
    <w:qFormat/>
    <w:uiPriority w:val="0"/>
  </w:style>
  <w:style w:type="character" w:customStyle="1" w:styleId="330">
    <w:name w:val="black10"/>
    <w:basedOn w:val="64"/>
    <w:autoRedefine/>
    <w:qFormat/>
    <w:uiPriority w:val="0"/>
  </w:style>
  <w:style w:type="character" w:customStyle="1" w:styleId="331">
    <w:name w:val="Char Char1211"/>
    <w:autoRedefine/>
    <w:qFormat/>
    <w:uiPriority w:val="0"/>
    <w:rPr>
      <w:rFonts w:ascii="宋体" w:hAnsi="Courier New" w:eastAsia="宋体" w:cs="Times New Roman"/>
      <w:spacing w:val="-4"/>
      <w:sz w:val="18"/>
      <w:szCs w:val="20"/>
    </w:rPr>
  </w:style>
  <w:style w:type="character" w:customStyle="1" w:styleId="332">
    <w:name w:val="段 Char Char"/>
    <w:link w:val="333"/>
    <w:autoRedefine/>
    <w:qFormat/>
    <w:uiPriority w:val="0"/>
    <w:rPr>
      <w:rFonts w:ascii="宋体" w:hAnsi="Times New Roman"/>
    </w:rPr>
  </w:style>
  <w:style w:type="paragraph" w:customStyle="1" w:styleId="333">
    <w:name w:val="段"/>
    <w:link w:val="332"/>
    <w:autoRedefine/>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autoRedefine/>
    <w:qFormat/>
    <w:uiPriority w:val="0"/>
  </w:style>
  <w:style w:type="character" w:customStyle="1" w:styleId="335">
    <w:name w:val="ZJGIS-四级标题 Char"/>
    <w:link w:val="336"/>
    <w:autoRedefine/>
    <w:qFormat/>
    <w:uiPriority w:val="0"/>
    <w:rPr>
      <w:rFonts w:ascii="Arial" w:hAnsi="Arial" w:eastAsia="仿宋_GB2312"/>
      <w:b/>
      <w:bCs/>
      <w:sz w:val="28"/>
      <w:szCs w:val="28"/>
    </w:rPr>
  </w:style>
  <w:style w:type="paragraph" w:customStyle="1" w:styleId="336">
    <w:name w:val="ZJGIS-四级标题"/>
    <w:basedOn w:val="5"/>
    <w:link w:val="335"/>
    <w:autoRedefine/>
    <w:qFormat/>
    <w:uiPriority w:val="0"/>
    <w:pPr>
      <w:numPr>
        <w:ilvl w:val="3"/>
        <w:numId w:val="10"/>
      </w:numPr>
      <w:spacing w:before="120" w:after="120" w:line="240" w:lineRule="auto"/>
    </w:pPr>
    <w:rPr>
      <w:rFonts w:eastAsia="仿宋_GB2312" w:cstheme="minorBidi"/>
    </w:rPr>
  </w:style>
  <w:style w:type="character" w:customStyle="1" w:styleId="337">
    <w:name w:val="不明显参考1"/>
    <w:autoRedefine/>
    <w:qFormat/>
    <w:uiPriority w:val="31"/>
    <w:rPr>
      <w:smallCaps/>
      <w:color w:val="C0504D"/>
      <w:u w:val="single"/>
    </w:rPr>
  </w:style>
  <w:style w:type="character" w:customStyle="1" w:styleId="338">
    <w:name w:val="样式 样式 正文首行缩进 + 首行缩进:  2 字符 + 首行缩进:  2 字符 Char"/>
    <w:link w:val="339"/>
    <w:autoRedefine/>
    <w:qFormat/>
    <w:uiPriority w:val="0"/>
    <w:rPr>
      <w:rFonts w:cs="宋体"/>
      <w:sz w:val="24"/>
    </w:rPr>
  </w:style>
  <w:style w:type="paragraph" w:customStyle="1" w:styleId="339">
    <w:name w:val="样式 样式 正文首行缩进 + 首行缩进:  2 字符 + 首行缩进:  2 字符"/>
    <w:basedOn w:val="1"/>
    <w:link w:val="338"/>
    <w:autoRedefine/>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autoRedefine/>
    <w:qFormat/>
    <w:uiPriority w:val="0"/>
    <w:rPr>
      <w:rFonts w:ascii="Arial" w:hAnsi="Arial" w:eastAsia="黑体"/>
      <w:b/>
      <w:kern w:val="2"/>
      <w:sz w:val="32"/>
      <w:lang w:val="en-US" w:eastAsia="zh-CN" w:bidi="ar-SA"/>
    </w:rPr>
  </w:style>
  <w:style w:type="character" w:customStyle="1" w:styleId="341">
    <w:name w:val="b titlename wangputoptitle"/>
    <w:basedOn w:val="64"/>
    <w:autoRedefine/>
    <w:qFormat/>
    <w:uiPriority w:val="0"/>
  </w:style>
  <w:style w:type="character" w:customStyle="1" w:styleId="342">
    <w:name w:val="tw4winExternal"/>
    <w:autoRedefine/>
    <w:qFormat/>
    <w:uiPriority w:val="0"/>
    <w:rPr>
      <w:rFonts w:ascii="Courier New" w:hAnsi="Courier New"/>
      <w:color w:val="808080"/>
    </w:rPr>
  </w:style>
  <w:style w:type="character" w:customStyle="1" w:styleId="343">
    <w:name w:val="glossaryitem"/>
    <w:autoRedefine/>
    <w:qFormat/>
    <w:uiPriority w:val="0"/>
    <w:rPr>
      <w:u w:val="none"/>
    </w:rPr>
  </w:style>
  <w:style w:type="character" w:customStyle="1" w:styleId="344">
    <w:name w:val="title_emph1"/>
    <w:autoRedefine/>
    <w:qFormat/>
    <w:uiPriority w:val="0"/>
    <w:rPr>
      <w:rFonts w:hint="default" w:ascii="Arial" w:hAnsi="Arial" w:cs="Arial"/>
      <w:b/>
      <w:bCs/>
      <w:sz w:val="18"/>
      <w:szCs w:val="18"/>
    </w:rPr>
  </w:style>
  <w:style w:type="character" w:customStyle="1" w:styleId="345">
    <w:name w:val="Char Char1"/>
    <w:autoRedefine/>
    <w:qFormat/>
    <w:uiPriority w:val="0"/>
    <w:rPr>
      <w:kern w:val="2"/>
      <w:sz w:val="18"/>
      <w:szCs w:val="18"/>
    </w:rPr>
  </w:style>
  <w:style w:type="character" w:customStyle="1" w:styleId="346">
    <w:name w:val="正文段落 Char"/>
    <w:link w:val="347"/>
    <w:autoRedefine/>
    <w:qFormat/>
    <w:uiPriority w:val="0"/>
    <w:rPr>
      <w:rFonts w:ascii="Times New Roman" w:hAnsi="Times New Roman"/>
      <w:sz w:val="24"/>
    </w:rPr>
  </w:style>
  <w:style w:type="paragraph" w:customStyle="1" w:styleId="347">
    <w:name w:val="正文段落"/>
    <w:basedOn w:val="1"/>
    <w:link w:val="346"/>
    <w:autoRedefine/>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autoRedefine/>
    <w:qFormat/>
    <w:uiPriority w:val="0"/>
  </w:style>
  <w:style w:type="character" w:customStyle="1" w:styleId="349">
    <w:name w:val="样式 首行缩进:  2 字符 Char"/>
    <w:link w:val="350"/>
    <w:autoRedefine/>
    <w:qFormat/>
    <w:uiPriority w:val="0"/>
    <w:rPr>
      <w:rFonts w:ascii="宋体" w:hAnsi="宋体"/>
      <w:bCs/>
      <w:color w:val="000000"/>
      <w:sz w:val="24"/>
      <w:szCs w:val="24"/>
    </w:rPr>
  </w:style>
  <w:style w:type="paragraph" w:customStyle="1" w:styleId="350">
    <w:name w:val="样式 首行缩进:  2 字符"/>
    <w:basedOn w:val="1"/>
    <w:link w:val="349"/>
    <w:autoRedefine/>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autoRedefine/>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autoRedefine/>
    <w:qFormat/>
    <w:uiPriority w:val="0"/>
    <w:rPr>
      <w:rFonts w:ascii="Arial" w:hAnsi="Arial" w:eastAsia="宋体"/>
      <w:sz w:val="24"/>
      <w:szCs w:val="24"/>
    </w:rPr>
  </w:style>
  <w:style w:type="paragraph" w:customStyle="1" w:styleId="353">
    <w:name w:val="大汉方案正文 Char"/>
    <w:basedOn w:val="1"/>
    <w:link w:val="352"/>
    <w:autoRedefine/>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autoRedefine/>
    <w:qFormat/>
    <w:uiPriority w:val="0"/>
    <w:rPr>
      <w:rFonts w:ascii="Times New Roman" w:hAnsi="Times New Roman" w:eastAsia="仿宋_GB2312"/>
      <w:szCs w:val="21"/>
    </w:rPr>
  </w:style>
  <w:style w:type="paragraph" w:customStyle="1" w:styleId="355">
    <w:name w:val="表格正文"/>
    <w:basedOn w:val="1"/>
    <w:link w:val="354"/>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autoRedefine/>
    <w:qFormat/>
    <w:uiPriority w:val="0"/>
    <w:rPr>
      <w:rFonts w:eastAsia="宋体" w:cs="宋体"/>
      <w:sz w:val="24"/>
    </w:rPr>
  </w:style>
  <w:style w:type="paragraph" w:customStyle="1" w:styleId="357">
    <w:name w:val="正文标准样式ty"/>
    <w:basedOn w:val="1"/>
    <w:link w:val="356"/>
    <w:autoRedefine/>
    <w:qFormat/>
    <w:uiPriority w:val="0"/>
    <w:pPr>
      <w:spacing w:line="360" w:lineRule="auto"/>
      <w:ind w:firstLine="480" w:firstLineChars="200"/>
    </w:pPr>
    <w:rPr>
      <w:rFonts w:cs="宋体" w:asciiTheme="minorHAnsi" w:hAnsiTheme="minorHAnsi"/>
      <w:sz w:val="24"/>
    </w:rPr>
  </w:style>
  <w:style w:type="character" w:customStyle="1" w:styleId="358">
    <w:name w:val="Char Char13"/>
    <w:autoRedefine/>
    <w:qFormat/>
    <w:uiPriority w:val="0"/>
    <w:rPr>
      <w:rFonts w:ascii="Calibri" w:hAnsi="Calibri" w:eastAsia="宋体" w:cs="Times New Roman"/>
      <w:sz w:val="18"/>
      <w:szCs w:val="18"/>
    </w:rPr>
  </w:style>
  <w:style w:type="character" w:customStyle="1" w:styleId="359">
    <w:name w:val="Char Char711"/>
    <w:autoRedefine/>
    <w:qFormat/>
    <w:uiPriority w:val="0"/>
    <w:rPr>
      <w:rFonts w:eastAsia="宋体"/>
      <w:b/>
      <w:kern w:val="2"/>
      <w:sz w:val="32"/>
      <w:lang w:bidi="ar-SA"/>
    </w:rPr>
  </w:style>
  <w:style w:type="character" w:customStyle="1" w:styleId="360">
    <w:name w:val="Char Char911"/>
    <w:autoRedefine/>
    <w:qFormat/>
    <w:uiPriority w:val="0"/>
    <w:rPr>
      <w:rFonts w:eastAsia="宋体"/>
      <w:b/>
      <w:kern w:val="44"/>
      <w:sz w:val="44"/>
      <w:lang w:bidi="ar-SA"/>
    </w:rPr>
  </w:style>
  <w:style w:type="character" w:customStyle="1" w:styleId="361">
    <w:name w:val="吉奥表格正文 Char"/>
    <w:link w:val="362"/>
    <w:autoRedefine/>
    <w:qFormat/>
    <w:uiPriority w:val="0"/>
    <w:rPr>
      <w:rFonts w:ascii="Times New Roman" w:hAnsi="Times New Roman" w:eastAsia="仿宋_GB2312"/>
      <w:szCs w:val="21"/>
    </w:rPr>
  </w:style>
  <w:style w:type="paragraph" w:customStyle="1" w:styleId="362">
    <w:name w:val="吉奥表格正文"/>
    <w:basedOn w:val="1"/>
    <w:link w:val="361"/>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autoRedefine/>
    <w:qFormat/>
    <w:locked/>
    <w:uiPriority w:val="0"/>
    <w:rPr>
      <w:rFonts w:ascii="宋体" w:hAnsi="宋体" w:cs="Arial"/>
      <w:lang w:eastAsia="en-US"/>
    </w:rPr>
  </w:style>
  <w:style w:type="paragraph" w:customStyle="1" w:styleId="364">
    <w:name w:val="+SymcPara"/>
    <w:link w:val="363"/>
    <w:autoRedefine/>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autoRedefine/>
    <w:qFormat/>
    <w:uiPriority w:val="0"/>
    <w:rPr>
      <w:rFonts w:ascii="宋体" w:hAnsi="宋体" w:eastAsia="仿宋_GB2312"/>
      <w:sz w:val="24"/>
      <w:lang w:val="en-US" w:eastAsia="zh-CN" w:bidi="ar-SA"/>
    </w:rPr>
  </w:style>
  <w:style w:type="character" w:customStyle="1" w:styleId="366">
    <w:name w:val="7.表小四 Char Char"/>
    <w:autoRedefine/>
    <w:qFormat/>
    <w:uiPriority w:val="0"/>
    <w:rPr>
      <w:rFonts w:ascii="宋体" w:hAnsi="宋体" w:eastAsia="宋体"/>
      <w:kern w:val="2"/>
      <w:sz w:val="24"/>
      <w:szCs w:val="24"/>
      <w:lang w:val="en-US" w:eastAsia="zh-CN" w:bidi="ar-SA"/>
    </w:rPr>
  </w:style>
  <w:style w:type="character" w:customStyle="1" w:styleId="367">
    <w:name w:val="ca-16"/>
    <w:basedOn w:val="64"/>
    <w:autoRedefine/>
    <w:qFormat/>
    <w:uiPriority w:val="0"/>
  </w:style>
  <w:style w:type="character" w:customStyle="1" w:styleId="368">
    <w:name w:val="正文（缩进） Char"/>
    <w:link w:val="369"/>
    <w:autoRedefine/>
    <w:qFormat/>
    <w:uiPriority w:val="0"/>
    <w:rPr>
      <w:sz w:val="24"/>
      <w:szCs w:val="24"/>
    </w:rPr>
  </w:style>
  <w:style w:type="paragraph" w:customStyle="1" w:styleId="369">
    <w:name w:val="正文（缩进）"/>
    <w:basedOn w:val="1"/>
    <w:link w:val="368"/>
    <w:autoRedefine/>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autoRedefine/>
    <w:qFormat/>
    <w:uiPriority w:val="0"/>
    <w:rPr>
      <w:rFonts w:ascii="仿宋_GB2312" w:hAnsi="仿宋" w:eastAsia="仿宋_GB2312"/>
      <w:sz w:val="30"/>
      <w:szCs w:val="30"/>
    </w:rPr>
  </w:style>
  <w:style w:type="paragraph" w:customStyle="1" w:styleId="371">
    <w:name w:val="文档正文1"/>
    <w:basedOn w:val="1"/>
    <w:link w:val="370"/>
    <w:autoRedefine/>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autoRedefine/>
    <w:qFormat/>
    <w:uiPriority w:val="0"/>
    <w:rPr>
      <w:rFonts w:ascii="Calibri" w:hAnsi="Calibri" w:eastAsia="宋体" w:cs="Times New Roman"/>
      <w:szCs w:val="20"/>
    </w:rPr>
  </w:style>
  <w:style w:type="character" w:customStyle="1" w:styleId="373">
    <w:name w:val="Indent Normal Char Char"/>
    <w:autoRedefine/>
    <w:qFormat/>
    <w:uiPriority w:val="0"/>
    <w:rPr>
      <w:kern w:val="2"/>
      <w:sz w:val="21"/>
      <w:lang w:bidi="ar-SA"/>
    </w:rPr>
  </w:style>
  <w:style w:type="character" w:customStyle="1" w:styleId="374">
    <w:name w:val="标题 4 Char1"/>
    <w:autoRedefine/>
    <w:qFormat/>
    <w:uiPriority w:val="0"/>
    <w:rPr>
      <w:rFonts w:ascii="Cambria" w:hAnsi="Cambria" w:eastAsia="宋体" w:cs="Times New Roman"/>
      <w:b/>
      <w:bCs/>
      <w:kern w:val="2"/>
      <w:sz w:val="28"/>
      <w:szCs w:val="28"/>
    </w:rPr>
  </w:style>
  <w:style w:type="character" w:customStyle="1" w:styleId="375">
    <w:name w:val="列出段落 Char Char"/>
    <w:autoRedefine/>
    <w:qFormat/>
    <w:uiPriority w:val="0"/>
    <w:rPr>
      <w:rFonts w:ascii="Calibri" w:hAnsi="Calibri" w:eastAsia="宋体"/>
      <w:kern w:val="2"/>
      <w:sz w:val="21"/>
      <w:szCs w:val="24"/>
      <w:lang w:val="en-US" w:eastAsia="zh-CN" w:bidi="ar-SA"/>
    </w:rPr>
  </w:style>
  <w:style w:type="character" w:customStyle="1" w:styleId="376">
    <w:name w:val="mark8"/>
    <w:autoRedefine/>
    <w:qFormat/>
    <w:uiPriority w:val="0"/>
    <w:rPr>
      <w:b/>
      <w:bCs/>
      <w:sz w:val="21"/>
      <w:szCs w:val="21"/>
    </w:rPr>
  </w:style>
  <w:style w:type="character" w:customStyle="1" w:styleId="377">
    <w:name w:val="paragraph1 Char"/>
    <w:link w:val="378"/>
    <w:autoRedefine/>
    <w:qFormat/>
    <w:uiPriority w:val="0"/>
    <w:rPr>
      <w:rFonts w:eastAsia="楷体_GB2312"/>
      <w:sz w:val="24"/>
    </w:rPr>
  </w:style>
  <w:style w:type="paragraph" w:customStyle="1" w:styleId="378">
    <w:name w:val="paragraph1"/>
    <w:basedOn w:val="1"/>
    <w:link w:val="377"/>
    <w:autoRedefine/>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autoRedefine/>
    <w:qFormat/>
    <w:uiPriority w:val="0"/>
    <w:rPr>
      <w:rFonts w:ascii="Calibri" w:hAnsi="Calibri" w:eastAsia="宋体" w:cs="Times New Roman"/>
      <w:sz w:val="18"/>
      <w:szCs w:val="18"/>
    </w:rPr>
  </w:style>
  <w:style w:type="character" w:customStyle="1" w:styleId="38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381">
    <w:name w:val="mark"/>
    <w:autoRedefine/>
    <w:qFormat/>
    <w:uiPriority w:val="0"/>
    <w:rPr>
      <w:rFonts w:cs="Times New Roman"/>
    </w:rPr>
  </w:style>
  <w:style w:type="character" w:customStyle="1" w:styleId="382">
    <w:name w:val="Char Char1311"/>
    <w:autoRedefine/>
    <w:qFormat/>
    <w:uiPriority w:val="0"/>
    <w:rPr>
      <w:rFonts w:ascii="Calibri" w:hAnsi="Calibri" w:eastAsia="宋体" w:cs="Times New Roman"/>
      <w:sz w:val="18"/>
      <w:szCs w:val="18"/>
    </w:rPr>
  </w:style>
  <w:style w:type="character" w:customStyle="1" w:styleId="383">
    <w:name w:val="Char2 Char"/>
    <w:autoRedefine/>
    <w:qFormat/>
    <w:uiPriority w:val="0"/>
    <w:rPr>
      <w:rFonts w:ascii="Verdana" w:hAnsi="宋体" w:eastAsia="宋体" w:cs="Times New Roman"/>
      <w:sz w:val="28"/>
      <w:szCs w:val="28"/>
    </w:rPr>
  </w:style>
  <w:style w:type="character" w:customStyle="1" w:styleId="384">
    <w:name w:val="正文 首行缩进:  2 字符 Char"/>
    <w:link w:val="385"/>
    <w:autoRedefine/>
    <w:qFormat/>
    <w:uiPriority w:val="0"/>
    <w:rPr>
      <w:rFonts w:cs="宋体"/>
      <w:sz w:val="24"/>
    </w:rPr>
  </w:style>
  <w:style w:type="paragraph" w:customStyle="1" w:styleId="385">
    <w:name w:val="正文 首行缩进:  2 字符"/>
    <w:basedOn w:val="1"/>
    <w:next w:val="1"/>
    <w:link w:val="384"/>
    <w:autoRedefine/>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autoRedefine/>
    <w:qFormat/>
    <w:uiPriority w:val="0"/>
    <w:rPr>
      <w:color w:val="999999"/>
    </w:rPr>
  </w:style>
  <w:style w:type="character" w:customStyle="1" w:styleId="387">
    <w:name w:val="Char Char411"/>
    <w:autoRedefine/>
    <w:qFormat/>
    <w:uiPriority w:val="0"/>
    <w:rPr>
      <w:rFonts w:ascii="Calibri" w:hAnsi="Calibri" w:eastAsia="宋体"/>
      <w:sz w:val="18"/>
      <w:szCs w:val="18"/>
      <w:lang w:bidi="ar-SA"/>
    </w:rPr>
  </w:style>
  <w:style w:type="character" w:customStyle="1" w:styleId="388">
    <w:name w:val="华电 正文 Char Char"/>
    <w:autoRedefine/>
    <w:qFormat/>
    <w:uiPriority w:val="0"/>
    <w:rPr>
      <w:rFonts w:ascii="宋体" w:hAnsi="宋体" w:eastAsia="宋体"/>
      <w:sz w:val="22"/>
      <w:lang w:bidi="ar-SA"/>
    </w:rPr>
  </w:style>
  <w:style w:type="character" w:customStyle="1" w:styleId="389">
    <w:name w:val="Char Char"/>
    <w:autoRedefine/>
    <w:qFormat/>
    <w:uiPriority w:val="0"/>
    <w:rPr>
      <w:rFonts w:ascii="Arial" w:hAnsi="Arial" w:eastAsia="黑体"/>
      <w:b/>
      <w:bCs/>
      <w:kern w:val="2"/>
      <w:sz w:val="28"/>
      <w:szCs w:val="28"/>
      <w:lang w:val="en-US" w:eastAsia="zh-CN" w:bidi="ar-SA"/>
    </w:rPr>
  </w:style>
  <w:style w:type="paragraph" w:customStyle="1" w:styleId="390">
    <w:name w:val="表文字"/>
    <w:autoRedefine/>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autoRedefine/>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autoRedefine/>
    <w:qFormat/>
    <w:uiPriority w:val="0"/>
    <w:pPr>
      <w:ind w:firstLine="480" w:firstLineChars="200"/>
    </w:pPr>
  </w:style>
  <w:style w:type="paragraph" w:customStyle="1" w:styleId="3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autoRedefine/>
    <w:qFormat/>
    <w:uiPriority w:val="0"/>
    <w:pPr>
      <w:ind w:firstLine="420" w:firstLineChars="200"/>
    </w:pPr>
  </w:style>
  <w:style w:type="paragraph" w:customStyle="1" w:styleId="4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4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autoRedefine/>
    <w:qFormat/>
    <w:uiPriority w:val="0"/>
    <w:pPr>
      <w:spacing w:line="360" w:lineRule="auto"/>
    </w:pPr>
    <w:rPr>
      <w:rFonts w:ascii="Times New Roman" w:hAnsi="Times New Roman"/>
      <w:b/>
      <w:i/>
      <w:sz w:val="24"/>
      <w:szCs w:val="24"/>
      <w:u w:val="single"/>
    </w:rPr>
  </w:style>
  <w:style w:type="paragraph" w:customStyle="1" w:styleId="4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autoRedefine/>
    <w:qFormat/>
    <w:uiPriority w:val="0"/>
    <w:pPr>
      <w:spacing w:after="120"/>
    </w:pPr>
    <w:rPr>
      <w:rFonts w:ascii="Times New Roman" w:hAnsi="Times New Roman"/>
      <w:sz w:val="28"/>
      <w:szCs w:val="24"/>
    </w:rPr>
  </w:style>
  <w:style w:type="paragraph" w:customStyle="1" w:styleId="4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autoRedefine/>
    <w:qFormat/>
    <w:uiPriority w:val="0"/>
    <w:pPr>
      <w:spacing w:line="360" w:lineRule="auto"/>
      <w:jc w:val="center"/>
    </w:pPr>
    <w:rPr>
      <w:rFonts w:ascii="宋体" w:hAnsi="宋体"/>
      <w:b/>
      <w:sz w:val="24"/>
      <w:szCs w:val="24"/>
    </w:rPr>
  </w:style>
  <w:style w:type="paragraph" w:customStyle="1" w:styleId="412">
    <w:name w:val="Char"/>
    <w:basedOn w:val="1"/>
    <w:autoRedefine/>
    <w:qFormat/>
    <w:uiPriority w:val="0"/>
    <w:rPr>
      <w:rFonts w:ascii="仿宋_GB2312" w:hAnsi="Times New Roman" w:eastAsia="仿宋_GB2312"/>
      <w:b/>
      <w:sz w:val="32"/>
      <w:szCs w:val="32"/>
    </w:rPr>
  </w:style>
  <w:style w:type="paragraph" w:customStyle="1" w:styleId="4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autoRedefine/>
    <w:qFormat/>
    <w:uiPriority w:val="0"/>
    <w:pPr>
      <w:adjustRightInd w:val="0"/>
      <w:snapToGrid w:val="0"/>
      <w:jc w:val="center"/>
    </w:pPr>
    <w:rPr>
      <w:rFonts w:ascii="宋体" w:hAnsi="宋体"/>
      <w:szCs w:val="21"/>
    </w:rPr>
  </w:style>
  <w:style w:type="paragraph" w:customStyle="1" w:styleId="416">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autoRedefine/>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autoRedefine/>
    <w:qFormat/>
    <w:uiPriority w:val="0"/>
    <w:pPr>
      <w:ind w:firstLine="480" w:firstLineChars="200"/>
    </w:pPr>
  </w:style>
  <w:style w:type="paragraph" w:customStyle="1" w:styleId="420">
    <w:name w:val="样式 正文文本缩进 + 仿宋_GB2312 小四 首行缩进:  0 厘米 行距: 1.5 倍行距"/>
    <w:basedOn w:val="25"/>
    <w:autoRedefine/>
    <w:qFormat/>
    <w:uiPriority w:val="0"/>
    <w:pPr>
      <w:spacing w:line="360" w:lineRule="auto"/>
      <w:ind w:firstLine="0"/>
    </w:pPr>
    <w:rPr>
      <w:rFonts w:ascii="仿宋_GB2312" w:hAnsi="Times New Roman" w:eastAsia="新宋体"/>
      <w:spacing w:val="0"/>
      <w:sz w:val="24"/>
    </w:rPr>
  </w:style>
  <w:style w:type="paragraph" w:customStyle="1" w:styleId="421">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autoRedefine/>
    <w:qFormat/>
    <w:uiPriority w:val="0"/>
    <w:pPr>
      <w:ind w:firstLine="562"/>
    </w:pPr>
    <w:rPr>
      <w:rFonts w:ascii="仿宋_GB2312" w:eastAsia="仿宋_GB2312"/>
      <w:b/>
      <w:sz w:val="28"/>
      <w:szCs w:val="28"/>
    </w:rPr>
  </w:style>
  <w:style w:type="paragraph" w:customStyle="1" w:styleId="423">
    <w:name w:val="图名"/>
    <w:basedOn w:val="18"/>
    <w:autoRedefine/>
    <w:qFormat/>
    <w:uiPriority w:val="0"/>
    <w:pPr>
      <w:spacing w:beforeLines="50" w:afterLines="50"/>
      <w:jc w:val="center"/>
    </w:pPr>
    <w:rPr>
      <w:rFonts w:ascii="Times New Roman" w:hAnsi="Times New Roman"/>
      <w:kern w:val="0"/>
      <w:sz w:val="24"/>
      <w:szCs w:val="24"/>
    </w:rPr>
  </w:style>
  <w:style w:type="paragraph" w:styleId="42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autoRedefine/>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autoRedefine/>
    <w:qFormat/>
    <w:uiPriority w:val="0"/>
    <w:pPr>
      <w:spacing w:beforeLines="50" w:afterLines="50"/>
      <w:jc w:val="center"/>
    </w:pPr>
    <w:rPr>
      <w:rFonts w:ascii="黑体"/>
      <w:kern w:val="0"/>
      <w:sz w:val="24"/>
      <w:szCs w:val="24"/>
    </w:rPr>
  </w:style>
  <w:style w:type="paragraph" w:customStyle="1" w:styleId="434">
    <w:name w:val="Char Char Char"/>
    <w:basedOn w:val="1"/>
    <w:autoRedefine/>
    <w:qFormat/>
    <w:uiPriority w:val="0"/>
    <w:rPr>
      <w:rFonts w:ascii="Tahoma" w:hAnsi="Tahoma"/>
      <w:sz w:val="24"/>
      <w:szCs w:val="20"/>
    </w:rPr>
  </w:style>
  <w:style w:type="paragraph" w:customStyle="1" w:styleId="435">
    <w:name w:val="样式 样式 标题 4 + 段后: 0.5 行1"/>
    <w:basedOn w:val="436"/>
    <w:next w:val="36"/>
    <w:autoRedefine/>
    <w:qFormat/>
    <w:uiPriority w:val="0"/>
    <w:pPr>
      <w:numPr>
        <w:ilvl w:val="1"/>
        <w:numId w:val="5"/>
      </w:numPr>
      <w:tabs>
        <w:tab w:val="left" w:pos="2040"/>
      </w:tabs>
      <w:spacing w:after="120"/>
      <w:ind w:left="0" w:firstLine="0"/>
    </w:pPr>
  </w:style>
  <w:style w:type="paragraph" w:customStyle="1" w:styleId="436">
    <w:name w:val="样式 标题 4 + 段后: 0.5 行"/>
    <w:basedOn w:val="5"/>
    <w:autoRedefine/>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autoRedefine/>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autoRedefine/>
    <w:qFormat/>
    <w:uiPriority w:val="0"/>
    <w:pPr>
      <w:ind w:left="1890" w:leftChars="900"/>
    </w:pPr>
    <w:rPr>
      <w:rFonts w:ascii="Times New Roman" w:hAnsi="Times New Roman"/>
      <w:sz w:val="24"/>
      <w:szCs w:val="24"/>
    </w:rPr>
  </w:style>
  <w:style w:type="paragraph" w:customStyle="1" w:styleId="440">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autoRedefine/>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autoRedefine/>
    <w:qFormat/>
    <w:uiPriority w:val="0"/>
    <w:pPr>
      <w:shd w:val="clear" w:color="auto" w:fill="000080"/>
    </w:pPr>
    <w:rPr>
      <w:rFonts w:ascii="Tahoma" w:hAnsi="Tahoma" w:cs="Tahoma"/>
      <w:kern w:val="0"/>
      <w:szCs w:val="24"/>
    </w:rPr>
  </w:style>
  <w:style w:type="paragraph" w:customStyle="1" w:styleId="44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autoRedefine/>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autoRedefine/>
    <w:qFormat/>
    <w:uiPriority w:val="0"/>
    <w:pPr>
      <w:spacing w:after="120" w:line="360" w:lineRule="auto"/>
      <w:jc w:val="center"/>
    </w:pPr>
    <w:rPr>
      <w:rFonts w:ascii="Times New Roman" w:hAnsi="Times New Roman"/>
      <w:szCs w:val="21"/>
    </w:rPr>
  </w:style>
  <w:style w:type="paragraph" w:customStyle="1" w:styleId="452">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autoRedefine/>
    <w:qFormat/>
    <w:uiPriority w:val="0"/>
    <w:pPr>
      <w:spacing w:beforeLines="0" w:afterLines="0" w:line="360" w:lineRule="auto"/>
    </w:pPr>
    <w:rPr>
      <w:b/>
      <w:sz w:val="30"/>
      <w:szCs w:val="20"/>
    </w:rPr>
  </w:style>
  <w:style w:type="paragraph" w:customStyle="1" w:styleId="455">
    <w:name w:val="Normal0"/>
    <w:autoRedefine/>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autoRedefine/>
    <w:qFormat/>
    <w:uiPriority w:val="0"/>
    <w:rPr>
      <w:rFonts w:ascii="Arial" w:hAnsi="Arial"/>
      <w:sz w:val="30"/>
    </w:rPr>
  </w:style>
  <w:style w:type="paragraph" w:customStyle="1" w:styleId="458">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autoRedefine/>
    <w:qFormat/>
    <w:uiPriority w:val="0"/>
    <w:pPr>
      <w:ind w:firstLine="420"/>
    </w:pPr>
    <w:rPr>
      <w:rFonts w:ascii="Times New Roman" w:hAnsi="Times New Roman"/>
      <w:szCs w:val="20"/>
    </w:rPr>
  </w:style>
  <w:style w:type="paragraph" w:customStyle="1" w:styleId="469">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471">
    <w:name w:val="Char9"/>
    <w:basedOn w:val="1"/>
    <w:autoRedefine/>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autoRedefine/>
    <w:qFormat/>
    <w:uiPriority w:val="99"/>
    <w:rPr>
      <w:b/>
      <w:bCs/>
      <w:kern w:val="0"/>
      <w:sz w:val="20"/>
      <w:szCs w:val="20"/>
    </w:rPr>
  </w:style>
  <w:style w:type="paragraph" w:customStyle="1" w:styleId="47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autoRedefine/>
    <w:qFormat/>
    <w:uiPriority w:val="0"/>
    <w:pPr>
      <w:tabs>
        <w:tab w:val="left" w:pos="1140"/>
      </w:tabs>
      <w:spacing w:after="120"/>
    </w:pPr>
    <w:rPr>
      <w:bCs/>
    </w:rPr>
  </w:style>
  <w:style w:type="paragraph" w:customStyle="1" w:styleId="476">
    <w:name w:val="样式 标题1"/>
    <w:basedOn w:val="477"/>
    <w:next w:val="478"/>
    <w:autoRedefine/>
    <w:qFormat/>
    <w:uiPriority w:val="0"/>
    <w:pPr>
      <w:tabs>
        <w:tab w:val="left" w:pos="1140"/>
      </w:tabs>
      <w:spacing w:after="50"/>
      <w:ind w:left="1140" w:hanging="720"/>
    </w:pPr>
    <w:rPr>
      <w:bCs w:val="0"/>
      <w:sz w:val="32"/>
    </w:rPr>
  </w:style>
  <w:style w:type="paragraph" w:customStyle="1" w:styleId="477">
    <w:name w:val="样式 标题 1 + 段后: 0.5 行"/>
    <w:basedOn w:val="2"/>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autoRedefine/>
    <w:qFormat/>
    <w:uiPriority w:val="0"/>
    <w:pPr>
      <w:spacing w:after="120"/>
    </w:pPr>
  </w:style>
  <w:style w:type="paragraph" w:customStyle="1" w:styleId="479">
    <w:name w:val="样式 标题 2"/>
    <w:basedOn w:val="3"/>
    <w:next w:val="480"/>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autoRedefine/>
    <w:qFormat/>
    <w:uiPriority w:val="0"/>
    <w:pPr>
      <w:spacing w:after="120"/>
    </w:pPr>
  </w:style>
  <w:style w:type="paragraph" w:customStyle="1" w:styleId="481">
    <w:name w:val="样式 标题 3"/>
    <w:basedOn w:val="4"/>
    <w:next w:val="482"/>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autoRedefine/>
    <w:qFormat/>
    <w:uiPriority w:val="0"/>
    <w:pPr>
      <w:tabs>
        <w:tab w:val="left" w:pos="864"/>
        <w:tab w:val="left" w:pos="2040"/>
        <w:tab w:val="left" w:pos="2100"/>
      </w:tabs>
      <w:spacing w:after="120"/>
      <w:ind w:left="0" w:firstLine="0"/>
    </w:pPr>
  </w:style>
  <w:style w:type="paragraph" w:customStyle="1" w:styleId="483">
    <w:name w:val="样式 标题 4"/>
    <w:basedOn w:val="484"/>
    <w:next w:val="485"/>
    <w:autoRedefine/>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autoRedefine/>
    <w:qFormat/>
    <w:uiPriority w:val="0"/>
    <w:pPr>
      <w:numPr>
        <w:numId w:val="0"/>
      </w:numPr>
      <w:tabs>
        <w:tab w:val="left" w:pos="864"/>
      </w:tabs>
      <w:spacing w:after="120"/>
      <w:ind w:left="864" w:hanging="864"/>
    </w:pPr>
  </w:style>
  <w:style w:type="paragraph" w:customStyle="1" w:styleId="485">
    <w:name w:val="样式 正文"/>
    <w:basedOn w:val="1"/>
    <w:next w:val="1"/>
    <w:autoRedefine/>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autoRedefine/>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autoRedefine/>
    <w:qFormat/>
    <w:uiPriority w:val="0"/>
    <w:pPr>
      <w:spacing w:before="80" w:afterLines="50"/>
    </w:pPr>
    <w:rPr>
      <w:rFonts w:ascii="宋体" w:hAnsi="Times New Roman"/>
      <w:snapToGrid w:val="0"/>
      <w:kern w:val="0"/>
      <w:szCs w:val="20"/>
    </w:rPr>
  </w:style>
  <w:style w:type="paragraph" w:customStyle="1" w:styleId="490">
    <w:name w:val="4"/>
    <w:basedOn w:val="1"/>
    <w:autoRedefine/>
    <w:qFormat/>
    <w:uiPriority w:val="0"/>
  </w:style>
  <w:style w:type="paragraph" w:customStyle="1" w:styleId="491">
    <w:name w:val="ZJGIS-一级标题"/>
    <w:basedOn w:val="2"/>
    <w:autoRedefine/>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autoRedefine/>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50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506">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513">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autoRedefine/>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autoRedefine/>
    <w:qFormat/>
    <w:uiPriority w:val="0"/>
    <w:rPr>
      <w:rFonts w:ascii="仿宋_GB2312" w:hAnsi="Times New Roman" w:eastAsia="仿宋_GB2312"/>
      <w:b/>
      <w:sz w:val="32"/>
      <w:szCs w:val="32"/>
    </w:rPr>
  </w:style>
  <w:style w:type="paragraph" w:customStyle="1" w:styleId="51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autoRedefine/>
    <w:qFormat/>
    <w:uiPriority w:val="0"/>
    <w:pPr>
      <w:spacing w:after="60"/>
      <w:ind w:left="420" w:firstLine="200" w:firstLineChars="200"/>
    </w:pPr>
    <w:rPr>
      <w:rFonts w:ascii="Times New Roman" w:hAnsi="Times New Roman"/>
      <w:szCs w:val="24"/>
    </w:rPr>
  </w:style>
  <w:style w:type="paragraph" w:customStyle="1" w:styleId="521">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autoRedefine/>
    <w:qFormat/>
    <w:uiPriority w:val="0"/>
    <w:pPr>
      <w:numPr>
        <w:ilvl w:val="0"/>
        <w:numId w:val="14"/>
      </w:numPr>
      <w:spacing w:line="400" w:lineRule="exact"/>
    </w:pPr>
    <w:rPr>
      <w:rFonts w:ascii="Arial" w:hAnsi="Arial"/>
      <w:szCs w:val="24"/>
    </w:rPr>
  </w:style>
  <w:style w:type="paragraph" w:customStyle="1" w:styleId="523">
    <w:name w:val="GP有序编号2级"/>
    <w:basedOn w:val="1"/>
    <w:autoRedefine/>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autoRedefine/>
    <w:qFormat/>
    <w:uiPriority w:val="0"/>
    <w:pPr>
      <w:spacing w:after="120"/>
    </w:pPr>
  </w:style>
  <w:style w:type="paragraph" w:customStyle="1" w:styleId="526">
    <w:name w:val="标题 3Chapter X.X.X. + 段后: 0.5 行 + 段后: 0.5 行 + 段后: 0.5 行1"/>
    <w:basedOn w:val="527"/>
    <w:autoRedefine/>
    <w:qFormat/>
    <w:uiPriority w:val="0"/>
  </w:style>
  <w:style w:type="paragraph" w:customStyle="1" w:styleId="527">
    <w:name w:val="样式 样式 标题 3Chapter X.X.X. + 段后: 0.5 行 + 段后: 0.5 行"/>
    <w:basedOn w:val="528"/>
    <w:autoRedefine/>
    <w:qFormat/>
    <w:uiPriority w:val="0"/>
  </w:style>
  <w:style w:type="paragraph" w:customStyle="1" w:styleId="528">
    <w:name w:val="样式 标题 3Chapter X.X.X. + 段后: 0.5 行"/>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autoRedefine/>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autoRedefine/>
    <w:qFormat/>
    <w:uiPriority w:val="0"/>
    <w:pPr>
      <w:tabs>
        <w:tab w:val="left" w:pos="720"/>
      </w:tabs>
      <w:ind w:hanging="720"/>
    </w:pPr>
  </w:style>
  <w:style w:type="paragraph" w:customStyle="1" w:styleId="535">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autoRedefine/>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autoRedefine/>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542">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autoRedefine/>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547">
    <w:name w:val="Char3"/>
    <w:basedOn w:val="1"/>
    <w:autoRedefine/>
    <w:qFormat/>
    <w:uiPriority w:val="0"/>
    <w:rPr>
      <w:rFonts w:ascii="仿宋_GB2312" w:hAnsi="Times New Roman" w:eastAsia="仿宋_GB2312"/>
      <w:b/>
      <w:sz w:val="32"/>
      <w:szCs w:val="20"/>
    </w:rPr>
  </w:style>
  <w:style w:type="paragraph" w:customStyle="1" w:styleId="548">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551">
    <w:name w:val="Bullet 2"/>
    <w:basedOn w:val="24"/>
    <w:autoRedefine/>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autoRedefine/>
    <w:qFormat/>
    <w:uiPriority w:val="0"/>
    <w:rPr>
      <w:rFonts w:ascii="仿宋_GB2312" w:hAnsi="Times New Roman" w:eastAsia="仿宋_GB2312"/>
      <w:b/>
      <w:sz w:val="32"/>
      <w:szCs w:val="32"/>
    </w:rPr>
  </w:style>
  <w:style w:type="paragraph" w:customStyle="1" w:styleId="557">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autoRedefine/>
    <w:qFormat/>
    <w:uiPriority w:val="0"/>
    <w:rPr>
      <w:rFonts w:ascii="Tahoma" w:hAnsi="Tahoma"/>
      <w:sz w:val="24"/>
      <w:szCs w:val="20"/>
    </w:rPr>
  </w:style>
  <w:style w:type="paragraph" w:customStyle="1" w:styleId="55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autoRedefine/>
    <w:qFormat/>
    <w:uiPriority w:val="0"/>
  </w:style>
  <w:style w:type="paragraph" w:customStyle="1" w:styleId="564">
    <w:name w:val="标准有序列表（L1）"/>
    <w:basedOn w:val="17"/>
    <w:autoRedefine/>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566">
    <w:name w:val="_Style 11811"/>
    <w:basedOn w:val="1"/>
    <w:autoRedefine/>
    <w:qFormat/>
    <w:uiPriority w:val="0"/>
  </w:style>
  <w:style w:type="paragraph" w:customStyle="1" w:styleId="567">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568">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autoRedefine/>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autoRedefine/>
    <w:qFormat/>
    <w:uiPriority w:val="0"/>
    <w:pPr>
      <w:ind w:firstLine="420" w:firstLineChars="200"/>
    </w:pPr>
    <w:rPr>
      <w:szCs w:val="24"/>
    </w:rPr>
  </w:style>
  <w:style w:type="paragraph" w:customStyle="1" w:styleId="576">
    <w:name w:val="样式 标题 2 + 五号"/>
    <w:basedOn w:val="3"/>
    <w:autoRedefine/>
    <w:qFormat/>
    <w:uiPriority w:val="0"/>
    <w:pPr>
      <w:spacing w:before="0" w:after="0" w:line="240" w:lineRule="auto"/>
    </w:pPr>
    <w:rPr>
      <w:rFonts w:ascii="宋体" w:hAnsi="宋体" w:eastAsia="宋体"/>
      <w:sz w:val="21"/>
    </w:rPr>
  </w:style>
  <w:style w:type="paragraph" w:customStyle="1" w:styleId="57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autoRedefine/>
    <w:qFormat/>
    <w:uiPriority w:val="0"/>
    <w:pPr>
      <w:spacing w:line="360" w:lineRule="auto"/>
    </w:pPr>
    <w:rPr>
      <w:sz w:val="24"/>
      <w:szCs w:val="24"/>
    </w:rPr>
  </w:style>
  <w:style w:type="paragraph" w:customStyle="1" w:styleId="579">
    <w:name w:val="Style-正文"/>
    <w:basedOn w:val="1"/>
    <w:autoRedefine/>
    <w:qFormat/>
    <w:uiPriority w:val="0"/>
    <w:pPr>
      <w:spacing w:line="360" w:lineRule="auto"/>
      <w:ind w:firstLine="420"/>
    </w:pPr>
    <w:rPr>
      <w:rFonts w:ascii="宋体" w:hAnsi="宋体"/>
      <w:sz w:val="24"/>
      <w:szCs w:val="24"/>
    </w:rPr>
  </w:style>
  <w:style w:type="paragraph" w:customStyle="1" w:styleId="580">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autoRedefine/>
    <w:qFormat/>
    <w:uiPriority w:val="0"/>
    <w:rPr>
      <w:rFonts w:ascii="Times New Roman" w:hAnsi="Times New Roman"/>
      <w:szCs w:val="24"/>
    </w:rPr>
  </w:style>
  <w:style w:type="paragraph" w:customStyle="1" w:styleId="583">
    <w:name w:val="样式 标题 1 + 五号"/>
    <w:basedOn w:val="2"/>
    <w:autoRedefine/>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autoRedefine/>
    <w:qFormat/>
    <w:uiPriority w:val="0"/>
    <w:rPr>
      <w:rFonts w:ascii="宋体" w:hAnsi="Courier New"/>
      <w:szCs w:val="20"/>
    </w:rPr>
  </w:style>
  <w:style w:type="paragraph" w:customStyle="1" w:styleId="586">
    <w:name w:val="S4-I-U-L15-No-dot"/>
    <w:basedOn w:val="1"/>
    <w:autoRedefine/>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autoRedefine/>
    <w:qFormat/>
    <w:uiPriority w:val="0"/>
    <w:rPr>
      <w:rFonts w:ascii="Tahoma" w:hAnsi="Tahoma"/>
      <w:sz w:val="24"/>
      <w:szCs w:val="20"/>
    </w:rPr>
  </w:style>
  <w:style w:type="paragraph" w:customStyle="1" w:styleId="590">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autoRedefine/>
    <w:qFormat/>
    <w:uiPriority w:val="0"/>
    <w:pPr>
      <w:spacing w:after="120"/>
    </w:pPr>
  </w:style>
  <w:style w:type="paragraph" w:customStyle="1" w:styleId="592">
    <w:name w:val="样式 标题 2 + 宋体 小四 段前: 0 磅 段后: 0 磅 行距: 1.5 倍行距"/>
    <w:basedOn w:val="3"/>
    <w:autoRedefine/>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594">
    <w:name w:val="二级标题"/>
    <w:basedOn w:val="3"/>
    <w:autoRedefine/>
    <w:qFormat/>
    <w:uiPriority w:val="99"/>
    <w:pPr>
      <w:tabs>
        <w:tab w:val="left" w:pos="1116"/>
      </w:tabs>
      <w:ind w:left="1116" w:hanging="576"/>
    </w:pPr>
    <w:rPr>
      <w:rFonts w:ascii="黑体" w:hAnsi="Cambria"/>
      <w:kern w:val="0"/>
    </w:rPr>
  </w:style>
  <w:style w:type="paragraph" w:customStyle="1" w:styleId="595">
    <w:name w:val="文档结构图1"/>
    <w:basedOn w:val="1"/>
    <w:autoRedefine/>
    <w:qFormat/>
    <w:uiPriority w:val="0"/>
    <w:rPr>
      <w:rFonts w:ascii="宋体"/>
      <w:kern w:val="0"/>
      <w:sz w:val="18"/>
      <w:szCs w:val="18"/>
    </w:rPr>
  </w:style>
  <w:style w:type="paragraph" w:customStyle="1" w:styleId="5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598">
    <w:name w:val="正文文本 New New"/>
    <w:basedOn w:val="524"/>
    <w:autoRedefine/>
    <w:qFormat/>
    <w:uiPriority w:val="0"/>
    <w:pPr>
      <w:spacing w:after="120"/>
    </w:pPr>
    <w:rPr>
      <w:sz w:val="28"/>
      <w:szCs w:val="24"/>
    </w:rPr>
  </w:style>
  <w:style w:type="paragraph" w:customStyle="1" w:styleId="59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autoRedefine/>
    <w:qFormat/>
    <w:uiPriority w:val="0"/>
    <w:rPr>
      <w:rFonts w:ascii="宋体" w:hAnsi="宋体" w:eastAsia="宋体" w:cs="Times New Roman"/>
      <w:kern w:val="0"/>
      <w:sz w:val="24"/>
      <w:szCs w:val="20"/>
      <w:lang w:val="zh-CN" w:eastAsia="zh-CN" w:bidi="ar-SA"/>
    </w:rPr>
  </w:style>
  <w:style w:type="paragraph" w:customStyle="1" w:styleId="603">
    <w:name w:val="SZF表"/>
    <w:basedOn w:val="604"/>
    <w:autoRedefine/>
    <w:qFormat/>
    <w:uiPriority w:val="0"/>
    <w:rPr>
      <w:rFonts w:ascii="宋体" w:hAnsi="宋体"/>
      <w:bCs/>
      <w:szCs w:val="21"/>
    </w:rPr>
  </w:style>
  <w:style w:type="paragraph" w:customStyle="1" w:styleId="604">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autoRedefine/>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autoRedefine/>
    <w:qFormat/>
    <w:uiPriority w:val="0"/>
    <w:rPr>
      <w:rFonts w:ascii="Tahoma" w:hAnsi="Tahoma"/>
      <w:sz w:val="24"/>
      <w:szCs w:val="20"/>
    </w:rPr>
  </w:style>
  <w:style w:type="paragraph" w:customStyle="1" w:styleId="608">
    <w:name w:val="文档结构图2"/>
    <w:basedOn w:val="1"/>
    <w:autoRedefine/>
    <w:qFormat/>
    <w:uiPriority w:val="0"/>
    <w:rPr>
      <w:rFonts w:ascii="宋体"/>
      <w:kern w:val="0"/>
      <w:sz w:val="18"/>
      <w:szCs w:val="18"/>
    </w:rPr>
  </w:style>
  <w:style w:type="paragraph" w:customStyle="1" w:styleId="609">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autoRedefine/>
    <w:qFormat/>
    <w:uiPriority w:val="0"/>
    <w:pPr>
      <w:ind w:firstLine="480" w:firstLineChars="200"/>
    </w:pPr>
  </w:style>
  <w:style w:type="paragraph" w:customStyle="1" w:styleId="611">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autoRedefine/>
    <w:qFormat/>
    <w:uiPriority w:val="0"/>
    <w:rPr>
      <w:sz w:val="18"/>
    </w:rPr>
  </w:style>
  <w:style w:type="paragraph" w:customStyle="1" w:styleId="613">
    <w:name w:val="IBM 正文"/>
    <w:basedOn w:val="1"/>
    <w:autoRedefine/>
    <w:qFormat/>
    <w:uiPriority w:val="0"/>
    <w:pPr>
      <w:spacing w:line="360" w:lineRule="atLeast"/>
    </w:pPr>
    <w:rPr>
      <w:rFonts w:ascii="Times New Roman" w:hAnsi="Times New Roman"/>
      <w:sz w:val="24"/>
      <w:szCs w:val="20"/>
    </w:rPr>
  </w:style>
  <w:style w:type="paragraph" w:customStyle="1" w:styleId="614">
    <w:name w:val="Char Char1 Char1"/>
    <w:basedOn w:val="1"/>
    <w:autoRedefine/>
    <w:qFormat/>
    <w:uiPriority w:val="0"/>
    <w:rPr>
      <w:rFonts w:ascii="仿宋_GB2312" w:hAnsi="Times New Roman" w:eastAsia="仿宋_GB2312"/>
      <w:b/>
      <w:sz w:val="32"/>
      <w:szCs w:val="32"/>
    </w:rPr>
  </w:style>
  <w:style w:type="paragraph" w:customStyle="1" w:styleId="615">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autoRedefine/>
    <w:qFormat/>
    <w:uiPriority w:val="0"/>
    <w:pPr>
      <w:tabs>
        <w:tab w:val="left" w:pos="432"/>
      </w:tabs>
      <w:ind w:left="432" w:hanging="432"/>
    </w:pPr>
    <w:rPr>
      <w:rFonts w:ascii="Tahoma" w:hAnsi="Tahoma"/>
      <w:sz w:val="24"/>
      <w:szCs w:val="20"/>
    </w:rPr>
  </w:style>
  <w:style w:type="paragraph" w:customStyle="1" w:styleId="617">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619">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620">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autoRedefine/>
    <w:qFormat/>
    <w:uiPriority w:val="0"/>
    <w:pPr>
      <w:tabs>
        <w:tab w:val="left" w:pos="1050"/>
      </w:tabs>
      <w:spacing w:line="240" w:lineRule="auto"/>
      <w:ind w:left="-258" w:leftChars="-258"/>
    </w:pPr>
    <w:rPr>
      <w:rFonts w:eastAsia="仿宋_GB2312"/>
      <w:sz w:val="28"/>
    </w:rPr>
  </w:style>
  <w:style w:type="paragraph" w:customStyle="1" w:styleId="622">
    <w:name w:val="大表 mt"/>
    <w:basedOn w:val="1"/>
    <w:autoRedefine/>
    <w:qFormat/>
    <w:uiPriority w:val="0"/>
    <w:pPr>
      <w:widowControl/>
      <w:jc w:val="left"/>
    </w:pPr>
    <w:rPr>
      <w:rFonts w:ascii="宋体" w:hAnsi="宋体" w:cs="宋体"/>
      <w:kern w:val="0"/>
      <w:szCs w:val="21"/>
    </w:rPr>
  </w:style>
  <w:style w:type="paragraph" w:customStyle="1" w:styleId="623">
    <w:name w:val="Char Char Char111"/>
    <w:basedOn w:val="1"/>
    <w:autoRedefine/>
    <w:qFormat/>
    <w:uiPriority w:val="0"/>
  </w:style>
  <w:style w:type="paragraph" w:customStyle="1" w:styleId="624">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autoRedefine/>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autoRedefine/>
    <w:qFormat/>
    <w:uiPriority w:val="0"/>
    <w:pPr>
      <w:spacing w:line="360" w:lineRule="auto"/>
      <w:ind w:firstLine="0"/>
    </w:pPr>
    <w:rPr>
      <w:rFonts w:ascii="宋体" w:hAnsi="宋体" w:cs="宋体"/>
      <w:kern w:val="0"/>
    </w:rPr>
  </w:style>
  <w:style w:type="paragraph" w:customStyle="1" w:styleId="631">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63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autoRedefine/>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autoRedefine/>
    <w:qFormat/>
    <w:uiPriority w:val="0"/>
    <w:rPr>
      <w:rFonts w:ascii="仿宋_GB2312" w:hAnsi="Times New Roman" w:eastAsia="仿宋_GB2312"/>
      <w:b/>
      <w:sz w:val="32"/>
      <w:szCs w:val="32"/>
    </w:rPr>
  </w:style>
  <w:style w:type="paragraph" w:customStyle="1" w:styleId="650">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autoRedefine/>
    <w:qFormat/>
    <w:uiPriority w:val="0"/>
    <w:pPr>
      <w:ind w:firstLine="420" w:firstLineChars="200"/>
    </w:pPr>
  </w:style>
  <w:style w:type="paragraph" w:customStyle="1" w:styleId="655">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autoRedefine/>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autoRedefine/>
    <w:qFormat/>
    <w:uiPriority w:val="0"/>
    <w:pPr>
      <w:suppressLineNumbers/>
      <w:suppressAutoHyphens/>
    </w:pPr>
    <w:rPr>
      <w:kern w:val="1"/>
      <w:sz w:val="21"/>
      <w:lang w:eastAsia="ar-SA"/>
    </w:rPr>
  </w:style>
  <w:style w:type="paragraph" w:customStyle="1" w:styleId="661">
    <w:name w:val="样式　标题4"/>
    <w:basedOn w:val="643"/>
    <w:next w:val="1"/>
    <w:autoRedefine/>
    <w:qFormat/>
    <w:uiPriority w:val="0"/>
    <w:pPr>
      <w:numPr>
        <w:ilvl w:val="0"/>
        <w:numId w:val="0"/>
      </w:numPr>
      <w:ind w:left="425" w:hanging="425"/>
    </w:pPr>
  </w:style>
  <w:style w:type="paragraph" w:customStyle="1" w:styleId="662">
    <w:name w:val="Char2 Char Char Char"/>
    <w:basedOn w:val="1"/>
    <w:autoRedefine/>
    <w:qFormat/>
    <w:uiPriority w:val="0"/>
    <w:rPr>
      <w:rFonts w:ascii="仿宋_GB2312" w:hAnsi="Times New Roman" w:eastAsia="仿宋_GB2312"/>
      <w:b/>
      <w:sz w:val="32"/>
      <w:szCs w:val="32"/>
    </w:rPr>
  </w:style>
  <w:style w:type="paragraph" w:customStyle="1" w:styleId="663">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66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autoRedefine/>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autoRedefine/>
    <w:qFormat/>
    <w:uiPriority w:val="0"/>
    <w:rPr>
      <w:rFonts w:ascii="Tahoma" w:hAnsi="Tahoma"/>
      <w:sz w:val="24"/>
      <w:szCs w:val="20"/>
    </w:rPr>
  </w:style>
  <w:style w:type="paragraph" w:customStyle="1" w:styleId="676">
    <w:name w:val="样式1"/>
    <w:basedOn w:val="1"/>
    <w:autoRedefine/>
    <w:qFormat/>
    <w:uiPriority w:val="0"/>
    <w:pPr>
      <w:pBdr>
        <w:bottom w:val="single" w:color="auto" w:sz="4" w:space="1"/>
      </w:pBdr>
    </w:pPr>
    <w:rPr>
      <w:rFonts w:ascii="Times New Roman" w:hAnsi="Times New Roman"/>
      <w:szCs w:val="24"/>
    </w:rPr>
  </w:style>
  <w:style w:type="paragraph" w:customStyle="1" w:styleId="677">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autoRedefine/>
    <w:qFormat/>
    <w:uiPriority w:val="0"/>
    <w:rPr>
      <w:rFonts w:ascii="仿宋_GB2312" w:hAnsi="Times New Roman" w:eastAsia="仿宋_GB2312"/>
      <w:b/>
      <w:sz w:val="32"/>
      <w:szCs w:val="32"/>
    </w:rPr>
  </w:style>
  <w:style w:type="paragraph" w:customStyle="1" w:styleId="679">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autoRedefine/>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autoRedefine/>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autoRedefine/>
    <w:qFormat/>
    <w:uiPriority w:val="0"/>
    <w:pPr>
      <w:spacing w:after="120"/>
      <w:ind w:left="420" w:leftChars="200"/>
    </w:pPr>
    <w:rPr>
      <w:rFonts w:cs="黑体"/>
    </w:rPr>
  </w:style>
  <w:style w:type="paragraph" w:customStyle="1" w:styleId="68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autoRedefine/>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autoRedefine/>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autoRedefine/>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autoRedefine/>
    <w:qFormat/>
    <w:uiPriority w:val="0"/>
    <w:pPr>
      <w:spacing w:beforeLines="0" w:afterLines="0" w:line="360" w:lineRule="auto"/>
      <w:jc w:val="left"/>
    </w:pPr>
    <w:rPr>
      <w:rFonts w:eastAsia="仿宋_GB2312" w:cs="Arial"/>
      <w:sz w:val="28"/>
      <w:szCs w:val="20"/>
    </w:rPr>
  </w:style>
  <w:style w:type="paragraph" w:customStyle="1" w:styleId="694">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autoRedefine/>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autoRedefine/>
    <w:qFormat/>
    <w:uiPriority w:val="0"/>
    <w:pPr>
      <w:widowControl/>
      <w:ind w:left="75"/>
      <w:jc w:val="left"/>
    </w:pPr>
    <w:rPr>
      <w:rFonts w:ascii="Arial" w:hAnsi="Arial" w:cs="Arial"/>
      <w:b/>
      <w:bCs/>
      <w:kern w:val="0"/>
      <w:sz w:val="20"/>
      <w:szCs w:val="20"/>
    </w:rPr>
  </w:style>
  <w:style w:type="paragraph" w:customStyle="1" w:styleId="703">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705">
    <w:name w:val="二级."/>
    <w:basedOn w:val="3"/>
    <w:autoRedefine/>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autoRedefine/>
    <w:qFormat/>
    <w:uiPriority w:val="0"/>
    <w:pPr>
      <w:spacing w:line="360" w:lineRule="auto"/>
      <w:ind w:firstLine="480" w:firstLineChars="200"/>
    </w:pPr>
    <w:rPr>
      <w:rFonts w:ascii="Arial" w:hAnsi="Arial"/>
      <w:sz w:val="24"/>
      <w:szCs w:val="21"/>
    </w:rPr>
  </w:style>
  <w:style w:type="paragraph" w:customStyle="1" w:styleId="707">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autoRedefine/>
    <w:qFormat/>
    <w:uiPriority w:val="0"/>
    <w:rPr>
      <w:rFonts w:ascii="仿宋_GB2312" w:hAnsi="Times New Roman" w:eastAsia="仿宋_GB2312"/>
      <w:b/>
      <w:sz w:val="32"/>
      <w:szCs w:val="32"/>
    </w:rPr>
  </w:style>
  <w:style w:type="paragraph" w:customStyle="1" w:styleId="70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autoRedefine/>
    <w:qFormat/>
    <w:uiPriority w:val="0"/>
    <w:pPr>
      <w:ind w:firstLine="420" w:firstLineChars="200"/>
    </w:pPr>
  </w:style>
  <w:style w:type="paragraph" w:customStyle="1" w:styleId="711">
    <w:name w:val="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autoRedefine/>
    <w:qFormat/>
    <w:uiPriority w:val="34"/>
    <w:pPr>
      <w:ind w:firstLine="420" w:firstLineChars="200"/>
    </w:pPr>
    <w:rPr>
      <w:szCs w:val="24"/>
    </w:rPr>
  </w:style>
  <w:style w:type="paragraph" w:customStyle="1" w:styleId="713">
    <w:name w:val="正文首行缩进 21"/>
    <w:basedOn w:val="685"/>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autoRedefine/>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autoRedefine/>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autoRedefine/>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autoRedefine/>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autoRedefine/>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autoRedefine/>
    <w:qFormat/>
    <w:uiPriority w:val="0"/>
    <w:pPr>
      <w:spacing w:line="360" w:lineRule="auto"/>
    </w:pPr>
    <w:rPr>
      <w:rFonts w:ascii="Times New Roman" w:hAnsi="Times New Roman"/>
      <w:b/>
      <w:bCs/>
      <w:sz w:val="24"/>
      <w:szCs w:val="24"/>
    </w:rPr>
  </w:style>
  <w:style w:type="paragraph" w:customStyle="1" w:styleId="729">
    <w:name w:val="GP标题1"/>
    <w:basedOn w:val="1"/>
    <w:next w:val="1"/>
    <w:autoRedefine/>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autoRedefine/>
    <w:qFormat/>
    <w:uiPriority w:val="0"/>
    <w:rPr>
      <w:rFonts w:ascii="Tahoma" w:hAnsi="Tahoma"/>
      <w:sz w:val="24"/>
      <w:szCs w:val="20"/>
    </w:rPr>
  </w:style>
  <w:style w:type="paragraph" w:customStyle="1" w:styleId="733">
    <w:name w:val="列表（编号二级）（绿盟科技）"/>
    <w:basedOn w:val="656"/>
    <w:autoRedefine/>
    <w:qFormat/>
    <w:uiPriority w:val="0"/>
    <w:pPr>
      <w:numPr>
        <w:ilvl w:val="1"/>
      </w:numPr>
      <w:spacing w:beforeLines="0"/>
      <w:ind w:left="1260"/>
    </w:pPr>
  </w:style>
  <w:style w:type="paragraph" w:customStyle="1" w:styleId="734">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737">
    <w:name w:val="正文样式"/>
    <w:basedOn w:val="1"/>
    <w:autoRedefine/>
    <w:qFormat/>
    <w:uiPriority w:val="0"/>
    <w:pPr>
      <w:spacing w:line="360" w:lineRule="auto"/>
      <w:ind w:firstLine="200" w:firstLineChars="200"/>
    </w:pPr>
    <w:rPr>
      <w:rFonts w:ascii="宋体" w:hAnsi="Times New Roman"/>
      <w:sz w:val="24"/>
      <w:szCs w:val="24"/>
    </w:rPr>
  </w:style>
  <w:style w:type="paragraph" w:customStyle="1" w:styleId="73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autoRedefine/>
    <w:qFormat/>
    <w:uiPriority w:val="0"/>
    <w:pPr>
      <w:spacing w:after="0" w:line="415" w:lineRule="auto"/>
    </w:pPr>
    <w:rPr>
      <w:sz w:val="28"/>
      <w:szCs w:val="20"/>
    </w:rPr>
  </w:style>
  <w:style w:type="paragraph" w:customStyle="1" w:styleId="740">
    <w:name w:val="表格标题"/>
    <w:basedOn w:val="660"/>
    <w:autoRedefine/>
    <w:qFormat/>
    <w:uiPriority w:val="0"/>
    <w:pPr>
      <w:numPr>
        <w:ilvl w:val="0"/>
        <w:numId w:val="26"/>
      </w:numPr>
      <w:tabs>
        <w:tab w:val="clear" w:pos="360"/>
      </w:tabs>
      <w:ind w:left="0" w:firstLine="0"/>
      <w:jc w:val="center"/>
    </w:pPr>
    <w:rPr>
      <w:b/>
      <w:bCs/>
      <w:i/>
      <w:iCs/>
    </w:rPr>
  </w:style>
  <w:style w:type="paragraph" w:customStyle="1" w:styleId="741">
    <w:name w:val="_Style 1181"/>
    <w:basedOn w:val="1"/>
    <w:autoRedefine/>
    <w:qFormat/>
    <w:uiPriority w:val="0"/>
  </w:style>
  <w:style w:type="paragraph" w:customStyle="1" w:styleId="742">
    <w:name w:val="Char2"/>
    <w:basedOn w:val="1"/>
    <w:autoRedefine/>
    <w:qFormat/>
    <w:uiPriority w:val="0"/>
    <w:rPr>
      <w:rFonts w:ascii="仿宋_GB2312" w:hAnsi="Times New Roman" w:eastAsia="仿宋_GB2312"/>
      <w:b/>
      <w:sz w:val="32"/>
      <w:szCs w:val="20"/>
    </w:rPr>
  </w:style>
  <w:style w:type="paragraph" w:customStyle="1" w:styleId="743">
    <w:name w:val="ZJGIS-三级标题"/>
    <w:basedOn w:val="4"/>
    <w:autoRedefine/>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autoRedefine/>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autoRedefine/>
    <w:qFormat/>
    <w:uiPriority w:val="0"/>
    <w:rPr>
      <w:rFonts w:ascii="Tahoma" w:hAnsi="Tahoma"/>
      <w:sz w:val="24"/>
      <w:szCs w:val="20"/>
    </w:rPr>
  </w:style>
  <w:style w:type="paragraph" w:customStyle="1" w:styleId="74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autoRedefine/>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autoRedefine/>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autoRedefine/>
    <w:qFormat/>
    <w:uiPriority w:val="0"/>
    <w:rPr>
      <w:rFonts w:ascii="宋体" w:hAnsi="宋体"/>
      <w:szCs w:val="21"/>
    </w:rPr>
  </w:style>
  <w:style w:type="paragraph" w:customStyle="1" w:styleId="754">
    <w:name w:val="MM Title"/>
    <w:basedOn w:val="55"/>
    <w:autoRedefine/>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756">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autoRedefine/>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0">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autoRedefine/>
    <w:qFormat/>
    <w:uiPriority w:val="0"/>
    <w:pPr>
      <w:numPr>
        <w:ilvl w:val="4"/>
        <w:numId w:val="29"/>
      </w:numPr>
    </w:pPr>
    <w:rPr>
      <w:rFonts w:eastAsia="黑体"/>
      <w:kern w:val="0"/>
      <w:sz w:val="24"/>
      <w:szCs w:val="20"/>
    </w:rPr>
  </w:style>
  <w:style w:type="paragraph" w:customStyle="1" w:styleId="763">
    <w:name w:val="Body"/>
    <w:basedOn w:val="1"/>
    <w:autoRedefine/>
    <w:qFormat/>
    <w:uiPriority w:val="0"/>
    <w:pPr>
      <w:widowControl/>
      <w:spacing w:before="120" w:afterLines="50"/>
    </w:pPr>
    <w:rPr>
      <w:rFonts w:ascii="宋体" w:hAnsi="Times New Roman"/>
      <w:snapToGrid w:val="0"/>
      <w:kern w:val="0"/>
      <w:szCs w:val="20"/>
    </w:rPr>
  </w:style>
  <w:style w:type="paragraph" w:customStyle="1" w:styleId="764">
    <w:name w:val="标准标题2"/>
    <w:basedOn w:val="3"/>
    <w:autoRedefine/>
    <w:qFormat/>
    <w:uiPriority w:val="0"/>
    <w:pPr>
      <w:spacing w:line="360" w:lineRule="auto"/>
    </w:pPr>
    <w:rPr>
      <w:rFonts w:eastAsia="仿宋_GB2312"/>
      <w:bCs w:val="0"/>
      <w:sz w:val="28"/>
    </w:rPr>
  </w:style>
  <w:style w:type="paragraph" w:customStyle="1" w:styleId="765">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autoRedefine/>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775">
    <w:name w:val="_Style 164"/>
    <w:basedOn w:val="1"/>
    <w:autoRedefine/>
    <w:qFormat/>
    <w:uiPriority w:val="0"/>
    <w:rPr>
      <w:rFonts w:ascii="Times New Roman" w:hAnsi="Times New Roman"/>
      <w:szCs w:val="20"/>
    </w:rPr>
  </w:style>
  <w:style w:type="paragraph" w:customStyle="1" w:styleId="776">
    <w:name w:val="GP公文标题1"/>
    <w:basedOn w:val="1"/>
    <w:next w:val="1"/>
    <w:autoRedefine/>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779">
    <w:name w:val="Table Text"/>
    <w:basedOn w:val="1"/>
    <w:autoRedefine/>
    <w:qFormat/>
    <w:uiPriority w:val="0"/>
    <w:pPr>
      <w:widowControl/>
      <w:spacing w:before="60" w:after="60"/>
      <w:jc w:val="left"/>
    </w:pPr>
    <w:rPr>
      <w:rFonts w:ascii="Times New Roman" w:hAnsi="Times New Roman"/>
      <w:kern w:val="0"/>
      <w:sz w:val="24"/>
      <w:szCs w:val="24"/>
    </w:rPr>
  </w:style>
  <w:style w:type="paragraph" w:customStyle="1" w:styleId="78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autoRedefine/>
    <w:qFormat/>
    <w:uiPriority w:val="0"/>
    <w:pPr>
      <w:tabs>
        <w:tab w:val="left" w:pos="1200"/>
      </w:tabs>
      <w:ind w:left="1200" w:hanging="360"/>
    </w:pPr>
  </w:style>
  <w:style w:type="paragraph" w:customStyle="1" w:styleId="784">
    <w:name w:val="封面2级标题"/>
    <w:basedOn w:val="1"/>
    <w:next w:val="280"/>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autoRedefine/>
    <w:qFormat/>
    <w:uiPriority w:val="34"/>
    <w:pPr>
      <w:ind w:firstLine="420" w:firstLineChars="200"/>
    </w:pPr>
  </w:style>
  <w:style w:type="paragraph" w:customStyle="1" w:styleId="786">
    <w:name w:val="样式 标题 3Chapter X.X.X. + 五号 段后: 0.5 行"/>
    <w:basedOn w:val="4"/>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autoRedefine/>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autoRedefine/>
    <w:qFormat/>
    <w:uiPriority w:val="0"/>
    <w:pPr>
      <w:widowControl/>
      <w:spacing w:before="150" w:after="150"/>
      <w:jc w:val="left"/>
    </w:pPr>
    <w:rPr>
      <w:rFonts w:ascii="宋体" w:hAnsi="宋体" w:cs="宋体"/>
      <w:kern w:val="0"/>
      <w:sz w:val="24"/>
      <w:szCs w:val="24"/>
    </w:rPr>
  </w:style>
  <w:style w:type="paragraph" w:customStyle="1" w:styleId="789">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autoRedefine/>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autoRedefine/>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autoRedefine/>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autoRedefine/>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autoRedefine/>
    <w:qFormat/>
    <w:uiPriority w:val="0"/>
    <w:pPr>
      <w:spacing w:line="360" w:lineRule="auto"/>
      <w:ind w:firstLine="0"/>
    </w:pPr>
    <w:rPr>
      <w:rFonts w:ascii="宋体" w:hAnsi="宋体" w:cs="宋体"/>
      <w:kern w:val="0"/>
    </w:rPr>
  </w:style>
  <w:style w:type="paragraph" w:customStyle="1" w:styleId="798">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autoRedefine/>
    <w:qFormat/>
    <w:uiPriority w:val="0"/>
    <w:rPr>
      <w:rFonts w:ascii="Times New Roman" w:hAnsi="Times New Roman" w:eastAsia="仿宋_GB2312" w:cs="宋体"/>
      <w:sz w:val="24"/>
      <w:szCs w:val="20"/>
    </w:rPr>
  </w:style>
  <w:style w:type="paragraph" w:customStyle="1" w:styleId="800">
    <w:name w:val="ZJGIS-五级标题"/>
    <w:basedOn w:val="6"/>
    <w:autoRedefine/>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autoRedefine/>
    <w:qFormat/>
    <w:uiPriority w:val="0"/>
    <w:pPr>
      <w:jc w:val="center"/>
    </w:pPr>
    <w:rPr>
      <w:rFonts w:ascii="Arial" w:hAnsi="Arial" w:eastAsia="黑体"/>
      <w:b/>
    </w:rPr>
  </w:style>
  <w:style w:type="paragraph" w:customStyle="1" w:styleId="803">
    <w:name w:val="吉奥封面(黑体小初)"/>
    <w:basedOn w:val="191"/>
    <w:autoRedefine/>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autoRedefine/>
    <w:qFormat/>
    <w:uiPriority w:val="0"/>
    <w:pPr>
      <w:spacing w:line="360" w:lineRule="auto"/>
    </w:pPr>
    <w:rPr>
      <w:rFonts w:ascii="Times New Roman" w:hAnsi="Times New Roman" w:cs="宋体"/>
      <w:szCs w:val="20"/>
    </w:rPr>
  </w:style>
  <w:style w:type="character" w:customStyle="1" w:styleId="805">
    <w:name w:val="一级标题 Char"/>
    <w:link w:val="806"/>
    <w:autoRedefine/>
    <w:qFormat/>
    <w:locked/>
    <w:uiPriority w:val="0"/>
    <w:rPr>
      <w:rFonts w:ascii="宋体" w:hAnsi="宋体"/>
      <w:b/>
      <w:sz w:val="36"/>
      <w:szCs w:val="36"/>
    </w:rPr>
  </w:style>
  <w:style w:type="paragraph" w:customStyle="1" w:styleId="806">
    <w:name w:val="一级标题"/>
    <w:basedOn w:val="31"/>
    <w:link w:val="805"/>
    <w:autoRedefine/>
    <w:qFormat/>
    <w:uiPriority w:val="0"/>
    <w:pPr>
      <w:spacing w:line="360" w:lineRule="auto"/>
      <w:jc w:val="center"/>
    </w:pPr>
    <w:rPr>
      <w:rFonts w:hAnsi="宋体" w:eastAsiaTheme="minorEastAsia" w:cstheme="minorBidi"/>
      <w:b/>
      <w:sz w:val="36"/>
      <w:szCs w:val="36"/>
    </w:rPr>
  </w:style>
  <w:style w:type="character" w:customStyle="1" w:styleId="807">
    <w:name w:val="纯文本 Char1"/>
    <w:autoRedefine/>
    <w:qFormat/>
    <w:uiPriority w:val="99"/>
    <w:rPr>
      <w:rFonts w:ascii="宋体" w:hAnsi="Courier New"/>
      <w:kern w:val="2"/>
      <w:sz w:val="24"/>
      <w:szCs w:val="24"/>
    </w:rPr>
  </w:style>
  <w:style w:type="paragraph" w:customStyle="1" w:styleId="808">
    <w:name w:val="正文5"/>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autoRedefine/>
    <w:qFormat/>
    <w:uiPriority w:val="0"/>
    <w:pPr>
      <w:widowControl/>
      <w:jc w:val="left"/>
    </w:pPr>
    <w:rPr>
      <w:rFonts w:ascii="宋体" w:hAnsi="Courier New"/>
    </w:rPr>
  </w:style>
  <w:style w:type="character" w:customStyle="1" w:styleId="810">
    <w:name w:val="列表段落 字符"/>
    <w:link w:val="811"/>
    <w:autoRedefine/>
    <w:qFormat/>
    <w:uiPriority w:val="0"/>
  </w:style>
  <w:style w:type="paragraph" w:customStyle="1" w:styleId="811">
    <w:name w:val="列表段落1"/>
    <w:basedOn w:val="1"/>
    <w:link w:val="810"/>
    <w:autoRedefine/>
    <w:qFormat/>
    <w:uiPriority w:val="0"/>
    <w:pPr>
      <w:ind w:firstLine="420" w:firstLineChars="200"/>
    </w:pPr>
    <w:rPr>
      <w:rFonts w:asciiTheme="minorHAnsi" w:hAnsiTheme="minorHAnsi" w:eastAsiaTheme="minorEastAsia" w:cstheme="minorBidi"/>
    </w:rPr>
  </w:style>
  <w:style w:type="character" w:customStyle="1" w:styleId="812">
    <w:name w:val="正 文 Char"/>
    <w:link w:val="813"/>
    <w:autoRedefine/>
    <w:qFormat/>
    <w:locked/>
    <w:uiPriority w:val="0"/>
    <w:rPr>
      <w:sz w:val="24"/>
      <w:szCs w:val="24"/>
    </w:rPr>
  </w:style>
  <w:style w:type="paragraph" w:customStyle="1" w:styleId="813">
    <w:name w:val="正 文"/>
    <w:basedOn w:val="1"/>
    <w:link w:val="812"/>
    <w:autoRedefine/>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autoRedefine/>
    <w:qFormat/>
    <w:uiPriority w:val="0"/>
    <w:rPr>
      <w:rFonts w:hint="eastAsia" w:ascii="微软雅黑" w:hAnsi="微软雅黑" w:eastAsia="微软雅黑" w:cs="微软雅黑"/>
      <w:b/>
      <w:color w:val="000000"/>
      <w:sz w:val="24"/>
      <w:szCs w:val="24"/>
      <w:u w:val="none"/>
    </w:rPr>
  </w:style>
  <w:style w:type="character" w:customStyle="1" w:styleId="815">
    <w:name w:val="font21"/>
    <w:autoRedefine/>
    <w:qFormat/>
    <w:uiPriority w:val="0"/>
    <w:rPr>
      <w:rFonts w:hint="eastAsia" w:ascii="微软雅黑" w:hAnsi="微软雅黑" w:eastAsia="微软雅黑" w:cs="微软雅黑"/>
      <w:color w:val="000000"/>
      <w:sz w:val="16"/>
      <w:szCs w:val="16"/>
      <w:u w:val="none"/>
    </w:rPr>
  </w:style>
  <w:style w:type="character" w:customStyle="1" w:styleId="816">
    <w:name w:val="font51"/>
    <w:autoRedefine/>
    <w:qFormat/>
    <w:uiPriority w:val="0"/>
    <w:rPr>
      <w:rFonts w:hint="eastAsia" w:ascii="微软雅黑" w:hAnsi="微软雅黑" w:eastAsia="微软雅黑" w:cs="微软雅黑"/>
      <w:b/>
      <w:color w:val="000000"/>
      <w:sz w:val="16"/>
      <w:szCs w:val="16"/>
      <w:u w:val="none"/>
    </w:rPr>
  </w:style>
  <w:style w:type="character" w:customStyle="1" w:styleId="817">
    <w:name w:val="font31"/>
    <w:autoRedefine/>
    <w:qFormat/>
    <w:uiPriority w:val="0"/>
    <w:rPr>
      <w:rFonts w:hint="eastAsia" w:ascii="微软雅黑" w:hAnsi="微软雅黑" w:eastAsia="微软雅黑" w:cs="微软雅黑"/>
      <w:b/>
      <w:color w:val="000000"/>
      <w:sz w:val="16"/>
      <w:szCs w:val="16"/>
      <w:u w:val="none"/>
    </w:rPr>
  </w:style>
  <w:style w:type="character" w:customStyle="1" w:styleId="818">
    <w:name w:val="font41"/>
    <w:autoRedefine/>
    <w:qFormat/>
    <w:uiPriority w:val="0"/>
    <w:rPr>
      <w:rFonts w:hint="eastAsia" w:ascii="微软雅黑" w:hAnsi="微软雅黑" w:eastAsia="微软雅黑" w:cs="微软雅黑"/>
      <w:color w:val="000000"/>
      <w:sz w:val="16"/>
      <w:szCs w:val="16"/>
      <w:u w:val="none"/>
    </w:rPr>
  </w:style>
  <w:style w:type="character" w:customStyle="1" w:styleId="819">
    <w:name w:val="页脚 字符"/>
    <w:autoRedefine/>
    <w:qFormat/>
    <w:uiPriority w:val="99"/>
  </w:style>
  <w:style w:type="paragraph" w:customStyle="1" w:styleId="820">
    <w:name w:val="正文360首行缩进"/>
    <w:basedOn w:val="1"/>
    <w:link w:val="852"/>
    <w:autoRedefine/>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autoRedefine/>
    <w:qFormat/>
    <w:uiPriority w:val="34"/>
    <w:pPr>
      <w:ind w:firstLine="420" w:firstLineChars="200"/>
    </w:pPr>
    <w:rPr>
      <w:rFonts w:ascii="等线" w:hAnsi="等线" w:eastAsia="等线"/>
    </w:rPr>
  </w:style>
  <w:style w:type="paragraph" w:customStyle="1" w:styleId="822">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autoRedefine/>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autoRedefine/>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autoRedefine/>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autoRedefine/>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autoRedefine/>
    <w:qFormat/>
    <w:uiPriority w:val="0"/>
    <w:pPr>
      <w:spacing w:line="360" w:lineRule="auto"/>
      <w:ind w:firstLine="420" w:firstLineChars="200"/>
    </w:pPr>
    <w:rPr>
      <w:rFonts w:ascii="Times New Roman" w:hAnsi="Times New Roman"/>
      <w:szCs w:val="21"/>
    </w:rPr>
  </w:style>
  <w:style w:type="paragraph" w:customStyle="1" w:styleId="851">
    <w:name w:val="列表段落11"/>
    <w:basedOn w:val="1"/>
    <w:autoRedefine/>
    <w:qFormat/>
    <w:uiPriority w:val="34"/>
    <w:pPr>
      <w:ind w:firstLine="420" w:firstLineChars="200"/>
    </w:pPr>
    <w:rPr>
      <w:rFonts w:ascii="Cambria" w:hAnsi="Cambria"/>
      <w:sz w:val="24"/>
      <w:szCs w:val="24"/>
    </w:rPr>
  </w:style>
  <w:style w:type="character" w:customStyle="1" w:styleId="852">
    <w:name w:val="正文360首行缩进 Char"/>
    <w:basedOn w:val="64"/>
    <w:link w:val="820"/>
    <w:autoRedefine/>
    <w:qFormat/>
    <w:uiPriority w:val="0"/>
    <w:rPr>
      <w:rFonts w:ascii="Times New Roman" w:hAnsi="Times New Roman" w:eastAsia="宋体" w:cs="Times New Roman"/>
      <w:sz w:val="24"/>
      <w:szCs w:val="20"/>
    </w:rPr>
  </w:style>
  <w:style w:type="paragraph" w:customStyle="1" w:styleId="853">
    <w:name w:val="列表11"/>
    <w:basedOn w:val="1"/>
    <w:autoRedefine/>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autoRedefine/>
    <w:qFormat/>
    <w:uiPriority w:val="33"/>
    <w:rPr>
      <w:b/>
      <w:bCs/>
      <w:smallCaps/>
      <w:spacing w:val="5"/>
    </w:rPr>
  </w:style>
  <w:style w:type="paragraph" w:customStyle="1" w:styleId="855">
    <w:name w:val="z-窗体底端1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autoRedefine/>
    <w:qFormat/>
    <w:uiPriority w:val="0"/>
    <w:rPr>
      <w:b/>
      <w:sz w:val="24"/>
      <w:u w:val="single"/>
    </w:rPr>
  </w:style>
  <w:style w:type="character" w:customStyle="1" w:styleId="857">
    <w:name w:val="Char Char142"/>
    <w:autoRedefine/>
    <w:qFormat/>
    <w:locked/>
    <w:uiPriority w:val="0"/>
    <w:rPr>
      <w:rFonts w:ascii="楷体_GB2312" w:eastAsia="楷体_GB2312"/>
      <w:kern w:val="2"/>
      <w:sz w:val="32"/>
      <w:lang w:val="en-US" w:eastAsia="zh-CN" w:bidi="ar-SA"/>
    </w:rPr>
  </w:style>
  <w:style w:type="paragraph" w:customStyle="1" w:styleId="858">
    <w:name w:val="z-窗体顶端1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autoRedefine/>
    <w:qFormat/>
    <w:uiPriority w:val="0"/>
    <w:rPr>
      <w:rFonts w:ascii="Calibri" w:hAnsi="Calibri" w:eastAsia="宋体"/>
      <w:sz w:val="18"/>
      <w:szCs w:val="18"/>
      <w:lang w:bidi="ar-SA"/>
    </w:rPr>
  </w:style>
  <w:style w:type="character" w:customStyle="1" w:styleId="860">
    <w:name w:val="Char Char61"/>
    <w:autoRedefine/>
    <w:qFormat/>
    <w:uiPriority w:val="0"/>
    <w:rPr>
      <w:rFonts w:ascii="Calibri" w:hAnsi="Calibri" w:eastAsia="宋体"/>
      <w:b/>
      <w:bCs/>
      <w:kern w:val="2"/>
      <w:sz w:val="28"/>
      <w:szCs w:val="28"/>
      <w:lang w:bidi="ar-SA"/>
    </w:rPr>
  </w:style>
  <w:style w:type="character" w:customStyle="1" w:styleId="861">
    <w:name w:val="Char Char81"/>
    <w:autoRedefine/>
    <w:qFormat/>
    <w:uiPriority w:val="0"/>
    <w:rPr>
      <w:rFonts w:ascii="Arial" w:hAnsi="Arial" w:eastAsia="黑体"/>
      <w:b/>
      <w:bCs/>
      <w:kern w:val="2"/>
      <w:sz w:val="32"/>
      <w:szCs w:val="32"/>
      <w:lang w:val="en-US" w:eastAsia="zh-CN" w:bidi="ar-SA"/>
    </w:rPr>
  </w:style>
  <w:style w:type="character" w:customStyle="1" w:styleId="862">
    <w:name w:val="Char Char22"/>
    <w:autoRedefine/>
    <w:qFormat/>
    <w:uiPriority w:val="0"/>
    <w:rPr>
      <w:rFonts w:ascii="宋体" w:hAnsi="Courier New" w:eastAsia="宋体"/>
      <w:sz w:val="21"/>
      <w:lang w:val="en-US" w:eastAsia="zh-CN" w:bidi="ar-SA"/>
    </w:rPr>
  </w:style>
  <w:style w:type="character" w:customStyle="1" w:styleId="863">
    <w:name w:val="占位符文本1"/>
    <w:autoRedefine/>
    <w:qFormat/>
    <w:uiPriority w:val="0"/>
    <w:rPr>
      <w:color w:val="808080"/>
    </w:rPr>
  </w:style>
  <w:style w:type="character" w:customStyle="1" w:styleId="864">
    <w:name w:val="Char Char121"/>
    <w:autoRedefine/>
    <w:qFormat/>
    <w:uiPriority w:val="0"/>
    <w:rPr>
      <w:rFonts w:ascii="宋体" w:hAnsi="Courier New" w:eastAsia="宋体" w:cs="Times New Roman"/>
      <w:spacing w:val="-4"/>
      <w:sz w:val="18"/>
      <w:szCs w:val="20"/>
    </w:rPr>
  </w:style>
  <w:style w:type="character" w:customStyle="1" w:styleId="865">
    <w:name w:val="不明显参考11"/>
    <w:autoRedefine/>
    <w:qFormat/>
    <w:uiPriority w:val="31"/>
    <w:rPr>
      <w:smallCaps/>
      <w:color w:val="C0504D"/>
      <w:u w:val="single"/>
    </w:rPr>
  </w:style>
  <w:style w:type="character" w:customStyle="1" w:styleId="866">
    <w:name w:val="Char Char31"/>
    <w:autoRedefine/>
    <w:qFormat/>
    <w:uiPriority w:val="0"/>
    <w:rPr>
      <w:rFonts w:ascii="Arial" w:hAnsi="Arial" w:eastAsia="黑体"/>
      <w:b/>
      <w:kern w:val="2"/>
      <w:sz w:val="32"/>
      <w:lang w:val="en-US" w:eastAsia="zh-CN" w:bidi="ar-SA"/>
    </w:rPr>
  </w:style>
  <w:style w:type="character" w:customStyle="1" w:styleId="867">
    <w:name w:val="Char Char71"/>
    <w:autoRedefine/>
    <w:qFormat/>
    <w:uiPriority w:val="0"/>
    <w:rPr>
      <w:rFonts w:eastAsia="宋体"/>
      <w:b/>
      <w:kern w:val="2"/>
      <w:sz w:val="32"/>
      <w:lang w:bidi="ar-SA"/>
    </w:rPr>
  </w:style>
  <w:style w:type="character" w:customStyle="1" w:styleId="868">
    <w:name w:val="Char Char91"/>
    <w:autoRedefine/>
    <w:qFormat/>
    <w:uiPriority w:val="0"/>
    <w:rPr>
      <w:rFonts w:eastAsia="宋体"/>
      <w:b/>
      <w:kern w:val="44"/>
      <w:sz w:val="44"/>
      <w:lang w:bidi="ar-SA"/>
    </w:rPr>
  </w:style>
  <w:style w:type="character" w:customStyle="1" w:styleId="869">
    <w:name w:val="Char Char131"/>
    <w:autoRedefine/>
    <w:qFormat/>
    <w:uiPriority w:val="0"/>
    <w:rPr>
      <w:rFonts w:ascii="Calibri" w:hAnsi="Calibri" w:eastAsia="宋体" w:cs="Times New Roman"/>
      <w:sz w:val="18"/>
      <w:szCs w:val="18"/>
    </w:rPr>
  </w:style>
  <w:style w:type="character" w:customStyle="1" w:styleId="870">
    <w:name w:val="Char Char41"/>
    <w:autoRedefine/>
    <w:qFormat/>
    <w:uiPriority w:val="0"/>
    <w:rPr>
      <w:rFonts w:ascii="Calibri" w:hAnsi="Calibri" w:eastAsia="宋体"/>
      <w:sz w:val="18"/>
      <w:szCs w:val="18"/>
      <w:lang w:bidi="ar-SA"/>
    </w:rPr>
  </w:style>
  <w:style w:type="paragraph" w:customStyle="1" w:styleId="871">
    <w:name w:val="批注主题11"/>
    <w:basedOn w:val="21"/>
    <w:next w:val="21"/>
    <w:autoRedefine/>
    <w:qFormat/>
    <w:uiPriority w:val="0"/>
    <w:rPr>
      <w:b/>
      <w:bCs/>
      <w:kern w:val="0"/>
      <w:sz w:val="20"/>
      <w:szCs w:val="20"/>
    </w:rPr>
  </w:style>
  <w:style w:type="paragraph" w:customStyle="1" w:styleId="872">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autoRedefine/>
    <w:qFormat/>
    <w:uiPriority w:val="0"/>
    <w:rPr>
      <w:rFonts w:ascii="仿宋_GB2312" w:hAnsi="Times New Roman" w:eastAsia="仿宋_GB2312"/>
      <w:b/>
      <w:sz w:val="32"/>
      <w:szCs w:val="32"/>
    </w:rPr>
  </w:style>
  <w:style w:type="paragraph" w:customStyle="1" w:styleId="874">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877">
    <w:name w:val="Char Char Char11"/>
    <w:basedOn w:val="1"/>
    <w:autoRedefine/>
    <w:qFormat/>
    <w:uiPriority w:val="0"/>
  </w:style>
  <w:style w:type="paragraph" w:customStyle="1" w:styleId="878">
    <w:name w:val="Char111"/>
    <w:basedOn w:val="1"/>
    <w:autoRedefine/>
    <w:qFormat/>
    <w:uiPriority w:val="0"/>
    <w:rPr>
      <w:rFonts w:ascii="仿宋_GB2312" w:hAnsi="Times New Roman" w:eastAsia="仿宋_GB2312"/>
      <w:b/>
      <w:sz w:val="32"/>
      <w:szCs w:val="32"/>
    </w:rPr>
  </w:style>
  <w:style w:type="paragraph" w:customStyle="1" w:styleId="879">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autoRedefine/>
    <w:qFormat/>
    <w:uiPriority w:val="0"/>
    <w:rPr>
      <w:rFonts w:ascii="仿宋_GB2312" w:hAnsi="Times New Roman" w:eastAsia="仿宋_GB2312"/>
      <w:b/>
      <w:sz w:val="32"/>
      <w:szCs w:val="32"/>
    </w:rPr>
  </w:style>
  <w:style w:type="paragraph" w:customStyle="1" w:styleId="883">
    <w:name w:val="正文文本缩进11"/>
    <w:basedOn w:val="1"/>
    <w:autoRedefine/>
    <w:qFormat/>
    <w:uiPriority w:val="0"/>
    <w:pPr>
      <w:spacing w:after="120"/>
      <w:ind w:left="420" w:leftChars="200"/>
    </w:pPr>
    <w:rPr>
      <w:rFonts w:cs="黑体"/>
    </w:rPr>
  </w:style>
  <w:style w:type="paragraph" w:customStyle="1" w:styleId="884">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autoRedefine/>
    <w:qFormat/>
    <w:uiPriority w:val="0"/>
    <w:rPr>
      <w:rFonts w:ascii="仿宋_GB2312" w:hAnsi="Times New Roman" w:eastAsia="仿宋_GB2312"/>
      <w:b/>
      <w:sz w:val="32"/>
      <w:szCs w:val="32"/>
    </w:rPr>
  </w:style>
  <w:style w:type="paragraph" w:customStyle="1" w:styleId="886">
    <w:name w:val="列出段落12"/>
    <w:basedOn w:val="1"/>
    <w:autoRedefine/>
    <w:qFormat/>
    <w:uiPriority w:val="0"/>
    <w:pPr>
      <w:ind w:firstLine="420" w:firstLineChars="200"/>
    </w:pPr>
  </w:style>
  <w:style w:type="paragraph" w:customStyle="1" w:styleId="887">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autoRedefine/>
    <w:qFormat/>
    <w:uiPriority w:val="0"/>
    <w:rPr>
      <w:rFonts w:ascii="Tahoma" w:hAnsi="Tahoma"/>
      <w:sz w:val="24"/>
      <w:szCs w:val="20"/>
    </w:rPr>
  </w:style>
  <w:style w:type="paragraph" w:customStyle="1" w:styleId="88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autoRedefine/>
    <w:qFormat/>
    <w:uiPriority w:val="0"/>
    <w:rPr>
      <w:rFonts w:ascii="Tahoma" w:hAnsi="Tahoma"/>
      <w:sz w:val="24"/>
      <w:szCs w:val="20"/>
    </w:rPr>
  </w:style>
  <w:style w:type="paragraph" w:customStyle="1" w:styleId="891">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character" w:customStyle="1" w:styleId="893">
    <w:name w:val="Book Title"/>
    <w:autoRedefine/>
    <w:qFormat/>
    <w:uiPriority w:val="33"/>
    <w:rPr>
      <w:b/>
      <w:bCs/>
      <w:smallCaps/>
      <w:spacing w:val="5"/>
    </w:rPr>
  </w:style>
  <w:style w:type="character" w:customStyle="1" w:styleId="894">
    <w:name w:val="z-窗体底端 Char"/>
    <w:link w:val="895"/>
    <w:autoRedefine/>
    <w:qFormat/>
    <w:uiPriority w:val="0"/>
    <w:rPr>
      <w:rFonts w:ascii="Arial" w:hAnsi="Arial" w:cs="Arial"/>
      <w:vanish/>
      <w:sz w:val="16"/>
      <w:szCs w:val="16"/>
    </w:rPr>
  </w:style>
  <w:style w:type="paragraph" w:customStyle="1" w:styleId="895">
    <w:name w:val="HTML Bottom of Form"/>
    <w:basedOn w:val="1"/>
    <w:next w:val="1"/>
    <w:link w:val="894"/>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autoRedefine/>
    <w:qFormat/>
    <w:uiPriority w:val="0"/>
    <w:rPr>
      <w:b/>
      <w:sz w:val="24"/>
      <w:u w:val="single"/>
    </w:rPr>
  </w:style>
  <w:style w:type="character" w:customStyle="1" w:styleId="897">
    <w:name w:val="z-窗体顶端 Char"/>
    <w:link w:val="898"/>
    <w:autoRedefine/>
    <w:qFormat/>
    <w:uiPriority w:val="0"/>
    <w:rPr>
      <w:rFonts w:ascii="Arial" w:hAnsi="Arial" w:cs="Arial"/>
      <w:vanish/>
      <w:sz w:val="16"/>
      <w:szCs w:val="16"/>
    </w:rPr>
  </w:style>
  <w:style w:type="paragraph" w:customStyle="1" w:styleId="898">
    <w:name w:val="HTML Top of Form"/>
    <w:basedOn w:val="1"/>
    <w:next w:val="1"/>
    <w:link w:val="897"/>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autoRedefine/>
    <w:qFormat/>
    <w:uiPriority w:val="31"/>
    <w:rPr>
      <w:smallCaps/>
      <w:color w:val="C0504D"/>
      <w:u w:val="single"/>
    </w:rPr>
  </w:style>
  <w:style w:type="paragraph" w:customStyle="1" w:styleId="900">
    <w:name w:val="TOC Heading"/>
    <w:basedOn w:val="2"/>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autoRedefine/>
    <w:semiHidden/>
    <w:qFormat/>
    <w:uiPriority w:val="99"/>
    <w:rPr>
      <w:rFonts w:ascii="Arial" w:hAnsi="Arial" w:eastAsia="宋体" w:cs="Arial"/>
      <w:vanish/>
      <w:sz w:val="16"/>
      <w:szCs w:val="16"/>
    </w:rPr>
  </w:style>
  <w:style w:type="character" w:customStyle="1" w:styleId="902">
    <w:name w:val="z-窗体顶端 Char1"/>
    <w:basedOn w:val="64"/>
    <w:autoRedefine/>
    <w:semiHidden/>
    <w:qFormat/>
    <w:uiPriority w:val="99"/>
    <w:rPr>
      <w:rFonts w:ascii="Arial" w:hAnsi="Arial" w:eastAsia="宋体" w:cs="Arial"/>
      <w:vanish/>
      <w:sz w:val="16"/>
      <w:szCs w:val="16"/>
    </w:rPr>
  </w:style>
  <w:style w:type="paragraph" w:customStyle="1" w:styleId="903">
    <w:name w:val="Revision"/>
    <w:autoRedefine/>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autoRedefine/>
    <w:qFormat/>
    <w:uiPriority w:val="0"/>
    <w:pPr>
      <w:ind w:firstLine="420" w:firstLineChars="200"/>
    </w:pPr>
  </w:style>
  <w:style w:type="character" w:customStyle="1" w:styleId="905">
    <w:name w:val="content1"/>
    <w:autoRedefine/>
    <w:qFormat/>
    <w:uiPriority w:val="0"/>
    <w:rPr>
      <w:rFonts w:hint="default" w:ascii="Tahoma" w:hAnsi="Tahoma" w:cs="Tahoma"/>
      <w:sz w:val="21"/>
      <w:szCs w:val="21"/>
    </w:rPr>
  </w:style>
  <w:style w:type="character" w:customStyle="1" w:styleId="906">
    <w:name w:val="style25"/>
    <w:basedOn w:val="64"/>
    <w:autoRedefine/>
    <w:qFormat/>
    <w:uiPriority w:val="0"/>
  </w:style>
  <w:style w:type="character" w:customStyle="1" w:styleId="907">
    <w:name w:val="style281"/>
    <w:autoRedefine/>
    <w:qFormat/>
    <w:uiPriority w:val="0"/>
    <w:rPr>
      <w:color w:val="0000FF"/>
      <w:sz w:val="21"/>
      <w:szCs w:val="21"/>
    </w:rPr>
  </w:style>
  <w:style w:type="character" w:customStyle="1" w:styleId="908">
    <w:name w:val="ml21"/>
    <w:autoRedefine/>
    <w:qFormat/>
    <w:uiPriority w:val="0"/>
    <w:rPr>
      <w:rFonts w:hint="default"/>
      <w:color w:val="0000FF"/>
      <w:sz w:val="21"/>
      <w:szCs w:val="21"/>
    </w:rPr>
  </w:style>
  <w:style w:type="character" w:customStyle="1" w:styleId="909">
    <w:name w:val="newstyle1"/>
    <w:autoRedefine/>
    <w:qFormat/>
    <w:uiPriority w:val="0"/>
    <w:rPr>
      <w:rFonts w:hint="default"/>
      <w:sz w:val="18"/>
      <w:szCs w:val="18"/>
    </w:rPr>
  </w:style>
  <w:style w:type="character" w:customStyle="1" w:styleId="910">
    <w:name w:val="center style5"/>
    <w:basedOn w:val="64"/>
    <w:autoRedefine/>
    <w:qFormat/>
    <w:uiPriority w:val="0"/>
  </w:style>
  <w:style w:type="character" w:customStyle="1" w:styleId="911">
    <w:name w:val="新正文 Char"/>
    <w:link w:val="912"/>
    <w:autoRedefine/>
    <w:qFormat/>
    <w:uiPriority w:val="0"/>
    <w:rPr>
      <w:szCs w:val="24"/>
    </w:rPr>
  </w:style>
  <w:style w:type="paragraph" w:customStyle="1" w:styleId="912">
    <w:name w:val="新正文"/>
    <w:basedOn w:val="1"/>
    <w:link w:val="911"/>
    <w:autoRedefine/>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autoRedefine/>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autoRedefine/>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autoRedefine/>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autoRedefine/>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autoRedefine/>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autoRedefine/>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autoRedefine/>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autoRedefine/>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autoRedefine/>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autoRedefine/>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autoRedefine/>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autoRedefine/>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autoRedefine/>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autoRedefine/>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autoRedefine/>
    <w:qFormat/>
    <w:uiPriority w:val="0"/>
    <w:pPr>
      <w:outlineLvl w:val="9"/>
    </w:pPr>
  </w:style>
  <w:style w:type="paragraph" w:customStyle="1" w:styleId="956">
    <w:name w:val="xl22"/>
    <w:basedOn w:val="1"/>
    <w:autoRedefine/>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autoRedefine/>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autoRedefine/>
    <w:qFormat/>
    <w:uiPriority w:val="0"/>
    <w:rPr>
      <w:rFonts w:ascii="Arial" w:hAnsi="Arial" w:cs="Arial"/>
      <w:vanish/>
      <w:sz w:val="16"/>
      <w:szCs w:val="16"/>
    </w:rPr>
  </w:style>
  <w:style w:type="character" w:customStyle="1" w:styleId="962">
    <w:name w:val="z-窗体顶端 字符1"/>
    <w:autoRedefine/>
    <w:qFormat/>
    <w:uiPriority w:val="0"/>
    <w:rPr>
      <w:rFonts w:ascii="Arial" w:hAnsi="Arial" w:cs="Arial"/>
      <w:vanish/>
      <w:sz w:val="16"/>
      <w:szCs w:val="16"/>
    </w:rPr>
  </w:style>
  <w:style w:type="character" w:customStyle="1" w:styleId="963">
    <w:name w:val="批注主题 Char1"/>
    <w:basedOn w:val="82"/>
    <w:link w:val="56"/>
    <w:autoRedefine/>
    <w:qFormat/>
    <w:uiPriority w:val="99"/>
    <w:rPr>
      <w:rFonts w:ascii="Calibri" w:hAnsi="Calibri" w:eastAsia="宋体" w:cs="Times New Roman"/>
      <w:b/>
      <w:bCs/>
    </w:rPr>
  </w:style>
  <w:style w:type="character" w:customStyle="1" w:styleId="964">
    <w:name w:val="正文首行缩进 2 Char1"/>
    <w:basedOn w:val="86"/>
    <w:link w:val="58"/>
    <w:autoRedefine/>
    <w:qFormat/>
    <w:uiPriority w:val="0"/>
    <w:rPr>
      <w:rFonts w:ascii="Times New Roman" w:hAnsi="Times New Roman" w:eastAsia="宋体" w:cs="Times New Roman"/>
      <w:spacing w:val="-4"/>
      <w:sz w:val="18"/>
      <w:szCs w:val="20"/>
    </w:rPr>
  </w:style>
  <w:style w:type="table" w:customStyle="1" w:styleId="965">
    <w:name w:val="浅色列表 - 着色 51"/>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autoRedefine/>
    <w:qFormat/>
    <w:uiPriority w:val="0"/>
    <w:rPr>
      <w:sz w:val="21"/>
      <w:szCs w:val="21"/>
    </w:rPr>
  </w:style>
  <w:style w:type="paragraph" w:customStyle="1" w:styleId="967">
    <w:name w:val="内容文本"/>
    <w:basedOn w:val="1"/>
    <w:autoRedefine/>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autoRedefine/>
    <w:qFormat/>
    <w:uiPriority w:val="0"/>
    <w:rPr>
      <w:rFonts w:eastAsia="宋体"/>
      <w:kern w:val="2"/>
      <w:sz w:val="28"/>
      <w:szCs w:val="24"/>
      <w:lang w:val="en-US" w:eastAsia="zh-CN" w:bidi="ar-SA"/>
    </w:rPr>
  </w:style>
  <w:style w:type="character" w:customStyle="1" w:styleId="969">
    <w:name w:val="批注文字 字符"/>
    <w:autoRedefine/>
    <w:qFormat/>
    <w:uiPriority w:val="99"/>
    <w:rPr>
      <w:kern w:val="2"/>
      <w:sz w:val="21"/>
      <w:szCs w:val="22"/>
    </w:rPr>
  </w:style>
  <w:style w:type="character" w:customStyle="1" w:styleId="970">
    <w:name w:val="正文文本缩进 字符"/>
    <w:autoRedefine/>
    <w:qFormat/>
    <w:uiPriority w:val="0"/>
    <w:rPr>
      <w:rFonts w:ascii="宋体" w:hAnsi="Courier New" w:eastAsia="宋体"/>
      <w:spacing w:val="-4"/>
      <w:kern w:val="2"/>
      <w:sz w:val="18"/>
      <w:lang w:val="en-US" w:eastAsia="zh-CN" w:bidi="ar-SA"/>
    </w:rPr>
  </w:style>
  <w:style w:type="character" w:customStyle="1" w:styleId="971">
    <w:name w:val="标题 字符1"/>
    <w:basedOn w:val="64"/>
    <w:autoRedefine/>
    <w:qFormat/>
    <w:uiPriority w:val="10"/>
    <w:rPr>
      <w:rFonts w:asciiTheme="majorHAnsi" w:hAnsiTheme="majorHAnsi" w:eastAsiaTheme="majorEastAsia" w:cstheme="majorBidi"/>
      <w:b/>
      <w:bCs/>
      <w:sz w:val="32"/>
      <w:szCs w:val="32"/>
    </w:rPr>
  </w:style>
  <w:style w:type="character" w:customStyle="1" w:styleId="972">
    <w:name w:val="副标题 字符1"/>
    <w:basedOn w:val="64"/>
    <w:autoRedefine/>
    <w:qFormat/>
    <w:uiPriority w:val="11"/>
    <w:rPr>
      <w:b/>
      <w:bCs/>
      <w:kern w:val="28"/>
      <w:sz w:val="32"/>
      <w:szCs w:val="32"/>
    </w:rPr>
  </w:style>
  <w:style w:type="paragraph" w:customStyle="1" w:styleId="973">
    <w:name w:val="表格非标题文字"/>
    <w:link w:val="97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autoRedefine/>
    <w:qFormat/>
    <w:uiPriority w:val="0"/>
    <w:rPr>
      <w:rFonts w:ascii="Futura Bk" w:hAnsi="Futura Bk" w:eastAsia="宋体" w:cs="Times New Roman"/>
      <w:sz w:val="18"/>
      <w:szCs w:val="21"/>
    </w:rPr>
  </w:style>
  <w:style w:type="paragraph" w:customStyle="1" w:styleId="975">
    <w:name w:val="a2"/>
    <w:basedOn w:val="1"/>
    <w:autoRedefine/>
    <w:qFormat/>
    <w:uiPriority w:val="0"/>
    <w:pPr>
      <w:widowControl/>
      <w:spacing w:after="150"/>
      <w:jc w:val="left"/>
    </w:pPr>
    <w:rPr>
      <w:rFonts w:ascii="宋体" w:hAnsi="宋体" w:cs="宋体"/>
      <w:kern w:val="0"/>
      <w:sz w:val="24"/>
      <w:szCs w:val="24"/>
    </w:rPr>
  </w:style>
  <w:style w:type="table" w:customStyle="1" w:styleId="976">
    <w:name w:val="网格型1"/>
    <w:basedOn w:val="5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7">
    <w:name w:val="标题 2 Char2"/>
    <w:autoRedefine/>
    <w:qFormat/>
    <w:uiPriority w:val="0"/>
    <w:rPr>
      <w:rFonts w:ascii="Arial" w:hAnsi="Arial" w:eastAsia="黑体" w:cs="Times New Roman"/>
      <w:b/>
      <w:bCs/>
      <w:sz w:val="32"/>
      <w:szCs w:val="32"/>
    </w:rPr>
  </w:style>
  <w:style w:type="character" w:customStyle="1" w:styleId="978">
    <w:name w:val="正文缩进 Char1"/>
    <w:autoRedefine/>
    <w:qFormat/>
    <w:uiPriority w:val="0"/>
    <w:rPr>
      <w:rFonts w:ascii="Calibri" w:hAnsi="Calibri" w:eastAsia="宋体" w:cs="Times New Roman"/>
      <w:szCs w:val="20"/>
    </w:rPr>
  </w:style>
  <w:style w:type="paragraph" w:customStyle="1" w:styleId="979">
    <w:name w:val="TOC Heading1"/>
    <w:basedOn w:val="2"/>
    <w:next w:val="1"/>
    <w:autoRedefine/>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autoRedefine/>
    <w:qFormat/>
    <w:uiPriority w:val="0"/>
  </w:style>
  <w:style w:type="paragraph" w:customStyle="1" w:styleId="981">
    <w:name w:val="(1)"/>
    <w:autoRedefine/>
    <w:qFormat/>
    <w:uiPriority w:val="0"/>
    <w:pPr>
      <w:widowControl w:val="0"/>
      <w:snapToGrid w:val="0"/>
      <w:spacing w:line="360" w:lineRule="auto"/>
      <w:ind w:left="1134" w:hanging="567"/>
      <w:jc w:val="both"/>
    </w:pPr>
    <w:rPr>
      <w:rFonts w:ascii="Arial" w:hAnsi="Arial"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FC7FE-0919-431D-BF21-A1E74CD02A84}">
  <ds:schemaRefs/>
</ds:datastoreItem>
</file>

<file path=docProps/app.xml><?xml version="1.0" encoding="utf-8"?>
<Properties xmlns="http://schemas.openxmlformats.org/officeDocument/2006/extended-properties" xmlns:vt="http://schemas.openxmlformats.org/officeDocument/2006/docPropsVTypes">
  <Template>Normal</Template>
  <Pages>84</Pages>
  <Words>20375</Words>
  <Characters>22210</Characters>
  <Lines>1850</Lines>
  <Paragraphs>1637</Paragraphs>
  <TotalTime>56</TotalTime>
  <ScaleCrop>false</ScaleCrop>
  <LinksUpToDate>false</LinksUpToDate>
  <CharactersWithSpaces>40948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＞眺望未来-</cp:lastModifiedBy>
  <cp:lastPrinted>2021-01-25T02:12:00Z</cp:lastPrinted>
  <dcterms:modified xsi:type="dcterms:W3CDTF">2024-01-31T09:30:17Z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86B040C00DB64C908CA263D71AD379A7_12</vt:lpwstr>
  </property>
</Properties>
</file>