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浙江传媒学院历史影音资料智能修护实验室项目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ZZCG2022F-GK-149</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"file:///F:\\pooh\\E盘\\2022F\\浙江传媒学院ZZCG2022F-GK-149\\终稿7.29新.docx"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ZZCG2022F-GK-149</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7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5"/>
        <w:gridCol w:w="1308"/>
        <w:gridCol w:w="821"/>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3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8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3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影音资料数字化修护和内容管理项目</w:t>
            </w:r>
          </w:p>
        </w:tc>
        <w:tc>
          <w:tcPr>
            <w:tcW w:w="8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900</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w:t>
            </w:r>
          </w:p>
        </w:tc>
        <w:tc>
          <w:tcPr>
            <w:tcW w:w="13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影音资料人工修复提质项目</w:t>
            </w:r>
          </w:p>
        </w:tc>
        <w:tc>
          <w:tcPr>
            <w:tcW w:w="8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250</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3</w:t>
            </w:r>
          </w:p>
        </w:tc>
        <w:tc>
          <w:tcPr>
            <w:tcW w:w="13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影音资料数字化交互式展陈项目</w:t>
            </w:r>
          </w:p>
        </w:tc>
        <w:tc>
          <w:tcPr>
            <w:tcW w:w="8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390</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w:t>
      </w:r>
    </w:p>
    <w:p>
      <w:pPr>
        <w:keepNext w:val="0"/>
        <w:keepLines w:val="0"/>
        <w:widowControl w:val="0"/>
        <w:suppressLineNumbers w:val="0"/>
        <w:snapToGrid w:val="0"/>
        <w:spacing w:before="0" w:beforeAutospacing="0" w:after="0" w:afterAutospacing="0" w:line="500" w:lineRule="exact"/>
        <w:ind w:left="0" w:right="0" w:firstLine="602" w:firstLineChars="200"/>
        <w:jc w:val="both"/>
        <w:rPr>
          <w:rFonts w:hint="eastAsia" w:ascii="仿宋" w:hAnsi="仿宋" w:eastAsia="仿宋" w:cs="仿宋"/>
          <w:sz w:val="28"/>
          <w:szCs w:val="28"/>
          <w:lang w:val="en-US"/>
        </w:rPr>
      </w:pPr>
      <w:bookmarkStart w:id="6" w:name="PO_15528_PM007"/>
      <w:bookmarkEnd w:id="6"/>
      <w:r>
        <w:rPr>
          <w:rFonts w:hint="eastAsia" w:ascii="仿宋" w:hAnsi="仿宋" w:eastAsia="仿宋" w:cs="Arial"/>
          <w:b/>
          <w:kern w:val="2"/>
          <w:sz w:val="30"/>
          <w:szCs w:val="30"/>
          <w:lang w:val="en-US" w:eastAsia="zh-CN" w:bidi="ar"/>
        </w:rPr>
        <w:t>标项1-3:允许联合体投标;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至 </w:t>
      </w:r>
      <w:bookmarkStart w:id="7" w:name="PO_15528_PM009"/>
      <w:r>
        <w:rPr>
          <w:rFonts w:hint="eastAsia" w:ascii="仿宋" w:hAnsi="仿宋" w:eastAsia="仿宋" w:cs="仿宋"/>
          <w:kern w:val="0"/>
          <w:sz w:val="30"/>
          <w:szCs w:val="30"/>
          <w:lang w:val="en-US" w:eastAsia="zh-CN" w:bidi="ar"/>
        </w:rPr>
        <w:t>2022-08-23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2022-08-23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b/>
          <w:bCs w:val="0"/>
          <w:kern w:val="0"/>
          <w:sz w:val="28"/>
          <w:szCs w:val="28"/>
          <w:lang w:val="en-US"/>
        </w:rPr>
      </w:pPr>
      <w:r>
        <w:rPr>
          <w:rFonts w:hint="eastAsia" w:ascii="宋体" w:hAnsi="宋体" w:eastAsia="宋体" w:cs="宋体"/>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宋体" w:hAnsi="宋体" w:eastAsia="宋体" w:cs="宋体"/>
          <w:b/>
          <w:bCs w:val="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2022-08-23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201开标室（大）</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  幸</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 w:hAnsi="仿宋" w:eastAsia="仿宋" w:cs="Arial"/>
          <w:b/>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ITLE_1"/>
      <w:bookmarkEnd w:id="15"/>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_GB2312" w:hAnsi="仿宋" w:eastAsia="仿宋_GB2312" w:cs="仿宋_GB2312"/>
          <w:sz w:val="30"/>
          <w:szCs w:val="30"/>
          <w:lang w:val="en-US"/>
        </w:rPr>
      </w:pPr>
      <w:r>
        <w:rPr>
          <w:rFonts w:hint="eastAsia" w:ascii="仿宋_GB2312" w:hAnsi="仿宋" w:eastAsia="仿宋_GB2312" w:cs="仿宋_GB2312"/>
          <w:b/>
          <w:kern w:val="2"/>
          <w:sz w:val="30"/>
          <w:szCs w:val="30"/>
          <w:lang w:val="en-US" w:eastAsia="zh-CN" w:bidi="ar"/>
        </w:rPr>
        <w:t>标项1-3：</w:t>
      </w: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浙江传媒学院行政楼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陈洁颖、徐垚</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0571-86832645、13757193367</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项目监督</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俞老师</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0571-86832602</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p>
        </w:tc>
      </w:tr>
    </w:tbl>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6" w:name="_Toc496796636"/>
      <w:bookmarkEnd w:id="16"/>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w:t>
            </w:r>
            <w:r>
              <w:rPr>
                <w:rFonts w:hint="eastAsia" w:ascii="仿宋" w:hAnsi="仿宋" w:eastAsia="仿宋" w:cs="仿宋"/>
                <w:b/>
                <w:kern w:val="2"/>
                <w:sz w:val="24"/>
                <w:szCs w:val="24"/>
                <w:u w:val="single"/>
                <w:lang w:val="en-US" w:eastAsia="zh-CN" w:bidi="ar"/>
              </w:rPr>
              <w:t>（货物类）</w:t>
            </w:r>
          </w:p>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采购标的：</w:t>
            </w:r>
            <w:r>
              <w:rPr>
                <w:rFonts w:hint="eastAsia" w:ascii="仿宋" w:hAnsi="仿宋" w:eastAsia="仿宋" w:cs="仿宋"/>
                <w:b/>
                <w:kern w:val="2"/>
                <w:sz w:val="24"/>
                <w:szCs w:val="24"/>
                <w:u w:val="single"/>
                <w:lang w:val="en-US" w:eastAsia="zh-CN" w:bidi="ar"/>
              </w:rPr>
              <w:t>历史影音资料智能修护实验室项目</w:t>
            </w:r>
            <w:r>
              <w:rPr>
                <w:rFonts w:hint="eastAsia" w:ascii="仿宋" w:hAnsi="仿宋" w:eastAsia="仿宋" w:cs="仿宋"/>
                <w:b/>
                <w:kern w:val="2"/>
                <w:sz w:val="24"/>
                <w:szCs w:val="24"/>
                <w:lang w:val="en-US" w:eastAsia="zh-CN" w:bidi="ar"/>
              </w:rPr>
              <w:t>，所属行业：</w:t>
            </w:r>
            <w:r>
              <w:rPr>
                <w:rFonts w:hint="eastAsia" w:ascii="仿宋" w:hAnsi="仿宋" w:eastAsia="仿宋" w:cs="仿宋"/>
                <w:b/>
                <w:kern w:val="2"/>
                <w:sz w:val="24"/>
                <w:szCs w:val="24"/>
                <w:u w:val="single"/>
                <w:lang w:val="en-US" w:eastAsia="zh-CN" w:bidi="ar"/>
              </w:rPr>
              <w:t>工业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仿宋" w:hAnsi="仿宋" w:eastAsia="仿宋" w:cs="仿宋"/>
                <w:b/>
                <w:kern w:val="2"/>
                <w:sz w:val="24"/>
                <w:szCs w:val="24"/>
                <w:u w:val="single"/>
                <w:lang w:val="en-US" w:eastAsia="zh-CN" w:bidi="ar"/>
              </w:rPr>
              <w:t>（20%</w:t>
            </w:r>
            <w:r>
              <w:rPr>
                <w:rFonts w:hint="eastAsia" w:ascii="仿宋" w:hAnsi="仿宋" w:eastAsia="仿宋" w:cs="仿宋"/>
                <w:b/>
                <w:kern w:val="2"/>
                <w:sz w:val="24"/>
                <w:szCs w:val="24"/>
                <w:lang w:val="en-US" w:eastAsia="zh-CN" w:bidi="ar"/>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(6%</w:t>
            </w:r>
            <w:r>
              <w:rPr>
                <w:rFonts w:hint="eastAsia" w:ascii="仿宋" w:hAnsi="仿宋" w:eastAsia="仿宋" w:cs="仿宋"/>
                <w:b/>
                <w:kern w:val="2"/>
                <w:sz w:val="24"/>
                <w:szCs w:val="24"/>
                <w:lang w:val="en-US" w:eastAsia="zh-CN" w:bidi="ar"/>
              </w:rPr>
              <w:t>）的扣除，用扣除后的价格参加评审。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7" w:name="PO_15528_PM042"/>
            <w:r>
              <w:rPr>
                <w:rFonts w:hint="eastAsia" w:ascii="仿宋" w:hAnsi="仿宋" w:eastAsia="仿宋" w:cs="仿宋"/>
                <w:kern w:val="2"/>
                <w:sz w:val="24"/>
                <w:szCs w:val="24"/>
                <w:lang w:val="en-US" w:eastAsia="zh-CN" w:bidi="ar"/>
              </w:rPr>
              <w:t>部分允许进口产品</w:t>
            </w:r>
            <w:bookmarkEnd w:id="17"/>
            <w:r>
              <w:rPr>
                <w:rFonts w:hint="eastAsia" w:ascii="仿宋" w:hAnsi="仿宋" w:eastAsia="仿宋" w:cs="仿宋"/>
                <w:kern w:val="2"/>
                <w:sz w:val="24"/>
                <w:szCs w:val="24"/>
                <w:lang w:val="en-US" w:eastAsia="zh-CN" w:bidi="ar"/>
              </w:rPr>
              <w:t>，详见需求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w:t>
            </w:r>
            <w:bookmarkStart w:id="18" w:name="PO_15528_PM044"/>
            <w:r>
              <w:rPr>
                <w:rFonts w:hint="eastAsia" w:ascii="仿宋" w:hAnsi="仿宋" w:eastAsia="仿宋" w:cs="仿宋"/>
                <w:kern w:val="2"/>
                <w:sz w:val="24"/>
                <w:szCs w:val="24"/>
                <w:lang w:val="en-US" w:eastAsia="zh-CN" w:bidi="ar"/>
              </w:rPr>
              <w:t>允许分包</w:t>
            </w:r>
            <w:bookmarkEnd w:id="18"/>
            <w:r>
              <w:rPr>
                <w:rFonts w:hint="eastAsia" w:ascii="仿宋" w:hAnsi="仿宋" w:eastAsia="仿宋" w:cs="仿宋"/>
                <w:kern w:val="2"/>
                <w:sz w:val="24"/>
                <w:szCs w:val="24"/>
                <w:lang w:val="en-US" w:eastAsia="zh-CN" w:bidi="ar"/>
              </w:rPr>
              <w:t>，</w:t>
            </w:r>
            <w:r>
              <w:rPr>
                <w:rFonts w:hint="eastAsia" w:ascii="仿宋" w:hAnsi="仿宋" w:eastAsia="仿宋" w:cs="Times New Roman"/>
                <w:sz w:val="24"/>
                <w:szCs w:val="24"/>
                <w:lang w:val="en-US" w:eastAsia="zh-CN" w:bidi="ar"/>
              </w:rPr>
              <w:t>非主体、非关键性工作允许分包,</w:t>
            </w:r>
            <w:r>
              <w:rPr>
                <w:rFonts w:hint="eastAsia" w:ascii="仿宋" w:hAnsi="仿宋" w:eastAsia="仿宋" w:cs="仿宋"/>
                <w:kern w:val="2"/>
                <w:sz w:val="24"/>
                <w:szCs w:val="24"/>
                <w:lang w:val="en-US" w:eastAsia="zh-CN" w:bidi="ar"/>
              </w:rPr>
              <w:t>各标项分包内容分别为：</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标项1：系统集成及技术服务；</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标项2：系统集成及技术服务；</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标项3：综合布线系统。</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kern w:val="2"/>
                <w:sz w:val="24"/>
                <w:szCs w:val="24"/>
                <w:lang w:val="en-US" w:eastAsia="zh-CN" w:bidi="ar"/>
              </w:rPr>
            </w:pPr>
            <w:r>
              <w:rPr>
                <w:rFonts w:hint="eastAsia" w:ascii="仿宋" w:hAnsi="仿宋" w:eastAsia="仿宋" w:cs="Times New Roman"/>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是否接受联合体投标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5528_PM007_1"/>
            <w:r>
              <w:rPr>
                <w:rFonts w:hint="eastAsia" w:ascii="仿宋" w:hAnsi="仿宋" w:eastAsia="仿宋" w:cs="仿宋"/>
                <w:kern w:val="2"/>
                <w:sz w:val="24"/>
                <w:szCs w:val="24"/>
                <w:lang w:val="en-US" w:eastAsia="zh-CN" w:bidi="ar"/>
              </w:rPr>
              <w:t>标项1-3:允许联合体投标;</w:t>
            </w:r>
            <w:bookmarkEnd w:id="19"/>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color w:val="000000"/>
                <w:kern w:val="2"/>
                <w:sz w:val="24"/>
                <w:szCs w:val="24"/>
                <w:lang w:val="en-US" w:eastAsia="zh-CN" w:bidi="ar"/>
              </w:rPr>
              <w:t>疫情期间，原则上不集中组织现场勘查。如须勘察，请提前联系张老师，15968847619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0" w:name="PO_1000000445_PM041"/>
            <w:r>
              <w:rPr>
                <w:rFonts w:hint="eastAsia" w:ascii="仿宋" w:hAnsi="仿宋" w:eastAsia="仿宋" w:cs="仿宋"/>
                <w:kern w:val="2"/>
                <w:sz w:val="24"/>
                <w:szCs w:val="24"/>
                <w:lang w:val="en-US" w:eastAsia="zh-CN" w:bidi="ar"/>
              </w:rPr>
              <w:t>标项1-2</w:t>
            </w:r>
            <w:bookmarkEnd w:id="20"/>
            <w:r>
              <w:rPr>
                <w:rFonts w:hint="eastAsia" w:ascii="仿宋" w:hAnsi="仿宋" w:eastAsia="仿宋" w:cs="仿宋"/>
                <w:kern w:val="2"/>
                <w:sz w:val="24"/>
                <w:szCs w:val="24"/>
                <w:lang w:val="en-US" w:eastAsia="zh-CN" w:bidi="ar"/>
              </w:rPr>
              <w:t>：是，详见需求相关页；</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标项三：否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000000445_PM043"/>
            <w:r>
              <w:rPr>
                <w:rFonts w:hint="eastAsia" w:ascii="仿宋" w:hAnsi="仿宋" w:eastAsia="仿宋" w:cs="仿宋"/>
                <w:color w:val="000000"/>
                <w:kern w:val="2"/>
                <w:sz w:val="24"/>
                <w:szCs w:val="24"/>
                <w:lang w:val="en-US" w:eastAsia="zh-CN" w:bidi="ar"/>
              </w:rPr>
              <w:t>不要求提供样品</w:t>
            </w:r>
            <w:bookmarkEnd w:id="21"/>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3012" w:firstLineChars="1000"/>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snapToGrid w:val="0"/>
          <w:kern w:val="2"/>
          <w:sz w:val="24"/>
          <w:szCs w:val="24"/>
          <w:lang w:val="en-US" w:eastAsia="zh-CN" w:bidi="ar"/>
        </w:rPr>
        <w:t>货款由采购人按招标文件规定的付款方式自行支付。若资金在采购人处的，由采购人直接支付；若资金在核算中心的，由采购人向核算中心发起支付令，由核算中心把货款打入中标商帐户。</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snapToGrid w:val="0"/>
          <w:kern w:val="2"/>
          <w:sz w:val="24"/>
          <w:szCs w:val="24"/>
          <w:lang w:val="en-US" w:eastAsia="zh-CN" w:bidi="ar"/>
        </w:rPr>
        <w:t>资金支付进度：采购人对于满足合同约定支付条件的，自收到发票后</w:t>
      </w:r>
      <w:r>
        <w:rPr>
          <w:rFonts w:hint="eastAsia" w:ascii="宋体" w:hAnsi="Courier New" w:eastAsia="宋体" w:cs="Times New Roman"/>
          <w:kern w:val="2"/>
          <w:sz w:val="24"/>
          <w:szCs w:val="24"/>
          <w:lang w:val="en-US" w:eastAsia="zh-CN" w:bidi="ar"/>
        </w:rPr>
        <w:t>7</w:t>
      </w:r>
      <w:r>
        <w:rPr>
          <w:rFonts w:hint="eastAsia" w:ascii="宋体" w:hAnsi="Courier New" w:eastAsia="宋体" w:cs="Times New Roman"/>
          <w:snapToGrid w:val="0"/>
          <w:kern w:val="2"/>
          <w:sz w:val="24"/>
          <w:szCs w:val="24"/>
          <w:lang w:val="en-US" w:eastAsia="zh-CN" w:bidi="ar"/>
        </w:rPr>
        <w:t>个工作日内将资金支付到合同约定的供应商账户。迟延支付中小企业款项的，供应商可要求采购人支付逾期利息。</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snapToGrid w:val="0"/>
          <w:kern w:val="2"/>
          <w:sz w:val="24"/>
          <w:szCs w:val="24"/>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w:t>
      </w:r>
      <w:r>
        <w:rPr>
          <w:rFonts w:hint="default" w:ascii="宋体" w:hAnsi="Courier New" w:eastAsia="宋体" w:cs="Times New Roman"/>
          <w:kern w:val="2"/>
          <w:sz w:val="24"/>
          <w:szCs w:val="24"/>
          <w:lang w:val="en-US" w:eastAsia="zh-CN" w:bidi="ar"/>
        </w:rPr>
        <w:t> </w:t>
      </w:r>
      <w:r>
        <w:rPr>
          <w:rFonts w:hint="eastAsia" w:ascii="宋体" w:hAnsi="Courier New" w:eastAsia="宋体" w:cs="Times New Roman"/>
          <w:snapToGrid w:val="0"/>
          <w:kern w:val="2"/>
          <w:sz w:val="24"/>
          <w:szCs w:val="24"/>
          <w:lang w:val="en-US" w:eastAsia="zh-CN" w:bidi="ar"/>
        </w:rPr>
        <w:t>功能全力推动经济稳进提质的通知》《浙江省财政厅关于进一步发挥政府采购政策功能全力推进经济稳进提质的通知》等相关规范，对预付款支付要求如下：</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1.</w:t>
      </w:r>
      <w:r>
        <w:rPr>
          <w:rFonts w:hint="eastAsia" w:ascii="宋体" w:hAnsi="Courier New" w:eastAsia="宋体" w:cs="Times New Roman"/>
          <w:snapToGrid w:val="0"/>
          <w:kern w:val="2"/>
          <w:sz w:val="24"/>
          <w:szCs w:val="24"/>
          <w:lang w:val="en-US" w:eastAsia="zh-CN" w:bidi="ar"/>
        </w:rPr>
        <w:t>对中小企业合同预付款比例原则上不低于合同金额的</w:t>
      </w:r>
      <w:r>
        <w:rPr>
          <w:rFonts w:hint="eastAsia" w:ascii="宋体" w:hAnsi="Courier New" w:eastAsia="宋体" w:cs="Times New Roman"/>
          <w:kern w:val="2"/>
          <w:sz w:val="24"/>
          <w:szCs w:val="24"/>
          <w:lang w:val="en-US" w:eastAsia="zh-CN" w:bidi="ar"/>
        </w:rPr>
        <w:t>40</w:t>
      </w:r>
      <w:r>
        <w:rPr>
          <w:rFonts w:hint="eastAsia" w:ascii="宋体" w:hAnsi="Courier New" w:eastAsia="宋体" w:cs="Times New Roman"/>
          <w:snapToGrid w:val="0"/>
          <w:kern w:val="2"/>
          <w:sz w:val="24"/>
          <w:szCs w:val="24"/>
          <w:lang w:val="en-US" w:eastAsia="zh-CN" w:bidi="ar"/>
        </w:rPr>
        <w:t>％，不高于合同金额的</w:t>
      </w:r>
      <w:r>
        <w:rPr>
          <w:rFonts w:hint="eastAsia" w:ascii="宋体" w:hAnsi="Courier New" w:eastAsia="宋体" w:cs="Times New Roman"/>
          <w:kern w:val="2"/>
          <w:sz w:val="24"/>
          <w:szCs w:val="24"/>
          <w:lang w:val="en-US" w:eastAsia="zh-CN" w:bidi="ar"/>
        </w:rPr>
        <w:t>70%</w:t>
      </w:r>
      <w:r>
        <w:rPr>
          <w:rFonts w:hint="eastAsia" w:ascii="宋体" w:hAnsi="Courier New" w:eastAsia="宋体" w:cs="Times New Roman"/>
          <w:snapToGrid w:val="0"/>
          <w:kern w:val="2"/>
          <w:sz w:val="24"/>
          <w:szCs w:val="24"/>
          <w:lang w:val="en-US" w:eastAsia="zh-CN" w:bidi="ar"/>
        </w:rPr>
        <w:t>；</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2.</w:t>
      </w:r>
      <w:r>
        <w:rPr>
          <w:rFonts w:hint="eastAsia" w:ascii="宋体" w:hAnsi="Courier New" w:eastAsia="宋体" w:cs="Times New Roman"/>
          <w:snapToGrid w:val="0"/>
          <w:kern w:val="2"/>
          <w:sz w:val="24"/>
          <w:szCs w:val="24"/>
          <w:lang w:val="en-US" w:eastAsia="zh-CN" w:bidi="ar"/>
        </w:rPr>
        <w:t>项目分年安排预算的，每年预付款比例不低于项目年度计划支付资金额的</w:t>
      </w:r>
      <w:r>
        <w:rPr>
          <w:rFonts w:hint="eastAsia" w:ascii="宋体" w:hAnsi="Courier New" w:eastAsia="宋体" w:cs="Times New Roman"/>
          <w:kern w:val="2"/>
          <w:sz w:val="24"/>
          <w:szCs w:val="24"/>
          <w:lang w:val="en-US" w:eastAsia="zh-CN" w:bidi="ar"/>
        </w:rPr>
        <w:t>40</w:t>
      </w:r>
      <w:r>
        <w:rPr>
          <w:rFonts w:hint="eastAsia" w:ascii="宋体" w:hAnsi="Courier New" w:eastAsia="宋体" w:cs="Times New Roman"/>
          <w:snapToGrid w:val="0"/>
          <w:kern w:val="2"/>
          <w:sz w:val="24"/>
          <w:szCs w:val="24"/>
          <w:lang w:val="en-US" w:eastAsia="zh-CN" w:bidi="ar"/>
        </w:rPr>
        <w:t>％，不高于年度计划支付资金额的</w:t>
      </w:r>
      <w:r>
        <w:rPr>
          <w:rFonts w:hint="eastAsia" w:ascii="宋体" w:hAnsi="Courier New" w:eastAsia="宋体" w:cs="Times New Roman"/>
          <w:kern w:val="2"/>
          <w:sz w:val="24"/>
          <w:szCs w:val="24"/>
          <w:lang w:val="en-US" w:eastAsia="zh-CN" w:bidi="ar"/>
        </w:rPr>
        <w:t>70%</w:t>
      </w:r>
      <w:r>
        <w:rPr>
          <w:rFonts w:hint="eastAsia" w:ascii="宋体" w:hAnsi="Courier New" w:eastAsia="宋体" w:cs="Times New Roman"/>
          <w:snapToGrid w:val="0"/>
          <w:kern w:val="2"/>
          <w:sz w:val="24"/>
          <w:szCs w:val="24"/>
          <w:lang w:val="en-US" w:eastAsia="zh-CN" w:bidi="ar"/>
        </w:rPr>
        <w:t>；</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3.</w:t>
      </w:r>
      <w:r>
        <w:rPr>
          <w:rFonts w:hint="eastAsia" w:ascii="宋体" w:hAnsi="Courier New" w:eastAsia="宋体" w:cs="Times New Roman"/>
          <w:snapToGrid w:val="0"/>
          <w:kern w:val="2"/>
          <w:sz w:val="24"/>
          <w:szCs w:val="24"/>
          <w:lang w:val="en-US" w:eastAsia="zh-CN" w:bidi="ar"/>
        </w:rPr>
        <w:t>采购项目实施以人工投入为主的，可适当降低预付款比例，但不得低于</w:t>
      </w:r>
      <w:r>
        <w:rPr>
          <w:rFonts w:hint="eastAsia" w:ascii="宋体" w:hAnsi="Courier New" w:eastAsia="宋体" w:cs="Times New Roman"/>
          <w:kern w:val="2"/>
          <w:sz w:val="24"/>
          <w:szCs w:val="24"/>
          <w:lang w:val="en-US" w:eastAsia="zh-CN" w:bidi="ar"/>
        </w:rPr>
        <w:t>20%</w:t>
      </w:r>
      <w:r>
        <w:rPr>
          <w:rFonts w:hint="eastAsia" w:ascii="宋体" w:hAnsi="Courier New" w:eastAsia="宋体" w:cs="Times New Roman"/>
          <w:snapToGrid w:val="0"/>
          <w:kern w:val="2"/>
          <w:sz w:val="24"/>
          <w:szCs w:val="24"/>
          <w:lang w:val="en-US" w:eastAsia="zh-CN" w:bidi="ar"/>
        </w:rPr>
        <w:t>。</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4.</w:t>
      </w:r>
      <w:r>
        <w:rPr>
          <w:rFonts w:hint="eastAsia" w:ascii="宋体" w:hAnsi="Courier New" w:eastAsia="宋体" w:cs="Times New Roman"/>
          <w:snapToGrid w:val="0"/>
          <w:kern w:val="2"/>
          <w:sz w:val="24"/>
          <w:szCs w:val="24"/>
          <w:lang w:val="en-US" w:eastAsia="zh-CN" w:bidi="ar"/>
        </w:rPr>
        <w:t>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2" w:name="_Toc496796637"/>
      <w:bookmarkEnd w:id="22"/>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3" w:name="_Toc496796638"/>
      <w:bookmarkEnd w:id="23"/>
    </w:p>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0"/>
          <w:szCs w:val="30"/>
          <w:lang w:val="en-US"/>
        </w:rPr>
      </w:pPr>
      <w:bookmarkStart w:id="24" w:name="PO_15528_PM051"/>
      <w:bookmarkEnd w:id="24"/>
      <w:bookmarkStart w:id="25" w:name="PO_TDCUS_ITEM_SM_TITLE_1"/>
      <w:bookmarkEnd w:id="25"/>
      <w:bookmarkStart w:id="26" w:name="PO_TDCUS_ITEM_SM_TITLE_2"/>
      <w:bookmarkEnd w:id="26"/>
      <w:r>
        <w:rPr>
          <w:rFonts w:hint="eastAsia" w:ascii="仿宋_GB2312" w:hAnsi="宋体" w:eastAsia="仿宋_GB2312" w:cs="仿宋_GB2312"/>
          <w:b/>
          <w:kern w:val="2"/>
          <w:sz w:val="30"/>
          <w:szCs w:val="30"/>
          <w:lang w:val="en-US" w:eastAsia="zh-CN" w:bidi="ar"/>
        </w:rPr>
        <w:t>标项一：</w:t>
      </w:r>
      <w:r>
        <w:rPr>
          <w:rFonts w:hint="default" w:ascii="Calibri" w:hAnsi="宋体" w:eastAsia="宋体" w:cs="Times New Roman"/>
          <w:b/>
          <w:kern w:val="2"/>
          <w:sz w:val="30"/>
          <w:szCs w:val="30"/>
          <w:lang w:val="en-US" w:eastAsia="zh-CN" w:bidi="ar"/>
        </w:rPr>
        <w:t xml:space="preserve"> </w:t>
      </w:r>
    </w:p>
    <w:tbl>
      <w:tblPr>
        <w:tblStyle w:val="60"/>
        <w:tblW w:w="8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1560"/>
        <w:gridCol w:w="52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评分类型</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评分标准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报价</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(最低报价/投标报价)*最大分值</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对非关键的性能指标及技术参数属负偏离或缺漏项的每项扣1分，扣完为止。</w:t>
            </w:r>
          </w:p>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对带★标记的关键性能指标技术参数属偏离或缺漏项的，每项扣2分，带★标记的关键性能指标技术参数负偏离达10项及以上视作重大偏离，按废标处理。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演示，具体详见需求</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0.5分, 节能产品认证证书或者证书的查询网址及截图的，得0.5分。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所投产品的技术先进性</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系统集成的具体技术解决方案。</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项目系统集成具体实施计划。</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7</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系统集成项目组实施人员能力，详见需求</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项目维护计划（驻点人员安排，定期巡检，备品备件等情况）的有效性等，详见商务要求表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售后服务的响应情况，详见商务要求表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培训方案、计划的可行性及合理性，详见商务要求表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公司技术力量情况，详见商务要求表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经验及业绩，详见商务要求表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bl>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left"/>
        <w:outlineLvl w:val="0"/>
        <w:rPr>
          <w:rFonts w:hAnsi="宋体"/>
          <w:b/>
          <w:sz w:val="30"/>
          <w:szCs w:val="30"/>
          <w:lang w:val="en-US"/>
        </w:rPr>
      </w:pPr>
      <w:r>
        <w:rPr>
          <w:rFonts w:hint="eastAsia" w:ascii="Calibri" w:hAnsi="宋体" w:eastAsia="宋体" w:cs="宋体"/>
          <w:b/>
          <w:kern w:val="2"/>
          <w:sz w:val="30"/>
          <w:szCs w:val="30"/>
          <w:lang w:val="en-US" w:eastAsia="zh-CN" w:bidi="ar"/>
        </w:rPr>
        <w:t>标项二：</w:t>
      </w:r>
    </w:p>
    <w:p>
      <w:pPr>
        <w:keepNext w:val="0"/>
        <w:keepLines w:val="0"/>
        <w:widowControl w:val="0"/>
        <w:suppressLineNumbers w:val="0"/>
        <w:spacing w:before="0" w:beforeAutospacing="0" w:after="240" w:afterLines="100" w:afterAutospacing="0" w:line="340" w:lineRule="exact"/>
        <w:ind w:left="0" w:right="0"/>
        <w:jc w:val="left"/>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tbl>
      <w:tblPr>
        <w:tblStyle w:val="60"/>
        <w:tblW w:w="8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1560"/>
        <w:gridCol w:w="52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评分类型</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评分标准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报价</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(最低报价/投标报价)*最大分值</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对非关键的性能指标及技术参数属负偏离或缺漏项的每项扣1分，扣完为止。</w:t>
            </w:r>
          </w:p>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对带★标记的关键性能指标技术参数属偏离或缺漏项的，每项扣2分，带★标记的关键性能指标技术参数负偏离达10项及以上视作重大偏离，按废标处理。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演示，具体详见需求</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0.5分, 节能产品认证证书或者证书的查询网址及截图的，得0.5分。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所投产品的技术先进性</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系统集成的具体技术解决方案。</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项目系统集成具体实施计划。</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7</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系统集成项目组实施人员能力，详见需求</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项目维护计划（驻点人员安排，定期巡检，备品备件等情况）的有效性等，详见商务要求表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售后服务的响应情况，详见商务要求表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培训方案、计划的可行性及合理性，详见商务要求表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公司技术力量情况，详见商务要求表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经验及业绩，详见商务要求表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bl>
    <w:p>
      <w:pPr>
        <w:keepNext w:val="0"/>
        <w:keepLines w:val="0"/>
        <w:widowControl w:val="0"/>
        <w:suppressLineNumbers w:val="0"/>
        <w:spacing w:before="0" w:beforeAutospacing="0" w:after="240" w:afterLines="100" w:afterAutospacing="0" w:line="340" w:lineRule="exact"/>
        <w:ind w:left="0" w:right="0"/>
        <w:jc w:val="left"/>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left"/>
        <w:outlineLvl w:val="0"/>
        <w:rPr>
          <w:rFonts w:hAnsi="宋体"/>
          <w:b/>
          <w:sz w:val="30"/>
          <w:szCs w:val="30"/>
          <w:lang w:val="en-US"/>
        </w:rPr>
      </w:pPr>
      <w:r>
        <w:rPr>
          <w:rFonts w:hint="eastAsia" w:ascii="Calibri" w:hAnsi="宋体" w:eastAsia="宋体" w:cs="宋体"/>
          <w:b/>
          <w:kern w:val="2"/>
          <w:sz w:val="30"/>
          <w:szCs w:val="30"/>
          <w:lang w:val="en-US" w:eastAsia="zh-CN" w:bidi="ar"/>
        </w:rPr>
        <w:t>标项三：</w:t>
      </w:r>
    </w:p>
    <w:tbl>
      <w:tblPr>
        <w:tblStyle w:val="60"/>
        <w:tblW w:w="8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1560"/>
        <w:gridCol w:w="52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评分类型</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评分标准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报价</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(最低报价/投标报价)*最大分值</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对非关键的性能指标及技术参数属负偏离或缺漏项的每项扣1分，扣完为止。</w:t>
            </w:r>
          </w:p>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对带★标记的关键性能指标技术参数属偏离或缺漏项的，每项扣2分，带★标记的关键性能指标技术参数负偏离达8项及以上视作重大偏离，按废标处理。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产品技术配置、性能及软件的兼容性</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0.5分, 节能产品认证证书或者证书的查询网址及截图的，得0.5分。</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所投产品的技术先进性</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系统集成的具体技术解决方案。</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项目系统集成具体实施计划。</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7</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系统集成项目组实施人员能力，详见需求</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项目维护计划（驻点人员安排，定期巡检，备品备件等情况）的有效性等,详见商务要求表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售后服务的响应情况，详见商务要求表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培训方案、计划的可行性及合理性，详见商务要求表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公司技术力量情况，详见商务要求表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5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经验及业绩，详见商务要求表</w:t>
            </w:r>
          </w:p>
        </w:tc>
        <w:tc>
          <w:tcPr>
            <w:tcW w:w="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center"/>
              <w:rPr>
                <w:rFonts w:hint="eastAsia" w:ascii="宋体" w:hAnsi="宋体" w:eastAsia="宋体" w:cs="宋体"/>
                <w:bCs/>
                <w:kern w:val="0"/>
                <w:lang w:val="en-US"/>
              </w:rPr>
            </w:pPr>
            <w:r>
              <w:rPr>
                <w:rFonts w:hint="eastAsia" w:ascii="宋体" w:hAnsi="宋体" w:eastAsia="宋体" w:cs="宋体"/>
                <w:bCs/>
                <w:kern w:val="0"/>
                <w:sz w:val="21"/>
                <w:szCs w:val="21"/>
                <w:lang w:val="en-US" w:eastAsia="zh-CN" w:bidi="ar"/>
              </w:rPr>
              <w:t>3</w:t>
            </w:r>
          </w:p>
        </w:tc>
      </w:tr>
    </w:tbl>
    <w:p>
      <w:pPr>
        <w:keepNext w:val="0"/>
        <w:keepLines w:val="0"/>
        <w:widowControl w:val="0"/>
        <w:suppressLineNumbers w:val="0"/>
        <w:spacing w:before="0" w:beforeAutospacing="0" w:after="240" w:afterLines="100" w:afterAutospacing="0" w:line="340" w:lineRule="exact"/>
        <w:ind w:left="0" w:right="0"/>
        <w:jc w:val="left"/>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1.根据浙财采监字[2007]2号文件规定：除采购文件明确的品牌外，欢迎其他能满足本项目技术需求且性能与所明确品牌相当的产品参加。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27" w:name="_Toc496796639"/>
      <w:bookmarkEnd w:id="27"/>
      <w:r>
        <w:rPr>
          <w:rFonts w:hint="eastAsia" w:ascii="仿宋" w:hAnsi="仿宋" w:eastAsia="仿宋" w:cs="Arial"/>
          <w:b/>
          <w:kern w:val="2"/>
          <w:sz w:val="28"/>
          <w:szCs w:val="28"/>
          <w:lang w:val="en-US" w:eastAsia="zh-CN" w:bidi="ar"/>
        </w:rPr>
        <w:t xml:space="preserve"> </w:t>
      </w:r>
    </w:p>
    <w:p>
      <w:pPr>
        <w:pStyle w:val="5"/>
        <w:widowControl/>
        <w:rPr>
          <w:rFonts w:hint="eastAsia" w:ascii="黑体" w:hAnsi="宋体" w:eastAsia="黑体" w:cs="黑体"/>
          <w:sz w:val="24"/>
          <w:szCs w:val="24"/>
          <w:lang w:val="en-US"/>
        </w:rPr>
      </w:pPr>
      <w:bookmarkStart w:id="28" w:name="PO_416_PM050"/>
      <w:bookmarkEnd w:id="28"/>
      <w:bookmarkStart w:id="29" w:name="PO_TDCUS_ITEM_PB_REQ_TITLE_1"/>
      <w:bookmarkEnd w:id="29"/>
      <w:r>
        <w:rPr>
          <w:rFonts w:hint="eastAsia" w:ascii="黑体" w:hAnsi="宋体" w:eastAsia="黑体" w:cs="黑体"/>
          <w:sz w:val="24"/>
          <w:szCs w:val="24"/>
          <w:lang w:eastAsia="zh-CN"/>
        </w:rPr>
        <w:t>标项</w:t>
      </w:r>
      <w:r>
        <w:rPr>
          <w:rFonts w:hint="eastAsia" w:ascii="黑体" w:hAnsi="宋体" w:eastAsia="黑体" w:cs="黑体"/>
          <w:sz w:val="24"/>
          <w:szCs w:val="24"/>
          <w:lang w:val="en-US"/>
        </w:rPr>
        <w:t>1:</w:t>
      </w:r>
      <w:bookmarkStart w:id="30" w:name="PO_TDCUS_ITEM_PB_REQ_PR_1_1"/>
      <w:bookmarkEnd w:id="30"/>
      <w:r>
        <w:rPr>
          <w:rFonts w:hint="eastAsia" w:ascii="黑体" w:hAnsi="宋体" w:eastAsia="黑体" w:cs="黑体"/>
          <w:sz w:val="24"/>
          <w:szCs w:val="24"/>
          <w:lang w:val="en-US"/>
        </w:rPr>
        <w:t xml:space="preserve"> </w:t>
      </w:r>
      <w:r>
        <w:rPr>
          <w:rFonts w:hint="eastAsia" w:ascii="黑体" w:hAnsi="宋体" w:eastAsia="黑体" w:cs="黑体"/>
          <w:sz w:val="24"/>
          <w:szCs w:val="24"/>
          <w:lang w:eastAsia="zh-CN"/>
        </w:rPr>
        <w:t>影音资料数字化修护和内容管理项目</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（一）项目概况</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本项目为</w:t>
      </w:r>
      <w:r>
        <w:rPr>
          <w:rFonts w:hint="eastAsia" w:ascii="Calibri" w:hAnsi="Calibri" w:eastAsia="宋体" w:cs="宋体"/>
          <w:kern w:val="2"/>
          <w:sz w:val="21"/>
          <w:szCs w:val="21"/>
          <w:lang w:val="en-US" w:eastAsia="zh-CN" w:bidi="ar"/>
        </w:rPr>
        <w:t>“中国广播电视艺术资料研究中心”的主要研究平台，其目标是打造具有重要价值的电视艺术与现代科技融合的创新实验室，具有重要影响力的国内主旋律电视艺术研究的重要智库和研创基地。项目的建设能够有效提升学校在历史影音资料数字化、修护等领域的教学科研能力，为人才培养提供更好的实践平台，增强学校在数字媒体领域的社会服务能力，为省部级重点实验室的建设打下基础。项目建设的主要内容包括：影音资料数字化平台、视频智能修复提质平台、声画对位与编辑平台、媒体内容存储与管理平台、视音频质量评测平台。</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建设内容：</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影音资料数字化平台：该平台主要对以磁带为介质的广播电视影音资料进行数字化，并兼顾胶片资料的数字化功能。磁带数字化系统的主要设备包括：磁带录像机（模拟、数字磁带录像机）、视频采集工作站、视频采集卡、在线存储。胶片数字化系统的主要设备包括：</w:t>
      </w:r>
      <w:r>
        <w:rPr>
          <w:rFonts w:hint="default" w:ascii="Calibri" w:hAnsi="Calibri" w:eastAsia="宋体" w:cs="Times New Roman"/>
          <w:kern w:val="2"/>
          <w:sz w:val="21"/>
          <w:szCs w:val="21"/>
          <w:lang w:val="en-US" w:eastAsia="zh-CN" w:bidi="ar"/>
        </w:rPr>
        <w:t>4K</w:t>
      </w:r>
      <w:r>
        <w:rPr>
          <w:rFonts w:hint="eastAsia" w:ascii="宋体" w:hAnsi="宋体" w:eastAsia="宋体" w:cs="宋体"/>
          <w:kern w:val="2"/>
          <w:sz w:val="21"/>
          <w:szCs w:val="21"/>
          <w:lang w:val="en-US" w:eastAsia="zh-CN" w:bidi="ar"/>
        </w:rPr>
        <w:t>胶片扫描仪、扫描仪控制工作站、扫描调色控制台、</w:t>
      </w:r>
      <w:r>
        <w:rPr>
          <w:rFonts w:hint="default" w:ascii="Calibri" w:hAnsi="Calibri" w:eastAsia="宋体" w:cs="Times New Roman"/>
          <w:kern w:val="2"/>
          <w:sz w:val="21"/>
          <w:szCs w:val="21"/>
          <w:lang w:val="en-US" w:eastAsia="zh-CN" w:bidi="ar"/>
        </w:rPr>
        <w:t>4K</w:t>
      </w:r>
      <w:r>
        <w:rPr>
          <w:rFonts w:hint="eastAsia" w:ascii="宋体" w:hAnsi="宋体" w:eastAsia="宋体" w:cs="宋体"/>
          <w:kern w:val="2"/>
          <w:sz w:val="21"/>
          <w:szCs w:val="21"/>
          <w:lang w:val="en-US" w:eastAsia="zh-CN" w:bidi="ar"/>
        </w:rPr>
        <w:t>调色监视器等。</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、视频智能修复提质平台</w:t>
      </w:r>
      <w:r>
        <w:rPr>
          <w:rFonts w:hint="eastAsia" w:ascii="Calibri" w:hAnsi="Calibri" w:eastAsia="宋体" w:cs="宋体"/>
          <w:kern w:val="2"/>
          <w:sz w:val="21"/>
          <w:szCs w:val="21"/>
          <w:lang w:val="en-US" w:eastAsia="zh-CN" w:bidi="ar"/>
        </w:rPr>
        <w:t>：</w:t>
      </w:r>
      <w:r>
        <w:rPr>
          <w:rFonts w:hint="eastAsia" w:ascii="宋体" w:hAnsi="宋体" w:eastAsia="宋体" w:cs="宋体"/>
          <w:kern w:val="2"/>
          <w:sz w:val="21"/>
          <w:szCs w:val="21"/>
          <w:lang w:val="en-US" w:eastAsia="zh-CN" w:bidi="ar"/>
        </w:rPr>
        <w:t>该平台主要对数字化后的视频文件进行修复和质量提升，具体包括：视频图像的修复提质，包括视频文件</w:t>
      </w:r>
      <w:r>
        <w:rPr>
          <w:rFonts w:hint="default" w:ascii="Calibri" w:hAnsi="Calibri" w:eastAsia="宋体" w:cs="Times New Roman"/>
          <w:kern w:val="2"/>
          <w:sz w:val="21"/>
          <w:szCs w:val="21"/>
          <w:lang w:val="en-US" w:eastAsia="zh-CN" w:bidi="ar"/>
        </w:rPr>
        <w:t>AI</w:t>
      </w:r>
      <w:r>
        <w:rPr>
          <w:rFonts w:hint="eastAsia" w:ascii="宋体" w:hAnsi="宋体" w:eastAsia="宋体" w:cs="宋体"/>
          <w:kern w:val="2"/>
          <w:sz w:val="21"/>
          <w:szCs w:val="21"/>
          <w:lang w:val="en-US" w:eastAsia="zh-CN" w:bidi="ar"/>
        </w:rPr>
        <w:t>修复系统（超分增强、智能上色、色彩和细节增强、智能插帧、智能去噪、智能去划痕、智能去抖动、</w:t>
      </w:r>
      <w:r>
        <w:rPr>
          <w:rFonts w:hint="default" w:ascii="Calibri" w:hAnsi="Calibri" w:eastAsia="宋体" w:cs="Times New Roman"/>
          <w:kern w:val="2"/>
          <w:sz w:val="21"/>
          <w:szCs w:val="21"/>
          <w:lang w:val="en-US" w:eastAsia="zh-CN" w:bidi="ar"/>
        </w:rPr>
        <w:t>SDR</w:t>
      </w:r>
      <w:r>
        <w:rPr>
          <w:rFonts w:hint="eastAsia" w:ascii="宋体" w:hAnsi="宋体" w:eastAsia="宋体" w:cs="宋体"/>
          <w:kern w:val="2"/>
          <w:sz w:val="21"/>
          <w:szCs w:val="21"/>
          <w:lang w:val="en-US" w:eastAsia="zh-CN" w:bidi="ar"/>
        </w:rPr>
        <w:t>转</w:t>
      </w:r>
      <w:r>
        <w:rPr>
          <w:rFonts w:hint="default" w:ascii="Calibri" w:hAnsi="Calibri" w:eastAsia="宋体" w:cs="Times New Roman"/>
          <w:kern w:val="2"/>
          <w:sz w:val="21"/>
          <w:szCs w:val="21"/>
          <w:lang w:val="en-US" w:eastAsia="zh-CN" w:bidi="ar"/>
        </w:rPr>
        <w:t>HDR</w:t>
      </w:r>
      <w:r>
        <w:rPr>
          <w:rFonts w:hint="eastAsia" w:ascii="宋体" w:hAnsi="宋体" w:eastAsia="宋体" w:cs="宋体"/>
          <w:kern w:val="2"/>
          <w:sz w:val="21"/>
          <w:szCs w:val="21"/>
          <w:lang w:val="en-US" w:eastAsia="zh-CN" w:bidi="ar"/>
        </w:rPr>
        <w:t>、去雾、智能台标擦除等）。</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声画对位与编辑平台：该平台用于视频素材的多格式转码、视频编辑、修复完成后的视音频及图文封装等工作。主要包括：多格式转码、调色和画幅调整、素材质量分析和校验、音频和视频同步、视频后期制作与合成、图文包装等功能。</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、媒体内容存储与管理平台：本项目通过搭建服务计算池和海量存储池，实现海量历史影音媒体数据的高效管理，主要包括：客户端软件（上传</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下载客户端）和媒资服务器，实现视频上载、编目、加工、检索、预览、分发、存储管理等功能。其中存储管理基于在线、近线和离线的三级存储架构。在线存储采用去中心化完全对称分布式集群，近线和离线采用海量光盘数据存储系统，两套存储系统均支持后期的灵活扩展。</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、视音频质量评测平台：该平台以</w:t>
      </w:r>
      <w:r>
        <w:rPr>
          <w:rFonts w:hint="default" w:ascii="Calibri" w:hAnsi="Calibri" w:eastAsia="宋体" w:cs="Times New Roman"/>
          <w:kern w:val="2"/>
          <w:sz w:val="21"/>
          <w:szCs w:val="21"/>
          <w:lang w:val="en-US" w:eastAsia="zh-CN" w:bidi="ar"/>
        </w:rPr>
        <w:t>4K/8K</w:t>
      </w:r>
      <w:r>
        <w:rPr>
          <w:rFonts w:hint="eastAsia" w:ascii="宋体" w:hAnsi="宋体" w:eastAsia="宋体" w:cs="宋体"/>
          <w:kern w:val="2"/>
          <w:sz w:val="21"/>
          <w:szCs w:val="21"/>
          <w:lang w:val="en-US" w:eastAsia="zh-CN" w:bidi="ar"/>
        </w:rPr>
        <w:t>超高清视频、多声道沉浸式音效等技术标准为依据，建设基于客观检测和主观评价的视音频质量评测系统以及实验平台，提升用户的观看体验，客观、准确地判断视音频内容修复与质量提升效果。平台主要包括：用于主观评价的激光数字电影放映机、全景声音响、解码器、银幕等，以及用于客观评价的音频软硬件套装等。</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（二）总体要求</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历史影音资料智能修护实验室建成之后能够满足与广电总局共建的“中国广播电视艺术资料研究中心”的历史影音资料的数字化、修复、编辑、存储、质量评测等需求。通过深入挖掘和传播中国电视剧“飞天奖”、电视文艺“星光奖”、中国播音主持“金声奖”等奖项的深厚价值和品牌价值，打造具有重要价值的中国电视艺术学术研究基地和艺术科技融合的创新实验室。实验室建设能够同时兼顾科研教学，通过搭建历史影音资料智能修护的研究与应用平台，对提升教师队伍的教学科研能力，提升智能媒体时代下学校的社会服务能力，有效提升学生的创意、创新、创业（三创）能力，拓展学校的社会服务职能，为省内外高校、研究机构、企业、相关政府职能部门提供历史影音资料数字化和修护服务和技术支持。</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、设备和材料所涉及的设计标准规范（如产品标准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规范、工程标准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规范、验收标准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等）必须完全符合所有中华人民共和国的标准及规范。对国家规定有强制性规范或条例或认证要求的设备或材料，投标人提供的设备或材料应符合该类要求；所有设备必须为知名品牌，出厂原包装，需提供中文操作说明；设备清单中未列出的为实现系统功能所需的其他各项设备及附件，均须包含在投标报价中。</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、实验室改造部分的总体要求：</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）本项目需要投标方出具一张实验室改造涉及到的装修装饰主材表，表格内容需含：材料</w:t>
      </w:r>
      <w:r>
        <w:rPr>
          <w:rFonts w:hint="default" w:ascii="Calibri" w:hAnsi="Calibri"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设备 </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名称、规格型号、单位、参考品牌等信息。</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）本项目除选用不燃和阻燃材料外，凡易燃木质材料均须防火处理，所有建筑、装饰、制景材料防火等级必须达到</w:t>
      </w:r>
      <w:r>
        <w:rPr>
          <w:rFonts w:hint="default" w:ascii="Calibri" w:hAnsi="Calibri" w:eastAsia="宋体" w:cs="Times New Roman"/>
          <w:kern w:val="2"/>
          <w:sz w:val="21"/>
          <w:szCs w:val="21"/>
          <w:lang w:val="en-US" w:eastAsia="zh-CN" w:bidi="ar"/>
        </w:rPr>
        <w:t>B1</w:t>
      </w:r>
      <w:r>
        <w:rPr>
          <w:rFonts w:hint="eastAsia" w:ascii="宋体" w:hAnsi="宋体" w:eastAsia="宋体" w:cs="宋体"/>
          <w:kern w:val="2"/>
          <w:sz w:val="21"/>
          <w:szCs w:val="21"/>
          <w:lang w:val="en-US" w:eastAsia="zh-CN" w:bidi="ar"/>
        </w:rPr>
        <w:t>级以上（含</w:t>
      </w:r>
      <w:r>
        <w:rPr>
          <w:rFonts w:hint="default" w:ascii="Calibri" w:hAnsi="Calibri" w:eastAsia="宋体" w:cs="Times New Roman"/>
          <w:kern w:val="2"/>
          <w:sz w:val="21"/>
          <w:szCs w:val="21"/>
          <w:lang w:val="en-US" w:eastAsia="zh-CN" w:bidi="ar"/>
        </w:rPr>
        <w:t>B1</w:t>
      </w:r>
      <w:r>
        <w:rPr>
          <w:rFonts w:hint="eastAsia" w:ascii="宋体" w:hAnsi="宋体" w:eastAsia="宋体" w:cs="宋体"/>
          <w:kern w:val="2"/>
          <w:sz w:val="21"/>
          <w:szCs w:val="21"/>
          <w:lang w:val="en-US" w:eastAsia="zh-CN" w:bidi="ar"/>
        </w:rPr>
        <w:t>级）。</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）优先采用通过国家环保检测的装修材料，所有材料必须要求达到国家相关环保标准。</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）本项目对材料的品牌、规格、型号没有具体规定的，由投标人按招标文件标准或优于标准进行投标报价，并注明所选材料设备的品牌、规格、型号。</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）在免费保修期内，中标人对有缺陷的部位必须无偿地给予修理与更换，并承担一切由此引起的对中标人或第三者的直接损失，除非该缺陷是由于人为破坏或合同规定的不可抗力因素造成的损坏。</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、实验室改造部分的设计标准：</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以下标准在实施过程中，如国家有新规范颁布的，以新规范为准，如下述标准及规范要求有出入则以较严格者为准。</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）参照相关规范及甲方使用要求，设计指标初步定为：</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 xml:space="preserve">）建筑声学设计及测量规范 </w:t>
      </w:r>
      <w:r>
        <w:rPr>
          <w:rFonts w:hint="default" w:ascii="Calibri" w:hAnsi="Calibri" w:eastAsia="宋体" w:cs="Times New Roman"/>
          <w:kern w:val="2"/>
          <w:sz w:val="21"/>
          <w:szCs w:val="21"/>
          <w:lang w:val="en-US" w:eastAsia="zh-CN" w:bidi="ar"/>
        </w:rPr>
        <w:t>JGJ/T131-2000</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 xml:space="preserve">）建筑内部装修设计防火规范 </w:t>
      </w:r>
      <w:r>
        <w:rPr>
          <w:rFonts w:hint="default" w:ascii="Calibri" w:hAnsi="Calibri" w:eastAsia="宋体" w:cs="Times New Roman"/>
          <w:kern w:val="2"/>
          <w:sz w:val="21"/>
          <w:szCs w:val="21"/>
          <w:lang w:val="en-US" w:eastAsia="zh-CN" w:bidi="ar"/>
        </w:rPr>
        <w:t>GB 50222-95</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）声学低噪声工作场所设计指南噪声控制规范</w:t>
      </w:r>
      <w:r>
        <w:rPr>
          <w:rFonts w:hint="default" w:ascii="Calibri" w:hAnsi="Calibri" w:eastAsia="宋体" w:cs="Times New Roman"/>
          <w:kern w:val="2"/>
          <w:sz w:val="21"/>
          <w:szCs w:val="21"/>
          <w:lang w:val="en-US" w:eastAsia="zh-CN" w:bidi="ar"/>
        </w:rPr>
        <w:t>GB/T 17249.1-1998EQVISO11690-1:1996</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 xml:space="preserve">）影视赏析厅设计标准 </w:t>
      </w:r>
      <w:r>
        <w:rPr>
          <w:rFonts w:hint="default" w:ascii="Calibri" w:hAnsi="Calibri" w:eastAsia="宋体" w:cs="Times New Roman"/>
          <w:kern w:val="2"/>
          <w:sz w:val="21"/>
          <w:szCs w:val="21"/>
          <w:lang w:val="en-US" w:eastAsia="zh-CN" w:bidi="ar"/>
        </w:rPr>
        <w:t>GB</w:t>
      </w: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T_50356-2005</w:t>
      </w:r>
      <w:r>
        <w:rPr>
          <w:rFonts w:hint="eastAsia" w:ascii="宋体" w:hAnsi="宋体" w:eastAsia="宋体" w:cs="宋体"/>
          <w:kern w:val="2"/>
          <w:sz w:val="21"/>
          <w:szCs w:val="21"/>
          <w:lang w:val="en-US" w:eastAsia="zh-CN" w:bidi="ar"/>
        </w:rPr>
        <w:t>及</w:t>
      </w:r>
      <w:r>
        <w:rPr>
          <w:rFonts w:hint="default" w:ascii="Calibri" w:hAnsi="Calibri" w:eastAsia="宋体" w:cs="Times New Roman"/>
          <w:kern w:val="2"/>
          <w:sz w:val="21"/>
          <w:szCs w:val="21"/>
          <w:lang w:val="en-US" w:eastAsia="zh-CN" w:bidi="ar"/>
        </w:rPr>
        <w:t>GB 50371-2006</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）声音修复室设计标准</w:t>
      </w:r>
      <w:r>
        <w:rPr>
          <w:rFonts w:hint="default" w:ascii="Calibri" w:hAnsi="Calibri" w:eastAsia="宋体" w:cs="Times New Roman"/>
          <w:kern w:val="2"/>
          <w:sz w:val="21"/>
          <w:szCs w:val="21"/>
          <w:lang w:val="en-US" w:eastAsia="zh-CN" w:bidi="ar"/>
        </w:rPr>
        <w:t>GYJ26-86</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）管线布线标准采用《建筑与建筑群综合布线工程施工及规范》</w:t>
      </w:r>
      <w:r>
        <w:rPr>
          <w:rFonts w:hint="default" w:ascii="Calibri" w:hAnsi="Calibri" w:eastAsia="宋体" w:cs="Times New Roman"/>
          <w:kern w:val="2"/>
          <w:sz w:val="21"/>
          <w:szCs w:val="21"/>
          <w:lang w:val="en-US" w:eastAsia="zh-CN" w:bidi="ar"/>
        </w:rPr>
        <w:t>GB50312-2000</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）声学设计施工技术标准和规范</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）建筑声学指标确定，遵循国家规范性设计标准，根据使用要求，并与业主保持沟通。</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）原有房间隔声设计，包括外部环境噪声控制、内部噪声控制，墙体隔声，门隔声、设备噪声控制等。</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）房间混响时间计算及控制，吸声材料及吸声结构构造做法、布置、数量的确定。</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）设计要求</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符合学校教学使用审美需求，音频指标必须达到国家指定标准。</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）声装具体要求</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）墙面声学层要求厚度：</w:t>
      </w:r>
      <w:r>
        <w:rPr>
          <w:rFonts w:hint="default" w:ascii="Calibri" w:hAnsi="Calibri" w:eastAsia="宋体" w:cs="Times New Roman"/>
          <w:kern w:val="2"/>
          <w:sz w:val="21"/>
          <w:szCs w:val="21"/>
          <w:lang w:val="en-US" w:eastAsia="zh-CN" w:bidi="ar"/>
        </w:rPr>
        <w:t>≥10-15CM</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）防火标准：防火涂料二遍、基本材料耐火</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）环保标准：符合国家相关标准、玻璃棉层</w:t>
      </w:r>
      <w:r>
        <w:rPr>
          <w:rFonts w:hint="default" w:ascii="Calibri" w:hAnsi="Calibri" w:eastAsia="宋体" w:cs="Times New Roman"/>
          <w:kern w:val="2"/>
          <w:sz w:val="21"/>
          <w:szCs w:val="21"/>
          <w:lang w:val="en-US" w:eastAsia="zh-CN" w:bidi="ar"/>
        </w:rPr>
        <w:t>50mm88kg/m3</w:t>
      </w:r>
      <w:r>
        <w:rPr>
          <w:rFonts w:hint="eastAsia" w:ascii="宋体" w:hAnsi="宋体" w:eastAsia="宋体" w:cs="宋体"/>
          <w:kern w:val="2"/>
          <w:sz w:val="21"/>
          <w:szCs w:val="21"/>
          <w:lang w:val="en-US" w:eastAsia="zh-CN" w:bidi="ar"/>
        </w:rPr>
        <w:t>及岩棉</w:t>
      </w:r>
      <w:r>
        <w:rPr>
          <w:rFonts w:hint="default" w:ascii="Calibri" w:hAnsi="Calibri" w:eastAsia="宋体" w:cs="Times New Roman"/>
          <w:kern w:val="2"/>
          <w:sz w:val="21"/>
          <w:szCs w:val="21"/>
          <w:lang w:val="en-US" w:eastAsia="zh-CN" w:bidi="ar"/>
        </w:rPr>
        <w:t>20kg/m335kg/m3-48kg/m3</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）光线折射：（光线非镜面折射）</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）吸音层达到规定防噪指标，按钢网复式层处理</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e</w:t>
      </w:r>
      <w:r>
        <w:rPr>
          <w:rFonts w:hint="eastAsia" w:ascii="宋体" w:hAnsi="宋体" w:eastAsia="宋体" w:cs="宋体"/>
          <w:kern w:val="2"/>
          <w:sz w:val="21"/>
          <w:szCs w:val="21"/>
          <w:lang w:val="en-US" w:eastAsia="zh-CN" w:bidi="ar"/>
        </w:rPr>
        <w:t>）共振防尘</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）要求的空间首先具有较好的语言清晰度、可懂度，其次是要有良好的声音丰满度。</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）要求内各处要有合适的响度和均匀度，具有相应的满足拾音要求的混响频率特性。</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）抑制影响听、拾音音质的声缺陷，防止出现声聚焦、驻波、颤动回声、低频嗡声等。</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）墙面的声学装饰考虑在装饰大方美观、造型新颖的基础上对于高中低各频段的声学处理方式，特别是低频段的声学处理方式方法。</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）声学建声装饰所选用的材料符合国家相应的强制消防要求，要求采用达到</w:t>
      </w:r>
      <w:r>
        <w:rPr>
          <w:rFonts w:hint="default" w:ascii="Calibri" w:hAnsi="Calibri" w:eastAsia="宋体" w:cs="Times New Roman"/>
          <w:kern w:val="2"/>
          <w:sz w:val="21"/>
          <w:szCs w:val="21"/>
          <w:lang w:val="en-US" w:eastAsia="zh-CN" w:bidi="ar"/>
        </w:rPr>
        <w:t>B1.B2</w:t>
      </w:r>
      <w:r>
        <w:rPr>
          <w:rFonts w:hint="eastAsia" w:ascii="宋体" w:hAnsi="宋体" w:eastAsia="宋体" w:cs="宋体"/>
          <w:kern w:val="2"/>
          <w:sz w:val="21"/>
          <w:szCs w:val="21"/>
          <w:lang w:val="en-US" w:eastAsia="zh-CN" w:bidi="ar"/>
        </w:rPr>
        <w:t>级标准的材料。</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、本项目标注（允许进口）的产品允许采购进口设备。国家政策允许免税的进口设备的价格采用免税的人民币报价，但对于不能免税的部分应报含税价，并在投标文件中予以明示，交易方式为</w:t>
      </w:r>
      <w:r>
        <w:rPr>
          <w:rFonts w:hint="default" w:ascii="Calibri" w:hAnsi="Calibri" w:eastAsia="宋体" w:cs="Times New Roman"/>
          <w:kern w:val="2"/>
          <w:sz w:val="21"/>
          <w:szCs w:val="21"/>
          <w:lang w:val="en-US" w:eastAsia="zh-CN" w:bidi="ar"/>
        </w:rPr>
        <w:t>CIP</w:t>
      </w:r>
      <w:r>
        <w:rPr>
          <w:rFonts w:hint="eastAsia" w:ascii="宋体" w:hAnsi="宋体" w:eastAsia="宋体" w:cs="宋体"/>
          <w:kern w:val="2"/>
          <w:sz w:val="21"/>
          <w:szCs w:val="21"/>
          <w:lang w:val="en-US" w:eastAsia="zh-CN" w:bidi="ar"/>
        </w:rPr>
        <w:t>浙江传媒学院。不能享受国家的减免税政策或者加征关税的，其税金均由中标供应商承担。由中标供应商委托相关外贸公司办理免税事宜，采购人予以协助，所需费用由中标供应商承担。</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供应商须自行踏勘现场，充分了解现场现状及条件。因本项目的特殊性，供应商应先到实验室踏勘以充分了解网络环境、设备情况、及任何其它足以影响后续实施的情况，任何因忽视或误解而导致的行政处罚、索赔或工期延长申请将不获批准。请根据项目踏勘的实际情况进行综合考虑报价，且应是在要求工期内完成采购范围全部项目内容的所有费用，包括完成本项目的安装调试费、人工费、利润、税金、风险费等，总价后期不做调整。</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（三）设备清单及详细参数</w:t>
      </w:r>
    </w:p>
    <w:p>
      <w:pPr>
        <w:keepNext w:val="0"/>
        <w:keepLines w:val="0"/>
        <w:widowControl w:val="0"/>
        <w:suppressLineNumbers w:val="0"/>
        <w:spacing w:before="0" w:beforeAutospacing="0" w:after="0" w:afterAutospacing="0" w:line="360" w:lineRule="auto"/>
        <w:ind w:left="0" w:right="0"/>
        <w:jc w:val="both"/>
        <w:rPr>
          <w:b/>
          <w:lang w:val="en-US"/>
        </w:rPr>
      </w:pPr>
      <w:r>
        <w:rPr>
          <w:rFonts w:hint="eastAsia" w:ascii="宋体" w:hAnsi="宋体" w:eastAsia="宋体" w:cs="宋体"/>
          <w:b/>
          <w:kern w:val="2"/>
          <w:sz w:val="21"/>
          <w:szCs w:val="21"/>
          <w:lang w:val="en-US" w:eastAsia="zh-CN" w:bidi="ar"/>
        </w:rPr>
        <w:t>技术参数中带★的条款需提供相关证明材料。</w:t>
      </w:r>
    </w:p>
    <w:tbl>
      <w:tblPr>
        <w:tblStyle w:val="6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276"/>
        <w:gridCol w:w="5245"/>
        <w:gridCol w:w="709"/>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设备名称</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技术参数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数量</w:t>
            </w:r>
          </w:p>
        </w:tc>
        <w:tc>
          <w:tcPr>
            <w:tcW w:w="6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1、影音资料数字化平台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非编采集工作站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1）处理器：不少于20 核中央处理器、48 核图形处理器和 32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2）内存：≥64GB 2666MHz DDR4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3）硬盘：≥8TB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4）接口须支持：不少于6个雷雳 4 端口、1个10Gb 以太网端口、2 个USB-A 端口、1个 3.5 毫米耳机插孔、1个 HDMI 端口、1个 SDXC 卡插槽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5）其他：原装鼠标 + 原装键盘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6）配置专业视频剪辑软件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超高清信号监看设备1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视频采集卡 (允许进口)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支持PCI Express和Thunderbolt采集和输出，具备40Gb/s Thunderbolt 3技术，配置12G</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SDI和HDMI 2.0接口，支持每秒60帧的影像处理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1）SDI视频输入输出分别支持2 x 12Gb/s和2 x 6Gb/s SD/HD/2K/4K，支持单链路/双链路/四链路4:2:2/4:4:4，可切换2D、3D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2）SDI速率支持270Mb、1.5G、3G、6G、12G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 模拟视频输入输出分别支持1路YUV分量通过3个BNC接口，1路复合NTSC/PAL通过1个BNC接口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4）模拟音频输入输出支持XLR接口的4通道专业平衡模拟音频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5）支持通过BNC接口输入输出2通道非平衡AES/EBU音频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6）支持嵌入音频，通过SDI输入输出16通道音频，通过HDMI输入输出8通道音频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7）可通过HDMI2.0 A类接口输入输出最高分辨率为2160p60的视频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8）支持时间码输入输出，支持同步信号输入和环出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9）支持Thunderbolt 3和 PCI Express 4速连接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10）2个内置国际通用AC电源，带IEC C14插座。100-240V，50-60Hz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11）支持AVC-Intra、AVCHD、DV-NTSC、DV-PAL、DVCPRO50、DVCPROHD、DPX、HDV、HEVC、XDCAM EX、XDCAM HD、XDCAM HD422、DNxHR &amp; DNxHD、Apple ProRes、无压缩8bit 4:2:2、无压缩10bit 4:2:2、无压缩10bit 4:4:4等格式的编解码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12）支持标清、高清/超高清、2K/4K格式的视频，4K最高支持2160P60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13）须包含Studio版专业制作软件，软件功能满足剪辑、调色、视觉特效、动态图形和音频后期制作一站式解决方案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（a）软件支持MacOS/Linux/Windwos系统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（b）支持标清、高清格式的采集，并存储为无压缩RGB4:4:4，10bit位深的DPX文件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（c）支持音频的采集及编辑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（d）软件支持标清、高清、2K、4K及至8K素材的剪辑、调色及输出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（e）支持多种转场特效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4K视频信号监看设备 </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1）屏幕尺寸不小于85英寸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2）屏幕分辨率支持3840×2160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3）屏幕刷新频率为60HZ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4）配置2个HDMI2.0接口,2个USB2.0接口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5）存储空间不低于32GB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6）需配置伸缩支架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4K扫描仪 (允许进口)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支持把正片、负片电影胶片扫描为数字文件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1）支持的彩色和黑白胶片，胶片类型需支持正片、负片、翻正片、翻底片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2）支持胶片标准规格：35mm（2、3、4齿孔），Super 35mm（2、3、4齿孔），16mm、Super 16mm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3）原生分辨率4096 x 3072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有效分辨率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3840 x 2880 - Super 35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3390 x 2864 - Standard 35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3390 x 2465 - Anamorphic 35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1903 x 1143 - Super 16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1581 x 1154 - Standard 16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4）HDMI格式须支持3840 x 2160 Ultra HD和1920 x 1080 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5）正常扫描动态范围支持12挡，HDR扫描增加高达2挡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6）音频采集方式为从扫描图像提取</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7）安装方案支持台式安装和壁挂式安装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8）扫描速度支持1-30fps,快速运行35mm支持1- 100fps,16mm支持1- 200fps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 设备需支持HDMI视频输出接口、Thunderbolt3接口和PCI Express 4速第二代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10）支持模拟音频和AES/EBU音频输入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11）支持光学音频SMPTE、磁性音频IEC</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12）支持的音频采样率及位深须满足48kHz 24bit PCM WAV文件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13）须含有如下原装配件: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（a）胶片扫描仪采集器：胶片光学音频采集和片边码信息采集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（b）16mm保护板、2个内垫块、2个外垫块以及3英寸胶片芯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（c）35mm替换保护板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（d）4个粘性替换清洁滚轮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（e）包含扫描控制软件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扫描工作站 (允许进口)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1）CPU：采用不少于2颗英特尔Xeon可扩展处理器，每颗处理器内核数不少于12核心，不低于24线程，处理器基本频率不低于3GHz，支持最大睿频3.6GHz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2）内存：≥128GB DDR4 2933 ECC内存（4*32GB）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3）显卡：≥RTX 3080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4）网络：须配备10Gb以太网电口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5）硬盘：≥512GB M.2 NVMe 固态硬盘，配置WIN 10 64bit专业版操作系统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6）数据存储：配置≥8块企业级SATA固态硬盘，提供冗余备份机制，总计物理容量不小于15.36TB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7）阵列卡：2GB缓存的阵列卡，RAID 0、1、5、6、10、50，内置接口2 Mini-SAS HD x4 SFF-8643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8）电源：功率不低于1200W（ 1+1）冗余供电模块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9）专业版键鼠：键鼠套装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10）系统：Windwos 10 64位专业版操作系统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11）配备显示适配线（DP转雷电）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 第三代PCIe插卡和连接线缆，支持连接数字化工作站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超高清信号监看设备2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调色台 (允许进口)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1）支持Windows、MacOS、Linux系统；配备3个高精度高灵敏度的轨迹球；配备12个控制主要工具的旋钮；配备18个导航及播放控制键；配备USB C接口；电源功耗不高于2W，通过USB</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C连接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4K调色信号监看设备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满足胶片采集素材4K一级调色需求，支持SD、HD、2K、UHD、4K信号最监看需求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1）支持3840x2160 UHD分辨率，10bit 10亿色，IPS硬屏，H/V 178/178 可视角度，1000nit高亮LED背光，1000:1对比度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2）内部色彩处理精度高达18bit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3）12GSDI四进四出，支持4K单链路、4K四链路、8K四链路监看；支持HDMI2.0输入、选配SFP光模块实现光纤传12GSDI输入并转12GSDI输出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4）支持四路独立的12G/6G/3G/HD-SDI或支持HDMI 1.3/1.4/2.0输入混合四画分监看，每路信号独立显示波形图/矢量图/音柱等。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5）多色域EOTF同时监看，支持一个输入信号复制四份，在四个窗口分别显示四种EOTF曲线，用于SDR/HDR同时制作监看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6）支持对视频信号色域分析并显示BT.709和BT.2020色域图表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7）内置眼图显示功能，直接监看当前视频信号传输的图像质量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8）监视器内置3DLUT校色软件，支持爱色丽X-rite i1及JETI Specobos 1211色彩探头直接USB接入监视器，15分钟自动完成专业的3DLUT校色，校色结果Delta E＜1.0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9）支持Gamma 1.0/1.8/2.2/2.4/2.6及HLG/PQ/Slog3 HDR选择；支持BT.709、DCI-P3、BT.2020色域选择。支持读取Payload ID自动设置量化范围、色彩空间、动态范围、色域、色深</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单面实验工作桌1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 含4个工位，4把椅子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2）每个工位尺寸1200mmx700mmx750mm（根据实际情况，尺寸可调整）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单面实验工作桌2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 含1个工位，1把椅子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2）桌子尺寸4400mmx1000mmx750mm（根据实际情况，尺寸可调整）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2、视频智能修复提质平台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超分视频修复转码器（核心产品）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采用AI的方法对整个视频总体修复和增强工作，修复功能包括去划痕、抗锯齿、去块、去模糊、边沿锐化、局部提亮、场转帧倍频、LOGO无痕擦除、字幕无痕擦除、去色彩条纹色块、可提供接口被第三方应用调用等功能；增强功能包括，包括AI超分处理（支持标清转高清/4K、高清转4K/8K），AI插帧处理（支持24P转25P、25P转30P、 25P转50P、30P转25P、25P转120P等多种插帧处理）、AI的HDR上变换（支持 SDR转多种HDR（HLG、PQ及动态HDR）、HDR转HDR 技术处理）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1）需提供去雾、去隔行、去块、清晰度提升、文字清晰度增强、时域降噪、类HDR处理、尺寸调整、锐化、台标监测判断和台标擦除的整体翻新流程说明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2）★需提供80或90年代的剧集类连续剧和动画片提供整体翻新效果对比图以及说明；（须提供效果图作为佐证材料，效果图需与原视频一致，翻新后的效果与原视频效果对比中标后备查）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3）提供去雾算法针对户外场景进行去雾化处理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4）提供视频处理算法提供去块、降噪和适度锐化的模型库</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5）提供去块、去噪算法，针对有块效应的区域进行区域去块效应，去块效应后的视频区域与非块效应区域的颜色、亮度、对比度等等无差异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6）提供时域降噪和文字清晰度提升算法，基于分析前后帧，可以进行运动估计和运动补偿，内置场景监测以及平滑滤波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7）支持基于制作域的SDR转HDR（HLG、PQ）曲线转换、色域转换（BT.709转BT.2020）算法，并提供多项制作域相关的图像调整参数，以及不同场景下的预设参数模版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8）★需支持如下核心功能：（同时满足以下所有功能视为符合要求，并提供相关材料证明）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（a）支持锐化功能，可通过该功能使视频中的画面边缘更加锐利，使边缘清晰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（b）支持智能去块功能，可去除视频由于过度压缩产品的块小杨和锯齿效应</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（c）支持动态去噪功能，可去除视频中的噪点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（d）支持智能去雾功能，可通过该功能使画面更加通透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（e）支持去划痕功能，可将黑白电影中的划痕、脏点等进行消除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（f）支持智能色偏纠正功能，可对老电影、老电视剧等存在色调偏黄等问题视频画面进行自动色偏调整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（g）支持视频画面整体调整功能，调整参数包括：亮度、饱和度、对比度、色调等参数调整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（h）支持智能台标遮挡以及台标替换功能，可通过智能识别算法对国内主流电视台标进行识别，支持对台标进行遮挡或台标替换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9）提供3年以上免费更新升级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AI视频修复工作站1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1）处理器：不少于10 核中央处理器、24核图形处理器和 16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2）内存：≥32GB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3）硬盘：≥512GB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4）接口须支持：不少于6个雷雳 4 端口、1个10Gb 以太网端口、2 个USB-A 端口、1个 3.5 毫米耳机插孔、1个 HDMI 端口、1个 SDXC 卡插槽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5）其他：原装鼠标 + 原装键盘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超分视频修复超高清信号监看设备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2）须配备可调倾斜度及高度的支架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高度调节：总调节高度为 105 毫米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4K视频信号监看设备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1）屏幕尺寸不小于98英寸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2）屏幕分辨率支持3840×2160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3）屏幕刷新频率为120HZ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4）配置3个HDMI2.0接口,1个USB3.0接口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5）存储空间不低于64GB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6）含底座尺寸：约2189.6 mm x 1292.4 mm x 451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7）支持USB流媒体播放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8）需配置伸缩支架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AI上色硬件服务器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1）CPU：采用不少于2颗英特尔Xeon可扩展处理器，每颗处理器内核数不少于32核心，不低于64线程，处理器基本频率不低于2.6GHz，支持最大睿频3.1GHz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2）存储:   ≥ SATA-HDD 4T 7.2K NL*2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3）Flash: ≥ NVMe-SSD 4T*1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3）内存：≥DDR4-2933 32G RDIMM*12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4）显卡：≥ Nvidia A10*4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5）网络：≥ 25G 光口双口CX5*2+ 千兆双口*1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服务器原厂硬件三年质保，5*9下一个工作日上门服务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AI上色管理后台系统软件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负责对视频文件的AI上色平台的管理工作；上色系统应包含画质提升/增强/超分/老片修复/上色等核心功能模块，包含上色基础转码基础转码BD264、BD265、AVS2  4K/8K转码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1）系统：含有标准AI上色管理后台系统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2）模块：上色管理后台系统应包含队列管理/模版管理/水印管理/转码任务管理/存储文件管理管理模块，核心要求如下：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基于人工智能的算法，支持至少10个AI算子的画质修复与提升处理，包括：去划痕、去噪点，智能上色、细节增强、色彩增强（饱和度、对比度、亮度、综合智能等）、超分辨率、智能插帧、智能HDR、智能去抖等，通过可视化控制台配置，包括：开启/关闭/阈值设定等（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超分支持：支持基于AI的视频超分至真4K，包括：分辨率2倍/3倍上采样、帧率2倍/3倍上采样。其中超分辨率模型，应提供不同类型的模型选项，满足不同处理速度、不同画质效果的使用场景要求（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（c）★HDR支持HDR10、HDR10+、HLG、VIVID等不同HDR格式的输入输出处理。同时支持通过AI模型智能SDRtoHDR，支持10bit，宽色域BT.2020（需提供相关材料证明）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（d）★我国第二代数字音频编码标准，WANOS全景声编码技术为核心，考虑到国产自主可控的趋势，应考虑基于全景声wanos的编转码和解码渲染，提供沉浸感的音频体验（需提供相关材料证明）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（e）★需支持基于内容自适应智能编码，可根据视频内容的复杂度，动态生成编码参数，达到同等质量下，码率压缩20%-40%（需提供相关材料证明）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3）模型：AI算法模型、包含智能去噪/智能去划痕/智能去抖动/智能上色等模型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4）接口：含与视频修复平台软件的接口及预留接口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  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（a）质量保证期：质保期从系统验收合格之日算起，对系统应用的软件、硬件设备及配件提供3年的保修服务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（b）软件升级服务：软件提供永久使用权，质保期内，免费提供模型及软件升级服务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（c）运维保障服务：质保期内，提供产品原厂商7×24小时的技术服务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（d）培训服务：培训内容包括相关软件的使用、调试和维护诊断及硬件的管理，以保障招标人具备独立进行管理、维护测试和故障处理等工作能力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（e）支持Demo效果制作：支持每年5次按照特定要求制作Demo效果，每DEMO3-8分钟时长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AI</w:t>
            </w:r>
            <w:r>
              <w:rPr>
                <w:rFonts w:hint="eastAsia" w:ascii="Calibri" w:hAnsi="Calibri" w:eastAsia="宋体" w:cs="宋体"/>
                <w:kern w:val="0"/>
                <w:sz w:val="18"/>
                <w:szCs w:val="18"/>
                <w:lang w:val="en-US" w:eastAsia="zh-CN" w:bidi="ar"/>
              </w:rPr>
              <w:t>视频修复</w:t>
            </w:r>
            <w:r>
              <w:rPr>
                <w:rFonts w:hint="eastAsia" w:ascii="宋体" w:hAnsi="宋体" w:eastAsia="宋体" w:cs="宋体"/>
                <w:kern w:val="0"/>
                <w:sz w:val="18"/>
                <w:szCs w:val="18"/>
                <w:lang w:val="en-US" w:eastAsia="zh-CN" w:bidi="ar"/>
              </w:rPr>
              <w:t>工作站2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1）处理器：不少于10 核中央处理器、24核图形处理器和 16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2）内存：≥32GB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3）硬盘：≥512GB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4）接口须支持：不少于6个雷雳 4 端口、1个10Gb 以太网端口、2 个USB-A 端口、1个 3.5 毫米耳机插孔、1个 HDMI 端口、1个 SDXC 卡插槽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5）其他：原装鼠标 + 原装键盘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超高清信号监看设备3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单面实验工作桌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1）含1一个工位，1把椅子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2）工位尺寸1800mmx1100mmx750mm（根据实际情况，尺寸可调整）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双面实验工作桌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1）含2个工位，2把椅子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2）每个工位尺寸900mmx1200mmx750mm（根据实际情况，尺寸可调整）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3、声画对位与编辑平台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数字流程管理系统(允许进口)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用于素材对应不同用途的转码工作及修复完成后的封装工作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1）支持各种主流媒体格式的渲染输出，如MP4、MOV、MXF、DPX等格式，支持SD，HD等分辨率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2）具有基于常用的多种渲染格式的预设并支持对渲染参数的自行调整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具有基本的调色能力和对画面画幅进行调整的能力，能通过示波器监看画面的色彩信息，可以实现LUT的导入导出，能够通过时间码进行自动声画同步，可以查看素材的各项参数并监控渲染和回放过程中的各项参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4）需要具备MD5和xxHash校验功能，含有坏像素检测功能及镜头探测功能，可以自动分析素材并对坏像素进行处理,支持一对多格式的渲染，在标准工作环境下做到超实时的渲染速度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5）具有同步音频和视频功能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6）具有转换媒体编辑代码功能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7）具有后期制作和归档功能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数字流程管理工作站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1）CPU：采用不少于2颗英特尔Xeon可扩展处理器，每颗处理器内核数不少于8核心，不低于16线程，处理器基本频率不低于3.3GHz，支持最大睿频4.0GHz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2）内存：≥128G DDR4 2666 ECC内存，最大支持3TB ECC及以上，24个DIMM 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3）硬盘：≥512G固态硬盘+1T机械硬盘；4个3.5寸硬盘架、2个5.25盘位；1 个专用 9.5 毫米超薄光驱托架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4）显卡：≥GeForce RTX 3090显卡*2（核心频率 1400/1700MHz；显存容量 24GB；最大分辨率7680×4320；接口类型 PCI Express）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5）专业版键鼠：键鼠套装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6）配备显示适配线（DP转雷电）</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超高清信号监看设备4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Calibri" w:hAnsi="Calibri" w:eastAsia="宋体" w:cs="宋体"/>
                <w:kern w:val="0"/>
                <w:sz w:val="18"/>
                <w:szCs w:val="18"/>
                <w:lang w:val="en-US" w:eastAsia="zh-CN" w:bidi="ar"/>
              </w:rPr>
              <w:t>视频编辑与管理</w:t>
            </w:r>
            <w:r>
              <w:rPr>
                <w:rFonts w:hint="eastAsia" w:ascii="宋体" w:hAnsi="宋体" w:eastAsia="宋体" w:cs="宋体"/>
                <w:kern w:val="0"/>
                <w:sz w:val="18"/>
                <w:szCs w:val="18"/>
                <w:lang w:val="en-US" w:eastAsia="zh-CN" w:bidi="ar"/>
              </w:rPr>
              <w:t>工作站1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1）处理器：不少于20 核中央处理器、48 核图形处理器和 32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2）内存：≥64GB 2666MHz DDR4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4）接口须支持：不少于6个雷雳 4 端口、1个10Gb 以太网端口、2 个USB-A 端口、1个 3.5 毫米耳机插孔、1个 HDMI 端口、1个 SDXC 卡插槽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5）其他：原装鼠标+原装键盘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非编超高清信号监看设备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英寸，纳米纹理玻璃面板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4、媒体内容存储与管理平台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媒资管理系统软件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提供素材的采集上传、检索、管理工作，支持媒资流程定制；媒资注入、媒资存储、媒资编目、媒资备份、转码、审核、检索等等。所有媒资内容必须通过审核后进入媒资管理平台，然后根据需要提供给下游分发系统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性能要求：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支持素材10万条且日更新30小时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1）支持以数字的形式展现当日新增素材数量以及累计素材数据统计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2）支持存储概况统计，并以图形的方式显示当前存储设备的使用情况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3）系统的支持多种客户端的审核，Web端、Win审核端、Ios审核端、Android移动端、Ios移动端、方便用户按需进行使用，以满足用户不同的应用场景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4）系统支持流程引擎的灵活配置，多种业务流程同时运行，方便用户按需进行使用，以满足用户不同的应用场景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素材管理，主要包括支持对视频、音频、文档、包装、图片素材的管理，同时针对图片素材支持序列图以zip包形式上传，并自动解压；支持对上传文件的管理、查看预览、下载、删除等功能（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6）★支持多方式内容注入统一管理能力，具备客户端上载、目录扫描、网页上载、接口注入能力（提供相关材料证明）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7）支持C/S架构的上传下载客户端，上传下载客户端可任意安装在主流的Windows PC、ios PC机上，只需输入服务器IP地址和用户密码即可登录到远程服务器并接入系统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8）支持上传任务管理能力，支持直观查看上传进度，并可对上传任务进行暂停、启动、取消等控制管理功能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9）支持监控指定文件夹指定文件格式进行自动扫描上传的功能，并可进行此目录下的子目录的监控扫描上传，便于大量文件快速上传</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10）支持指定素材归档、定期自动归档。归档则为将素材从热存储拿到冷存储中，存档备用。用随着媒资的内容越来越多，对存储的压力越来越来，可将入库时间较长或不常用的素材进行归档备用，减缓存储压力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11）支持对所有转码任务、任务类型（代理\整备）、转码状态等详细信息的监控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12）★在流程引擎管理中支持可视化配置素材和节目多个不同的业务处理流程（提供相关材料证明）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13）系统支持内置默认常用业务流，通过可快速复制已有业务流程，快速创建个人所需业务流程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14）支持基于标签统计带有此标签的节目数量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15）实时了解媒资的存储状况，对存储进行调度管控，提供对存储内容实体文件的设备及访问路径的管理。并以图形的方式显示当前存储设备的使用情况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16）★支持高效检索功能，主要包括支持利用节目所有编目字段快速检索到所需节目；支持检索结果内容的文字、图片、音频、视频等资源的播放或浏览（提供相关材料证明）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17）支持节目管理，主要包括支持节目中添加多个成片素材，并可对成片素材进行编目信息的添加；支持节目的自定义添加标签，后续可通过标签进行快速查找及提供给下游平台进行精细化运营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支持多存储管理，支持对媒资系统多个存储设备进行统一管理；实时了解媒资的存储状况，对存储进行调度管控，提供对存储内容实体文件的设备及访问路径的管理。并以图形的方式显示当前存储设备的使用情况（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19）支持分权限管理功能，可以创建、删除用户、分配不同的权限给用户和修改密码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20）支持跟主流非编软件如Final Cut Pro、Premiere的集成</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媒资预览管理软件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1）支持视频及图片等内容的预览功能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2）支持视频及图片等内容的播放功能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3）支持视频及图片等内容的动态水印控制功能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4）支持用户预览权限管理功能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5）支持对预览请求管理功能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6）支持对视频预览请求的响应、预览并发承载等功能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媒资数据库管理软件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1）含有数据库模块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2）含有数据库引擎模块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3）支持数据库检索调度功能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4）支持媒资素材及节目内容的数据及元数据库存储功能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5）支持媒资素材及节目内容的数据及元数据库归类功能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6）支持媒资素材及节目内容的数据及元数据库检索功能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7）支持媒资素材及节目内容的数据及元数据库修改功能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8）支持媒资素材及节目内容的数据及元数据库管理功能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9）支持媒资素材及节目内容的数据及元数据库同步功能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媒资上载管理软件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1）支持文件上载管理功能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2）具备上载客户端管理功能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3）具备上载任务及进度管理功能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4）具备上载权限管理功能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5）支持分发及下载配置管理功能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6）支持下载客户端管理功能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7）支持分发及下载任务管理功能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8）支持分发及下载权限管理功能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9）支持分发及下载进度监控等功能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媒资归档搬迁管理软件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1）支持负责将节目/素材从近线存储到离线存储的归档功能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2）支持从离线存储将节目/素材回迁到近线存储的双向文件搬迁功能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3）支持从离线存储将节目/素材回迁到近线存储的接口及APK调用等功能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4）支持搬迁内容的存储操作功能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5）支持搬迁内容的归档等文件搬迁进度等功能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6）支持搬迁内容的回迁等文件搬迁进度等功能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媒资客户端软件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负责对媒资相关素材的客户端上传和下载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1）具有素材上传、节目下载等功能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2）具有上传文件选择及过滤等功能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3）具有上传任务查看及管理、下载任务查看及管理等功能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媒资服务器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1）规格：1RU机架式服务器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2）CPU：采用不少于2颗英特尔Silver处理器，每颗处理器内核数不少于12核心，不低于24线程，处理器基本频率不低于2.2GHz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3）内存：≥96G内存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4）电源：双电源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5）网络：10Gb以太网光口 * 2（含2个10G光模块）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6）硬盘：≥240G SSD硬盘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Calibri" w:hAnsi="Calibri" w:eastAsia="宋体" w:cs="宋体"/>
                <w:kern w:val="0"/>
                <w:sz w:val="18"/>
                <w:szCs w:val="18"/>
                <w:lang w:val="en-US" w:eastAsia="zh-CN" w:bidi="ar"/>
              </w:rPr>
              <w:t>视频编辑与管理</w:t>
            </w:r>
            <w:r>
              <w:rPr>
                <w:rFonts w:hint="eastAsia" w:ascii="宋体" w:hAnsi="宋体" w:eastAsia="宋体" w:cs="宋体"/>
                <w:kern w:val="0"/>
                <w:sz w:val="18"/>
                <w:szCs w:val="18"/>
                <w:lang w:val="en-US" w:eastAsia="zh-CN" w:bidi="ar"/>
              </w:rPr>
              <w:t>工作站2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1）处理器：不少于20 核中央处理器、48 核图形处理器和 32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2）内存：≥64GB 2666MHz DDR4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4）接口须支持：不少于6个雷雳 4 端口、1个10Gb 以太网端口、2 个USB-A 端口、1个 3.5 毫米耳机插孔、1个 HDMI 端口、1个 SDXC 卡插槽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5）其他：原装鼠标 + 原装键盘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超高清信号监看设备5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媒资移动工作站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1）处理器：不少于10 核中央处理器，32 核图形处理器，16 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2）显示屏：16 英寸 Liquid 视网膜 XDR 显示屏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3）内存：≥32GB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5）其他：原装鼠标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双面实验工作桌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 含4个工位，4把椅子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2）每个工位尺寸700mmx1400mmx750mm（根据实际情况，尺寸可调整）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存储系统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分布式存储整体要求采用X86架构、去中心化完全对称分布式集群，投标产品应具备完全自主的知识产权、归属权，为避免盗版产品、山寨产品、不成熟的产品影响整个系统稳定性、安全性（投标人应根据技术要求须提供相关产品软件著作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2）分布式对象存储系统需配置不低于4个存储节点，每个节点配置：CPU主频≥2.2GHz，核心数量≥10核；提供高速缓存≥128GB；系统盘≥2×240GB SSD硬盘；元数据盘≥1×240GB SSD硬盘，网络接口不低于2个万兆接口+2千兆接口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3）★分布式存储系统单个节点不低于36个12TB 3.5英寸企业级SATA数据盘，单个节点支持稳定视频读写带宽不低于1GB/s（须提供相关材料证明）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4）★为保证本项目存储产品性能，所投存储系列产品需经过SPEC（标准性能评估组织）评估检测，并在SPEC官方网站www.spec.org可查询到测试结果（须提供相关材料证明）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5）★可以实现NAS集群功能，允许多台存储设备组成主备、双机、或者集群部署（须提供相关材料证明并承诺在签订合同后提供加盖产品原厂公章的原件）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6）分布式存储系统，可同时提供CIFS、NFS、FTP、AFP、WebDAV等访问协议，支持对接hadoop HDFS对接,兼容S3和Swift，支持无缝升级超融合虚拟化平台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7）根据核心关键业务数据安全备份的需要，分布式存储应具有数据迁移和数据灾难恢复功能，在不影响核心业务的情况下集群存储内部数据应可实现数据灾难恢复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8）★分布式集群存储需支持国产化硬件（须提供信创产品适配证明文件扫描件证明）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9）根据台内不同业务开展的需要，分布式存储系统能够同时提供文件系统、对象、块存储服务，能够创建多个硬盘组与存储池，用于不同场景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10）分布式集群存储可提供分布式iSCSI服务，iSCSI服务节点可以是集群中的任意一个或多个节点，可在线扩容或缩容iSCSI服务节点，查看服务节点详细信息、提供基于CHAP的安全性检测功能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11）分布式存储系统支持副本模式和网络纠删码模式，副本数可自定义设置。网络纠删码支持N+M模式，M支持1~6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12）分布式存储系提供CS存储客户端软件，可以支持PC以及MAC桌面客户端使用，通过客户端可自动挂载快速访问存储设备，具备素材收集下载及权限管理功能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13）内置数据同步软件功能，存储系统应可基于策略与本地客户端、远程服务器进行数据复制和迁移（策略应包括但不限于全局、目录、文件类型、大小、时间、增量方式等）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14）分布式集群存储需具备数据防篡改功能，可设置用户可读写修改不可以删除权限，内置有WORM防数据篡改保护工具软件，可开启设置数据防篡改生效时间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15）分布式集群存储应内置支持智能语音报警系统和相关硬件装置，可定期自动化巡检存储设备的健康状况，当出现硬盘下线、网络中断等故障时，可触发内置的语音报警装置，进行报警提高日常运维的效率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16）分布式存储需支持对象存储服务，内置非关系型数据库，可实现标签编目索引功能，通过内置搜索引擎方式进行内容检索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17）分布式对象存储服务提供对象文件管理功能，支持mp4、mov、MP3、Wave、Gif、JPG、BMP等媒体格式在线预览播放；基于NLP智能语义分析支持Word、PPT、Excel、pdf等文本格全文检索</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万兆光口交换机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1）交换容量：≥4Tbps/36Tbps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2）包转发率：≥1600Mpps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3）端口：24个万兆SFP+端口，6个QSFP端口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4）电源：2个电源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5）风扇：3个风扇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6）需提供24个万兆SFP+多模模块，提供2个40G QSFP+单模模块，提供QSFP堆叠线缆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7）服务要求：提供不低于原厂3年7*24免费质保</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万兆电口交换机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1）交换容量：≥2.56Tbps/23.04Tbps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2）包转发率：≥480Mpps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3）端口：24个100M/1G/2.5G/5G/10G Base-T(UPOE)端口，1个Slot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4）电源：2个电源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5）需提供1块2个40G SFP+板卡，配置2个40G QSFP+单模模块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6）服务要求：提供不低于原厂3年7*24免费质保</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光盘库基本单元</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1）须满足支持2台驱动器，支持驱动器之间可互为主备功能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2）支持的最大光盘盒数量不小于30盒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3）支持的最大容量不小于165TB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4）支持通过数据流驱动器进行应急读取，且读取速度不低于375MB/s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5）支持逻辑光盘库的划分，且能够设置逻辑地址</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6）机械手须满足移动光盘加载效率60秒内</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光盘盒扩展单元</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须满足最大可扩展光盘盒数量不少于101个</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数据流光盘驱动器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支持光盘盒读写，仓门前置并能光盘进入后自动关闭</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1）支持5.5TB光盘盒的读写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2）支持驱动器读取速度：3Gbps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3）支持驱动器写入速度：1.5Gbps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4）须配备8Gbps光纤接口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5）须采用写入校验机制以保障数据写入安全性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6）具备防误删机制：对光盘中误删的文件，可以通过溯回（Rollback）模式进行数据恢复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扩展升级套件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用于连接扩展单元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电源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冗余电源</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光盘（允许进口）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5.5TB ODA光盘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归档管理软件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支持智能管理策略，可将多种存储介质进行统一管理，具备标准SMB /CIFS接口，提供Web智能数据管理，能通过浏览器即可对数据进行快速检索，支持管理海量数据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1）支持通过浏览器直接访问，且无需安装客户端软件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2）支持综合数据管理功能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3）支持对资源元数据进行添加及编辑功能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4）支持对资源进行多维度、可视化的统计，支持以图形报表的形式展现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5）支持通过名称、类型、操作时间及元数据等对资源进行综合检索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6）支持MPEG-2、MPEG-4、H.263、H.264、WMV、MJPG、ProRes、DNxHD等视频格式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7）支持MP3、AAC、AC3、E-AC3、WMA、MPEG-1、MPEG Layer2等音频格式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8）★支持SAN、NAS、蓝光库等多级存储，支持根据数据热度及存储策略，将不同数据存储于不同存储介质中；（需提供相关材料证明）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9）★须满足支持索尼第3代ODA蓝光库，最多支持6个驱动器，最大可扩容至17.6PB，支持最大并发读取速度满足18Gbps，最大并发写入速度满足9Gbps（需提供相关材料证明）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10）支持虚拟存储池设计，支持将多个物理介质合并为一个虚拟存储池，并且支持通过增加或者减少物理介质的方式进行动态的扩容及缩容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11）支持归档策略多样化，支持实时归档、计划归档、延时归档及水位线归档策略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12）支持小文件打包归档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13）须提供 RESTful API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14）须提供SMB/CIFS接口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15）具备完善的用户权限体系，支持按功能划分权限，支持按角色分配权限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16）多语言支持，默认支持中文及英文，并可根据需要增加语言包来支持新的语言</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17）须配置审计日志功能，默认记录用户的所有操作，方便追溯及审计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管理服务器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1）规格：2RU机架式服务器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2）CPU：intel Silver 4210R * 2（主频：2.4GHz，10核20线程）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3）内存：≥64G内存，ECC核验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4）电源：双电源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5）网络：10Gb万兆网络（含2个10G光模块）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6）硬盘：≥2x1.2TB SAS硬盘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 Qlogic 8gb HBA 光纤通道卡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ODA机柜</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1）外形尺寸：约H：2000（mm) D：1200（mm) W：600（mm)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2）内置尺寸：内部空间高度为 42U，宽度为标准 19 英寸，深度可放置深度≤850mm 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3）结构形式：按蓝光设备安装结构定制设计，符合蓝光产品设备上架要求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4）机柜材质：全部为优质冷轧钢板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5）表面处理：全部部件经脱脂、磷化后静电喷塑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防磁数据柜</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1）外形尺寸：约H：1500（mm) D：480（mm) W：525（mm)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2）结构形式：配置电子密码锁，内置8个抽屉，每个抽屉配置2块隔板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3）材质：全钢结构，采用1.0mm冷轧钢板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4）防磁功能：空间磁场≥6000GS时，柜内磁场不大于5GS</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5、视音频质量评测平台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激光数字8K投影机（允许进口）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1）激光光源技术：“BLU-Escent”技术混合激光光源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2）放映机亮度： 3000流明（ANSI标准）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 动态对比度： 无穷大:1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 原生对比度100000:1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5）功耗： 440w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6）使用寿命： 不低于20,000小时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7）分辨率： 不低于8192x4320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8）色域： 支持DCI-P3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9）噪音： ≤24 dB (低功耗模式）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10）体积： 约500mm x 234mm x 528mm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11）重量： 约25.3 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12）镜头： 变焦镜头1.35-2.71:1.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13）外部接口： HDMI x 2RJ-45x1 RS-232C x1 USB x1 3D发射端口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备注：质保期两年。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主扬声器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1）频率响应 85Hz--22KHz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2）信噪比 不低于90dB 1w/1m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4）中频单元 4英寸纸盆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5）高频单元 1英寸钛膜球顶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6）低频单元 6.5英寸碳纤维编制盆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7）功率不低于200W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8）体积 约75 x 32.5 x 10.5 厘米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3</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环绕扬声器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1）频率响应 85Hz--22KHz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2）信噪比 不低于90dB 1w/1m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4）中频单元 4英寸纸盆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5）高频单元 1英寸钛膜球顶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6）低频单元 6.5英寸碳纤维编制盆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7）功率 不低于200W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8）体积 约75 x 32.5 x 10.5 厘米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全景声扬声器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1）频率响应 85Hz--22KHz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2）信噪比 不低于90dB 1w/1m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4）中频单元 4英寸纸盆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5）高频单元 1英寸钛膜球顶 x1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6）低频单元 6.5英寸碳纤维编制盆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7）功率 不低于200W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8）体积 约75 x 32.5 x 10.5 厘米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低音扬声器（允许进口）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1）21寸低音单元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2）频率响应 24Hz (-3dB)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3）功率 1400W AES标准， 2800W Prg标准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5）体积 约1474 x877 x 369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功率放大器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1）对应频率 20Hz到50kHz (+1 /-3dB)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2）负载阻抗 适用于全部类型负载。额定4Ω模式，8Ω模式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3）信噪比 不小于100dB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4）输入级 平衡输入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5）失真度 不大于0.09% (1KHz)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6）输出功率 300W x7 8欧姆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7）Audio Power电源设计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2</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音频处理器（允许进口）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1）3D音频格式的支持 不少于以下Auro-3D, Dolby Atmos，DTS:X Pro,DTS Virtual:X和IMAX Enhanced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2）XLR输出声道 不低于16声道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3）Audyssey房间校准系统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4）8路HDMI输入和3路HDMI输出,2个8K HDMI输出，支持HDCP 2.3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5）支持HDMI 2.1 8K/60Hz或者4K/120Hz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6）支持HDR10、HLG和Dolby Vision的4K UHD格式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7）重量：约13.68Kg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8）尺寸：约440 x 460 x 185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备注：质保期两年。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银幕</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1）银幕尺寸 不小于16平米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2）增益不低于 1.6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3）微孔直径 0.4mm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4）穿孔率 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5）色温偏差 &lt;100k</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6）THX认证幕布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7）银幕比例 16:9</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中控主机（允许进口）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1）RS232/422/485接口 不少于3个</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2）不少于8个IR/单向RS232控制接口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继电模块（允许进口）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1）电源开关通道不少于8个</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2）最大电流 不小于95A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3）Cresnet通讯协议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4）可通过前面板或软件设定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红外棒</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1）发射方向 向上±45°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2）接头大小 3.5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3）线长 1.5米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2</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无线路由器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1）1900M无线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2）6天线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3）双频5G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4）支持mesh</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智能开关</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1）场景开关 不小于3键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2）控制总线 485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3）机械自复位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4）带背光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软件授权（允许进口）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1）支持IOS操作系统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2）支持Android操作系统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3）支持Windows操作系统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4）可与Crestron主机协同工作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2</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中控手持端</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1）存储空间不小于64G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2）操作系统 IOS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3）显示屏 8.3英寸 L:iquid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4）色域 P3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 500 Nit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6）处理架构 64位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播放机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1）支持UHD/BD50/BD25/DVD/VCD/CD回放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2）本地回放 4K电影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3）支持次世代音频源码输出（TrueHD, Dolby Atmos, DTS-MA, DTS:X)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8K视频回放工作站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 处理器 性能不低于Intel 12400F</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 显卡  性能不低于RTX3060，且支持CUDA,HDMI2.1 HDCP2.3输出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 内存  不低于32G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 硬盘  不低于1TB PCIe 4.0高速SSD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 网卡  2.5Gbps*1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 电源  不低于500W 规格不低于80Plus 白金电源</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8K回放显示器（强制节能产品）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1）分辨率 不低于1920x1080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  IPS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3）可视角度 不低于170°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4）显示比例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5）尺寸不低于15.6寸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时序电源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1）8路时序控制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2）带RS-232C</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机柜</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1）尺寸：约1600x600x600mm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2）承重板 不小于3块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座椅</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1）尺寸     约97x81x107厘米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2）皮质沙发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3）可后仰，有脚托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6</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视音频信号监测维护工作站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1）CPU：采用不少于1颗Intel 酷睿处理器，每颗处理器内核数不少于6核心，不低于12线程，处理器基本频率不低于2.5GHz，最高睿频：4.4GHz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2）内存：≥16G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3）硬盘：≥ 512GB SSD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4）显卡：≥RTX3060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5）专业版键鼠：键鼠套装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6）支持windows 系统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视音频信号监测维护工作站显示器（强制节能产品）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1）屏幕尺寸：27英寸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2）高清标准：4K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3）分辨率：3840*2160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4）屏幕比例：16：9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5）静态对比度：1000：1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6）屏幕刷新率：60Hz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7）IPS面板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8）接口：Type-C，HDMI，USB扩展/充电，音频/耳机输出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9）旋转升降底座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4K视频信号监看设备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1）屏幕尺寸不小于75英寸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2）屏幕分辨率支持3840×2160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3）屏幕刷新频率为60HZ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4）配置2个HDMI2.0接口,2个USB2.0接口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5）存储空间不低于16GB</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双面实验工作桌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1）含4个工位，4把椅子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2）每个工位尺寸1400mmx700mmx750mm（根据实际情况，尺寸可调整）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单面实验工作桌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1）含1个工位，1把椅子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2）工位尺寸1400mmx1000mmx750mm（根据实际情况，尺寸可调整）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6、设备机房改造及公共网络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UPS电源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1）30KVA/30KW，三进三出高频在线式UPS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2）100%负载时，系统效率：≥95％；50%负载时，系统效率：≥94％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3）三相负载不平衡度  100%时，三相输出电压不平衡度满足： ＜±1％（平衡负载）， ＜±2％（100％不平衡负载）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4）输出电压相位偏差：在100%不平衡整流性负载时，三相输出电压相位差≤2°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5）具有多台1+1直接并联工作及负载均分性能，组成双母线系统时具备输出电压同步功能，必需保持输出频率、相位相同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6）交流输入电压不变，负载从0－100%－0变化，交流输入中断或恢复供电时的输出电压变化量＜额定输出电压的±5％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7）瞬变响应恢复时间（按行业标准YD/T1095-2008）≤20ms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8）具有多机共用电池组功能，能够在冗余UPS系统运行时，保持单机故障后系统总延时时间不变的能力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9）具有电池均充、浮充自动控制功能：在电池放电结束UPS输入供电恢复后，应自动启动均充充电，满足每节（12V）电池均充10）电压14.1V，并能够自动转浮充充电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11）电温度补偿功能：能够根据电池环境温度，自动调整充电器输出电压，避免过充电还欠充电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12）UPS设备应能安装于标准服务器机架中，同时在机架中配置输入输出配电开关以及外置维修旁路开关，配置机架式配电装置，输出18路分路开关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13）32节12V-100AH蓄电池，电池柜780*880*1230mm，自带3P100A直流空开，包含蓄电池和主机线材</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机房精密空调（强制节能产品）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1）12.5单冷精密空调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2）机房专用空调应有较大的送风量，制冷量为12.5kW机组风量不低于2800m3/h，请提供机组风量数据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3）机房专用空调应能应解决机房的高显热量负荷，具有高显热比，显热比不小于0.85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4）机房专用空调应具备高能效比，在室内回风条件24℃，50%湿度条件下能效比&gt;3.0。制冷量、风量，能效比数据需提供第三方国家权威测试机构的测试报告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5）每台机房专用空调应具备一个主回风口和两个侧面辅助回风口，有利于提高机组性能。空调应具备来电自启动功能，满足机房无人值守的要求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6）输入电压允许波动范围：380V±15%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7）空调设备外壳应采用全金属防腐材质，空射设备室内风机应采用全金属防腐材质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动环监控系统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1）系统所包含的监控采集器应采用B/S架构，内置Web Server功能，方便管理人员通过任意一台联网PC的IE浏览器访问监控采集器，实现对机房的远程整体监管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2）监控采集器应设计，以提升供电可靠性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3）为节省网络资源，机房内的各种智能设备（包括但不限于UPS、精密空调、门禁控制器）及传感器接入监控采集器应全部采用RS485串口通信方式，不占用任何IP地址</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报警管理：需具备短信报警、邮件报警等方式；可根据报警严重程度对报警进行分级，并定义对应的报警提醒方式；报警发生时系统界面可自动弹出实时告警列表；应可根据自定义起止时段查询某个设备或所有设备的历史告警记录，并支持下载查询结果至本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5）告警联动：监控采集器应可根据采集到的任意两路告警信号之间的逻辑关系（“与”、“或”、“非”、“异或”、“大于”、“小于”），通过继电器输出端口实现告警联动功能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机房状态定时通知：动环监控系统除具备实时报警功能以外，还应提供状态定时通知功能——可根据用户设定的发送周期和发送时段，通过电子邮件或短信主动向用户推送微模块的状态信息（“正常”或“告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温湿度传感器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1）测量范围:温度：-20℃~70℃和湿度：0～100%rh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2）输出范围：RS485 serial output一路电压输入监测，可以监测消防探头或干节点信号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3）地址：0-255, 通过按键选择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4）协议：MODBUS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5）数据格式：1起始位,8数据位,无奇偶,1终止位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6）波特率：2400 bit/s, 4800 bit/s, 9600 bit/s, 19200 bit/s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7）有效工作面积：10-20m2/只</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8）安装方式：室内墙面安装，天花板吸顶安装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9）质量：主体：约200g，底座：约50g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10）材料：ABS树脂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烟雾传感器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1）产品类型：光电感烟火灾探测器；采用无极性电源输入，能够探测火灾时产生的烟雾及时发出报警信号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2）产品支持采用 CPU智能控制，能够智能判断火灾时产生的烟雾浓度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3）产品支持带有继电器干接点输出，且具有报警锁定功能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4）产品支持具有灰尘积累自动补偿功能，能减少灰尘对探测器灵敏度的影响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二楼设备机房摄像头</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1）电子快门 1-1/100000秒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2560×1440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3）压缩格式 主码流：H.265/H.264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4）子码流：H.265/H.264/MJPEG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5）视频帧率 25fps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6）压缩码率 32Kbps-8Mbps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7）网络接口 1个RJ45 10M/100M 自适应以太网口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8）防护等级 IP66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9）电源电压 DC 36-57V，0.20-0.12 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10）电源功率 PoE：7W Max</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11）其他性能 红外照射距离：30米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2</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硬盘录像机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1）压缩标准 H.265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2）视频分辨率 1080p</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3）录像方式 手动录像，定时录像，事件录像，移动侦测录像，报警录像，动测或报警录像，动测且报警录像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4）录像回放 即时回放，常规回放，事件回放，标签回放，外部文件回</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5）备份方式 常规备份，事件备份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6）视频输入 4路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7）视频输出 1路HDMI，1路VGA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8）硬盘  1个SATA接口，配1块4TB硬盘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9）1个RJ45 10M/100M自适应以太网口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10）2个USB2.0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二楼机房机柜</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1）专用服务器机柜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2）防雷PDU*2，32A输入，24位10A输出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16口千兆以太网交换机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1）千兆以太网交换机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2）应用层级：二级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3）交换方式：存储-转发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4）背板带宽：≥32Gbps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5）包转发率：≥23.7Mpps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6）端口：16个10/100/1000Base-T以太网端口</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POE交换机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1）千兆以太网交换机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2）应用层级：三级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3）交换方式：存储-转发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4）背板带宽：≥336Gbps/3.36Tbps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5）包转发率：≥108/126Mpps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6）端口：24个10/100/1000Base-T以太网端口，4个万兆SFP+</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面板AP</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1）室内无线AP</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2）最高传输速率：1775Mbps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3）频率范围：双频（2.4GHz，5GHz）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4）产品尺寸：86*38*160mm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4）PoE供电：满足802.3at/af以太网供电标准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5）其他：1个上行Ge，1个USB接口，1个电源接口，内置天线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14</w:t>
            </w:r>
            <w:r>
              <w:rPr>
                <w:rFonts w:hint="eastAsia" w:ascii="宋体" w:hAnsi="宋体" w:eastAsia="宋体" w:cs="宋体"/>
                <w:kern w:val="0"/>
                <w:sz w:val="18"/>
                <w:szCs w:val="18"/>
                <w:lang w:val="en-US" w:eastAsia="zh-CN" w:bidi="ar"/>
              </w:rPr>
              <w:t xml:space="preserve">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仿宋_GB2312"/>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7、实验室改造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影视赏析厅改造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1）吊顶：悬浮吊顶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吊顶声学吸音处理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吊顶声学扩散处理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星空顶吊顶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顶面音源透射处理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顶面材料防火处理 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2）地面：浮筑施工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1.5实木地板满铺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部分区域使用长后地毯，进行混响修正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地面材料防火处理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3）墙面：原始墙面基层隔音密封处理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原始玻璃窗封堵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四面15cm后混合结构假墙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墙面反射处理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墙面吸音处理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墙面音源透射处理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放映机墙面 光学肖特玻璃分割处理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墙面材料防火处理 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4）隔声门：更换隔音门2扇 40dBa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房间声闸处理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5）机房： 房间隔音处理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房间防火处理 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6）强电工程：房间内的照明电以及设备电源施工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7）赏析厅内部声学环境要求满足国家声学建设标准，即GB／T_50356-2005及GB 50371-2006</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影音资料数字化实验室改造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遮光要求：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1）遮光窗帘 面积：30㎡（根据实际情况调整）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1）墙面：完成面为墙纸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2）窗户：现有窗户需要翻新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3）顶面：造型吊顶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毛胚喷黑处理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冲孔网装饰板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二楼机房改造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模块，总输入100A/1P*1，UPS输入：63A/1P*1，UPS输出：63A/1P*1，维修旁路：63A/2P*1，防雷开关：32A/1P*1，空调：32A/1P*2（一用一备），UPS分配：32A*1P*6（PDU共4路，备用2路），16A/1P*3（应急通风和监控各1路），含C级防雷，智能电表及线路改造</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2）电路设计、电箱定制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3）三相电力接入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4）线槽、辅助线材等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环境改造要求：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1）防静电地板铺设，面积25㎡（根据实际情况调整）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2）玻璃隔断，面积15㎡（根据实际情况调整）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3）遮光窗帘，面积20㎡（根据实际情况调整）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数字调色间改造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1）墙面：装饰板完成面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2）顶面：造型吊顶，涂料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吸音格栅吊顶处理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3）灯光：以图纸为准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4）窗户：现有窗户需要翻新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视频修复实验室改造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遮光要求：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1）遮光窗帘 面积：15㎡（根据实际情况调整）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1）墙面：完成面为墙纸，装饰板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2）顶面：造型吊顶，涂料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蜂窝吊顶处理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3）窗户：现有窗户需要翻新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4）灯光：以图纸为准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声音修复室改造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1）吊顶：悬浮吊顶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吊顶声学吸音处理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吊顶声学扩散处理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顶面材料防火处理 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2）地面：浮筑施工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地面材料防火处理 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3）墙面：原始墙面基层隔音密封处理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原始玻璃窗封堵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四面12cm后混合结构假墙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墙面反射处理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墙面吸音处理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墙面材料防火处理，满足防火要求B1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4）隔声门：更换隔音门1扇 40dBa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5）定制货架，尺寸：1000x500x3000 （根据实际情况调整）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6）强电工程：房间内的照明电以及设备电源施工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7）必须具有声学设计，并必须满足国家声学建设标准，即GYJ26-86</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视频剪辑与媒资管理实验室改造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1）墙面：墙面涂料/铝塑板处理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2）顶面：造型吊顶，涂料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矿棉板吊顶处理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3）窗户：现有窗户需要翻新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音视频信号检测分析中心改造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遮光要求：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1）遮光窗帘 面积：5㎡（根据实际情况调整）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1）墙面：墙面装饰板/墙布处理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2）顶面：造型吊顶，涂料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矿棉板吊顶处理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3）灯光：以图纸为准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4）定制办公储物柜，每套尺寸：2500x3000x650 （根据实际情况调整）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5）窗户：现有窗户需要翻新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其他改造</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装修要求：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1）门头墙面：木纹装饰背景，发光大字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2）门头顶面：造型石膏板吊顶，涂料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3）合页，门吸，脚手架，出风口，回风口，中央空调配套施工，垃圾清运等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空气质量治理及检测</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要求有资质的企业对实验室所有房间进行空气质量检测，要求符合国家室内空气质量标准 满足符合GB50325-2020标准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多格式磁带重放支持服务</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服务要求:提供能正常播放U-matic格式磁带的设备不少于2台;能正常播放S-VHS格式磁带的设备不少于1台；能正常播放BETACAM格式磁带的设备不少于1台。用于服务历史影音资料的数字化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培训</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含：胶片转数字，数字调色，媒资应用，存储使用，视频修复等每个模块的系统培训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系统集成及技术服务</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含：设备安装、部署、调试、设备使用培训等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bl>
    <w:p>
      <w:pPr>
        <w:keepNext w:val="0"/>
        <w:keepLines w:val="0"/>
        <w:widowControl w:val="0"/>
        <w:suppressLineNumbers w:val="0"/>
        <w:spacing w:before="0" w:beforeAutospacing="0" w:after="0" w:afterAutospacing="0" w:line="288" w:lineRule="auto"/>
        <w:ind w:left="0" w:right="0"/>
        <w:jc w:val="both"/>
        <w:rPr>
          <w:rFonts w:hAnsi="宋体"/>
          <w:b/>
          <w:spacing w:val="-6"/>
          <w:lang w:val="en-US"/>
        </w:rPr>
      </w:pPr>
    </w:p>
    <w:p>
      <w:pPr>
        <w:pStyle w:val="6"/>
        <w:widowControl/>
        <w:rPr>
          <w:rFonts w:hint="eastAsia" w:ascii="宋体" w:hAnsi="宋体" w:eastAsia="宋体" w:cs="宋体"/>
          <w:b w:val="0"/>
          <w:kern w:val="0"/>
          <w:sz w:val="21"/>
          <w:szCs w:val="21"/>
          <w:lang w:val="en-US"/>
        </w:rPr>
      </w:pPr>
      <w:r>
        <w:rPr>
          <w:rFonts w:hint="eastAsia" w:ascii="宋体" w:hAnsi="宋体" w:eastAsia="宋体" w:cs="宋体"/>
          <w:kern w:val="0"/>
          <w:sz w:val="21"/>
          <w:szCs w:val="21"/>
          <w:lang w:eastAsia="zh-CN"/>
        </w:rPr>
        <w:t>（四）其他要求</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1、相关法规、管理条例与技术标准、行业规范：</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（1）国家规定的标准和规范，有新标准按新标准执行；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（2）行业标准及规范，有新标准按新标准执行；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（3）其他相关标准。</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2、通用技术要求：</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
          <w:lang w:val="en-US"/>
        </w:rPr>
      </w:pPr>
      <w:r>
        <w:rPr>
          <w:rFonts w:hint="eastAsia" w:ascii="宋体" w:hAnsi="宋体" w:eastAsia="宋体" w:cs="宋体"/>
          <w:kern w:val="2"/>
          <w:sz w:val="21"/>
          <w:szCs w:val="21"/>
          <w:lang w:val="en-US" w:eastAsia="zh-CN" w:bidi="ar"/>
        </w:rPr>
        <w:t>（1）以下所列为本次采购的基本要求，供应商须按有关标准及规范完成本次采购设备制造与供货、运输（含保险、装卸车）、安装、调试与技术培训、检验、检测、通过有关部门验收、质保期内服务、维修等各项工作，并保证其使用的安全性与可靠性。</w:t>
      </w:r>
      <w:r>
        <w:rPr>
          <w:rFonts w:hint="eastAsia" w:ascii="宋体" w:hAnsi="宋体" w:eastAsia="宋体" w:cs="宋体"/>
          <w:b/>
          <w:kern w:val="2"/>
          <w:sz w:val="21"/>
          <w:szCs w:val="21"/>
          <w:lang w:val="en-US" w:eastAsia="zh-CN" w:bidi="ar"/>
        </w:rPr>
        <w:t>具体配置说明、技术参数及产品样本等由供应商在投标文件中提供。如中标，供应商须对中标仪器设备使用的安全性、有效性及检测结果的可靠性负全部责任。</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供应商应保证提供的货物为合法生产企业的产品，符合国家有关法律、法规、规定和标准。按国家规定应通过有关部门鉴定（批准）的产品，应保证已按国家规定通过了鉴定（批准），并附鉴定文件（批准证书）的复制件。实行产品许可证制度的产品还须提供生产许可证复制件。供应商的投标产品必须具备相当于或高于招标文件中招标人所要求的相应的技术指标，并能提供更好的性能，具有更高的可靠性和耐用性。</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（3）供应商提供的投标产品应适合招标人的工作条件。货物安装运行对环境如有特殊要求的，应在投标文件中加以说明。</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（4）供应商无论是否具有进出口办理权，所投标产品的价格需包含产品CIP报价的所有费用。（若允许进口设备进行投标，本项需满足，是否允许，详见前附表规定。）</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5）投标人应在投标文件偏离表中如实承诺对采购人招标文件中技术参数要求的正/负偏离响应情况。若偏离表中写完全响应，无偏离，但在实施过程中发现不符合要求的，采购人将上报相关部门并保留投诉和索赔的权利。</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本项目为交钥匙工程，报价方式为总价包干，含设备费、材料费、配套线缆等辅助材料费、制造、购置费、运输费、安装费、搬运费、售后服务、质检费、验收费、集成涉及的相关费用、税金和其它费用等。对于没有填报的项目，采购人将不再支付，并均认为已包含在投标报价内。进口设备的设备费须包含设备（包括主机、标准附件、备品备件、专用工具）价、国际运费、国际运输保险费、银行财务费、外贸手续费、清关费等进口所需发生的其他费用、国内运杂费、国内运输保险费、利润、税金等。按人民币报价。</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（7）各个设备技术参数中所涉及到的检测报告或产品截图，合同签订后提供检测原厂盖章复印件或产品截图复印件。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注：国家政策允许免税的进口设备的价格采用免税的人民币报价，但对于不能免税的部分应报含税价，并在投标文件中予以明示，交易方式为CIP浙江传媒学院。不能享受国家的减免税政策或者加征关税的，其税金均由中标供应商承担。由中标供应商委托相关外贸公司办理免税事宜，采购人予以协助，所需费用由中标供应商承担。</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3、系统集成项目组实施人员能力（3分）</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针对本项目建立项目支撑团队，要求人数达到10人及以上（高级项目经理1名、项目技术负责人1名、技术人员2人及以上，其他安装调试技术支撑人员6人）。</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①高级项目经理具有PMP高级项目经理证或高级技术职称证书；(1分)</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②项目技术负责人具有高级信息系统项目管理师或网络工程师认证或高级技术职称证书；(1分) </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③其他安装调试技术支撑人员均需具有硕士研究生及以上学历或中级及以上技术职称。(1分)</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4、验收方案：</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验收内容：中标方实际完成的情况是否符合采购文件要求和中标方在投标响应文件中的商务、技术承诺。验收中发现合同系统达不到验收标准或合同规定的性能指标，中标方必须在征得采购方认可后更换合同货物，并负担由此给采购人造成的损失，直到验收合格为止。</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验收标准：中标方已经按采购文件要求和中标方在投标响应文件中的商务、技术承诺完成项目执行。中标方应提供合同系统的有效检验文件，经采购人认可后，与合同的性能指标一起作为合同系统验收标准，并在验收中提供采购人认可的相应检测手段，验收标准应符合中国有关的国家、地方、行业的标准，如若中标，经采购人确认后作为验收的依据。</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（3）验收程序：中标方将全部货物送至采购人指定地点后5个工作日内，采购人组织点货验收；货物验收合格后，中标方完成设备安装与集成，试运行满10个工作日后，采购人组织项目功能验收。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（4）验收时乙方应在现场，验收完毕后作出验收结果报告；验收产生的费用，属于首次验收过程中产生的，由甲方承担；属于首次验收不合格，重新验收过程中产生的，由乙方承担。</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（5）技术履约内容</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1）中标方应及时免费提供合同系统软件的升级，免费提供合同系统新功能和应用的资料。</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中标方需在项目验收时，基于本项目建设的数字化系统完成一定数量指定格式的磁带和胶片数字化，至少包括：4盒U-matic格式历史影音资料磁带的数字化、2盒S-VHS格式历史影音资料磁带的数字化、2盒BETACAM格式历史影音资料磁带的数字化；1部16mm/35mm电影胶片的数字化。注：要求每盒磁带和胶片的数字化时长不少于30分钟。</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中标方需在项目验收时，基于本项目建设的数字化修复平台对数字化后的影音文件进行AI视频修复、声画对位与编辑、媒资管理与存储的处理流程，满足不同系统模块间的数据接口要求，并达到预期的处理效果。注：要求处理的数字化文件的时长不少于10分钟。</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（五）系统演示（共</w:t>
      </w:r>
      <w:r>
        <w:rPr>
          <w:rFonts w:hint="eastAsia" w:ascii="宋体" w:hAnsi="宋体" w:eastAsia="宋体" w:cs="宋体"/>
          <w:kern w:val="0"/>
          <w:sz w:val="21"/>
          <w:szCs w:val="21"/>
          <w:lang w:val="en-US"/>
        </w:rPr>
        <w:t>10</w:t>
      </w:r>
      <w:r>
        <w:rPr>
          <w:rFonts w:hint="eastAsia" w:ascii="宋体" w:hAnsi="宋体" w:eastAsia="宋体" w:cs="宋体"/>
          <w:kern w:val="0"/>
          <w:sz w:val="21"/>
          <w:szCs w:val="21"/>
          <w:lang w:eastAsia="zh-CN"/>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演示内容及要求如下：</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供应商根据采购要求提供相应系统、关键性功能点的系统演示，根据系统演示情况，功能可用性、先进性、科学性及功能满足情况等内容进行打分。演示内容及要求如下：</w:t>
      </w:r>
    </w:p>
    <w:p>
      <w:pPr>
        <w:keepNext w:val="0"/>
        <w:keepLines w:val="0"/>
        <w:widowControl w:val="0"/>
        <w:suppressLineNumbers w:val="0"/>
        <w:spacing w:before="0" w:beforeAutospacing="0" w:after="0" w:afterAutospacing="0" w:line="360" w:lineRule="auto"/>
        <w:ind w:left="0" w:right="0" w:firstLine="398" w:firstLineChars="20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1、媒资管理演示：共计3分。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①媒资管理中流程引擎管理（支持自定义进行流程管理）演示。（2分）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②媒资管理跟Final Cut Pro或Premiere非编软件进行对接集成，可以直接对此工程文件进行剪辑。（1分）</w:t>
      </w:r>
    </w:p>
    <w:p>
      <w:pPr>
        <w:keepNext w:val="0"/>
        <w:keepLines w:val="0"/>
        <w:widowControl w:val="0"/>
        <w:suppressLineNumbers w:val="0"/>
        <w:spacing w:before="0" w:beforeAutospacing="0" w:after="0" w:afterAutospacing="0" w:line="360" w:lineRule="auto"/>
        <w:ind w:left="0" w:right="0" w:firstLine="398" w:firstLineChars="20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2、视频智能</w:t>
      </w:r>
      <w:r>
        <w:rPr>
          <w:rFonts w:hint="eastAsia" w:ascii="宋体" w:hAnsi="宋体" w:eastAsia="宋体" w:cs="宋体"/>
          <w:spacing w:val="-6"/>
          <w:kern w:val="2"/>
          <w:sz w:val="21"/>
          <w:szCs w:val="21"/>
          <w:lang w:val="en-US" w:eastAsia="zh-CN" w:bidi="ar"/>
        </w:rPr>
        <w:t>修复</w:t>
      </w:r>
      <w:r>
        <w:rPr>
          <w:rFonts w:hint="eastAsia" w:ascii="宋体" w:hAnsi="宋体" w:eastAsia="宋体" w:cs="宋体"/>
          <w:b/>
          <w:bCs w:val="0"/>
          <w:spacing w:val="-6"/>
          <w:kern w:val="2"/>
          <w:sz w:val="21"/>
          <w:szCs w:val="21"/>
          <w:lang w:val="en-US" w:eastAsia="zh-CN" w:bidi="ar"/>
        </w:rPr>
        <w:t>提质演示，对于指定的素材进行老片修复画质增强场景演示。共计3分。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①可自动对老片素材进行色调增强，去噪、去块等修复增强效果，处理后观察素材画面，处理效果明显，画面中没有明显异常效果。（2分）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②可自动对老片素材进行去划痕处理，处理后观察素材画面，去划痕效果明显，画面中没有明显异常效果。（1分）</w:t>
      </w:r>
    </w:p>
    <w:p>
      <w:pPr>
        <w:keepNext w:val="0"/>
        <w:keepLines w:val="0"/>
        <w:widowControl w:val="0"/>
        <w:suppressLineNumbers w:val="0"/>
        <w:spacing w:before="0" w:beforeAutospacing="0" w:after="0" w:afterAutospacing="0" w:line="360" w:lineRule="auto"/>
        <w:ind w:left="0" w:right="0" w:firstLine="398" w:firstLineChars="20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3、视频智能修复提质</w:t>
      </w:r>
      <w:r>
        <w:rPr>
          <w:rFonts w:hint="eastAsia" w:ascii="宋体" w:hAnsi="宋体" w:eastAsia="宋体" w:cs="宋体"/>
          <w:spacing w:val="-6"/>
          <w:kern w:val="2"/>
          <w:sz w:val="21"/>
          <w:szCs w:val="21"/>
          <w:lang w:val="en-US" w:eastAsia="zh-CN" w:bidi="ar"/>
        </w:rPr>
        <w:t>平台</w:t>
      </w:r>
      <w:r>
        <w:rPr>
          <w:rFonts w:hint="eastAsia" w:ascii="宋体" w:hAnsi="宋体" w:eastAsia="宋体" w:cs="宋体"/>
          <w:b/>
          <w:bCs w:val="0"/>
          <w:spacing w:val="-6"/>
          <w:kern w:val="2"/>
          <w:sz w:val="21"/>
          <w:szCs w:val="21"/>
          <w:lang w:val="en-US" w:eastAsia="zh-CN" w:bidi="ar"/>
        </w:rPr>
        <w:t>AI上色修复演示，对指定的黑白视频素材进行上色和效果评分。共计4分。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 能实现AI自动上色功能，无需人工干预。（2分）</w:t>
      </w:r>
    </w:p>
    <w:p>
      <w:pPr>
        <w:keepNext w:val="0"/>
        <w:keepLines w:val="0"/>
        <w:widowControl w:val="0"/>
        <w:suppressLineNumbers w:val="0"/>
        <w:spacing w:before="0" w:beforeAutospacing="0" w:after="0" w:afterAutospacing="0" w:line="360" w:lineRule="auto"/>
        <w:ind w:left="0" w:right="0" w:firstLine="396" w:firstLineChars="20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②自动AI上色后评价整体视频主观的效果，输出结果应符合无抖动，色域正常等。（2分）</w:t>
      </w: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sz w:val="21"/>
          <w:szCs w:val="21"/>
          <w:lang w:val="en-US"/>
        </w:rPr>
      </w:pPr>
      <w:r>
        <w:rPr>
          <w:rFonts w:ascii="宋体" w:hAnsi="宋体" w:eastAsia="宋体" w:cs="仿宋"/>
          <w:color w:val="000000"/>
          <w:sz w:val="21"/>
          <w:szCs w:val="21"/>
          <w:lang w:eastAsia="zh-CN"/>
        </w:rPr>
        <w:t>其中，根据“电子交易</w:t>
      </w:r>
      <w:r>
        <w:rPr>
          <w:rFonts w:ascii="宋体" w:hAnsi="宋体" w:eastAsia="宋体" w:cs="仿宋"/>
          <w:color w:val="000000"/>
          <w:sz w:val="21"/>
          <w:szCs w:val="21"/>
          <w:lang w:val="en-US"/>
        </w:rPr>
        <w:t>/</w:t>
      </w:r>
      <w:r>
        <w:rPr>
          <w:rFonts w:ascii="宋体" w:hAnsi="宋体" w:eastAsia="宋体" w:cs="仿宋"/>
          <w:color w:val="000000"/>
          <w:sz w:val="21"/>
          <w:szCs w:val="21"/>
          <w:lang w:eastAsia="zh-CN"/>
        </w:rPr>
        <w:t>不见面开评标”原则，供应商需将根据演示要求录制视频，总共演示时间不超过</w:t>
      </w:r>
      <w:r>
        <w:rPr>
          <w:rFonts w:ascii="宋体" w:hAnsi="宋体" w:eastAsia="宋体" w:cs="仿宋"/>
          <w:color w:val="000000"/>
          <w:sz w:val="21"/>
          <w:szCs w:val="21"/>
          <w:lang w:val="en-US"/>
        </w:rPr>
        <w:t>10</w:t>
      </w:r>
      <w:r>
        <w:rPr>
          <w:rFonts w:ascii="宋体" w:hAnsi="宋体" w:eastAsia="宋体" w:cs="仿宋"/>
          <w:color w:val="000000"/>
          <w:sz w:val="21"/>
          <w:szCs w:val="21"/>
          <w:lang w:eastAsia="zh-CN"/>
        </w:rPr>
        <w:t>钟，以</w:t>
      </w:r>
      <w:r>
        <w:rPr>
          <w:rFonts w:ascii="宋体" w:hAnsi="宋体" w:eastAsia="宋体" w:cs="仿宋"/>
          <w:color w:val="000000"/>
          <w:sz w:val="21"/>
          <w:szCs w:val="21"/>
          <w:lang w:val="en-US"/>
        </w:rPr>
        <w:t>.mp4</w:t>
      </w:r>
      <w:r>
        <w:rPr>
          <w:rFonts w:ascii="宋体" w:hAnsi="宋体" w:eastAsia="宋体" w:cs="仿宋"/>
          <w:color w:val="000000"/>
          <w:sz w:val="21"/>
          <w:szCs w:val="21"/>
          <w:lang w:eastAsia="zh-CN"/>
        </w:rPr>
        <w:t>格式，存储于</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w:t>
      </w: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cs="仿宋"/>
          <w:sz w:val="21"/>
          <w:szCs w:val="21"/>
          <w:lang w:val="en-US"/>
        </w:rPr>
      </w:pPr>
      <w:r>
        <w:rPr>
          <w:rFonts w:ascii="宋体" w:hAnsi="宋体" w:eastAsia="宋体" w:cs="仿宋"/>
          <w:color w:val="000000"/>
          <w:sz w:val="21"/>
          <w:szCs w:val="21"/>
          <w:lang w:eastAsia="zh-CN"/>
        </w:rPr>
        <w:t>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盘或光盘以</w:t>
      </w:r>
      <w:r>
        <w:rPr>
          <w:rFonts w:ascii="宋体" w:hAnsi="宋体" w:eastAsia="宋体" w:cs="仿宋"/>
          <w:color w:val="000000"/>
          <w:sz w:val="21"/>
          <w:szCs w:val="21"/>
          <w:lang w:val="en-US"/>
        </w:rPr>
        <w:t>EMS</w:t>
      </w:r>
      <w:r>
        <w:rPr>
          <w:rFonts w:ascii="宋体" w:hAnsi="宋体" w:eastAsia="宋体" w:cs="仿宋"/>
          <w:color w:val="000000"/>
          <w:sz w:val="21"/>
          <w:szCs w:val="21"/>
          <w:lang w:eastAsia="zh-CN"/>
        </w:rPr>
        <w:t>或顺丰邮寄形式在响应文件提交截止时间前递交，收件人：陶老师，联系方式：</w:t>
      </w:r>
      <w:r>
        <w:rPr>
          <w:rFonts w:ascii="宋体" w:hAnsi="宋体" w:eastAsia="宋体" w:cs="仿宋"/>
          <w:color w:val="000000"/>
          <w:sz w:val="21"/>
          <w:szCs w:val="21"/>
          <w:lang w:val="en-US"/>
        </w:rPr>
        <w:t>0571-88901836</w:t>
      </w:r>
      <w:r>
        <w:rPr>
          <w:rFonts w:ascii="宋体" w:hAnsi="宋体" w:eastAsia="宋体" w:cs="仿宋"/>
          <w:color w:val="000000"/>
          <w:sz w:val="21"/>
          <w:szCs w:val="21"/>
          <w:lang w:eastAsia="zh-CN"/>
        </w:rPr>
        <w:t>，收件地址：杭州市环城北路</w:t>
      </w:r>
      <w:r>
        <w:rPr>
          <w:rFonts w:ascii="宋体" w:hAnsi="宋体" w:eastAsia="宋体" w:cs="仿宋"/>
          <w:color w:val="000000"/>
          <w:sz w:val="21"/>
          <w:szCs w:val="21"/>
          <w:lang w:val="en-US"/>
        </w:rPr>
        <w:t>305</w:t>
      </w:r>
      <w:r>
        <w:rPr>
          <w:rFonts w:ascii="宋体" w:hAnsi="宋体" w:eastAsia="宋体" w:cs="仿宋"/>
          <w:color w:val="000000"/>
          <w:sz w:val="21"/>
          <w:szCs w:val="21"/>
          <w:lang w:eastAsia="zh-CN"/>
        </w:rPr>
        <w:t>号耀江发展中心三楼</w:t>
      </w:r>
      <w:r>
        <w:rPr>
          <w:rFonts w:ascii="宋体" w:hAnsi="宋体" w:eastAsia="宋体" w:cs="仿宋"/>
          <w:color w:val="000000"/>
          <w:sz w:val="21"/>
          <w:szCs w:val="21"/>
          <w:lang w:val="en-US"/>
        </w:rPr>
        <w:t>302</w:t>
      </w:r>
      <w:r>
        <w:rPr>
          <w:rFonts w:ascii="宋体" w:hAnsi="宋体" w:eastAsia="宋体" w:cs="仿宋"/>
          <w:color w:val="000000"/>
          <w:sz w:val="21"/>
          <w:szCs w:val="21"/>
          <w:lang w:eastAsia="zh-CN"/>
        </w:rPr>
        <w:t>会议室，收件时间：上午</w:t>
      </w:r>
      <w:r>
        <w:rPr>
          <w:rFonts w:ascii="宋体" w:hAnsi="宋体" w:eastAsia="宋体" w:cs="仿宋"/>
          <w:color w:val="000000"/>
          <w:sz w:val="21"/>
          <w:szCs w:val="21"/>
          <w:lang w:val="en-US"/>
        </w:rPr>
        <w:t>08</w:t>
      </w:r>
      <w:r>
        <w:rPr>
          <w:rFonts w:ascii="宋体" w:hAnsi="宋体" w:eastAsia="宋体" w:cs="仿宋"/>
          <w:color w:val="000000"/>
          <w:sz w:val="21"/>
          <w:szCs w:val="21"/>
          <w:lang w:eastAsia="zh-CN"/>
        </w:rPr>
        <w:t>：</w:t>
      </w:r>
      <w:r>
        <w:rPr>
          <w:rFonts w:ascii="宋体" w:hAnsi="宋体" w:eastAsia="宋体" w:cs="仿宋"/>
          <w:color w:val="000000"/>
          <w:sz w:val="21"/>
          <w:szCs w:val="21"/>
          <w:lang w:val="en-US"/>
        </w:rPr>
        <w:t>30-11:30</w:t>
      </w:r>
      <w:r>
        <w:rPr>
          <w:rFonts w:ascii="宋体" w:hAnsi="宋体" w:eastAsia="宋体" w:cs="仿宋"/>
          <w:color w:val="000000"/>
          <w:sz w:val="21"/>
          <w:szCs w:val="21"/>
          <w:lang w:eastAsia="zh-CN"/>
        </w:rPr>
        <w:t>，下午</w:t>
      </w:r>
      <w:r>
        <w:rPr>
          <w:rFonts w:ascii="宋体" w:hAnsi="宋体" w:eastAsia="宋体" w:cs="仿宋"/>
          <w:color w:val="000000"/>
          <w:sz w:val="21"/>
          <w:szCs w:val="21"/>
          <w:lang w:val="en-US"/>
        </w:rPr>
        <w:t>14:30-17:30</w:t>
      </w: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cs="仿宋"/>
          <w:color w:val="000000"/>
          <w:sz w:val="21"/>
          <w:szCs w:val="21"/>
          <w:lang w:val="en-US"/>
        </w:rPr>
      </w:pPr>
      <w:r>
        <w:rPr>
          <w:rFonts w:ascii="宋体" w:hAnsi="宋体" w:eastAsia="宋体" w:cs="仿宋"/>
          <w:color w:val="000000"/>
          <w:sz w:val="21"/>
          <w:szCs w:val="21"/>
          <w:lang w:eastAsia="zh-CN"/>
        </w:rPr>
        <w:t>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盘应当密封包装并在包装上标注演示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盘、项目名称、标项、供应商名称并加盖公章。未按文件要求提供演示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盘造成评审专家无法正常评审的风险由供应商自行承担。（演示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盘或光盘请单独封装）</w:t>
      </w:r>
    </w:p>
    <w:p>
      <w:pPr>
        <w:pStyle w:val="6"/>
        <w:widowControl/>
        <w:ind w:left="0" w:firstLine="0"/>
        <w:rPr>
          <w:rFonts w:hint="eastAsia" w:ascii="宋体" w:hAnsi="宋体" w:eastAsia="宋体" w:cs="宋体"/>
          <w:kern w:val="0"/>
          <w:sz w:val="30"/>
          <w:szCs w:val="30"/>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6"/>
        <w:widowControl/>
        <w:ind w:left="0" w:firstLine="0"/>
        <w:rPr>
          <w:rFonts w:hint="eastAsia" w:ascii="宋体" w:hAnsi="宋体" w:eastAsia="宋体" w:cs="宋体"/>
          <w:kern w:val="0"/>
          <w:sz w:val="30"/>
          <w:szCs w:val="30"/>
          <w:lang w:val="en-US"/>
        </w:rPr>
      </w:pPr>
      <w:r>
        <w:rPr>
          <w:rFonts w:hint="eastAsia" w:ascii="宋体" w:hAnsi="宋体" w:eastAsia="宋体" w:cs="宋体"/>
          <w:kern w:val="0"/>
          <w:sz w:val="30"/>
          <w:szCs w:val="30"/>
          <w:lang w:eastAsia="zh-CN"/>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1.交付（实施）的时间（期限）：合同签署后50日内交货，接到用户通知后在30日内完成设备安装及调试。如在规定的时间内由于成交方的原因不能完成安装和调试，成交方应承担由此给用户造成的损失。</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spacing w:val="-6"/>
                <w:kern w:val="2"/>
                <w:sz w:val="21"/>
                <w:szCs w:val="21"/>
                <w:lang w:val="en-US" w:eastAsia="zh-CN" w:bidi="ar"/>
              </w:rPr>
              <w:t>2.交付（实施）的地点（范围）：浙江传媒学院钱塘校区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 xml:space="preserve">1.合同总价的1％作为履约保证金，签订合同后3个工作日内由中标人交入采购人帐户（履约保证金可以以银行转账、由银行或保险公司出具的保函保单等形式），一般情况下待全部货物及项目功能验收合格之日起7个工作日内退还中标人； </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b/>
                <w:kern w:val="2"/>
                <w:sz w:val="21"/>
                <w:szCs w:val="21"/>
                <w:lang w:val="en-US" w:eastAsia="zh-CN" w:bidi="ar"/>
              </w:rPr>
              <w:t>2</w:t>
            </w:r>
            <w:r>
              <w:rPr>
                <w:rFonts w:hint="eastAsia" w:ascii="宋体" w:hAnsi="宋体" w:eastAsia="宋体" w:cs="宋体"/>
                <w:spacing w:val="-6"/>
                <w:kern w:val="2"/>
                <w:sz w:val="21"/>
                <w:szCs w:val="21"/>
                <w:lang w:val="en-US" w:eastAsia="zh-CN" w:bidi="ar"/>
              </w:rPr>
              <w:t>.签订合同之日起7个工作日内，采购人支付合同金额的40%给中标人，作为预付款；</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3.合同货物到货后，经采购人清点、验收合格后，支付合同金额的30%；</w:t>
            </w:r>
          </w:p>
          <w:p>
            <w:pPr>
              <w:keepNext w:val="0"/>
              <w:keepLines w:val="0"/>
              <w:widowControl w:val="0"/>
              <w:suppressLineNumbers w:val="0"/>
              <w:spacing w:before="0" w:beforeAutospacing="0" w:after="0" w:afterAutospacing="0"/>
              <w:ind w:left="0" w:right="0"/>
              <w:jc w:val="both"/>
              <w:rPr>
                <w:rFonts w:hint="eastAsia" w:ascii="宋体" w:hAnsi="宋体" w:eastAsia="宋体" w:cs="宋体"/>
                <w:highlight w:val="yellow"/>
                <w:lang w:val="en-US"/>
              </w:rPr>
            </w:pPr>
            <w:r>
              <w:rPr>
                <w:rFonts w:hint="eastAsia" w:ascii="宋体" w:hAnsi="宋体" w:eastAsia="宋体" w:cs="宋体"/>
                <w:spacing w:val="-6"/>
                <w:kern w:val="2"/>
                <w:sz w:val="21"/>
                <w:szCs w:val="21"/>
                <w:lang w:val="en-US" w:eastAsia="zh-CN" w:bidi="ar"/>
              </w:rPr>
              <w:t>4.待实验室整体功能验收合格并正常使用后的7个工作日内，由采购人向中标人支付合同金额的30%。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售后</w:t>
            </w:r>
          </w:p>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服务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1.国内设备≧3年，进口设备≧1年，技术要求中有明确的，以技术要求的质保期为准；所有设备在质保期根据产品保修条款内免费维修、维护，软件提供免费升级。（1分）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2.安装调试</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1）安装地点：浙江传媒学院钱塘校区。</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2）安装标准：符合我国国家有关技术规范要求和技术标准，所有的软件和硬件必须保证同时安装到位。</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3）中标方免费提供合同系统的安装服务。</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3.驻场服务</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要求中标方提供驻场保障服务（自功能验收合格之日起）：驻场人员具备广电背景，验收完成后，来校提供技术服务不少于两年，其中：第一年每周不少于2天，第二年每周不少于1天.</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4.备品备件及耗材等要求</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投标时标明常用备品备件及耗材的投标价。所投标的主要产品在发生故障的时候能够提供备机。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spacing w:val="-6"/>
                <w:lang w:val="en-US"/>
              </w:rPr>
            </w:pPr>
            <w:r>
              <w:rPr>
                <w:rFonts w:hint="eastAsia" w:ascii="宋体" w:hAnsi="宋体" w:eastAsia="宋体" w:cs="宋体"/>
                <w:b/>
                <w:spacing w:val="-6"/>
                <w:kern w:val="2"/>
                <w:sz w:val="21"/>
                <w:szCs w:val="21"/>
                <w:lang w:val="en-US" w:eastAsia="zh-CN" w:bidi="ar"/>
              </w:rPr>
              <w:t>具体实施响应要求</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提供免费上门保修维护服务，并保证到达钱塘校区服务的时间为小于4小时内，如果故障不能排除，则需要提供相当档次的备机供使用。具体按保修维护服务标准执行，确保项目实施的高可用性，确保教学活动的正常进行。</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2.质保期满后，仅收取零配件成本费用，人工免费。</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spacing w:val="-6"/>
                <w:lang w:val="en-US"/>
              </w:rPr>
            </w:pPr>
            <w:r>
              <w:rPr>
                <w:rFonts w:hint="eastAsia" w:ascii="宋体" w:hAnsi="宋体" w:eastAsia="宋体" w:cs="宋体"/>
                <w:b/>
                <w:spacing w:val="-6"/>
                <w:kern w:val="2"/>
                <w:sz w:val="21"/>
                <w:szCs w:val="21"/>
                <w:lang w:val="en-US" w:eastAsia="zh-CN" w:bidi="ar"/>
              </w:rPr>
              <w:t>售后服务</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1.质保期内因不能排除的故障而影响工作的情况每发生一次，其质保期相应延长60天，质保期内因系统本身缺陷造成各种故障应由中标方免费予以更换，否则将扣除履约保证金作为对采购人的补偿。</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2.质保期满后，仅收取零配件成本费用，免人工费。具体实施响应要求：现场免费提供安装、调试服务，在保修期内免费上门安装、调试服务；供货时提供相应保修证明资料。</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技术支持</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中标方应及时免费提供合同系统软件的升级，免费提供合同系统新功能和应用的资料。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投标方应提供相应的免费培训计划，对管理人员和使用人员进行学习培训。现场培训15次以上,每次不少于2小时，其中：建设期内的培训不少于7次，要求培训到师生掌握为止；项目验收完成后，培训不少于8次。培训内容包括相关软件的使用、调试、更新和维护诊断及硬件的使用与管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公司技术力量情况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①投标人或制造商具有ISO9001质量管理体系认证证书。（1分）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②投标人或制造商具有ISO14001环境管理体系认证证书。（1分）</w:t>
            </w:r>
          </w:p>
          <w:p>
            <w:pPr>
              <w:keepNext w:val="0"/>
              <w:keepLines w:val="0"/>
              <w:widowControl w:val="0"/>
              <w:suppressLineNumbers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宋体"/>
                <w:spacing w:val="-6"/>
                <w:kern w:val="2"/>
                <w:sz w:val="21"/>
                <w:szCs w:val="21"/>
                <w:lang w:val="en-US" w:eastAsia="zh-CN" w:bidi="ar"/>
              </w:rPr>
              <w:t>③投标人或制造商具有ISO20000信息技术服务管理体系认证证书。（1分）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仿宋_GB2312"/>
                <w:kern w:val="2"/>
                <w:sz w:val="21"/>
                <w:szCs w:val="21"/>
                <w:lang w:val="en-US" w:eastAsia="zh-CN" w:bidi="ar"/>
              </w:rPr>
              <w:t>请提供自2019年以来同类项目合同复印件，每提供一个得一分。</w:t>
            </w:r>
            <w:r>
              <w:rPr>
                <w:rFonts w:hint="eastAsia" w:ascii="宋体" w:hAnsi="宋体" w:eastAsia="宋体" w:cs="宋体"/>
                <w:spacing w:val="-6"/>
                <w:kern w:val="2"/>
                <w:sz w:val="21"/>
                <w:szCs w:val="21"/>
                <w:lang w:val="en-US" w:eastAsia="zh-CN" w:bidi="ar"/>
              </w:rPr>
              <w:t>（3分）</w:t>
            </w:r>
          </w:p>
        </w:tc>
      </w:tr>
    </w:tbl>
    <w:p>
      <w:pPr>
        <w:keepNext w:val="0"/>
        <w:keepLines w:val="0"/>
        <w:widowControl w:val="0"/>
        <w:suppressLineNumbers w:val="0"/>
        <w:spacing w:before="0" w:beforeAutospacing="0" w:after="0" w:afterAutospacing="0" w:line="360" w:lineRule="auto"/>
        <w:ind w:left="0" w:right="0" w:firstLine="450" w:firstLineChars="15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rFonts w:hint="eastAsia" w:ascii="黑体" w:hAnsi="宋体" w:eastAsia="黑体" w:cs="黑体"/>
          <w:sz w:val="24"/>
          <w:szCs w:val="24"/>
          <w:lang w:val="en-US"/>
        </w:rPr>
      </w:pPr>
    </w:p>
    <w:p>
      <w:pPr>
        <w:pStyle w:val="5"/>
        <w:widowControl/>
        <w:rPr>
          <w:sz w:val="24"/>
          <w:szCs w:val="24"/>
          <w:lang w:val="en-US"/>
        </w:rPr>
      </w:pPr>
      <w:r>
        <w:rPr>
          <w:rFonts w:hint="eastAsia" w:ascii="黑体" w:hAnsi="宋体" w:eastAsia="黑体" w:cs="黑体"/>
          <w:sz w:val="24"/>
          <w:szCs w:val="24"/>
          <w:lang w:eastAsia="zh-CN"/>
        </w:rPr>
        <w:t>标项</w:t>
      </w:r>
      <w:r>
        <w:rPr>
          <w:sz w:val="24"/>
          <w:szCs w:val="24"/>
          <w:lang w:val="en-US"/>
        </w:rPr>
        <w:t>2</w:t>
      </w:r>
      <w:r>
        <w:rPr>
          <w:rFonts w:hint="eastAsia" w:ascii="黑体" w:hAnsi="宋体" w:eastAsia="黑体" w:cs="黑体"/>
          <w:sz w:val="24"/>
          <w:szCs w:val="24"/>
          <w:lang w:eastAsia="zh-CN"/>
        </w:rPr>
        <w:t>：影音资料人工修复提质项目</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（一）项目概况</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本项目为</w:t>
      </w:r>
      <w:r>
        <w:rPr>
          <w:rFonts w:hint="eastAsia" w:ascii="Calibri" w:hAnsi="Calibri" w:eastAsia="宋体" w:cs="宋体"/>
          <w:kern w:val="2"/>
          <w:sz w:val="21"/>
          <w:szCs w:val="21"/>
          <w:lang w:val="en-US" w:eastAsia="zh-CN" w:bidi="ar"/>
        </w:rPr>
        <w:t>“中国广播电视艺术资料研究中心”的主要研究平台，其目标是打造具有重要价值的电视艺术与现代科技融合的创新实验室，具有重要影响力的国内主旋律电视艺术研究的重要智库和研创基地。项目的建设能够有效提升学校在历史影音资料数字化、修护等领域的教学科研能力，为人才培养提供更好的实践平台，并增强学校在数字媒体领域的社会服务能力，为省部级重点实验室的建设打下基础。项目建设的主要内容包括：视音频人工修复提质平台。</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建设内容：</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、视音频人工修复提质平台</w:t>
      </w:r>
    </w:p>
    <w:p>
      <w:pPr>
        <w:keepNext w:val="0"/>
        <w:keepLines w:val="0"/>
        <w:widowControl w:val="0"/>
        <w:suppressLineNumbers w:val="0"/>
        <w:spacing w:before="0" w:beforeAutospacing="0" w:after="0" w:afterAutospacing="0" w:line="360" w:lineRule="auto"/>
        <w:ind w:left="0" w:right="0" w:firstLine="420"/>
        <w:jc w:val="both"/>
      </w:pPr>
      <w:r>
        <w:rPr>
          <w:rFonts w:hint="eastAsia" w:ascii="宋体" w:hAnsi="宋体" w:eastAsia="宋体" w:cs="宋体"/>
          <w:kern w:val="2"/>
          <w:sz w:val="21"/>
          <w:szCs w:val="21"/>
          <w:lang w:val="en-US" w:eastAsia="zh-CN" w:bidi="ar"/>
        </w:rPr>
        <w:t>该平台主要对数字化后的视音频文件进行修复和质量提升，具体包括：</w:t>
      </w: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）视频人工修复系统（针对自动修复不能处理的问题进行人工处理，包括：脏点、斑点、划痕、帧损坏、丢帧、画面部分缺失、胶片换本记号等进行处理）；</w:t>
      </w: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）数字调色系统（调色工作站、调色控制台、</w:t>
      </w:r>
      <w:r>
        <w:rPr>
          <w:rFonts w:hint="default" w:ascii="Calibri" w:hAnsi="Calibri" w:eastAsia="宋体" w:cs="Times New Roman"/>
          <w:kern w:val="2"/>
          <w:sz w:val="21"/>
          <w:szCs w:val="21"/>
          <w:lang w:val="en-US" w:eastAsia="zh-CN" w:bidi="ar"/>
        </w:rPr>
        <w:t>4K</w:t>
      </w:r>
      <w:r>
        <w:rPr>
          <w:rFonts w:hint="eastAsia" w:ascii="宋体" w:hAnsi="宋体" w:eastAsia="宋体" w:cs="宋体"/>
          <w:kern w:val="2"/>
          <w:sz w:val="21"/>
          <w:szCs w:val="21"/>
          <w:lang w:val="en-US" w:eastAsia="zh-CN" w:bidi="ar"/>
        </w:rPr>
        <w:t>参考级调色监视器）；</w:t>
      </w: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）音频的修复和提质，包括音频修复工作站、声音处理套件、声音修复软件、监听控制器、监听音箱和管理套件等。</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（二）总体要求</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历史影音资料智能修护实验室建成之后能够满足与广电总局共建的“中国广播电视艺术资料研究中心”的历史影音资料修复等需求。通过深入挖掘和传播中国电视剧“飞天奖”、电视文艺“星光奖”、中国播音主持“金声奖”等奖项的深厚价值和品牌价值，打造具有重要价值的中国电视艺术学术研究基地和艺术科技融合的创新实验室。实验室地建设能够同时兼顾科研教学。通过搭建历史影音资料智能修护的研究与应用平台，对提升教师队伍的教学科研能力，提升智能媒体时代下学校的社会服务能力，有效提升学生的创意、创新、创业（三创）能力。拓展学校的社会服务职能，为省内外高校、研究机构、企业、相关政府职能部门提供历史影音资料修护服务和技术支持。</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、设备和材料所涉及的设计标准规范（如产品标准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规范、工程标准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规范、验收标准</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规范等）必须完全符合所有中华人民共和国的标准及规范。对国家规定有强制性规范或条例或认证要求的设备或材料，投标人提供的设备或材料应符合该类要求；所有设备必须为知名品牌，出厂原包装，需提供中文操作说明；设备清单中未列出的为实现系统功能所需的其他各项设备及附件，均须包含在投标报价中。</w:t>
      </w:r>
    </w:p>
    <w:p>
      <w:pPr>
        <w:keepNext w:val="0"/>
        <w:keepLines w:val="0"/>
        <w:widowControl w:val="0"/>
        <w:suppressLineNumbers w:val="0"/>
        <w:spacing w:before="0" w:beforeAutospacing="0" w:after="0" w:afterAutospacing="0" w:line="360" w:lineRule="auto"/>
        <w:ind w:left="0" w:right="0" w:firstLine="420"/>
        <w:jc w:val="both"/>
        <w:rPr>
          <w:u w:val="single"/>
          <w:lang w:val="en-US"/>
        </w:rPr>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供应商须自行踏勘现场，充分了解现场现状及条件。因本项目的特殊性，供应商应先到实验室踏勘以充分了解网络环境、设备情况、及任何其它足以影响后续实施的情况，任何因忽视或误解而导致的行政处罚、索赔或工期延长申请将不获批准。请根据项目踏勘的实际情况进行综合考虑报价，且应是在要求工期内完成采购范围全部项目内容的所有费用，包括完成本项目的安装调试费、人工费、利润、税金、风险费等，总价后期不做调整。</w:t>
      </w:r>
      <w:r>
        <w:rPr>
          <w:rFonts w:hint="eastAsia" w:ascii="宋体" w:hAnsi="宋体" w:eastAsia="宋体" w:cs="宋体"/>
          <w:kern w:val="2"/>
          <w:sz w:val="21"/>
          <w:szCs w:val="21"/>
          <w:u w:val="single"/>
          <w:lang w:val="en-US" w:eastAsia="zh-CN" w:bidi="ar"/>
        </w:rPr>
        <w:t xml:space="preserve"> </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（三）设备清单及详细参数</w:t>
      </w:r>
    </w:p>
    <w:p>
      <w:pPr>
        <w:keepNext w:val="0"/>
        <w:keepLines w:val="0"/>
        <w:widowControl w:val="0"/>
        <w:suppressLineNumbers w:val="0"/>
        <w:spacing w:before="0" w:beforeAutospacing="0" w:after="0" w:afterAutospacing="0" w:line="360" w:lineRule="auto"/>
        <w:ind w:left="0" w:right="0"/>
        <w:jc w:val="both"/>
        <w:rPr>
          <w:b/>
          <w:lang w:val="en-US"/>
        </w:rPr>
      </w:pPr>
      <w:r>
        <w:rPr>
          <w:rFonts w:hint="eastAsia" w:ascii="宋体" w:hAnsi="宋体" w:eastAsia="宋体" w:cs="宋体"/>
          <w:b/>
          <w:kern w:val="2"/>
          <w:sz w:val="21"/>
          <w:szCs w:val="21"/>
          <w:lang w:val="en-US" w:eastAsia="zh-CN" w:bidi="ar"/>
        </w:rPr>
        <w:t>技术参数中带★的条款需提供相关证明材料。</w:t>
      </w:r>
    </w:p>
    <w:tbl>
      <w:tblPr>
        <w:tblStyle w:val="6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276"/>
        <w:gridCol w:w="5245"/>
        <w:gridCol w:w="709"/>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设备名称</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技术参数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数量</w:t>
            </w:r>
          </w:p>
        </w:tc>
        <w:tc>
          <w:tcPr>
            <w:tcW w:w="6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1、视音频人工修复提质平台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视频修复软件1（允许进口）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支持自动化和手动数字电影修复，可修复从常见的脏点到非常严重的胶片撕裂和扭曲的所有问题，软件能在Windows上运行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1）具备项目和媒体管理工具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2）支持一键修复图像色彩跳跃功能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3）★支持缺失帧重建，可从相邻序列帧中最多创建3个缺失帧 （需提供相关材料证明）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4）支持一键图像自动稳定功能，支持手动应用跟踪点以修复抖动，片门扰动和胶片接头跳动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5）能够修复几何变形图像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6）支持运用GPU提升DPX，TIFF，EXR序列帧播放性能=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7）支持画笔工具，可用于手动修复脏点、碎片、撕裂和片毛等疑难杂症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8）能够借用不同镜头片段的图像像素来修复损坏的当前镜头画面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9）支持通过调整密度和降低偏色来修复由于胶片乳化层老化导致的褪色、闪烁问题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10）具备胶片颗粒管理功能，可创建自定义颗粒模式，选择局部或全局方式应用于在指定范围的序列帧上，增减颗粒度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11）支持分屏预览或左右对比预览，可通过鼠标滚轮来控制比较两个不同的视频片段，或用并排视图对比片段来确认修复效果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12）配备独特的原始数字胶片修复算法，可修复脏点，碎屑，划痕，撕裂等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13）支持3层配准，重新对齐未配准的RGB层，包括单个通道变形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14）支持版本导出功能，导出修改后的版本文件，包括所有已修改和未修改的源序列帧，从而保留原始序列帧文件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视频修复软件2（允许进口）（核心产品）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软件须满足提供自动、半自动和交互式电影修复、清洁、增强的专业电影修复解决方案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1）支持自动、半自动和交互式电影修复、去除脏点及图像增强功能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2）独立分辨率：可支持SD-8K的任意格式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3）数据格式需支持：支持DPX, CIN, TIFF, TGA, OpenEXR, DCI JPEG 2000, JPEG, BMP 等图像格式，支持8bit, 10bit, 16bit, LIN/LOG，黑白图像，支持QuickTime, AVI 和 MXF封装格式的文件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4）支持多线程运算及集群渲染,支持多GPU运算，基于GPU的高质量光流运动分析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5）修复功能全部基于元数据的非破坏性工作模式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6）支持DFT SCANITY，ARRIScan，Lasergraphics，Cintel和NorthLight扫描仪的防尘和划痕清洁遮罩或红外线遮罩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7）支持LUT和3D LUT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8）修复软件具有时间线概念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9）★支持视频卡上监（需提供相关材料证明）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10）支持直方图视图、RGB值视图、波形视图、放大镜视图、单独的颜色通道视图和灰色视图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11）支持自动镜头剪辑点检测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12）电影修复工具能够处理：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（a）单帧的缺陷，如灰尘、脏点、斑点、霉点、毛发、划痕、药水污渍等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（b）连续画面的不稳定或抖动、变形或扭曲的图像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（c）局部或整体的图像闪烁和色彩呼吸、颜色退化、色彩通道不对齐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（d）电影颗粒、噪波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（e）垂直划痕、镜头或片门毛边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（f）图像局部或整体损坏如接头破损、撕裂、图像扭曲、坏点、换本记号孔等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13）要求多数的电影修复方法能够适用于视频修复，支持专用于视频修复的工具，能够处理：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（a）数字Beta失真（DigiBeta drop-out）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（b）模拟垂直失真（Analogue vertical drop-outs）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（c）噪点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（d）场修复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（e）场去除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14）★支持可单独选配的Neat Video OFX 、Dark Energy Noise视频降噪插件（需提供相关材料证明）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视频采集卡1（允许进口）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支持PCI Express和Thunderbolt采集和输出，具备40Gb/s Thunderbolt 3技术，配置12G</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SDI和HDMI 2.0接口，支持每秒60帧的影像处理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1）SDI视频输入输出分别支持2 x 12Gb/s和2 x 6Gb/s SD/HD/2K/4K，支持单链路/双链路/四链路4:2:2/4:4:4，可切换2D、3D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2）SDI速率支持270Mb、1.5G、3G、6G、12G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3）模拟视频输入输出分别支持1路YUV分量通过3个BNC接口，1路复合NTSC/PAL通过1个BNC接口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4）模拟音频输入输出支持XLR接口的4通道专业平衡模拟音频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5）支持通过BNC接口输入输出2通道非平衡AES/EBU音频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6）支持嵌入音频，通过SDI输入输出16通道音频，通过HDMI输入输出8通道音频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7）可通过HDMI2.0 A类接口输入输出最高分辨率为2160p60的视频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8）支持时间码输入输出，支持同步信号输入和环出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9）支持Thunderbolt 3和 PCI Express 4速连接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10）2个内置国际通用AC电源，带IEC C14插座。100-240V，50-60Hz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11）支持AVC-Intra、AVCHD、DV-NTSC、DV-PAL、DVCPRO50、DVCPROHD、DPX、HDV、HEVC、XDCAM EX、XDCAM HD、XDCAM HD422、DNxHR &amp; DNxHD、Apple ProRes、无压缩8bit 4:2:2、无压缩10bit 4:2:2、无压缩10bit 4:4:4等格式的编解码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12）支持标清、高清/超高清、2K/4K格式的视频，4K最高支持2160P60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13）须包含Studio版专业制作软件，软件功能满足剪辑、调色、视觉特效、动态图形和音频后期制作一站式解决方案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（a）软件支持MacOS/Linux/Windwos系统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（b）支持标清、高清格式的采集，并存储为无压缩RGB4:4:4，10bit位深的DPX文件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（c）支持音频的采集及编辑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（d）软件支持标清、高清、2K、4K及至8K素材的剪辑、调色及输出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（e）支持多种转场特效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视频修复工作站（允许进口）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1）CPU：采用不少于2颗英特尔Xeon可扩展处理器，每颗处理器内核数不少于12核心，不低于24线程，处理器基本频率不低于3GHz，支持最大睿频3.6GHz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2）内存：≥128GB DDR4 2933 ECC内存（4*32GB）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3）显卡：≥RTX 3080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4）网络：须配备10Gb以太网电口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5）硬盘：≥512GB M.2 NVMe 固态硬盘，配置WIN 10 64bit专业版操作系统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6）数据存储：配置≥8块企业级SATA固态硬盘，提供冗余备份机制，总计物理容量不小于15.36TB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7）阵列卡：2GB缓存的阵列卡，RAID 0、1、5、6、10、50，内置接口2 Mini-SAS HD x4 SFF-8643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8）电源：功率不低于1200W（ 1+1）冗余供电模块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9）专业版键鼠：键鼠套装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10）系统：Windwos 10 64位专业版操作系统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11）配备显示适配线（DP转雷电）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12）第三代PCIe插卡和连接线缆，支持连接数字化工作站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工作站辅助工具</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1）外置式设计，产品通过病毒隔离与白名单过滤 USB 移动存储上的素材文件从而进行病毒防范，硬件描述尺寸：114*108*55（含垫脚） /AC-DC 19V2.1A Intel Celeron J3160 1.6GHz 4核/4G DDR3L/120G SSD正面：USB3.0*2/背面：HDMI*1 + RJ45千兆网口*1 + USB3.0*2 + DC IN*1/侧面：VGA*1 + MIC*1 + HP*1）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2）★隔离盒具备手机端远程自助报修功能，在手机端可扫描设备上的二维码进行远程协助报修（须提供远程协助功能的软件著作权证书复印件并承诺在签订合同后提供加盖产品原厂公章的原件）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3）★国产产品，原厂制造，非 OEM 产品。拥有自主知识产权，病毒隔离盒厂家具有内核加固防护技术研发能力，可保障后续产品的连续性（须提供该功能的软件著作权证书复印件并承诺在签订合同后提供加盖产品原厂公章的原件，证书中必须包含内核加固字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4）即插即用，不需要进行IP网段修改，联机即可使用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5）★高速稳定的网络映射、ftp传输方式，支持断点续传功能（须提供相关材料证明，并承诺在签订合同后提供加盖产品原厂公章的原件）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数据威胁双保险（免疫和拦截）：病毒隔离器部署了GKR操作系统内核加固免疫软件，基于内核技术，采用无特征防御理念，能够对计算机的文件、进程、注册表、服务等重要资源进行保护，安全易用；还可集成知名厂商的杀毒软件，拦截潜在的风险以实现免疫和拦截目的（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7）快速读写能力：快速的读写速度，大大缩减了外置设备拷贝时间。读写速度都达到100MB/s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8）灵活访问：避免在PC主机上安装任何驱动，减少对主机的影响，设备安全稳定随时可进行素材过滤访问，保障内网安全性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多安全策略：可定义用户直接访问USB存储设备对文件进行如读、写、删除、重命名等多方面的安全操作，同时可设置USB存储数据读写有单独的密码，防止内部文件非法操作拷贝；多用户通过网络共享方式访问，可以多人同时使用同一个病毒隔离器，病毒隔离器上多个USB口可以同时进行访问读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安全隔离过滤：病毒隔离器采用高性能X86硬件架构，实时监控主机USB接口的接入情况，对于非法移动存储设备的接入进行屏蔽，杜绝移动存储病毒的传播，安全有效地把内、外部网络隔离，通过独有的数据传输协议，保证素材传输的安全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白名单过滤：实现对病毒隔离器所有USB接口操作全面的扫描和过滤，内置基于文件内容深度检测算法能准确快速识别病毒伪装文件，保证对USB移动存储介质访问的安全性，高效安全阻断病毒通过USB移动存储介质进行传输的可能性，从而保证内网的安全性。白名单过滤对所有PC通过USB接口移动存储设备进行的读取和写入操作进行分析和过滤，内置常见的mpeg、mpg、rm、m4v、asf、mov、avi、swf、wav、MP3、MP4、mid、ac3、bmp、jif、jpg、png等80多种格式文件并支持文件过滤格式自定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12）★所投隔离盒具备公安部颁发的反间谍木马类产品销售许可证（须提供许可证复印件并承诺在签订合同后提供加盖产品原厂公章的原件）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视频修复超高清信号监看设备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2）须配备可调倾斜度及高度的支架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高度调节：总调节高度为 105 毫米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实验工作桌</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1）含4个工位，4把椅子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2）每个工位尺寸1400mmx700mmx750mm（根据实际情况，尺寸可调整）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3）工位桌面木质板材，椅子尼龙网面金属脚，塑料滚轮 仿皮扶手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调色工作站1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1）CPU：支持Intel Xeon W 处理器， 内核数不少于8 核心，基本频率不低于3.5GHz，最大睿频支持 4.0GHz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2）内存：≥96GB (6x16GB) DDR4 ECC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3）图形处理器：≥Radeon Pro W5700X</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4）显存：≥16GB GDDR6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6）网口：≥10Gb 以太网电口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7）其他：原装鼠标 + 原装键盘   不锈钢框架配支脚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视频调色超高清信号监看设备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1）屏幕不小于32 英寸 (对角线），采用氧化物 TFT (薄膜晶体管) 技术，IPS LCD 显示屏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2）支持最大分辨率6016 x 3384(2040 万像素)，218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3）XDR亮度支持最高1000 尼特持续亮度（全屏）,1600 尼特峰值亮度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4）SDR 亮度支持最高500 尼特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5）对比度最大支持1000000:1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6）支持P3 广色域，10 位色深可呈现10.73 亿种色彩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8）具备高保真色彩和对比度的超宽广角度，浏览视角支持：左：89º、右：89º、上：89º、下：89º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9）配备原装支架，支持对显示器横向或纵向调节，高度调节支持的总调节高度为 120 毫米 (由正中心起每个方向可调节 60 毫米)，倾斜角度： </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直连存储（允许进口）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1）96TB直连存储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2）12 盘位雷电三桌面静音存储系统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3）LSI SAS3108 处理器,2GB DDRIII 内存，ECC 保护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 RAID0，1，5，6，0+1，JBOD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5）配置1 个雷电三主机端口，1 个雷电三菊花链端口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6）配置 12 块 3.5" SATA 6Gb硬盘，总计物理容量不小于96TB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7）带有1个12G SAS 扩展端口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8）单电源不可热插拔</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视频采集卡2（允许进口）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支持SD、HD、Ultra HD、4K及8K分辨率，支持四个12G-SDI双向接口可用于四链路8K采集或输出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1）支持标清到8K的视频格式，最高支持的格式为8K60P</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2）支持的视频SDI输入输出接口：4路双向12Gb/s SD/HD/2K/4K/8K。支持单链路、双链路及四链路4:2:2/4:4:4。可切换2D、3D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3）SDI音频输入输出支持16通道嵌入SD/HD/2K，64通道嵌入4K/8K</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4）支持AVC-Intra、AVCHD、DV-NTSC、DV-PAL、DVCPRO50、DVCPROHD、DPX、HDV、XDCAM EX、XDCAM 、DNxHR和DNxHD、Apple ProRes、无压缩10bit 4:4:4等格式的视频的编解码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备注：质保期三年。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4K调色信号监看设备（允许进口）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色彩校正参考级监视器，配置内置校准传感器，支持4K HDR</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1）面板须采用广色域LED背灯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2）须采用高对比度IPS面板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3）广色域不低于99% DCI-P3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4）面板尺寸≥31英寸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5）分辨率须支持DCP 4096 x 2160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6）对比度≥1000000:1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7）亮度 ≥1000 cd/m2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8）视角≥178度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9）色深 ≥10bit (真10bit,1024级色阶)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10）支持使用24bit LUT 还原图像色彩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11）响应时间：≤10ms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12）★支持硬件色彩校准，须配备内置校准传感器，支持自动校色 （需提供相关材料证明）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13）★支持AI智能亮度色彩稳定技术（需提供相关材料证明）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14）★能够使用数字均匀均衡（DUE）技术提供稳定的图像显示（需提供相关材料证明）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15）★HDR曲线须支持：PQ, HLG（需提供相关材料证明）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（支持导入camera log,如：S-log,V-log,Red-log etc.）</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16）支持多种色彩预设模式：BT.2020, BT.709, DCI, PQ_BT.2100, PQ_BT.709, PQ_DCI, HLG_BT.2100, Calibration, Sync Signal</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17）★设备须配置内置校准和控制软件，支持色彩自动校正（需提供相关材料证明）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18）须配备4K/HDR内容制作拓展功能：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预设多种色彩模式，伽玛设定，Blue Only(噪点检测)，自动信号同步，区域标定，4K变焦，亮度警告，BT.709色域外警告，输入信息显示，自定义快捷键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19）须配备输入信号显示功能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20）须满足双光栅超纯黑显示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21）数字接口须满足：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（a）输入  BNC (12G/6G/3G/HD-SDI), BNC (3G/HD-SDI) x 3, DisplayPort (HDCP 1.3), HDMI (Deep Color, HDCP 2.2 / 1.4)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（b）输出  BNC (12G/6G/3G/HD-SDI, through-out (active)), BNC (3G/HD-SDI, through-out (active)) x 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（c）DisplayPort: 25 - 137 kHz, 23 -61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（d）HDMI: 15 - 135 kHz, 23 - 61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22）须具备USB3.1接口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23）支持多语言设定：英语、德语、法语、意大利语、日语、简体中文、西班牙语、瑞典语、繁体中文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24）★须通过CB, CE, TUV/GS, cTUVus, FCC-B, CAN ICES-3 (B), VCCI-B, TUV/Ergonomie, TUV/Color Accuracy (Quick Stability), RCM, EAC, RoHS, WEEE, CUDO certified mark, China RoHS, CCC体系认证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25）保修须满足原厂商5年或者30000小时免费质保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备注：质保期5年或30000小时。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4K视频信号监看设备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1）屏幕尺寸不小于75英寸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2）屏幕分辨率支持3840×2160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3）屏幕刷新频率为120HZ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4）配置2个HDMI2.0接口,1个USB3.0接口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5）存储空间不低于32GB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6）含底座尺寸：约1675×1040×410mm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7）支持USB流媒体播放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调色台（允许进口）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符合人体工程学设计，由三个控制面板及滑出式键盘组成，调色环节可精准控制；每项调色操控都专门设有不同的多功能按键、旋钮以及高精度轨迹球或控制环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1）★调色台由三个控制面板及滑出式键盘组成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2）调色台均搭载USB</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B接口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3）搭载2个用于连接鼠标和其他USB设备的USB</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A接口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4）调色台均搭载USB Mini</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B接口，用于安装原厂软件更新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5）3W3 D</w:t>
            </w:r>
            <w:r>
              <w:rPr>
                <w:rFonts w:hint="eastAsia" w:ascii="宋体" w:hAnsi="宋体" w:eastAsia="MS Gothic" w:cs="宋体"/>
                <w:kern w:val="0"/>
                <w:sz w:val="18"/>
                <w:szCs w:val="18"/>
                <w:lang w:val="en-US" w:eastAsia="zh-CN" w:bidi="ar"/>
              </w:rPr>
              <w:noBreakHyphen/>
            </w:r>
            <w:r>
              <w:rPr>
                <w:rFonts w:hint="eastAsia" w:ascii="宋体" w:hAnsi="宋体" w:eastAsia="宋体" w:cs="宋体"/>
                <w:kern w:val="0"/>
                <w:sz w:val="18"/>
                <w:szCs w:val="18"/>
                <w:lang w:val="en-US" w:eastAsia="zh-CN" w:bidi="ar"/>
              </w:rPr>
              <w:t>Sub接口，支持12V电源输入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6）外置100 - 240V AC 1.5A 50/60Hz，带IEC C14电源输入，功耗最大80W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7）调色台支持MacOS、Windows、和Linux系统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8）须包含专业调色软件，软件须支持MacOS、Windwos和Linux系统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调色工作站2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1）显示器：24 英寸 4.5K 视网膜显示屏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2）CPU：不少于8 核中央处理器、8核图形处理器和16核神经网络引擎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3）内存：≥16GB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5）其他：原装键盘 + 原装触摸板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音频修复工作站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1）CPU：支持Intel Xeon W 处理器， 内核不少于12 核心，基本频率不低于3.3GHz，最大睿频支持4.4GHz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2）内存：≥48GB (6x8GB) DDR4 ECC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3）图形处理器：≥Radeon Pro W5500X</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4）显存：≥8GB GDDR6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5）硬盘：≥1TB 固态硬盘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6）网口：≥10Gb 以太网电口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7）其他：原装鼠标 + 原装键盘 不锈钢框架配支脚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8）两条长度不低于1.8m连接线，最高传输速率不低于40Gb/s，USB-C端口</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音频修复超高清信号监看设备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1）对角线尺寸不小于27 英寸，标准玻璃面板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2）须配备可调倾斜度的支架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   倾斜角度：</w:t>
            </w:r>
            <w:r>
              <w:rPr>
                <w:rFonts w:hint="eastAsia" w:ascii="MS Mincho" w:hAnsi="MS Mincho" w:eastAsia="MS Mincho" w:cs="MS Mincho"/>
                <w:kern w:val="0"/>
                <w:sz w:val="18"/>
                <w:szCs w:val="18"/>
                <w:lang w:val="en-US" w:eastAsia="zh-CN" w:bidi="ar"/>
              </w:rPr>
              <w:t>−</w:t>
            </w:r>
            <w:r>
              <w:rPr>
                <w:rFonts w:hint="eastAsia" w:ascii="宋体" w:hAnsi="宋体" w:eastAsia="宋体" w:cs="宋体"/>
                <w:kern w:val="0"/>
                <w:sz w:val="18"/>
                <w:szCs w:val="18"/>
                <w:lang w:val="en-US" w:eastAsia="zh-CN" w:bidi="ar"/>
              </w:rPr>
              <w:t>5° 至 +25°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3）最大分辨率支持5120 x 2880，218 ppi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4）支持P3 广色域，支持10亿色彩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5）亮度：最高支持600 尼特亮度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6）连接端口不少于1个雷雳 3 (USB-C) 端口、3个 USB-C 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7）须配备不少于1200 万像素超广角摄像头，视角≥122°，光圈≥ƒ/2.4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8）配备高保真六扬声器系统，采用振动抵消低音单元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声音处理套件（允许进口）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支持对音频素材进行数字化录制、编辑、修复、整理、母版生产、归档等工作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1）需要含声音处理软件、授权软件（加密狗）</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（a）支持2048个同时音轨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（b）支持64个同时输入输出通道</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（c）支持2000个文件夹轨道，无限制数量总线，512乐器轨道，1024个MIDI音轨，512辅助音轨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（d）支持32位量化精度，192kHz采样频率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（e）支持自动插件延迟补偿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（f）具备高级自动化、环绕混音、输入监听、AFL/PFL独奏和破坏性穿插等其他专业功能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（g）支持高级环绕声混录：立体声，环绕声，杜比全景声，Ambisonics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2）须含有如下套件：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（a）含USB接口控制台，不少于5组8个可分配功能键+3个快捷键，8个100mm行程电动触感推子，8个高分辨率彩色显示屏，8个旋转编码器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（b）含USB接口插件控制器，含滤波、均衡、动态处理、总线压缩器控制功能，具备物理指针式增益衰减电平表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（c）含DSP效果卡：八核雷电效果卡及11个效果插件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（d）含人声插件：专业人声音高修正插件及多重人声效果插件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（e）含分析插件：实时计量分析套装, 带有峰值、RMA和EBU R128/ELOUD的计量表；及多声道功能扩展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（f）含插件套装：不少于11款，专为录音、混音、重混音和母带制作设计；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（g）含插件套装：实时人声和声音建模处理器，调整声音的特征属性，如性别、年龄和呼吸，含10声道全景声混响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（h）含插件套装：含均衡、动态、限幅、混响、宽频段噪声消除、嗡声呼啸噪声消除、爆破噼啪噪声消除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（i）含压扩变调插件：1/8至8倍时间压扩，36半音变调功能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（j）含综合插件：环绕声/全景声处理插件，含上混、下混、均衡、限幅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（k）含插件套装：Gold、Masters、Renaissance Maxx包、L3 Ultramaximizer、PuigTec EQ、从何各种标准响度还原插件：（国际电信联盟）、EBU（欧洲广播联盟）和ATSC（美国高级顾问委员会）的所有标准插件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音频接口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音频工作站专用音频接口，用于多路模拟、数字音频信号的输入、路由、处理、输出的工作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1）不少于64进64出的DigiLink接口和双Thunderbolt 3音频接口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2）具有超低延迟模数/数模转换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3）不少于16个线路输入，每通道可切换+18或+24 dBu 0 dBFS，动态范围不低于119dBA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4）不少于16个线路输出，每通道可切换+18或+24 dBu 0 dBFS，动态范围不低于121dBA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5）不少于2个话筒前置放大器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6）不少于2个高阻乐器输入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7）不少于2个耳机输出接口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8）具备BNC字时钟输入输出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9）具备BNC循环同步输入输出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10）具备主备不少于2个Dante网络端口</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监听控制器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用于接入多种音频信号，包括模拟线路、电唱机、数字、电脑USB等，输出至监听音箱、耳机、返送系统等。完成监听信号源切换选择、音量控制等工作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1）支持不少于8组信号源，每组最多通道数不少于12个，总共不少于32通道</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2）支持不低于7.1.4通道监听输出格式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3）监听控制功能不少于：电平、预置电平选择及锁定，定值衰减，静音，多种独奏模式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4）不少于4个下变换预置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5）内置话筒，具备带48V供电开关的话筒接口及增益调节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6）不少于2个液晶屏，显示输入和输出（含耳机）电平表、导航菜单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7）具备耳机输出，可监听模拟和数字等多种信号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8）具备脚踏控制器接口，用于控制对讲、LFE静音等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9）供电方式不少于2种：网线供电和外接电源供电</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监听音响系统1（允许进口）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对音频内容在采录、编辑、混音、回放等阶段进行准确监听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1）DSP二分频有源监听音箱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2）★最大声压级不低于110dB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3）频响范围不劣于38Hz-22kHz(-6dB)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4）单元不小于：低频6.5英寸，高频3/4英寸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5）具备模拟输入，AES数字I/O，2个RJ45接口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6）输出功率不低于：低频150W；高频150W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7）可配合使用监听校准套件实现自动测量校准，以及监听控制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监听音响系统2（允许进口）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对音频内容在采录、编辑、混音、回放等阶段进行准确监听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1）DSP二分频有源监听音箱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2）最大声压级不低于104dB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3）频响范围不劣于45Hz-23kHz(-6dB)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4）单元不小于：低频5英寸，高频3/4英寸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5）具备模拟输入，AES数字I/O，2个RJ45接口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6）输出功率不低于：低频50W；高频50W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7）可配合使用监听校准套件实现自动测量校准，以及监听控制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监听音响系统3（允许进口）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对音频内容在采录、编辑、混音、回放等阶段进行准确监听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1）DSP低频有源监听音箱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2）最大声压级不低于113dB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3）频响范围不劣于19 Hz - 100 Hz (-6 dB) LFE 19 Hz - 150 Hz (-6 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4）单元不小于12英寸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5）具备不少于8个模拟I/O，AES数字I/O，2个RJ45接口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6）输出功率不低于400W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7）可配合使用监听校准套件实现自动测量校准，以及监听控制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监听音箱管理套件（允许进口）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对所有监听音箱对应点位配套控制系统，保证环绕声、全景声、立体声监听反馈进行准确匹配及声场测量覆盖</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1）校准套件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2）兼容 Mac 及 Windows 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3）与监听音箱全系列音箱配合使用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4）同时连接和管理多只音箱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5）操作直观，仅需几步即可完成设置和自动校准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6）与音箱同品牌，含：一个网络适配盒；一支声学测试话筒；一套音箱测试校准软件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7）★如为进口设备，为保障项目的顺利执行，合同签订后需提供制造商（或其境内总代理）的投标品牌产品授权书；如为国产设备则无需提供投标产品授权书。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话筒1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1）支持各种状态下男声、女声不同声音介质修复补音录制使用的人声信息采集还原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1）具有镀镍黄铜主体结构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2）具有三种极性模式：心形、八字形、全指向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3）具有-10dB衰减器开关；80Hz高通滤波器开关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4）具有频率响应：20Hz-20kHz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5）具有声压级（SPL）：0.5%总谐波失真@125dB；最大峰值132dB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6）具有膜片：6微米厚，喷金膜，NOS聚脂薄膜（PET膜）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7）具有噪声：-117dB</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话筒2（允许进口）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支持各种环境的声音补录、现场补音、修复声音补录、综合人声信息采集还原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1）支持拾音方式超心型/叶型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2）支持频率响应：40-20,000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3）支持灵敏度(自由场，无负载，1kHz条件下)：25 mV/Pa，±1dB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4）支持最大声压级：130dB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5）具有电源：48±4V 幻象供电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话筒支架（允许进口）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1）支持配重话筒的重量，真实反馈话筒试音位置的准确信息。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1）标准话筒支架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2）动臂：一件式设计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3）动臂夹紧：丁字杆锁紧螺丝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4）动臂长度：800mm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5）高度：900 - 1605mm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6）高度调整：离合器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7）腿部构造：带可折叠脚的插座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8）类型：黑色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备注：质保期一年。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操作台</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对所有音频设备进行集成综合控制界面的操作平台，所有对应设备均可直观实现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1）操作台主体采用冷轧钢板，使用木纹密度板或实木拼接板装饰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2）含2组标准设备机架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3）操作台面含1组镶嵌式标准机架式设备槽位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4）规格要求：2400mm*1000mm*750mm（根据实际情况，尺寸可调整）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对各种信号进行批量传输，并按照匹配度进行信号的分流，还原相关信息准确性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1）≥24个1000Base-T以太网口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2）≥4个千兆SFP插槽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3）交换容量 ≥336Gbps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4）包转发率≥ 42Mpps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5）无风扇噪声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系统集成及技术服务</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含：设备安装、部署、调试、设备使用培训等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bl>
    <w:p>
      <w:pPr>
        <w:keepNext w:val="0"/>
        <w:keepLines w:val="0"/>
        <w:widowControl w:val="0"/>
        <w:suppressLineNumbers w:val="0"/>
        <w:spacing w:before="0" w:beforeAutospacing="0" w:after="0" w:afterAutospacing="0"/>
        <w:ind w:left="0" w:right="0"/>
        <w:jc w:val="both"/>
        <w:rPr>
          <w:lang w:val="en-US"/>
        </w:rPr>
      </w:pPr>
    </w:p>
    <w:p>
      <w:pPr>
        <w:pStyle w:val="6"/>
        <w:widowControl/>
        <w:rPr>
          <w:rFonts w:hint="eastAsia" w:ascii="宋体" w:hAnsi="宋体" w:eastAsia="宋体" w:cs="宋体"/>
          <w:b w:val="0"/>
          <w:kern w:val="0"/>
          <w:sz w:val="21"/>
          <w:szCs w:val="21"/>
          <w:lang w:val="en-US"/>
        </w:rPr>
      </w:pPr>
      <w:r>
        <w:rPr>
          <w:rFonts w:hint="eastAsia" w:ascii="宋体" w:hAnsi="宋体" w:eastAsia="宋体" w:cs="宋体"/>
          <w:kern w:val="0"/>
          <w:sz w:val="21"/>
          <w:szCs w:val="21"/>
          <w:lang w:eastAsia="zh-CN"/>
        </w:rPr>
        <w:t>（四）其他要求</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1、相关法规、管理条例与技术标准、行业规范：</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（1）国家规定的标准和规范，有新标准按新标准执行；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（2）行业标准及规范，有新标准按新标准执行；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（3）其他相关标准。</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2、通用技术要求：</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
          <w:lang w:val="en-US"/>
        </w:rPr>
      </w:pPr>
      <w:r>
        <w:rPr>
          <w:rFonts w:hint="eastAsia" w:ascii="宋体" w:hAnsi="宋体" w:eastAsia="宋体" w:cs="宋体"/>
          <w:kern w:val="2"/>
          <w:sz w:val="21"/>
          <w:szCs w:val="21"/>
          <w:lang w:val="en-US" w:eastAsia="zh-CN" w:bidi="ar"/>
        </w:rPr>
        <w:t>（1）以下所列为本次采购的基本要求，供应商须按有关标准及规范完成本次采购设备制造与供货、运输（含保险、装卸车）、安装、调试与技术培训、检验、检测、通过有关部门验收、质保期内服务、维修等各项工作，并保证其使用的安全性与可靠性。</w:t>
      </w:r>
      <w:r>
        <w:rPr>
          <w:rFonts w:hint="eastAsia" w:ascii="宋体" w:hAnsi="宋体" w:eastAsia="宋体" w:cs="宋体"/>
          <w:b/>
          <w:kern w:val="2"/>
          <w:sz w:val="21"/>
          <w:szCs w:val="21"/>
          <w:lang w:val="en-US" w:eastAsia="zh-CN" w:bidi="ar"/>
        </w:rPr>
        <w:t>具体配置说明、技术参数及产品样本等由供应商在投标文件中提供。如中标，供应商须对中标仪器设备使用的安全性、有效性及检测结果的可靠性负全部责任。</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供应商应保证提供的货物为合法生产企业的产品，符合国家有关法律、法规、规定和标准。按国家规定应通过有关部门鉴定（批准）的产品，应保证已按国家规定通过了鉴定（批准），并附鉴定文件（批准证书）的复制件。实行产品许可证制度的产品还须提供生产许可证复制件。供应商的投标产品必须具备相当于或高于招标文件中招标人所要求的相应的技术指标，并能提供更好的性能，具有更高的可靠性和耐用性。</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（3）供应商提供的投标产品应适合招标人的工作条件。货物安装运行对环境如有特殊要求的，应在投标文件中加以说明。</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（4）供应商无论是否具有进出口办理权，所投标产品的价格需包含产品CIP报价的所有费用。（若允许进口设备进行投标，本项需满足，是否允许，详见前附表规定。）</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5）投标人应在投标文件偏离表中如实承诺对采购人招标文件中技术参数要求的正/负偏离响应情况。若偏离表中写完全响应，无偏离，但在实施过程中发现不符合要求的，采购人将上报相关部门并保留投诉和索赔的权利。</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本项目为交钥匙工程，报价方式为总价包干，含设备费、材料费、配套线缆等辅助材料费、制造、购置费、运输费、安装费、搬运费、售后服务、质检费、验收费、集成涉及的相关费用、税金和其它费用等。对于没有填报的项目，采购人将不再支付，并均认为已包含在投标报价内。进口设备的设备费须包含设备（包括主机、标准附件、备品备件、专用工具）价、国际运费、国际运输保险费、银行财务费、外贸手续费、清关费等进口所需发生的其他费用、国内运杂费、国内运输保险费、利润、税金等。按人民币报价。</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（7）各个设备技术参数中所涉及到的检测报告或产品截图，</w:t>
      </w:r>
      <w:r>
        <w:rPr>
          <w:rFonts w:hint="eastAsia" w:ascii="Calibri" w:hAnsi="Calibri" w:eastAsia="宋体" w:cs="宋体"/>
          <w:kern w:val="2"/>
          <w:sz w:val="21"/>
          <w:szCs w:val="21"/>
          <w:lang w:val="en-US" w:eastAsia="zh-CN" w:bidi="ar"/>
        </w:rPr>
        <w:t>合同签订后</w:t>
      </w:r>
      <w:r>
        <w:rPr>
          <w:rFonts w:hint="eastAsia" w:ascii="宋体" w:hAnsi="宋体" w:eastAsia="宋体" w:cs="宋体"/>
          <w:kern w:val="2"/>
          <w:sz w:val="21"/>
          <w:szCs w:val="21"/>
          <w:lang w:val="en-US" w:eastAsia="zh-CN" w:bidi="ar"/>
        </w:rPr>
        <w:t>提供检测原厂盖章复印件或产品截图复印件。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注：国家政策允许免税的进口设备的价格采用免税的人民币报价，但对于不能免税的部分应报含税价，并在投标文件中予以明示，交易方式为CIP浙江传媒学院。不能享受国家的减免税政策或者加征关税的，其税金均由中标供应商承担。由中标供应商委托相关外贸公司办理免税事宜，采购人予以协助，所需费用由中标供应商承担。</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3、系统集成项目组实施人员能力（3分）</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针对本项目建立项目支撑团队，要求人数达到10人及以上（高级项目经理1名、项目技术负责人1名、技术人员2人及以上，其他安装调试技术支撑人员6人）。</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①高级项目经理具有PMP高级项目经理证或高级技术职称证书；（1分）</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②项目技术负责人具有高级信息系统项目管理师或网络工程师认证或高级技术职称证书； （1分）</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③其他安装调试技术支撑人员均需具有硕士研究生及以上学历或中级及以上技术职称。（1分）</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lang w:val="en-US"/>
        </w:rPr>
      </w:pPr>
      <w:r>
        <w:rPr>
          <w:rFonts w:hint="eastAsia" w:ascii="宋体" w:hAnsi="宋体" w:eastAsia="宋体" w:cs="宋体"/>
          <w:b/>
          <w:kern w:val="2"/>
          <w:sz w:val="21"/>
          <w:szCs w:val="21"/>
          <w:lang w:val="en-US" w:eastAsia="zh-CN" w:bidi="ar"/>
        </w:rPr>
        <w:t>4、验收方案：</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验收内容：中标方实际完成的情况是否符合采购文件要求和中标方在投标响应文件中的商务、技术承诺。验收中发现合同系统达不到验收标准或合同规定的性能指标，中标方必须在征得采购方认可后更换合同货物，并负担由此给采购人造成的损失，直到验收合格为止。</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验收标准：中标方已经按采购文件要求和中标方在投标响应文件中的商务、技术承诺完成项目执行。中标方应提供合同系统的有效检验文件，经采购人认可后，与合同的性能指标一起作为合同系统验收标准，并在验收中提供采购人认可的相应检测手段，验收标准应符合中国有关的国家、地方、行业的标准，如若中标，经采购人确认后作为验收的依据。</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（3）验收程序：中标方将全部货物送至采购人指定地点后5个工作日内，采购人组织点货验收；货物验收合格后，中标方完成设备安装与集成，试运行满10个工作日后，采购人组织项目功能验收。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（4）验收时乙方应在现场，验收完毕后作出验收结果报告；验收产生的费用，属于首次验收过程中产生的，由甲方承担；属于首次验收不合格，重新验收过程中产生的，由乙方承担。</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（5）技术履约内容</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1）中标方应及时免费提供合同系统软件的升级，免费提供合同系统新功能和应用的资料。</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中标方需在项目验收时，基于本项目建设的视音频人工修复的提质平台，对数字化后的影音文件进行人工视频修复、数字调色处理、音频修复的处理流程，满足不同系统模块间的数据接口要求，并达到预期的处理效果。注：要求处理的数字化文件的时长不少于10分钟。</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（五）系统演示（共</w:t>
      </w:r>
      <w:r>
        <w:rPr>
          <w:rFonts w:hint="eastAsia" w:ascii="宋体" w:hAnsi="宋体" w:eastAsia="宋体" w:cs="宋体"/>
          <w:kern w:val="0"/>
          <w:sz w:val="21"/>
          <w:szCs w:val="21"/>
          <w:lang w:val="en-US"/>
        </w:rPr>
        <w:t>9</w:t>
      </w:r>
      <w:r>
        <w:rPr>
          <w:rFonts w:hint="eastAsia" w:ascii="宋体" w:hAnsi="宋体" w:eastAsia="宋体" w:cs="宋体"/>
          <w:kern w:val="0"/>
          <w:sz w:val="21"/>
          <w:szCs w:val="21"/>
          <w:lang w:eastAsia="zh-CN"/>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演示内容及要求如下：</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1、视频修复软件1演示：对于指定的素材进行人工视频修复场景演示。共计4分。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①人工视频修复功能演示，包括：影片修复脏点、碎屑、划痕、撕裂的处理、缺失帧重建等功能。（2分）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②人工视频修复效果展示，包括：缺失帧重建，对无法自动去除的影片缺陷进行手动处理的效果展示。（2分）</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2、视频修复软件2演示：对于指定的素材进行人工视频修复场景演示。共计4分。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①人工视频修复功能演示，包括：影片自动脏点、抖动、闪烁、划痕处理处理；脏点、划痕、斑点手动处理；视频上监视器等功能。（2分）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②人工视频修复效果展示，包括：影片脏点、划痕、斑点等手动去除的效果展示。（2分）</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lang w:val="en-US"/>
        </w:rPr>
      </w:pPr>
      <w:r>
        <w:rPr>
          <w:rFonts w:hint="eastAsia" w:ascii="宋体" w:hAnsi="宋体" w:eastAsia="宋体" w:cs="宋体"/>
          <w:b/>
          <w:kern w:val="2"/>
          <w:sz w:val="21"/>
          <w:szCs w:val="21"/>
          <w:lang w:val="en-US" w:eastAsia="zh-CN" w:bidi="ar"/>
        </w:rPr>
        <w:t>3、4K调色信号监看设备功能介绍演示。共计1分。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① 硬件色彩校准功能演示；支持自动色彩校正功能演示；支持的HDR曲线介绍；色彩预设模式介绍。（1分）</w:t>
      </w:r>
    </w:p>
    <w:p>
      <w:pPr>
        <w:keepNext w:val="0"/>
        <w:keepLines w:val="0"/>
        <w:widowControl w:val="0"/>
        <w:suppressLineNumbers w:val="0"/>
        <w:spacing w:before="0" w:beforeAutospacing="0" w:after="0" w:afterAutospacing="0" w:line="360" w:lineRule="auto"/>
        <w:ind w:left="0" w:right="0" w:firstLine="420" w:firstLineChars="200"/>
        <w:jc w:val="both"/>
      </w:pPr>
      <w:r>
        <w:rPr>
          <w:rFonts w:hint="eastAsia" w:ascii="宋体" w:hAnsi="宋体" w:eastAsia="宋体" w:cs="宋体"/>
          <w:kern w:val="2"/>
          <w:sz w:val="21"/>
          <w:szCs w:val="21"/>
          <w:lang w:val="en-US" w:eastAsia="zh-CN" w:bidi="ar"/>
        </w:rPr>
        <w:t>注：系统演示时间控制在10分钟以内，视频格式要求为Avi、MP4等常用格式。</w:t>
      </w:r>
    </w:p>
    <w:p>
      <w:pPr>
        <w:pStyle w:val="997"/>
        <w:widowControl/>
        <w:rPr>
          <w:lang w:val="en-US"/>
        </w:rPr>
      </w:pP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sz w:val="21"/>
          <w:szCs w:val="21"/>
          <w:lang w:val="en-US"/>
        </w:rPr>
      </w:pPr>
      <w:r>
        <w:rPr>
          <w:rFonts w:ascii="宋体" w:hAnsi="宋体" w:eastAsia="宋体" w:cs="仿宋"/>
          <w:color w:val="000000"/>
          <w:sz w:val="21"/>
          <w:szCs w:val="21"/>
          <w:lang w:eastAsia="zh-CN"/>
        </w:rPr>
        <w:t>其中，根据“电子交易</w:t>
      </w:r>
      <w:r>
        <w:rPr>
          <w:rFonts w:ascii="宋体" w:hAnsi="宋体" w:eastAsia="宋体" w:cs="仿宋"/>
          <w:color w:val="000000"/>
          <w:sz w:val="21"/>
          <w:szCs w:val="21"/>
          <w:lang w:val="en-US"/>
        </w:rPr>
        <w:t>/</w:t>
      </w:r>
      <w:r>
        <w:rPr>
          <w:rFonts w:ascii="宋体" w:hAnsi="宋体" w:eastAsia="宋体" w:cs="仿宋"/>
          <w:color w:val="000000"/>
          <w:sz w:val="21"/>
          <w:szCs w:val="21"/>
          <w:lang w:eastAsia="zh-CN"/>
        </w:rPr>
        <w:t>不见面开评标”原则，供应商需将根据演示要求录制视频，总共演示时间不超过</w:t>
      </w:r>
      <w:r>
        <w:rPr>
          <w:rFonts w:ascii="宋体" w:hAnsi="宋体" w:eastAsia="宋体" w:cs="仿宋"/>
          <w:color w:val="000000"/>
          <w:sz w:val="21"/>
          <w:szCs w:val="21"/>
          <w:lang w:val="en-US"/>
        </w:rPr>
        <w:t>10</w:t>
      </w:r>
      <w:r>
        <w:rPr>
          <w:rFonts w:ascii="宋体" w:hAnsi="宋体" w:eastAsia="宋体" w:cs="仿宋"/>
          <w:color w:val="000000"/>
          <w:sz w:val="21"/>
          <w:szCs w:val="21"/>
          <w:lang w:eastAsia="zh-CN"/>
        </w:rPr>
        <w:t>钟，以</w:t>
      </w:r>
      <w:r>
        <w:rPr>
          <w:rFonts w:ascii="宋体" w:hAnsi="宋体" w:eastAsia="宋体" w:cs="仿宋"/>
          <w:color w:val="000000"/>
          <w:sz w:val="21"/>
          <w:szCs w:val="21"/>
          <w:lang w:val="en-US"/>
        </w:rPr>
        <w:t>.mp4</w:t>
      </w:r>
      <w:r>
        <w:rPr>
          <w:rFonts w:ascii="宋体" w:hAnsi="宋体" w:eastAsia="宋体" w:cs="仿宋"/>
          <w:color w:val="000000"/>
          <w:sz w:val="21"/>
          <w:szCs w:val="21"/>
          <w:lang w:eastAsia="zh-CN"/>
        </w:rPr>
        <w:t>格式，存储于</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w:t>
      </w: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cs="仿宋"/>
          <w:sz w:val="21"/>
          <w:szCs w:val="21"/>
          <w:lang w:val="en-US"/>
        </w:rPr>
      </w:pPr>
      <w:r>
        <w:rPr>
          <w:rFonts w:ascii="宋体" w:hAnsi="宋体" w:eastAsia="宋体" w:cs="仿宋"/>
          <w:color w:val="000000"/>
          <w:sz w:val="21"/>
          <w:szCs w:val="21"/>
          <w:lang w:eastAsia="zh-CN"/>
        </w:rPr>
        <w:t>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盘或光盘以</w:t>
      </w:r>
      <w:r>
        <w:rPr>
          <w:rFonts w:ascii="宋体" w:hAnsi="宋体" w:eastAsia="宋体" w:cs="仿宋"/>
          <w:color w:val="000000"/>
          <w:sz w:val="21"/>
          <w:szCs w:val="21"/>
          <w:lang w:val="en-US"/>
        </w:rPr>
        <w:t>EMS</w:t>
      </w:r>
      <w:r>
        <w:rPr>
          <w:rFonts w:ascii="宋体" w:hAnsi="宋体" w:eastAsia="宋体" w:cs="仿宋"/>
          <w:color w:val="000000"/>
          <w:sz w:val="21"/>
          <w:szCs w:val="21"/>
          <w:lang w:eastAsia="zh-CN"/>
        </w:rPr>
        <w:t>或顺丰邮寄形式在响应文件提交截止时间前递交，收件人：陶老师，联系方式：</w:t>
      </w:r>
      <w:r>
        <w:rPr>
          <w:rFonts w:ascii="宋体" w:hAnsi="宋体" w:eastAsia="宋体" w:cs="仿宋"/>
          <w:color w:val="000000"/>
          <w:sz w:val="21"/>
          <w:szCs w:val="21"/>
          <w:lang w:val="en-US"/>
        </w:rPr>
        <w:t>0571-88901836</w:t>
      </w:r>
      <w:r>
        <w:rPr>
          <w:rFonts w:ascii="宋体" w:hAnsi="宋体" w:eastAsia="宋体" w:cs="仿宋"/>
          <w:color w:val="000000"/>
          <w:sz w:val="21"/>
          <w:szCs w:val="21"/>
          <w:lang w:eastAsia="zh-CN"/>
        </w:rPr>
        <w:t>，收件地址：杭州市环城北路</w:t>
      </w:r>
      <w:r>
        <w:rPr>
          <w:rFonts w:ascii="宋体" w:hAnsi="宋体" w:eastAsia="宋体" w:cs="仿宋"/>
          <w:color w:val="000000"/>
          <w:sz w:val="21"/>
          <w:szCs w:val="21"/>
          <w:lang w:val="en-US"/>
        </w:rPr>
        <w:t>305</w:t>
      </w:r>
      <w:r>
        <w:rPr>
          <w:rFonts w:ascii="宋体" w:hAnsi="宋体" w:eastAsia="宋体" w:cs="仿宋"/>
          <w:color w:val="000000"/>
          <w:sz w:val="21"/>
          <w:szCs w:val="21"/>
          <w:lang w:eastAsia="zh-CN"/>
        </w:rPr>
        <w:t>号耀江发展中心三楼</w:t>
      </w:r>
      <w:r>
        <w:rPr>
          <w:rFonts w:ascii="宋体" w:hAnsi="宋体" w:eastAsia="宋体" w:cs="仿宋"/>
          <w:color w:val="000000"/>
          <w:sz w:val="21"/>
          <w:szCs w:val="21"/>
          <w:lang w:val="en-US"/>
        </w:rPr>
        <w:t>302</w:t>
      </w:r>
      <w:r>
        <w:rPr>
          <w:rFonts w:ascii="宋体" w:hAnsi="宋体" w:eastAsia="宋体" w:cs="仿宋"/>
          <w:color w:val="000000"/>
          <w:sz w:val="21"/>
          <w:szCs w:val="21"/>
          <w:lang w:eastAsia="zh-CN"/>
        </w:rPr>
        <w:t>会议室，收件时间：上午</w:t>
      </w:r>
      <w:r>
        <w:rPr>
          <w:rFonts w:ascii="宋体" w:hAnsi="宋体" w:eastAsia="宋体" w:cs="仿宋"/>
          <w:color w:val="000000"/>
          <w:sz w:val="21"/>
          <w:szCs w:val="21"/>
          <w:lang w:val="en-US"/>
        </w:rPr>
        <w:t>08</w:t>
      </w:r>
      <w:r>
        <w:rPr>
          <w:rFonts w:ascii="宋体" w:hAnsi="宋体" w:eastAsia="宋体" w:cs="仿宋"/>
          <w:color w:val="000000"/>
          <w:sz w:val="21"/>
          <w:szCs w:val="21"/>
          <w:lang w:eastAsia="zh-CN"/>
        </w:rPr>
        <w:t>：</w:t>
      </w:r>
      <w:r>
        <w:rPr>
          <w:rFonts w:ascii="宋体" w:hAnsi="宋体" w:eastAsia="宋体" w:cs="仿宋"/>
          <w:color w:val="000000"/>
          <w:sz w:val="21"/>
          <w:szCs w:val="21"/>
          <w:lang w:val="en-US"/>
        </w:rPr>
        <w:t>30-11:30</w:t>
      </w:r>
      <w:r>
        <w:rPr>
          <w:rFonts w:ascii="宋体" w:hAnsi="宋体" w:eastAsia="宋体" w:cs="仿宋"/>
          <w:color w:val="000000"/>
          <w:sz w:val="21"/>
          <w:szCs w:val="21"/>
          <w:lang w:eastAsia="zh-CN"/>
        </w:rPr>
        <w:t>，下午</w:t>
      </w:r>
      <w:r>
        <w:rPr>
          <w:rFonts w:ascii="宋体" w:hAnsi="宋体" w:eastAsia="宋体" w:cs="仿宋"/>
          <w:color w:val="000000"/>
          <w:sz w:val="21"/>
          <w:szCs w:val="21"/>
          <w:lang w:val="en-US"/>
        </w:rPr>
        <w:t>14:30-17:30</w:t>
      </w:r>
    </w:p>
    <w:p>
      <w:pPr>
        <w:pStyle w:val="53"/>
        <w:keepNext w:val="0"/>
        <w:keepLines w:val="0"/>
        <w:widowControl w:val="0"/>
        <w:suppressLineNumbers w:val="0"/>
        <w:autoSpaceDE w:val="0"/>
        <w:autoSpaceDN w:val="0"/>
        <w:adjustRightInd w:val="0"/>
        <w:spacing w:before="0" w:beforeAutospacing="0" w:after="0" w:afterAutospacing="0" w:line="300" w:lineRule="auto"/>
        <w:ind w:left="0" w:right="0" w:firstLine="420" w:firstLineChars="200"/>
        <w:rPr>
          <w:rFonts w:ascii="宋体" w:hAnsi="宋体" w:eastAsia="宋体" w:cs="仿宋"/>
          <w:color w:val="000000"/>
          <w:sz w:val="21"/>
          <w:szCs w:val="21"/>
          <w:lang w:val="en-US"/>
        </w:rPr>
      </w:pPr>
      <w:r>
        <w:rPr>
          <w:rFonts w:ascii="宋体" w:hAnsi="宋体" w:eastAsia="宋体" w:cs="仿宋"/>
          <w:color w:val="000000"/>
          <w:sz w:val="21"/>
          <w:szCs w:val="21"/>
          <w:lang w:eastAsia="zh-CN"/>
        </w:rPr>
        <w:t>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盘应当密封包装并在包装上标注演示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盘、项目名称、标项、供应商名称并加盖公章。未按文件要求提供演示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盘造成评审专家无法正常评审的风险由供应商自行承担。（演示</w:t>
      </w:r>
      <w:r>
        <w:rPr>
          <w:rFonts w:ascii="宋体" w:hAnsi="宋体" w:eastAsia="宋体" w:cs="仿宋"/>
          <w:color w:val="000000"/>
          <w:sz w:val="21"/>
          <w:szCs w:val="21"/>
          <w:lang w:val="en-US"/>
        </w:rPr>
        <w:t>U</w:t>
      </w:r>
      <w:r>
        <w:rPr>
          <w:rFonts w:ascii="宋体" w:hAnsi="宋体" w:eastAsia="宋体" w:cs="仿宋"/>
          <w:color w:val="000000"/>
          <w:sz w:val="21"/>
          <w:szCs w:val="21"/>
          <w:lang w:eastAsia="zh-CN"/>
        </w:rPr>
        <w:t>盘或光盘请单独封装）</w:t>
      </w:r>
    </w:p>
    <w:p>
      <w:pPr>
        <w:pStyle w:val="6"/>
        <w:widowControl/>
        <w:ind w:left="0" w:firstLine="0"/>
        <w:rPr>
          <w:rFonts w:hint="eastAsia" w:ascii="宋体" w:hAnsi="宋体" w:eastAsia="宋体" w:cs="宋体"/>
          <w:kern w:val="0"/>
          <w:sz w:val="21"/>
          <w:szCs w:val="21"/>
          <w:lang w:val="en-US"/>
        </w:rPr>
      </w:pPr>
    </w:p>
    <w:p>
      <w:pPr>
        <w:pStyle w:val="6"/>
        <w:widowControl/>
        <w:ind w:left="0" w:firstLine="0"/>
        <w:rPr>
          <w:rFonts w:hint="eastAsia" w:ascii="宋体" w:hAnsi="宋体" w:eastAsia="宋体" w:cs="宋体"/>
          <w:kern w:val="0"/>
          <w:sz w:val="21"/>
          <w:szCs w:val="21"/>
          <w:lang w:val="en-US"/>
        </w:rPr>
      </w:pPr>
    </w:p>
    <w:p>
      <w:pPr>
        <w:pStyle w:val="6"/>
        <w:widowControl/>
        <w:ind w:left="0" w:firstLine="0"/>
        <w:rPr>
          <w:rFonts w:hint="eastAsia" w:ascii="宋体" w:hAnsi="宋体" w:eastAsia="宋体" w:cs="宋体"/>
          <w:kern w:val="0"/>
          <w:sz w:val="21"/>
          <w:szCs w:val="21"/>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6"/>
        <w:widowControl/>
        <w:ind w:left="0" w:firstLine="0"/>
        <w:rPr>
          <w:rFonts w:hint="eastAsia" w:ascii="宋体" w:hAnsi="宋体" w:eastAsia="宋体" w:cs="宋体"/>
          <w:kern w:val="0"/>
          <w:sz w:val="21"/>
          <w:szCs w:val="21"/>
          <w:lang w:val="en-US"/>
        </w:rPr>
      </w:pPr>
    </w:p>
    <w:p>
      <w:pPr>
        <w:pStyle w:val="6"/>
        <w:widowControl/>
        <w:ind w:left="0" w:firstLine="0"/>
        <w:rPr>
          <w:rFonts w:hint="eastAsia" w:ascii="宋体" w:hAnsi="宋体" w:eastAsia="宋体" w:cs="宋体"/>
          <w:kern w:val="0"/>
          <w:sz w:val="30"/>
          <w:szCs w:val="30"/>
          <w:lang w:val="en-US"/>
        </w:rPr>
      </w:pPr>
      <w:r>
        <w:rPr>
          <w:rFonts w:hint="eastAsia" w:ascii="宋体" w:hAnsi="宋体" w:eastAsia="宋体" w:cs="宋体"/>
          <w:kern w:val="0"/>
          <w:sz w:val="30"/>
          <w:szCs w:val="30"/>
          <w:lang w:eastAsia="zh-CN"/>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1.交付（实施）的时间（期限）：合同签署后50日内交货，接到用户通知后在30日内完成设备安装及调试。如在规定的时间内由于成交方的原因不能完成安装和调试，成交方应承担由此给用户造成的损失。</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spacing w:val="-6"/>
                <w:kern w:val="2"/>
                <w:sz w:val="21"/>
                <w:szCs w:val="21"/>
                <w:lang w:val="en-US" w:eastAsia="zh-CN" w:bidi="ar"/>
              </w:rPr>
              <w:t>2.交付（实施）的地点（范围）：浙江传媒学院钱塘校区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 xml:space="preserve">1.合同总价的1％作为履约保证金，签订合同后3个工作日内由中标人交入采购人帐户（履约保证金可以以银行转账、由银行或保险公司出具的保函保单等形式），一般情况下待全部货物及项目功能验收合格之日起7个工作日内退还中标人； </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2.签订合同之日起7个工作日内，采购人支付合同金额的40%给中标人，作为预付款；</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3.合同货物到货后，经采购人清点、验收合格后，支付合同金额的30%；</w:t>
            </w:r>
          </w:p>
          <w:p>
            <w:pPr>
              <w:keepNext w:val="0"/>
              <w:keepLines w:val="0"/>
              <w:widowControl w:val="0"/>
              <w:suppressLineNumbers w:val="0"/>
              <w:spacing w:before="0" w:beforeAutospacing="0" w:after="0" w:afterAutospacing="0"/>
              <w:ind w:left="0" w:right="0"/>
              <w:jc w:val="both"/>
              <w:rPr>
                <w:rFonts w:hint="eastAsia" w:ascii="宋体" w:hAnsi="宋体" w:eastAsia="宋体" w:cs="宋体"/>
                <w:b/>
                <w:lang w:val="en-US"/>
              </w:rPr>
            </w:pPr>
            <w:r>
              <w:rPr>
                <w:rFonts w:hint="eastAsia" w:ascii="宋体" w:hAnsi="宋体" w:eastAsia="宋体" w:cs="宋体"/>
                <w:spacing w:val="-6"/>
                <w:kern w:val="2"/>
                <w:sz w:val="21"/>
                <w:szCs w:val="21"/>
                <w:lang w:val="en-US" w:eastAsia="zh-CN" w:bidi="ar"/>
              </w:rPr>
              <w:t>4.待实验室整体功能验收合格并正常使用后的7个工作日内，由采购人向中标人支付合同金额的30%。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售后</w:t>
            </w:r>
          </w:p>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服务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1.国内设备≧3年，进口设备≧1年，技术要求中有明确的，以技术要求的质保期为准；所有设备在质保期根据产品保修条款内免费维修、维护，软件提供免费升级。（1分）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仿宋_GB2312"/>
                <w:b/>
                <w:bCs w:val="0"/>
                <w:kern w:val="2"/>
                <w:sz w:val="21"/>
                <w:szCs w:val="21"/>
                <w:lang w:val="en-US" w:eastAsia="zh-CN" w:bidi="ar"/>
              </w:rPr>
              <w:t>2、</w:t>
            </w:r>
            <w:r>
              <w:rPr>
                <w:rFonts w:hint="eastAsia" w:ascii="宋体" w:hAnsi="宋体" w:eastAsia="宋体" w:cs="宋体"/>
                <w:b/>
                <w:bCs w:val="0"/>
                <w:spacing w:val="-6"/>
                <w:kern w:val="2"/>
                <w:sz w:val="21"/>
                <w:szCs w:val="21"/>
                <w:lang w:val="en-US" w:eastAsia="zh-CN" w:bidi="ar"/>
              </w:rPr>
              <w:t>安装调试</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1)安装地点：浙江传媒学院钱塘校区。</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2)安装标准：符合我国国家有关技术规范要求和技术标准，所有的软件和硬件必须保证同时安装到位。</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3)中标方免费提供合同系统的安装服务。</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3、驻场服务</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要求中标方提供驻场保障服务（自功能验收合格之日起）：驻场人员具备广电背景，验收完成后，来校提供技术服务不少于两年，其中：第一年每周不少于2天，第二年每周不少于1天。</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4、备品备件及耗材等要求</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投标时标明常用备品备件及耗材的投标价。所投标的主要产品在发生故障的时候能够提供备机。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spacing w:val="-6"/>
                <w:lang w:val="en-US"/>
              </w:rPr>
            </w:pPr>
            <w:r>
              <w:rPr>
                <w:rFonts w:hint="eastAsia" w:ascii="宋体" w:hAnsi="宋体" w:eastAsia="宋体" w:cs="宋体"/>
                <w:b/>
                <w:spacing w:val="-6"/>
                <w:kern w:val="2"/>
                <w:sz w:val="21"/>
                <w:szCs w:val="21"/>
                <w:lang w:val="en-US" w:eastAsia="zh-CN" w:bidi="ar"/>
              </w:rPr>
              <w:t>具体实施响应要求</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提供免费上门保修维护服务，并保证到达钱塘校区服务的时间为小于4小时内，如果故障不能排除，则需要提供相当档次的备机供使用。具体按保修维护服务标准执行，确保项目实施的高可用性，确保教学活动的正常进行。</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2.质保期满后，仅收取零配件成本费用，人工免费。</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spacing w:val="-6"/>
                <w:lang w:val="en-US"/>
              </w:rPr>
            </w:pPr>
            <w:r>
              <w:rPr>
                <w:rFonts w:hint="eastAsia" w:ascii="宋体" w:hAnsi="宋体" w:eastAsia="宋体" w:cs="宋体"/>
                <w:b/>
                <w:spacing w:val="-6"/>
                <w:kern w:val="2"/>
                <w:sz w:val="21"/>
                <w:szCs w:val="21"/>
                <w:lang w:val="en-US" w:eastAsia="zh-CN" w:bidi="ar"/>
              </w:rPr>
              <w:t>售后服务</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1.质保期内因不能排除的故障而影响工作的情况每发生一次，其质保期相应延长60天，质保期内因系统本身缺陷造成各种故障应由中标方免费予以更换，否则将扣除履约保证金作为对采购人的补偿。</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2.质保期满后，仅收取零配件成本费用，免人工费。具体实施响应要求：现场免费提供安装、调试服务，在保修期内免费上门安装、调试服务；供货时提供相应保修证明资料。</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技术支持</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中标方应及时免费提供合同系统软件的升级，免费提供合同系统新功能和应用的资料。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lang w:val="en-US"/>
              </w:rPr>
            </w:pPr>
            <w:r>
              <w:rPr>
                <w:rFonts w:hint="eastAsia" w:ascii="宋体" w:hAnsi="宋体" w:eastAsia="宋体" w:cs="宋体"/>
                <w:spacing w:val="-6"/>
                <w:kern w:val="2"/>
                <w:sz w:val="21"/>
                <w:szCs w:val="21"/>
                <w:lang w:val="en-US" w:eastAsia="zh-CN" w:bidi="ar"/>
              </w:rPr>
              <w:t>投标方应提供相应的免费培训计划，对管理人员和使用人员进行学习培训。现场培训15次以上,每次不少于2小时，其中：建设期内的培训不少于7次，要求培训到师生掌握为止；项目验收完成后，培训不少于8次。培训内容包括相关软件的使用、调试、更新和维护诊断及硬件的使用与管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公司技术力量情况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①投标人或制造商具有ISO9001质量管理体系认证证书。（1分）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②投标人或制造商具有ISO14001环境管理体系认证证书。（1分）</w:t>
            </w:r>
          </w:p>
          <w:p>
            <w:pPr>
              <w:keepNext w:val="0"/>
              <w:keepLines w:val="0"/>
              <w:widowControl w:val="0"/>
              <w:suppressLineNumbers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宋体"/>
                <w:spacing w:val="-6"/>
                <w:kern w:val="2"/>
                <w:sz w:val="21"/>
                <w:szCs w:val="21"/>
                <w:lang w:val="en-US" w:eastAsia="zh-CN" w:bidi="ar"/>
              </w:rPr>
              <w:t>③投标人或制造商具有ISO20000信息技术服务管理体系认证证书。（1分）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仿宋_GB2312"/>
                <w:kern w:val="2"/>
                <w:sz w:val="21"/>
                <w:szCs w:val="21"/>
                <w:lang w:val="en-US" w:eastAsia="zh-CN" w:bidi="ar"/>
              </w:rPr>
              <w:t>请提供自2019年以来同类项目合同复印件，每提供一个得一分。</w:t>
            </w:r>
            <w:r>
              <w:rPr>
                <w:rFonts w:hint="eastAsia" w:ascii="宋体" w:hAnsi="宋体" w:eastAsia="宋体" w:cs="宋体"/>
                <w:spacing w:val="-6"/>
                <w:kern w:val="2"/>
                <w:sz w:val="21"/>
                <w:szCs w:val="21"/>
                <w:lang w:val="en-US" w:eastAsia="zh-CN" w:bidi="ar"/>
              </w:rPr>
              <w:t>（3分）</w:t>
            </w:r>
          </w:p>
        </w:tc>
      </w:tr>
    </w:tbl>
    <w:p>
      <w:pPr>
        <w:pStyle w:val="997"/>
        <w:widowControl/>
        <w:rPr>
          <w:lang w:val="en-US"/>
        </w:rPr>
      </w:pPr>
    </w:p>
    <w:p>
      <w:pPr>
        <w:pStyle w:val="5"/>
        <w:widowControl/>
        <w:rPr>
          <w:sz w:val="24"/>
          <w:szCs w:val="24"/>
          <w:lang w:val="en-US"/>
        </w:rPr>
      </w:pPr>
    </w:p>
    <w:p>
      <w:pPr>
        <w:pStyle w:val="5"/>
        <w:widowControl/>
        <w:rPr>
          <w:sz w:val="24"/>
          <w:szCs w:val="24"/>
          <w:lang w:val="en-US"/>
        </w:rPr>
      </w:pPr>
    </w:p>
    <w:p>
      <w:pPr>
        <w:pStyle w:val="5"/>
        <w:widowControl/>
        <w:rPr>
          <w:sz w:val="24"/>
          <w:szCs w:val="24"/>
          <w:lang w:val="en-US"/>
        </w:rPr>
      </w:pPr>
    </w:p>
    <w:p>
      <w:pPr>
        <w:pStyle w:val="5"/>
        <w:widowControl/>
        <w:rPr>
          <w:sz w:val="24"/>
          <w:szCs w:val="24"/>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
        <w:widowControl/>
        <w:rPr>
          <w:sz w:val="24"/>
          <w:szCs w:val="24"/>
          <w:lang w:val="en-US"/>
        </w:rPr>
      </w:pPr>
    </w:p>
    <w:p>
      <w:pPr>
        <w:pStyle w:val="5"/>
        <w:widowControl/>
        <w:rPr>
          <w:sz w:val="24"/>
          <w:szCs w:val="24"/>
          <w:lang w:val="en-US"/>
        </w:rPr>
      </w:pPr>
      <w:r>
        <w:rPr>
          <w:rFonts w:hint="eastAsia" w:ascii="Arial" w:hAnsi="宋体" w:eastAsia="黑体" w:cs="黑体"/>
          <w:sz w:val="24"/>
          <w:szCs w:val="24"/>
          <w:lang w:eastAsia="zh-CN"/>
        </w:rPr>
        <w:t>标项</w:t>
      </w:r>
      <w:r>
        <w:rPr>
          <w:sz w:val="24"/>
          <w:szCs w:val="24"/>
          <w:lang w:val="en-US"/>
        </w:rPr>
        <w:t>3</w:t>
      </w:r>
      <w:r>
        <w:rPr>
          <w:rFonts w:hint="eastAsia" w:ascii="Arial" w:hAnsi="宋体" w:eastAsia="黑体" w:cs="黑体"/>
          <w:sz w:val="24"/>
          <w:szCs w:val="24"/>
          <w:lang w:eastAsia="zh-CN"/>
        </w:rPr>
        <w:t>：影音资料数字化交互式展陈项目</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（一）项目概况</w:t>
      </w:r>
    </w:p>
    <w:p>
      <w:pPr>
        <w:keepNext w:val="0"/>
        <w:keepLines w:val="0"/>
        <w:widowControl w:val="0"/>
        <w:suppressLineNumbers w:val="0"/>
        <w:spacing w:before="0" w:beforeAutospacing="0" w:after="0" w:afterAutospacing="0" w:line="360" w:lineRule="auto"/>
        <w:ind w:left="0" w:right="0" w:firstLine="420"/>
        <w:jc w:val="both"/>
      </w:pPr>
      <w:r>
        <w:rPr>
          <w:rFonts w:hint="eastAsia" w:ascii="Calibri" w:hAnsi="Calibri" w:eastAsia="宋体" w:cs="宋体"/>
          <w:kern w:val="2"/>
          <w:sz w:val="21"/>
          <w:szCs w:val="21"/>
          <w:lang w:val="en-US" w:eastAsia="zh-CN" w:bidi="ar"/>
        </w:rPr>
        <w:t>本项目为“中国广播电视艺术资料研究中心”的主要研究平台，其目标是打造具有重要价值的电视艺术与现代科技融合的创新实验室，具有重要影响力的国内主旋律电视艺术研究的重要智库和研创基地。项目的建设能够有效提升学校在历史影音资料数字化交互式展陈领域的教学科研能力，为人才培养提供更好的实践平台，并增强学校在数字媒体领域的社会服务能力，为省部级重点实验室的建设打下基础。项目建设的主要内容包括：数字化交互式展陈平台。</w:t>
      </w:r>
    </w:p>
    <w:p>
      <w:pPr>
        <w:keepNext w:val="0"/>
        <w:keepLines w:val="0"/>
        <w:widowControl w:val="0"/>
        <w:suppressLineNumbers w:val="0"/>
        <w:spacing w:before="0" w:beforeAutospacing="0" w:after="0" w:afterAutospacing="0" w:line="360" w:lineRule="auto"/>
        <w:ind w:left="0" w:right="0" w:firstLine="420"/>
        <w:jc w:val="both"/>
      </w:pPr>
      <w:r>
        <w:rPr>
          <w:rFonts w:hint="eastAsia" w:ascii="Calibri" w:hAnsi="Calibri" w:eastAsia="宋体" w:cs="宋体"/>
          <w:kern w:val="2"/>
          <w:sz w:val="21"/>
          <w:szCs w:val="21"/>
          <w:lang w:val="en-US" w:eastAsia="zh-CN" w:bidi="ar"/>
        </w:rPr>
        <w:t>建设内容：</w:t>
      </w:r>
    </w:p>
    <w:p>
      <w:pPr>
        <w:keepNext w:val="0"/>
        <w:keepLines w:val="0"/>
        <w:widowControl w:val="0"/>
        <w:suppressLineNumbers w:val="0"/>
        <w:spacing w:before="0" w:beforeAutospacing="0" w:after="0" w:afterAutospacing="0" w:line="360" w:lineRule="auto"/>
        <w:ind w:left="0" w:right="0" w:firstLine="420"/>
        <w:jc w:val="both"/>
        <w:rPr>
          <w:u w:val="single"/>
          <w:lang w:val="en-US"/>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数字化交互式展陈平台：该平台通过多种技术手段和呈现方式，如全息影像、互动屏、滑轨屏、机器人讲解等，对视音频资料进行多样化、交互式展示，增强交互体验的趣味性、沉浸感和互动感。通过操作平板电脑，能够实现展项内容、灯光音响的高效控制和方便交互，后台通过总控设备和软件系统实现展厅各类设备的集中控制和管理。</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（二）总体要求</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历史影音资料智能修护实验室建成之后能够满足与广电总局共建的“中国广播电视艺术资料研究中心”的历史影音资料的数字化交互式展陈等需求。通过深入挖掘和传播中国电视剧“飞天奖”、电视文艺“星光奖”、中国播音主持“金声奖”等奖项的深厚价值和品牌价值，打造具有重要价值的中国电视艺术学术研究基地和艺术科技融合的创新实验室。实验室地建设能够同时兼顾科研教学。通过搭建历史影音资料数字化交互式展陈的研究与应用平台，对提升教师队伍的教学科研能力，提升智能媒体时代下学校的社会服务能力，有效提升学生的创意、创新、创业（三创）能力。拓展学校的社会服务职能，为省内外高校、研究机构、企业、相关政府职能部门提供历史影音资料数字化交互式展陈服务和技术支持。</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、设备和材料所涉及的设计标准规范（如产品标准</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规范、工程标准</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规范、验收标准</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规范等）必须完全符合所有中华人民共和国的标准及规范。对国家规定有强制性规范或条例或认证要求的设备或材料，投标人提供的设备或材料应符合该类要求；所有设备必须为知名品牌，出厂原包装，需提供中文操作说明；设备清单中未列出的为实现系统功能所需的其他各项设备及附件，均须包含在投标报价中。</w:t>
      </w:r>
    </w:p>
    <w:p>
      <w:pPr>
        <w:keepNext w:val="0"/>
        <w:keepLines w:val="0"/>
        <w:widowControl w:val="0"/>
        <w:suppressLineNumbers w:val="0"/>
        <w:spacing w:before="0" w:beforeAutospacing="0" w:after="0" w:afterAutospacing="0" w:line="360" w:lineRule="auto"/>
        <w:ind w:left="0" w:right="0" w:firstLine="420"/>
        <w:jc w:val="both"/>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供应商须自行踏勘现场，充分了解现场现状及条件。因本项目的特殊性，供应商应先到实验室踏勘以充分了解功能布局、网络环境、设备情况、及任何其它足以影响后续实施的情况，任何因忽视或误解而导致的行政处罚、索赔或工期延长申请将不获批准。请根据项目踏勘的实际情况进行综合考虑报价，且应是在要求工期内完成采购范围全部项目内容的所有费用，包括完成本项目的安装调试费、人工费、利润、税金、风险费等，总价后期不做调整。</w:t>
      </w:r>
      <w:r>
        <w:rPr>
          <w:rFonts w:hint="default" w:ascii="Calibri" w:hAnsi="Calibri" w:eastAsia="宋体" w:cs="Times New Roman"/>
          <w:kern w:val="2"/>
          <w:sz w:val="21"/>
          <w:szCs w:val="21"/>
          <w:lang w:val="en-US" w:eastAsia="zh-CN" w:bidi="ar"/>
        </w:rPr>
        <w:t xml:space="preserve"> </w:t>
      </w:r>
    </w:p>
    <w:p>
      <w:pPr>
        <w:pStyle w:val="6"/>
        <w:widowControl/>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（三）设备清单及详细参数</w:t>
      </w:r>
    </w:p>
    <w:p>
      <w:pPr>
        <w:keepNext w:val="0"/>
        <w:keepLines w:val="0"/>
        <w:widowControl w:val="0"/>
        <w:suppressLineNumbers w:val="0"/>
        <w:spacing w:before="0" w:beforeAutospacing="0" w:after="0" w:afterAutospacing="0" w:line="360" w:lineRule="auto"/>
        <w:ind w:left="0" w:right="0"/>
        <w:jc w:val="both"/>
        <w:rPr>
          <w:b/>
          <w:lang w:val="en-US"/>
        </w:rPr>
      </w:pPr>
      <w:r>
        <w:rPr>
          <w:rFonts w:hint="eastAsia" w:ascii="宋体" w:hAnsi="宋体" w:eastAsia="宋体" w:cs="宋体"/>
          <w:b/>
          <w:kern w:val="2"/>
          <w:sz w:val="21"/>
          <w:szCs w:val="21"/>
          <w:lang w:val="en-US" w:eastAsia="zh-CN" w:bidi="ar"/>
        </w:rPr>
        <w:t>技术参数中带★的条款需提供相关证明材料。</w:t>
      </w:r>
    </w:p>
    <w:tbl>
      <w:tblPr>
        <w:tblStyle w:val="6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276"/>
        <w:gridCol w:w="5245"/>
        <w:gridCol w:w="709"/>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设备名称</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技术参数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数量</w:t>
            </w:r>
          </w:p>
        </w:tc>
        <w:tc>
          <w:tcPr>
            <w:tcW w:w="6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1、总序透明屏系统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P4-8贴膜屏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1）像素间距 左右3.9mm，上下7.8mm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2）像素组成 1R1G1B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3）LED类型 SMD三合一</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4）白平衡亮度 5000 cd/㎡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5）亮度控制 智能/手动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6）色温 2000K~9300K可调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7）可视角度 水平120°/垂直120°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8）像素点密度 32768 dots/㎡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9）箱体分辨率(W×H) 256×128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10）箱体尺寸(W×H×D) 1000×1000×100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11）重量 约12 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12）面积 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13）箱体材质 铝合金型材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14）防护等级 IP42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15）工作温湿度 0℃~+45℃/10~80%RH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16）存储温湿度 -10℃~+55℃/10~80%RH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17）平整度 任意相邻像素间≤0.5mm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18）灰度等级 65536 levels per color</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19）颜色处理位数 16 bit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20）颜色 281.4 trillion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21）单点亮度校正 支持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22）单点色度校正 支持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23）通透率 68%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24）对比度 3000:1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25）画面帧率 50/60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26）画面刷新率 ≥1920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27）输入电源 110~240VAC±15%,50~60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28）输入功率(最大值) 800 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29）输入功率(平均值) 300 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30）使用寿命 100000小时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31）LED波长 R:620~630nm G:520~535nm B:465~475nm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32）扫描方式 1/4扫</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33）驱动方式 恒流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34）安装方式 吊装，落地装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35）维护方式 支持前维护，后维护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36）通信连接 非屏蔽双绞线(L≤140m)；多模光纤(L≤500m)；单模光纤(L≤20km)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3.75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主控服务器1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专业主控</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1）拥有完备的视频输入接口，1 路 HDMI 2.0，4 路 DVI，1 路 3G-SDI。支持 16 路网口和 4 路光纤输出，带载高达 1040万像素同等或更高配置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2）支持HDMI、DVI输入分辨率自定义调节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 5 窗口任意布局同等或更高配置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4）无需电脑，支持通过设备旋钮按钮快捷配屏和高级配屏功能点亮屏体</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5）支持场景预设，最多可创建 10 个用户场景作为模板保存，可直接调用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6）支持HDR输出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7）支持设备备份和网口备份，设备故障或网线故障时保证屏体运行过程正常无问题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8）支持选择 HDMI 输入源或 DVI 输入源作为同步信号，达到输出的场级同步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9）支持逐点亮度校正，可以对每个灯点的亮度和色度进行校正，有效消除色差，使整屏的亮度和色度达到高度均匀一致，提高显示屏的画质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10）表面阻燃达到V-0级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11）工作温度0℃-50℃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12）湿度0%RH-95%RH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13）支持用户自定义EDID和预设EDID同等或更高配置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14）发送卡和视频处理器二合一，连接系更少，稳定及兼容性大大提升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1）不小于5.25寸音控嵌入式圆形电动音箱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总序透明屏系统安装及调试劳务费等相关费用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2、总序立式触摸屏系统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55寸立式触摸一体机1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1）超薄机身，铝合金拉丝外框，喷涂砂纹黑表面，4MM防爆玻璃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2）支持红外10点精准触摸书写</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3）PC与安卓多种配置可供用户选配，根据需求搭配流畅的配置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4）搭配相应方案的软件，应用场景广泛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5）屏幕尺寸 55寸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8）点距≤0.309MM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9）有效显示面积 ≥1210.6*681.4MM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11）物理分辨率1080*1920 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12）亮度 ≥230cd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13）对比度 ≥1200：1（Typ.）透射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17）响应时间≤8ms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18）伴音输出功率 ≥8欧8W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20）触摸点数 ≥20触摸点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22）触摸书写面材质 ≥4mm钢化玻璃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27）输出接口 HDMI OUT*1   VGA OUT *1   Audio OUT*1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28）输入接口 USB*4 ,RJ45*1,MIC*1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29）系统版本 WIN7,WIN10 处理器  I3  2代  主频 2.2ghz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31）蓝牙 无（可选配） 内存  4G  DDR3 内存，同等或更高配置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32）网络 （100兆有线网卡）wifi单频2.4ghz 硬盘  128G固态硬盘，同等或更高配置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33）音频 WMA、MP3、M4A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34）视频 RM、MPEG2、MPEG4、H264、RM、RMVB、MOV、MJPEG、VC1、 FLV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35）图片 JPEG、BMP、PNG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36）系统版本 安卓6.01 处理器  3288，Cortex-A17架构，主频1.8GHZ，同等或更高配置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37）蓝牙 蓝牙4.0 输出接口  3.5MM音频输出 HDMI*1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38）网络 "1.单频2.4GHZ WIFI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39）2.1000兆有线网卡" 输入接口  USB*2,SD*1，RJ45网口，同等或更高配置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总序立式触摸屏系统安装及调试劳务费等相关费用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3、总序滑轨屏系统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55寸一体机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技术要求：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55寸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 0.372 x 0.372mm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≥1210 x 681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7）物理分辨率 1920 x 1080 _FHD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8）亮度 240-280cd/㎡(中心点）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19）触摸书写面材质≥3mm钢化玻璃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24）响应速度 &lt;8ms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30）触摸支持操作系统 XP/Win7/ Win10/ LINUX/ Android</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滑动轨道1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技术要求：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1）定制滑动安装轨道，采用铝合金+轴承钢材质，外观金属烤漆， 耐腐蚀性好，经久耐用 ，防潮防锈，不易变形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2）主轨同步带模组，右出轴，含聚氨酯钢线皮带，扭拧度小于0.1mm，辅轨不出轴，不带皮带，电动轨道整体长度5M+限位， 双轨固定，含滑块，地脚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电机轨道安装组件1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技术要求：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1）联轴器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2）传动轴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3）电机座+电机转接板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4）同步带，同步轮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伺服电机1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1）医疗级超静音伺服电机，60法兰增量式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2）额定功率：≥ 600W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3）额定转速：≥ 3000R/MIN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4）额定转矩：≥ 1.91N.M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5）额定电流：≥ 3.1A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6）转子惯量：≥ 0.526*10^-4kg.m^2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7）电机重量：≤2.1kg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8）机身长：≥156mm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9）编码器线数：≥2500P/R</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10）环境温度：-25℃~+40℃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11）空气相对湿度：0~90%RH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12）极对数：≥4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减速机1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1）高精密行星减速机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2）传递效率：≥98%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3）额定转速：≥3000R/MIN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4）最高转速：≥6000R/MIN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5）精度：5~8弧分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6）噪音：≤56分贝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7）减速机重量：≤1.3kg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8）总长：≥119mm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9）额定承载扭矩:≥40N.M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10）最大承载扭矩：≥80N.M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11）环境温度：-20℃~+90℃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控制部分</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1）伺服驱动器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2）串口服务器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3）控制器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4）光电开关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滑轨屏控制程序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1）滑轨屏控制程序，定点播放视频和图片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2）可根据要求自由增加点位，缓停缓启功能，设备启动和停止觉有缓冲，保证设备运行平稳，噪音小，不抖动，移动感应精度高达0.1mm以内，自动循环运动，自动往复运动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3）支持设置主背景图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4）支持触摸屏控制，中控控制，电机控制，IPAD控制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5）可视化排版界面，内容修改简单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6）完成客户提供视频/图片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55寸拼接屏1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4000:1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1213.50×684.3×87.0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35.0kg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主控服务器2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11.47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总序滑轨屏系统安装及调试劳务费等相关费用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4、飞天奖序厅卧式触摸屏系统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32寸触摸一体机1</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32寸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 ≤0.372 x 0.372mm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≥699*393.5MM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7）物理分辨率 1920 x 1080 _FHD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8）亮度 300-350cd/㎡(中心点）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19）触摸书写面材质 ≥3mm钢化玻璃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30）触摸支持操作系统 XP/Win7/ Win10/ LINUX/ Android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31）I5/4G+128G同等或更高配置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飞天奖序厅卧式触摸屏系统安装及调试劳务费等相关费用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5、飞天奖LED柱形拓展屏系统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LED显示屏P2.5软屏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1）像素间距 2.5mm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2）像素组成 1R1G1B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3）LED类型 SMD1515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4）白平衡亮度 ≤700 cd/m²(可调)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5）亮度控制 智能/手动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6）色温 ≤9500K(可调)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7）视角 水平160°/垂直140°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8）像素密度 160000/m²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9）模组分辨率(W×H) 128×64 dots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10）模组尺寸(W×H) 320×160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11）重量 273g/panel</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12）面积 0.0512m²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13）材质 铁质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14）屏幕比例 2:1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15）防护等级 前IP30/后IP30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16）工作温湿度 -10℃~+50℃/10%~90%RH无凝露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17）存储温湿度 -20℃~+60℃/10%~90%RH无凝露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18）平整度 ≤0.5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19）颜色处理位数 16 bits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20）灰度等级 16384 levels per color</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21）颜色 4.39 trillion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22）单点亮度校正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23）单点色度校正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24）发光点中心距偏差 ≤1%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25）亮度均匀性 ≥95%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26）色度均匀性 （x,y）±0.003之内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27）对比度 8000:1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28）画面帧频 50/60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29）画面刷新率 ≥1920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30）输入电源 AC110~240V±10%,50/60Hz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31）输入功率(最大值) 600 W/m²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32）输入功率(典型值) 200 W/m²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33）使用寿命 ≥100,000 Hours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34）LED波长 R:620nm G:530nm B:470nm (实际取值3nm以内)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35）驱动方式 恒流驱动,1/32扫</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36）安装方式 固定安装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37）维护方式 前维护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38）支持安装弧度 内弧≤145°、外弧≤145°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39）通信连接 屏蔽双绞线(L≤100m)；多模光纤(L≤500m)；单模光纤(L≤20km)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40）★光生物安全测试：皮肤和眼睛的光化学紫外危害曝辐射值、眼睛的近紫外危害曝辐射值、宽波段的光源对视网膜危害，蓝光对皮肤表面及角膜和视网膜的曝辐射值、眼睛的红外辐射危害曝辐射值、皮肤热危害曝辐射值检测均无危害。（需提供CNAS机构出具的检测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41）★为了保证客户室内安全无火灾隐患，LED显示屏产品PCB阻燃等级达到V-0级（需提供CNAS机构出具的检测报告）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42）★抗电强度：因LED显示屏是电子产品，在U=1500VAC；T=60S的条件下未击穿（需提供CNAS机构出具的检测报告）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43）★所投产品具备智能节电的功能，开启后能够有效地降低用电量（需提供CNAS机构出具的检测报告）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44）★提供“综合播控系统”和“超高分多媒体呈现系统”功能相关的软件著作权登记证书，并承诺在签订合同后提供加盖产品原厂公章的原件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62.25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控制服务器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 路 HDMI 2.0，4 路 DVI，1 路 3G-SDI</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2）多输出，大带载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 16 路网口和 4 路光纤输出，带载高达 1040万像素</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 HDR 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5）能够极大地增强显示屏的画质，使画面色彩更加真实生动，细节更加清晰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6）支持个性化的画质缩放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7）支持三种画面缩放模式，包括点对点模式、全屏缩放、自定义缩放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主控服务器3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71.5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飞天奖LED柱形拓展屏系统安装及调试劳务费等相关费用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辅材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包括箱体、钢结构、支架、紧固件、各类连接线等等外部材料</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6、飞天厅历届作品展示屏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55寸拼接屏2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4000:1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1213.50×684.3×87.0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35.0kg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9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飞天厅历届作品展示屏安装及调试劳务费等相关费用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7、飞天厅感应文献系统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投影机1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1）显示技术0.47" DMD同等或更高配置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3）亮度≥3500流明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4）投射比≥1.5-1.65:1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5）产品尺寸 约415*297*168mm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6）输入接口 HDMI*2RS232*1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7）内置自动垂直梯形技术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8）同时产品也具备水平梯形手动调节功能，四角调整功能，产品可实现曲面调整功能，从容面对各种不同的投影环境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9）投影机可以完成曲面/球形/圆柱形等异形屏幕</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播放主机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1）CPU：不低于Intel Core i5十代2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2）固态硬盘：不少于120G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3）内存：不少于16G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4）独立显卡：不低于1650TI、4G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5）工控机箱</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投影支架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1）定制壁挂支架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2）可承重不低于20kg</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红外感应</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1）感应区域不低于900*600MM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文献外观造型</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1）外观定制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线材1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1）高强度的GGP钛合金铠装光纤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2）内部采用铠装处理，抗拉扯，抗碾压,ATC测试极限长度，可达到不低于100米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3）支持HDCP 2.2,支持原生4K，60HZ,支持4:4:4 12bit HDR,支持ARC回传,兼容4K/60Hz、1080P 50M同等或更高配置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安装调试费7</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飞天厅感应文献系统安装及调试劳务费等相关费用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8、时光隧道拼接屏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46寸拼接屏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1400:1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1022×576.7×106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21.0kg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110W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63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P4/LED屏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1）像素间距 4mm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2）像素组成 1R1G1B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3）LED类型 SMD2121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4）白平衡亮度 ≤700 cd/m²(可调)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5）亮度控制 智能/手动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6）色温 ≤9500K(可调)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7）视角 水平160°/垂直140°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8）像素密度 62500/m²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9）模组分辨率(W×H) 64×32 dots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10）模组尺寸(W×H) 256×128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11）重量 220g/panel</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12）面积 0.0328 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13）材质 铁质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14）屏幕比例 2:1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15）防护等级 前IP30/后IP30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16）工作温湿度 -10℃~+50℃/10%~90%RH无凝露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17）存储温湿度 -20℃~+60℃/10%~90%RH无凝露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18）平整度 ≤0.5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19）颜色处理位数 16 bits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20）灰度等级 16384 levels per color</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21）颜色 4.39 trillion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22）单点亮度校正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23）单点色度校正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24）发光点中心距偏差 ≤1%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25）亮度均匀性 ≥95%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26）色度均匀性 （x,y）±0.003之内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27）对比度 8000:1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28）画面帧频 50/60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29）画面刷新率 ≥1920Hz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30）输入电源 AC110~240V±10%,50/60Hz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31）输入功率(最大值) 600 W/m²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32）输入功率(典型值) 200 W/m²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33）使用寿命 ≥100,000 Hours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34）LED波长 R:620nm G:530nm B:470nm (实际取值3nm以内)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35）驱动方式 恒流驱动,1/16扫</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36）安装方式 固定安装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37）维护方式 前维护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38）支持安装弧度 内弧≤145°、外弧≤145°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39）通信连接 屏蔽双绞线(L≤100m)；多模光纤(L≤500m)；单模光纤(L≤20km)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26.58</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26.58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8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1）功率输出：不小于450W*2/8Ω，800W*2/4Ω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600</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安装调试费8</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时光隧道拼接屏安装及调试劳务费等相关费用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9、星光奖序厅卧式触摸屏系统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32寸触摸一体机2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32寸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2）有效显示面积 699*393.5MM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4）物理分辨率 1920 x 1080 _FHD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 300-350cd/㎡(中心点）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16）触摸书写面材质 ≥3mm钢化玻璃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27）触摸支持操作系统 XP/Win7/ Win10/ LINUX/ Android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28）I5/4G+128G同等或更高配置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55寸立式触摸一体机2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55寸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 0.309MM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1210.6*681.4MM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7）物理分辨率 1080*1920 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12）伴音输出功率 8欧8W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14）触摸点数 20触摸点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16）触摸书写面材质 ≥4mm钢化玻璃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21）输出接口 HDMI OUT*1   VGA OUT *1   Audio OUT*1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22）输入接口 USB*4 ,RJ45*1,MIC*1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23）系统版本 WIN7,WIN10 处理器  I3  2代  主频 2.2ghz同等或更高配置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24）型号 ITX  I3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25）蓝牙 无（可选配） 内存  4G  DDR3 内存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26）网络 （100兆有线网卡）wifi单频2.4ghz 硬盘  128G固态硬盘同等或更高配置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27）音频 WMA、MP3、M4A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28）视频 RM、MPEG2、MPEG4、H264、RM、RMVB、MOV、MJPEG、VC1、 FLV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29）图片 JPEG、BMP、PNG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30）系统版本 安卓6.01 处理器  3288，Cortex-A17架构，主频1.8GHZ同等或更高配置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31）蓝牙4.0 输出接口  3.5MM音频输出 HDMI*1同等或更高配置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32）网络 "1.单频2.4GHZ WIFI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33）2.1000兆有线网卡" 输入接口  USB*2,SD*1，RJ45网口同等或更高配置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安装调试费9</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星光奖序厅卧式触摸屏系统安装及调试劳务费等相关费用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10、星光奖序厅互动魔方系统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32寸触摸一体机3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32寸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2）有效显示面积 699*393.5MM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4）物理分辨率 1920 x 1080 _FHD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5）亮度 300-350cd/㎡(中心点）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9）刷新率≥60Hz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16）触摸书写面材质 ≥3mm钢化玻璃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27）触摸支持操作系统 XP/Win7/ Win10/ LINUX/ Android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28）I5/4G+128G同等或更高配置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1）功率输出：不小于300W*2/8Ω，600W*2/4Ω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安装调试费10</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星光奖序厅互动魔方系统安装及调试劳务费等相关费用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11、星光厅“颁奖台”LED屏系统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P1.5/LED屏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1）像素结构 SMD1212三合一LED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2）像素间距（mm） 1.53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3）模组分辨率（W×H） 208×104=21632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4）模组尺寸（mm） 320×160×12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5）模组重量（kg） 0.395kg±0.01kg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6）模组输入电压（V） 4.5±0.1V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7）模组最大电流（A） ≤5.0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8）模组最大功耗（W） ≤23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9）箱体模组组成（W×H） 2×3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10）箱体分辨率（W×H） 416×306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11）箱体尺寸（mm） 640×480×70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12）箱体面积（m2） 0.3072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13）箱体重量（kg）   6～8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14）箱体像素密度（点/m2） 422500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15）箱体平整度（mm）    ≤0.2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16）维护方式 后维护（可定制前维护）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17）箱体材质 压铸铝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18）单点亮度校正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19）单点色度校正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20）白平衡亮度（nits） ≥450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21）色温（K） 3000～14000可调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22）视角（水平/垂直°） 140/120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23）亮度/色度均匀性 ≥99%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24）对比度   5000:1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25）箱体最大功耗（W） 138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26）箱体平均功耗（W） 46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27）供电要求   AC90V－132V/ AC186V－264V，频率47Hz～63Hz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28）换帧频率（Hz） 50&amp;60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29）驱动方式    恒流驱动，52扫</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30）灰度级别 16384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31）刷新率（Hz） 3840Hz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32）颜色处理位数 14bit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33）寿命典型值（hrs） 100,000H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34）工作温/湿度范围（℃/RH） -20℃～50℃ / 10%RH～65%RH（无结露）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35）存储温/湿度范围（℃/RH） -10℃～30℃ / 10%RH～60%RH（无结露）</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6.14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6.14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嵌入式电动音箱7</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功放7</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专业音响线7</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星光厅“颁奖台”LED屏系统安装及调试劳务费等相关费用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12、星光厅滑轨屏系统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88寸一体机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88寸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LED  直下式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3）内置电脑类型：OPS插卡式电脑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 ≤0.5622*0.5622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2158*607MM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7）物理分辨率 3840x 1080 UHD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8）亮度 350-400cd/㎡(中心点）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9）对比度≥ 1200：1（Typ.）透射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13）响应时间≤8ms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16）触摸点数 20触摸点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19）触摸书写面材质≥ 4mm钢化玻璃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30）触摸支持操作系统 XP/Win7/ Win10/ LINUX/ Android</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滑动轨道2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1）定制滑动安装轨道，采用铝合金+轴承钢材质，外观金属烤漆， 耐腐蚀性好，经久耐用 ，防潮防锈，不易变形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2）主轨同步带模组，右出轴，含聚氨酯钢线皮带，扭拧度小于0.1mm，辅轨不出轴，不带皮带，电动轨道整体长度5M+限位， 双轨固定，含滑块，地脚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电机轨道安装组件2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1）联轴器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2）传动轴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3）电机座+电机转接板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4）同步带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5）同步轮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伺服电机2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1）医疗级超静音伺服电机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2）60法兰增量式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3）额定功率：≥600W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4）额定转速：≥3000R/MIN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5）额定转矩：≥1.91N.M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6）额定电流：≥3.1A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7）转子惯量：≥0.526*10^-4kg.m^2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8）电机重量：≤2.1kg，机身长：≤156mm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9）编码器线数：≥2500P/R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10）环境温度：-25℃~+40℃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11）空气相对湿度：0~90%RH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12）极对数：≥4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减速机2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1）高精密行星减速机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2）传递效率：≥98%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3）额定转速：≥3000R/MIN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4）最高转速：≥6000R/MIN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5）精度：5~8弧分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6）噪音：&lt;56分贝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7）减速机重量：≤1.3kg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8）总长：≥119mm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9）额定承载扭矩：≥40N.M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10）最大承载扭矩：≥80N.M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11）环境温度：-20℃~+90℃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控制部分</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1）伺服驱动器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2）串口服务器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3）控制器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4）光电开关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滑轨后台节目制作</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1）滑轨屏控制程序，定点播放视频和图片，可根据要求自由增加点位，缓停缓启功能，设备启动和停止觉有缓冲，保证设备运行平稳，噪音小，不抖动，移动感应精度高达0.1mm以内，自动循环运动，自动往复运动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2）支持设置主背景图，支持触摸屏控制，中控控制，电机控制，IPAD控制，可视化排版界面，内容修改简单完成客户提供视频/图片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投影机2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1）显示技术0.47" DMD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2）分辨率3840*2160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3）亮度≥3500流明</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4）投射比≥1.5-1.65:1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5）产品尺寸 约415*297*168mm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6）输入接口 HDMI*2RS232*1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7）内置自动垂直梯形技术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8）同时产品也具备水平梯形手动调节功能，四角调整功能，产品可实现曲面调整功能，从容面对各种不同的投影环境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9）投影机可以完成曲面/球形/圆柱形等异形屏幕</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融合软件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1）支持windows 10系统，可自定义任意分辨率 最大支持单台投影7680，支持平幕、弧幕、折幕、U幕、柱幕等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2）支持PJLINK的投影机可以通过系统的设置，伴随融合主机自动开关机，无需再用遥控器，中控开关投影机，支持左右、上下、2D，亮度叠加之间相互切换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3）支持16K点对点桌面融合</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主控服务器4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1）CPU：不低于Intel Core i5十代2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2）固态硬盘：不少于120G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3）内存：不少于16G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4）独立显卡：不低于于1650TI、4G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5）工控机箱</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11.47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嵌入式电动音箱8</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2）高音單元: 不小于1"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 8Ω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功放8</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专业音响线8</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200</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星光厅滑轨屏系统安装及调试劳务费等相关费用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13、星光厅历届作品展示系统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55寸液晶屏1</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4000:1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1213.50×684.3×87.0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35.0kg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安装调试费13</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星光厅历届作品展示系统安装及调试劳务费等相关费用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14、金声厅互动屏、展示屏系统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43寸触摸一体机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43寸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4）点距≤0.372 x 0.372mm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940.2*528mm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7）物理分辨率 1920 x 1080 _FHD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8）亮度 240-280cd/㎡(中心点）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19）触摸书写面材质≥ 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30）触摸支持操作系统 XP/Win7/ Win10/ LINUX/ Android</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46寸液晶屏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1400:1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1022×576.7×106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21.0kg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110W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金声厅互动屏、展示屏系统安装及调试劳务费等相关费用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15、金声厅锥形全息设备系统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成像光源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1）液晶显示屏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2）屏幕尺寸：27英寸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3）分辨率：1920*1080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4）显示区域：≥ 597*336mm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5）外观尺寸：601.5×339.9(高) 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6）亮度：≥500cd/m²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7）视觉：全视角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8）可视角度：≥89/89/89/89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9）刷新频率：≥60Hz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成像介质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1）360度幻影成像专用四面玻璃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2）尺寸：1500*1500*650mm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3）厚度：6MM 表面处理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4）钢化镀膜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5）颜色：超白浅银镀膜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6）透反比：1:0.58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9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成像系统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1）存储：支持SD/MMC卡、U盘、移动硬盘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2）视频接口：AV、5.1光纤音频、HDMI高清接口、VGA接口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3）视频编码支持：Mpeg1/2/4、Xvid、Divx、H.263、H.264、VC-1(WMV9-HD)、RM/RMVB全支持到1920*1080P分辨率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控制板</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1）多功能解码控制板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2）视频解码：MPEG-1 MPEG-2 MPEG-4 H264 DIV-X X-VID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3）音频解码：MP3 WMA ACC</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4）图片解码：JPEG BMP PNG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5）分辨率：1920*1080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6）支持：SD卡、USB、VGA、HDMI</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画面分频器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1）1进4出画面分频器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2）芯片：IT6662E，同等或更高配置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3）兼容：HDCP</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4）分辨率：最高可以支持4K</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5）刷新率：≥30HZ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机身结构</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1）外观尺寸(长宽高)：1600*1600*1650mm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2）材质：Q235制作钣金+木质烤漆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3）外观：静电喷塑处理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4）外观颜色：黑色喷漆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音效系统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1）信噪比：≥86bBA</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工作站</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1）处理器 性能不低于Intel 12400F</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 性能不低于RTX3060，且支持CUDA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 不低于32G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4）硬盘 不低于1TB PCIe 4.0高速SSD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5）网卡 2.5Gbps*1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6）电源 不低于500w 规格不低于80Plus</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专用超高清信号监看设备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1）认证型号27UL500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2）色数10.7亿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3）亮度≥300cd/㎡</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音频接口</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1）2路话筒输入、2路线路输入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2）4通道输出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3）1个监听耳机接口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4）便携式96kHz高级音频接口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5）通过单根以太网线（超五类/六类）连接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6）话筒增益：0 ~ +70dB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7）线路增益：+6~ +30dB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8）频率范围：10Hz -100kHz（-3dB）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9）失真：≤0.005%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10）最大输出电平：+22dBu</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11）输出阻抗：≥50Ω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12）谐波失真：≤0.005%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音频工作站软件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1）最大同步音轨数量 @48/96/192 kHz) 256/128/64(多达768/384/192)²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2）音频录制 (同时最大音轨数量) 64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3）乐器轨道 128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4）MIDI 512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5）辅助 512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6）母线 256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7）视频 64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专业录音话筒</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1）传感器类型：压力梯度，电容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2）指向性：心形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3）频率响应：≥20Hz - 20kHz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4）额定阻抗：≥50Ω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5）推荐负载阻抗：≥1kΩ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6）灵敏度：≥39.8mV/Pa（@ 1kHz）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7）信噪比：≥83.2dB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8）本底噪音：≥10.8dB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9）动态范围：≥123.2dB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10）声压级：≥134dB SPL</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11）电源：+48V DC 幻象供电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12）低切：100Hz，12dB per octave</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13）音量衰减：-20dB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14）重量：约410g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15）体积：约222.5 * 51.5 mm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有源监听音箱</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1）频率响应范围38 Hz - 22 kHz (-6 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2）频率响应精准度± 1.5 dB(45 Hz - 20 kHz)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3）产品尺寸 约高 365 x 宽 237 x 深 223 mm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4）单元尺寸  低频 6.5 英寸 高频 3/4 英寸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5）功放功率低频 150 W高频 150 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6）音频接口类型1 x XLR 模拟输入，1 x XLR AES/EBU数字输入，1 x XLR AES/EBU数字输出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7）产品重量 约8.4 kg</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耳机分配器</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1）6个独立的超低噪声，音量可调的耳机输出（立体声TRS耳机通道）</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2）A、B两组立体声输入与TRS平衡式线路输入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3）每个耳机通道均有立体声TRS外部输入，可进行独立控制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4）每个耳机通道可自由控制并混合输出A、B两组立体声输入的信号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5）录音对讲功能（标准XLR插口）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6）每个耳机通道均可进行独立的立体声TRS线路输出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7）每个耳机通道可独立静音，可输出立体声的单声道混合信号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歌手监听耳机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1）频率响应：18-20，000Hz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2）感度：115dB SPL/V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3）输出功率：200mW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4）阻抗：32Ω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5）线长：约2.5m (99.99% OFC)</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6）重量：约190g(不含线)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7）插头：3.5mm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8）附件：6.3mm插头用转接头 x 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录音师监听耳机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1）类型  动圈封闭式耳机，带封闭式驱动单元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2）被动衰减  36.7 dB在8,000 Hz, 降噪等级 29 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3）频率响应  20-20,000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4）保真度响应 TruSound™音色准确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5）驱动单元 40 mm，封闭式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6）阻抗 32 ohms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114 dB在1 KHz 1 mW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8）连接线 9 ft (2,750 mm)高质量双引线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9）插头 立体声1/8” (3.5 mm)镀金直头，带可拧上的1/4” (6.3 mm)镀金转接头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10）额定输入功率 500 mW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11）最大输入功率 1,000 mW</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折叠式话筒杆</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1）折叠式的支架腿，立杆二节，及可延展的二节臂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2）重量：约2.5kg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3）高度：900-1600mm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4）臂长：425mm-725mm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通用网防喷罩</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1）通用型，是世界广泛使用的能够配合任意一款话筒的防喷辅助设备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2）坚固的金属网和框架，耐用性强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3）软管柔韧性好、抗弯折、可塑性强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4）金属防喷网具有更好的高频响应</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5）各频段等量衰减，不影响话筒原有声音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6）利用物理滤噪原理，将外界噪声进行过滤</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耳分支架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1）耳机放大器承载架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无线头显</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1）不少于2个3.4英寸屏幕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2）分辨率：单眼分辨率1440 x 1700（双眼分辨率2880 x 1700）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3）刷新率：≥90 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4）视场角：最大110 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5）音频：立体声耳机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6）输入：集成麦克风，头戴式设备按钮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7）连接口：USB-C 3.0，DP 1.2，与面板的专用连接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8）传感器：G-sensor校正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9）陀螺仪</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10）双眼舒适度设置(IPD)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11）人体工学设计：翻盖式面罩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12）可调式双眼舒适度设置(IPD)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13）可调式头带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配件/辅材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1）开关电源 灯带 HDMI线 螺丝 配件 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2）音频接头，连接线及配件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金声厅锥形全息设备系统安装及调试劳务费等相关费用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16、四类奖项展示系统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P1.5/LED屏</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1）像素结构 SMD1212三合一LED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2）像素间距（mm） 1.53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3）模组分辨率（W×H） 208×104=21632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4）模组尺寸（mm） 320×160×12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5）模组重量（kg） 0.395kg±0.01kg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6）模组输入电压（V） 4.5±0.1V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7）模组最大电流（A） ≤5.0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8）模组最大功耗（W） ≤23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9）箱体模组组成（W×H） 2×3</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10）箱体分辨率（W×H） 416×306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11）箱体尺寸（mm） 640×480×70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12）箱体面积（m2） 0.3072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13）箱体重量（kg）   6～8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14）箱体像素密度（点/m2） 422500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15）箱体平整度（mm）    ≤0.2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16）维护方式 后维护（可定制前维护）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17）箱体材质 压铸铝</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18）单点亮度校正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19）单点色度校正 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20）白平衡亮度（nits） ≥450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21）色温（K） 3000～14000可调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22）视角（水平/垂直°） 140/120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23）亮度/色度均匀性 ≥99%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24）对比度   5000:1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25）箱体最大功耗（W） 138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26）箱体平均功耗（W） 46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27）供电要求   AC90V－132V/ AC186V－264V，频率47Hz～63Hz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28）换帧频率（Hz） 50&amp;60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29）驱动方式    恒流驱动，52扫</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30）灰度级别 16384</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31）刷新率（Hz） 3840Hz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32）颜色处理位数 14bit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33）寿命典型值（hrs） 100,000H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34）工作温/湿度范围（℃/RH） -20℃～50℃ / 10%RH～65%RH（无结露）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35）存储温/湿度范围（℃/RH） -10℃～30℃ / 10%RH～60%RH（无结露）</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6.75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显示框架结构6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1）基础框架需做好防锈刷漆处理，框架：整体镀锌钢支撑架+拉丝亚光不锈钢包边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2）因本项目的显示框架结构搭建为专业工程，且需显示屏制造商完成施工，故显示屏制造商需具备钢结构工程专业承包三级或以上资质（提供证书复印件并承诺在签订合同后提供加盖产品原厂公章的原件）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6.75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配电柜6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配电系统采用三相五线制供电，配电系统保证三相平衡，屏体采用“分步加电”的上电方式，尽量减少对电网的冲击影响，同时还应配备过流、短路、断路、过压、欠压、温度过高等保护措施，以及相应的故障指示装置。实现定时开关屏体，方便用户的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2）配电柜可实现远程开关机功能，提供PLC软件著作权复印件并承诺在签订合同后提供加盖产品原厂公章的原件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3）提供配电柜3C证书与国家强制性产品认证实验报告复印件并承诺在签订合同后提供加盖产品原厂公章的原件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控制主机5</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嵌入式电动音箱9</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2）高音單元: 不小于1"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3）低音單元:不小于 5.25"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4）阻抗:≥ 8Ω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6）峰值: ≥80W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功放9</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1）功率输出：不小于150W*2/8Ω，300W*2/4Ω: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专业音响线9</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四类奖项展示系统安装及调试劳务费等相关费用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17、四类奖项全息设备系统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激光工程投影机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1）★显示技术：3LCD，尺寸≥0.76〞（须提供相关材料证明并承诺在签订合同后提供加盖产品原厂公章的原件）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2）★亮度≥8500流明（中心亮度）（须提供相关材料证明并承诺在签订合同后提供加盖产品原厂公章的原件）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3）★物理分辨率≥1920*1200（须提供相关材料证明并承诺在签订合同后提供加盖产品原厂公章的原件）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4）★对比度≥4,000,000：1（须提供相关材料证明并承诺在签订合同后提供加盖产品原厂公章的原件）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5）★光源为蓝色激光二极管，使用寿命为20,000 小时（正常模式）；长达    50,000 小时（Long Life 2 模式 / 50% 高亮）（须提供相关材料证明并承诺在签订合同后提供加盖产品原厂公章的原件）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6）空气滤网寿命30,000小时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主要特性及功能：支持手动调整的扭曲和融合，以及通过投影机融合工具实现相机自动调整。投影机融合工具，可以配置12台投影机，达到自动屏幕适应、叠放校正、亮度及色彩调整、色彩统一性调整、手动适应屏幕。可以实现HDR画质效果。HDCR2功能，不仅能够自动控制色调增强，还能自动控制色彩增强。即使在明亮的室内投影，这个功能还能让画面更清晰更生动。eClarity功能，通过提高阴影锐度和光泽度，让画面显得更真实。色彩控制CM功能，将目标颜色调整到期望的颜色。独立调节六种颜色： 红色/黄色/绿色/青色/蓝色/紫红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8）★原厂保修：投影机5年或20,000小时质保（以先到为准) （须提供相关材料证明并承诺在签订合同后提供加盖产品原厂公章的原件）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工程吊架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1）黑色</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2）承重不少于80kg 加厚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播放主机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电动纱幕</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1）170寸16:10 电动控制纱幕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2）显示画面 3.6*2.3米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3）透光率 ≥75%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4）厚度 ≤89μm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5）紫外线消减≥ 99%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6）增益 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7）硬 度 2H</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8）颜色 白/灰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9）电机参数（管状电机）350瓦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10）纱幕全息投影拓展舞台的空间层次纱幕轻巧透明面</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线材2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1）高强度的GGP钛合金铠装光纤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2）内部采用铠装处理，抗拉扯，抗碾压,ATC测试极限长度，可达到100米</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3）支持HDCP 2.2,支持原生4K，60HZ,支持4:4:4 12bit HDR,支持ARC回传,兼容4K/60Hz、1080P 50M</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嵌入式电动音箱10</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不小于5.25寸音控嵌入式圆形电动音箱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 xml:space="preserve">高音單元: 不小于1"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 xml:space="preserve">低音單元:不小于 5.25"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 xml:space="preserve">阻抗:≥ 8Ω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18"/>
                <w:szCs w:val="18"/>
                <w:lang w:val="en-US" w:eastAsia="zh-CN" w:bidi="ar"/>
              </w:rPr>
              <w:tab/>
            </w:r>
            <w:r>
              <w:rPr>
                <w:rFonts w:hint="eastAsia" w:ascii="宋体" w:hAnsi="宋体" w:eastAsia="宋体" w:cs="宋体"/>
                <w:kern w:val="0"/>
                <w:sz w:val="18"/>
                <w:szCs w:val="18"/>
                <w:lang w:val="en-US" w:eastAsia="zh-CN" w:bidi="ar"/>
              </w:rPr>
              <w:t>額定功率:≥30W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6）峰值: ≥80W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7）灵敏度：≥ 88dB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8）频率范围： ≥80-20000Hz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9）自动呈扇形转动，0-63°多角度定位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4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功放10</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1）功率输出：不小于300W*2/8Ω，600W*2/4Ω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2）面板字体：中文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3）频率范围：20Hz-20KHz同等或更高配置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4）信噪比：≥83Db</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5）音乐线路输入灵敏度：≥250mv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6）话筒线路输入灵敏度：≥5-100mv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7）输出灵敏度：≥0.775V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8）总谐波失真：≤0.15V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9）输出阻抗：≥20kΩ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10）放大电路：AB类放大电路</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专业音响线10</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1）1.5平方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2）高纯度无氧铜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400</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安装调试费17</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四类奖项全息设备系统安装及调试劳务费等相关费用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18、坡道入口处实验室工作展示屏系统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55寸液晶屏2</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1）背光类型  LED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3）亮度  500cd/m2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4）静态对比度  4000:1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5）一体式尺寸(含边框)(mm)  1213.50×684.3×87.0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6）一体式重量  35.0kg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7）双边拼缝  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8）安装方式 一体式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9）控制方式  按键控制，RS232串口控制，红外遥控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10）电压  AC90~264V(±5%),50/60Hz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11）典型功耗  150W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12）待机功耗  ≤1W</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13）工作温度  0℃~50℃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14）湿度  20%~90%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15）输入 VGA*1、CVBS*1、DVI-D*1、HDMI*1、RS232(RJ45)*1、USB（升级和多媒体）、IR*1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16）输出 RS232(RJ45)*1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安装调试费18</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坡道入口处实验室工作展示屏系统安装及调试劳务费等相关费用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19、未来发展厅合影留念及扫码下载系统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摄像头</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1）用高技术水准的网络摄像头，捕获精致视频，播放或视频录像更出彩各种环境下为用户带来令人惊叹的视频效果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2）4K 高清摄像头提供5 倍数码自动变焦，支持 RightLight 3 技术与 HDR 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3）背景替换功能让您能自由选择任何会面场景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4）ULTRA HD红外面部识别 RightLightM 3 及 HDR 宽阔的视野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体感拍照捕捉</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1）扫描范围相对比较小，水平视角为57度、垂直视角为43度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2）产品本身可转动倾斜27度好抓住游戏玩家的动态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3）可视深度是相当严格，游戏玩家必须在4尺到11.5尺的范围之间，约122到350公分间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4）最多能同时追踪两个玩家，如果是眼睛的话，最多可以同时追踪六只眼睛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5）分辨率分别为 320 x 240、16bit、30 fps(这颗应该是测深度的镜头)和 640 x 480、32bit、30FPS(这颗是最左边的彩色镜头)，最后是16bit、16 khz 频率音效</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控制主机6</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1）Intel®Core™i5-4590或AMD FX™8350，同等或更高配置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2）显卡：NVIDIA® GeForce® GTX 970 4GB, AMD Radeon™ R9 290 4GB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3）内存：4 GB RAM或以上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4）视频输出：DisplayPort 1.2或更高版本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5）USB端口：1个USB 3.0或更高版本的端口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6）操作系统：Windows ® 10, Windows ® 11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32寸触摸一体机4</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1）屏幕尺寸 32寸</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2）背光类型 ELED  侧入式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3）显示类型 2D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4）点距 ≤0.372 x 0.372mm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5）有效显示面积 699*393.5MM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6）屏幕比例 16:9</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7）物理分辨率 1920 x 1080 _FHD</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8）亮度 300-350cd/㎡(中心点）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9）对比度 ≥1400：1（Typ.）透射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10）显示色彩≥ 8 bit/16.7 Million</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11）可视角度 ≥178°,178°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12）刷新率 ≥60Hz</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13）响应时间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14）伴音输出功率 ≥8Ω8W    x2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15）触摸类型 红外触摸屏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16）触摸点数 10触摸点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17）触摸嵌入方式 侧边嵌入式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18）触摸驱动方式 HID免驱</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19）触摸书写面材质 ≥3mm钢化玻璃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20）触摸屏感应方式 手指或其他非透明触摸感应介质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21）触摸屏定位分辨率 4096X4096</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22）触控系统通讯端口 USB 2.0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23）检测功能与校准 带软件自动检测功能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24）响应速度 ≤8ms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25）触摸次数 无限次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26）扫描速度 ≥100Hz/秒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27）光标速度 ≥125P/S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28）触摸精度 ≦2mm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29）安装维护方式 后置\侧拆维护式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30）触摸支持操作系统 XP/Win7/ Win10/ LINUX/ Android</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软件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1）互动捕捉拍照程序定制开发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2）控制系统的对接</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安装调试费19</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未来发展厅合影留念及扫码下载系统安装及调试劳务费等相关费用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20、控制系统及软件系统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定向开发集中控制软件（核心产品）</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1）支持多种智能品牌：HDL、KNX、AMX 、CLIPSAL、Modbus、Crestron、BAC、Intesis、Kramer、MyHome、DOMINTELL、Helvar、ThingSpesk、PHILIPS、PULINK、SONOS、Beckhoff、ODBC等界面直观，可靠</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2）支持的系统：IOS+Android+OSX+Windows 8/8.1同等或更高配置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3）图形与文字相结合的界面. 界面形象, 功能丰富，操作方便。灵活多变、操作简俗易懂的图形化中央监控界面，支持嵌入式网页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4）支持动画位图图形，带根据时间和日期对事件进行排程功能、条件逻辑、流程控制、算术运算等功能，便于计量科技创新实验楼的照明管理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5）支持BACnet、Modbus、SNMP、OPC DA、DALI、DMX、 EnOcean, M-Bus等接口协议对接</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透明屏智能集中控制系统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总序滑轨屏智能集中控制系统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星光奖滑轨屏智能集中控制系统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感应文献智能集中控制系统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圆柱扩展屏智能集中控制系统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6）★提供“显示播放日志管理系统”和“LED全彩屏信息发布系统”功能相关的软件著作权复印件并承诺在签订合同后提供加盖产品原厂公章的原件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时光隧道智能集中控制系统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锥型全息智能集中控制系统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四类奖项全息智能集中控制系统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金声奖地墙顶面LED智能集中控制系统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液晶触摸屏智能集中控制系统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P1.5/LED屏智能集中控制系统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二楼楼梯口LED智能集中控制系统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画框屏智能集中控制系统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魔方屏智能集中控制系统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1）采用独立MAC地址进行编程ID控制，保证数据指令传输准确无误</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2）含RJ45端口，使用标准超五类网络线缆与交换机连接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3）含多个可编程双向RS-232控制通道，支持网络指令接收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4）支持EIA-RS-232C国际总线标准，可控制所有支持RS-238协议的设备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5）可扩展连接周边控制模块实现更多功能，比如音量控制模块、灯光控制模块、信号矩阵切换模块等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展厅智能灯光控制系统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1）具有手动控制开关，支持场景和序列控制。具有低功耗，长寿命的优点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2）具有多个独立区域，每个区域有多个场景可供编辑，场景运行时间可调节，每个回路具有灯具保护延时，每个回路具有分批开启延时，每个回路继电器开关可手动控制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专项定制</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1）各类视频投放异型设备的视频转换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2）智能机器人与同显屏幕的设备数据互通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3）智能灯光场景与视频同步衔接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4）智能机器人、智能灯光、音响、画面之间流程性联动设置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5）UI界面定制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中控手持端</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1）2合1平板电脑</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2）支持HarmonyOS 2 操作系统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3）平板尺寸不小于12.6英寸，分辨率不低于2560x1600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4）屏幕参数OLED，Delta E＜0.5，1000000:1，DCI-P3广色域，90%屏占比，   莱茵TUV全局护眼2.0认证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5）多屏协同，平行视界，智慧语音键，智慧多窗，指关节手势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监控录像机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1）录像分辨率：8MP/6MP/5MP/4MP/3MP/1080p</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2）视频输出：1路HDMI，1路VGA</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3）网络接口：2个，RJ45 10M/100M/1000M自适应以太网口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4）可接驳符合ONVIF、RTSP标准及众多主流厂商的网络摄像机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5）支持H.265、H.264编码前端自适应接入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6）支持热度统计功能，可统计通道指定时间段不同区域的客流量大小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7）支持GB28181协议、Ehome协议接入平台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8）支持4K高清网络视频的预览、存储与回放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超高清视频监看设备</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1）55英寸4K监视器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2）支持3840*2160@60Hz超高清显示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3）支持通过串口连接中控设备，进行远程集中控制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4）实时监控设备温度，高温报警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5）支持U盘点播，含文本、图片、音频、视频等多种格式多媒体播放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6）音视频输入接口HDMI2.0 × 1, DP1.2 × 1, VGA × 1, Audio In(3.5mm)× 1</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7）支持U盘点播，含文本、图片、音频、视频等多种格式多媒体播放</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8）可视角178° （H）/ 178°（V）</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21、机器人控制系统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机器人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1）输入方式 语音，触控主控板 RK3399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2）机身尺寸 约54cm*56cm*152cm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3）机身重量 约50kg</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4）屏幕数量 不少于2块屏幕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5）尺寸 表情屏不小于7英寸，显示屏不小于27英寸触摸屏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6）电容屏分辨率 1920*1080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7）屏幕材质 IPS技术显示屏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8）运行内存 4GB同等或更高配置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9）机身内存 32G同等或更高配置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10）WiFi制式 支持2.4G 802.11 b/g/n蓝牙 BT4.0同等或更高配置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11）摄像头 800万像素同等或更高配置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12）电池类型 锂电池</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13）电池容量 32AH 24V同等或更高配置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14）待机时间 不少于8小时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15）充电桩输入 AC220-240V同等或更高配置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16）5A充电桩输出 25.2V 10A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17）Max激光雷达传感器 最大扫描半径25m导航精度 ±5cm运动参数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18）最大行走速度0.7m/s</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19）功能列表功能项 功能说明闲聊 机器人可进行一般性问答</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20）★提供“智能客服系统”功能相关的软件著作权和软件产品登记测试报告复印件并承诺在签订合同后提供加盖产品原厂公章的原件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对接软件系统</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1）机器人场景化联动，闲聊 机器人可进行一般性问答</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2）特色问答 回答支持调用富文本、图片、富文本，展示内容更多样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3）业务问答 回答调取知识库内容，回答专业领域问题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4）语音唤醒 待机模式下可以通过设定的唤醒语唤醒机器人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5）触摸唤醒 待机模式下可以通过触摸机器人手臂唤醒机器人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6）触控唤醒 待机模式下可以通过点击机器人主屏幕唤醒机器人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7）引导词自定义 主界面下的引导词支持自定义，以适应不同场景，引导访客进行提问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8）唤醒词定制 唤醒机器人的唤醒词可以定制，定义后可以以通过此唤醒词唤醒机器人</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9）LOGO定制 主界面和聊天界面的LOGO可以定制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10）表情自定义 机器人支持制作表情上传使用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11）音色切换 机器人支持男、女两种音色切换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12）视频播放 主页界面内置视频播放窗口，上传视频后即可自动播放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22、雾化玻璃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雾化玻璃</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1）6mm+6mm高透钢化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7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运输</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人工、运费、上楼等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kern w:val="0"/>
                <w:sz w:val="18"/>
                <w:szCs w:val="18"/>
                <w:lang w:val="en-US"/>
              </w:rPr>
            </w:pPr>
            <w:r>
              <w:rPr>
                <w:rFonts w:hint="eastAsia" w:ascii="宋体" w:hAnsi="宋体" w:eastAsia="宋体" w:cs="宋体"/>
                <w:b/>
                <w:bCs w:val="0"/>
                <w:kern w:val="0"/>
                <w:sz w:val="18"/>
                <w:szCs w:val="18"/>
                <w:lang w:val="en-US" w:eastAsia="zh-CN" w:bidi="ar"/>
              </w:rPr>
              <w:t>23、综合布线系统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通讯网线</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1）标准：YD/T1019，ANSI∕TIA-568-C.2，ISO/IEC 11801，IEC/LQT 61156-5</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2）产品传输性能符合ANSI/TIA-568-C.2标准的5米短信道（二节点），9米短信道（三节点），14米短信道（四节点）,100米信道（六节点）和永久链路并提供第三方检验报告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3）通过标准最高传输频率250MHz测试</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4）额定传输速率(NVP)：68%</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5）单根导体直流电阻：≤9.0Ω/100m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6）导体：软圆铜线、0.57±0.015mm，绝缘：HDPE 1.00±0.008mm，线对：4对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7）屏蔽方式：U/UTP，线对采用锯齿状“十”字骨架隔离</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8）护套材料：采用内锯齿LSZH外护套，护套外径：6.3±0.3mm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9）阻燃标准：IEC60332-1-2</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10）安装温度： 0℃～+50℃，工作温度：-20℃～+60℃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11）产品符合TLC，ETL认证并提供证书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12）产品符合YD/T1019-2013标准的单体性能要求并提供第三方检验报告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13）产品符合ROHS指令和REACH法规要求并提供第三方检验报告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交换机</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1）交换容量：192Gbps，同等或更高配置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2）包转发率：42Mpps，同等或更高配置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3）管理端口：1个Console口，同等或更高配置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4）固定端口：24*10/100/1000 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5）Base-T以太网端口4*100/1000，同等或更高配置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6）Base-X SFP光口，同等或更高配置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7）功耗：≤230W，同等或更高配置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8）支持特有的ARP入侵检测功能,可有效防止黑客或攻击者通过ARP报文实施，ARP欺骗攻击”,与iMC配合可实现代理检测、双网卡检测等功能。同等或更高配置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通讯EIB控制线</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技术要求：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1）电缆描述：铝箔屏蔽，地线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2）阻抗：120Ω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3）铜线直径：0.75~0.85mm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4）电缆外径：7.0~8.0mm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5）导线电阻(20℃)：小于35Ω/km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6）绝缘电阻(70℃)：大于5MΩ/km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7）成品耐电压：AC 300V</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8）绞合股数：40/m</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9）对绞：2 x 双芯绞线(红黑对绞，白黄对绞)</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1000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施工辅材</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PVC管，三通，直通，膨胀，螺丝，胶布，转头、金属软管等</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施工费</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综合布线相关的施工费用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 xml:space="preserve">1 </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项</w:t>
            </w:r>
          </w:p>
        </w:tc>
      </w:tr>
    </w:tbl>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p>
    <w:p>
      <w:pPr>
        <w:pStyle w:val="6"/>
        <w:widowControl/>
        <w:rPr>
          <w:rFonts w:hint="eastAsia" w:ascii="宋体" w:hAnsi="宋体" w:eastAsia="宋体" w:cs="宋体"/>
          <w:b w:val="0"/>
          <w:kern w:val="0"/>
          <w:sz w:val="21"/>
          <w:szCs w:val="21"/>
          <w:lang w:val="en-US"/>
        </w:rPr>
      </w:pPr>
      <w:r>
        <w:rPr>
          <w:rFonts w:hint="eastAsia" w:ascii="宋体" w:hAnsi="宋体" w:eastAsia="宋体" w:cs="宋体"/>
          <w:kern w:val="0"/>
          <w:sz w:val="21"/>
          <w:szCs w:val="21"/>
          <w:lang w:eastAsia="zh-CN"/>
        </w:rPr>
        <w:t>（四）其他要求</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1、相关法规、管理条例与技术标准、行业规范：</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（1）国家规定的标准和规范，有新标准按新标准执行；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（2）行业标准及规范，有新标准按新标准执行；</w:t>
      </w:r>
    </w:p>
    <w:p>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（3）其他相关标准。</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2、通用技术要求：</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1）以下所列为本次采购的基本要求，供应商须按有关标准及规范完成本次采购设备制造与供货、运输（含保险、装卸车）、安装、调试与技术培训、检验、检测、通过有关部门验收、质保期内服务、维修等各项工作，并保证其使用的安全性与可靠性。</w:t>
      </w:r>
      <w:r>
        <w:rPr>
          <w:rFonts w:hint="eastAsia" w:ascii="宋体" w:hAnsi="宋体" w:eastAsia="宋体" w:cs="宋体"/>
          <w:b/>
          <w:bCs w:val="0"/>
          <w:kern w:val="2"/>
          <w:sz w:val="21"/>
          <w:szCs w:val="21"/>
          <w:lang w:val="en-US" w:eastAsia="zh-CN" w:bidi="ar"/>
        </w:rPr>
        <w:t>具体配置说明、技术参数及产品样本等由供应商在投标文件中提供。如中标，供应商须对中标仪器设备使用的安全性、有效性及检测结果的可靠性负全部责任。</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供应商应保证提供的货物为合法生产企业的产品，符合国家有关法律、法规、规定和标准。按国家规定应通过有关部门鉴定（批准）的产品，应保证已按国家规定通过了鉴定（批准），并附鉴定文件（批准证书）的复制件。实行产品许可证制度的产品还须提供生产许可证复制件。供应商的投标产品必须具备相当于或高于招标文件中招标人所要求的相应的技术指标，并能提供更好的性能，具有更高的可靠性和耐用性。</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（3）供应商提供的投标产品应适合招标人的工作条件。货物安装运行对环境如有特殊要求的，应在投标文件中加以说明。</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（4）供应商无论是否具有进出口办理权，所投标产品的价格需包含产品CIP报价的所有费用。（若允许进口设备进行投标，本项需满足，是否允许，详见前附表规定。）</w:t>
      </w:r>
    </w:p>
    <w:p>
      <w:pPr>
        <w:keepNext w:val="0"/>
        <w:keepLines w:val="0"/>
        <w:widowControl w:val="0"/>
        <w:suppressLineNumbers w:val="0"/>
        <w:spacing w:before="0" w:beforeAutospacing="0" w:after="0" w:afterAutospacing="0" w:line="360" w:lineRule="auto"/>
        <w:ind w:left="0" w:right="0" w:firstLine="316" w:firstLineChars="150"/>
        <w:jc w:val="both"/>
        <w:rPr>
          <w:rFonts w:hint="eastAsia" w:ascii="宋体" w:hAnsi="宋体" w:eastAsia="宋体" w:cs="宋体"/>
          <w:b/>
          <w:bCs/>
          <w:lang w:val="en-US"/>
        </w:rPr>
      </w:pPr>
      <w:r>
        <w:rPr>
          <w:rFonts w:hint="eastAsia" w:ascii="宋体" w:hAnsi="宋体" w:eastAsia="宋体" w:cs="宋体"/>
          <w:b/>
          <w:bCs w:val="0"/>
          <w:kern w:val="2"/>
          <w:sz w:val="21"/>
          <w:szCs w:val="21"/>
          <w:lang w:val="en-US" w:eastAsia="zh-CN" w:bidi="ar"/>
        </w:rPr>
        <w:t>（5）投标人应在投标文件偏离表中如实承诺对采购人招标文件中技术参数要求的正/负偏离响应情况。若偏离表中写完全响应，无偏离，但在实施过程中发现不符合要求的，</w:t>
      </w:r>
      <w:r>
        <w:rPr>
          <w:rFonts w:hint="eastAsia" w:ascii="宋体" w:hAnsi="宋体" w:eastAsia="宋体" w:cs="宋体"/>
          <w:b/>
          <w:bCs/>
          <w:kern w:val="2"/>
          <w:sz w:val="21"/>
          <w:szCs w:val="21"/>
          <w:lang w:val="en-US" w:eastAsia="zh-CN" w:bidi="ar"/>
        </w:rPr>
        <w:t>采购人将上报相关部门并保留投诉和索赔的权利。</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本项目为交钥匙工程，报价方式为总价包干，含设备费、材料费、配套线缆等辅助材料费、制造、购置费、运输费、安装费、搬运费、售后服务、质检费、验收费、集成涉及的相关费用、税金和其它费用等。对于没有填报的项目，采购人将不再支付，并均认为已包含在投标报价内。进口设备的设备费须包含设备（包括主机、标准附件、备品备件、专用工具）价、国际运费、国际运输保险费、银行财务费、外贸手续费、清关费等进口所需发生的其他费用、国内运杂费、国内运输保险费、利润、税金等。按人民币报价。</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（7）各个设备技术参数中所涉及到的检测报告或产品截图，合同签订后提供检测报告复印件或产品截图复印件。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注：国家政策允许免税的进口设备的价格采用免税的人民币报价，但对于不能免税的部分应报含税价，并在投标文件中予以明示，交易方式为CIP浙江传媒学院。不能享受国家的减免税政策或者加征关税的，其税金均由中标供应商承担。由中标供应商委托相关外贸公司办理免税事宜，采购人予以协助，所需费用由中标供应商承担。</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3、系统集成项目组实施人员能力（3分）</w:t>
      </w:r>
    </w:p>
    <w:p>
      <w:pPr>
        <w:keepNext w:val="0"/>
        <w:keepLines w:val="0"/>
        <w:widowControl w:val="0"/>
        <w:suppressLineNumbers w:val="0"/>
        <w:spacing w:before="0" w:beforeAutospacing="0" w:after="0" w:afterAutospacing="0" w:line="360" w:lineRule="auto"/>
        <w:ind w:left="0" w:right="0" w:firstLine="409" w:firstLineChars="195"/>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针对本项目建立项目支撑团队，要求人数达到10人及以上（高级项目经理1名、项目技术负责人1名、技术人员2人及以上，其他安装调试技术支撑人员6人）。</w:t>
      </w:r>
    </w:p>
    <w:p>
      <w:pPr>
        <w:keepNext w:val="0"/>
        <w:keepLines w:val="0"/>
        <w:widowControl w:val="0"/>
        <w:suppressLineNumbers w:val="0"/>
        <w:spacing w:before="0" w:beforeAutospacing="0" w:after="0" w:afterAutospacing="0" w:line="360" w:lineRule="auto"/>
        <w:ind w:left="0" w:right="0" w:firstLine="409" w:firstLineChars="195"/>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①高级项目经理具有PMP高级项目经理证或高级技术职称证书；（1分）</w:t>
      </w:r>
    </w:p>
    <w:p>
      <w:pPr>
        <w:keepNext w:val="0"/>
        <w:keepLines w:val="0"/>
        <w:widowControl w:val="0"/>
        <w:suppressLineNumbers w:val="0"/>
        <w:spacing w:before="0" w:beforeAutospacing="0" w:after="0" w:afterAutospacing="0" w:line="360" w:lineRule="auto"/>
        <w:ind w:left="0" w:right="0" w:firstLine="409" w:firstLineChars="195"/>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②项目技术负责人具有计算机信息系统集成高级项目经理人员或壹级建造师（机电工程专业）资格或通信、计算机类高级职称证书；（1分）</w:t>
      </w:r>
    </w:p>
    <w:p>
      <w:pPr>
        <w:keepNext w:val="0"/>
        <w:keepLines w:val="0"/>
        <w:widowControl w:val="0"/>
        <w:suppressLineNumbers w:val="0"/>
        <w:spacing w:before="0" w:beforeAutospacing="0" w:after="0" w:afterAutospacing="0" w:line="360" w:lineRule="auto"/>
        <w:ind w:left="0" w:right="0" w:firstLine="409" w:firstLineChars="195"/>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③其他安装调试技术支撑人员均需具有硕士研究生及以上学历或中级及以上技术职称。（1分）</w:t>
      </w:r>
    </w:p>
    <w:p>
      <w:pPr>
        <w:keepNext w:val="0"/>
        <w:keepLines w:val="0"/>
        <w:widowControl w:val="0"/>
        <w:suppressLineNumbers w:val="0"/>
        <w:spacing w:before="0" w:beforeAutospacing="0" w:after="0" w:afterAutospacing="0" w:line="360" w:lineRule="auto"/>
        <w:ind w:left="0" w:right="0" w:firstLine="411" w:firstLineChars="195"/>
        <w:jc w:val="both"/>
        <w:rPr>
          <w:rFonts w:hint="eastAsia" w:ascii="宋体" w:hAnsi="宋体" w:eastAsia="宋体" w:cs="宋体"/>
          <w:b/>
          <w:bCs w:val="0"/>
          <w:spacing w:val="-6"/>
          <w:lang w:val="en-US"/>
        </w:rPr>
      </w:pPr>
      <w:r>
        <w:rPr>
          <w:rFonts w:hint="eastAsia" w:ascii="宋体" w:hAnsi="宋体" w:eastAsia="宋体" w:cs="宋体"/>
          <w:b/>
          <w:bCs w:val="0"/>
          <w:kern w:val="2"/>
          <w:sz w:val="21"/>
          <w:szCs w:val="21"/>
          <w:lang w:val="en-US" w:eastAsia="zh-CN" w:bidi="ar"/>
        </w:rPr>
        <w:t>4、验收方案：</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bCs/>
          <w:kern w:val="2"/>
          <w:sz w:val="21"/>
          <w:szCs w:val="21"/>
          <w:lang w:val="en-US" w:eastAsia="zh-CN" w:bidi="ar"/>
        </w:rPr>
        <w:t>（1）</w:t>
      </w:r>
      <w:r>
        <w:rPr>
          <w:rFonts w:hint="eastAsia" w:ascii="宋体" w:hAnsi="宋体" w:eastAsia="宋体" w:cs="宋体"/>
          <w:kern w:val="2"/>
          <w:sz w:val="21"/>
          <w:szCs w:val="21"/>
          <w:lang w:val="en-US" w:eastAsia="zh-CN" w:bidi="ar"/>
        </w:rPr>
        <w:t>验收内容：中标方实际完成的情况是否符合采购文件要求和中标方在投标响应文件中的商务、技术承诺。验收中发现合同系统达不到验收标准或合同规定的性能指标，中标方必须在征得采购方认可后更换合同货物，并负担由此给采购人造成的损失，直到验收合格为止。</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验收标准：中标方已经按采购文件要求和中标方在投标响应文件中的商务、技术承诺完成项目执行。中标方应提供合同系统的有效检验文件，经采购人认可后，与合同的性能指标一起作为合同系统验收标准，并在验收中提供采购人认可的相应检测手段，验收标准应符合中国有关的国家、地方、行业的标准，如若中标，经采购人确认后作为验收的依据。</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（3）验收程序：中标方将全部货物送至采购人指定地点后5个工作日内，采购人组织点货验收；货物验收合格后，中标方完成设备安装与集成，试运行满10个工作日后，采购人组织项目功能验收。</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（4）验收时乙方应在现场，验收完毕后作出验收结果报告；验收产生的费用，属于首次验收过程中产生的，由甲方承担；属于首次验收不合格，重新验收过程中产生的，由乙方承担。</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（5）技术履约内容</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1）中标方应及时免费提供合同系统软件的升级，免费提供合同系统新功能和应用的资料。</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2）中标方需在项目验收时，基于项目建设的数字化交互式展陈平台，通过平板电脑演示展厅各类显示屏、投影机、灯光和音响的集中控制，并能够快速布署展厅的数字化展示内容，满足展厅设计的要求。</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备品备件清单（含随机自带的备品备件和质保期后供采购人选择的备品备件及配套零部件，明细备品备件及价格，且供货价格不高于中标价格；中标货物设备应提供易损部件的备件）LED显示屏及控制模板备品10平方米以上不少于20块，10平方米以下不少于5块。</w:t>
      </w:r>
    </w:p>
    <w:p>
      <w:pPr>
        <w:pStyle w:val="6"/>
        <w:widowControl/>
        <w:ind w:left="0" w:firstLine="0"/>
        <w:rPr>
          <w:rFonts w:hint="eastAsia" w:ascii="宋体" w:hAnsi="宋体" w:eastAsia="宋体" w:cs="宋体"/>
          <w:kern w:val="0"/>
          <w:sz w:val="21"/>
          <w:szCs w:val="21"/>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6"/>
        <w:widowControl/>
        <w:ind w:left="0" w:firstLine="0"/>
        <w:rPr>
          <w:rFonts w:hint="eastAsia" w:ascii="宋体" w:hAnsi="宋体" w:eastAsia="宋体" w:cs="宋体"/>
          <w:kern w:val="0"/>
          <w:sz w:val="30"/>
          <w:szCs w:val="30"/>
          <w:lang w:val="en-US"/>
        </w:rPr>
      </w:pPr>
      <w:r>
        <w:rPr>
          <w:rFonts w:hint="eastAsia" w:ascii="宋体" w:hAnsi="宋体" w:eastAsia="宋体" w:cs="宋体"/>
          <w:kern w:val="0"/>
          <w:sz w:val="30"/>
          <w:szCs w:val="30"/>
          <w:lang w:eastAsia="zh-CN"/>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0"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1.交付（实施）的时间（期限）：合同签署后30日内交货，接到用户通知后在30日内完成设备安装及调试。如在规定的时间内由于成交方的原因不能完成安装和调试，成交方应承担由此给用户造成的损失。</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spacing w:val="-6"/>
                <w:kern w:val="2"/>
                <w:sz w:val="21"/>
                <w:szCs w:val="21"/>
                <w:lang w:val="en-US" w:eastAsia="zh-CN" w:bidi="ar"/>
              </w:rPr>
              <w:t>2.交付（实施）的地点（范围）：浙江传媒学院钱塘校区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 xml:space="preserve">1. 合同总价的1％作为履约保证金，签订合同后3个工作日内由中标人交入采购人帐户（履约保证金可以以银行转账、由银行或保险公司出具的保函保单等形式），一般情况下待全部货物及项目功能验收合格之日起7个工作日内退还中标人； </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 签订合同之日起7个工作日内，采购人支付合同金额的40%给中标人，作为预付款；</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3.合同货物到货后，经采购人清点、验收合格后，支付合同金额的30%；</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lang w:val="en-US"/>
              </w:rPr>
            </w:pPr>
            <w:r>
              <w:rPr>
                <w:rFonts w:hint="eastAsia" w:ascii="宋体" w:hAnsi="宋体" w:eastAsia="宋体" w:cs="宋体"/>
                <w:spacing w:val="-6"/>
                <w:kern w:val="2"/>
                <w:sz w:val="21"/>
                <w:szCs w:val="21"/>
                <w:lang w:val="en-US" w:eastAsia="zh-CN" w:bidi="ar"/>
              </w:rPr>
              <w:t>4.待实验室整体功能验收合格并正常使用后的7个工作日内，由采购人向中标人支付合同金额的30%。</w:t>
            </w:r>
            <w:r>
              <w:rPr>
                <w:rFonts w:hint="eastAsia" w:ascii="宋体" w:hAnsi="宋体" w:eastAsia="宋体" w:cs="宋体"/>
                <w:b/>
                <w:kern w:val="2"/>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售后服务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1、国内设备≧3年，技术要求中有明确的，以技术要求的质保期为准；所有设备在质保期根据产品保修条款内免费维修、维护，软件提供免费升级。（2分）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spacing w:val="-6"/>
                <w:kern w:val="2"/>
                <w:sz w:val="21"/>
                <w:szCs w:val="21"/>
                <w:lang w:val="en-US" w:eastAsia="zh-CN" w:bidi="ar"/>
              </w:rPr>
              <w:t>2、</w:t>
            </w:r>
            <w:r>
              <w:rPr>
                <w:rFonts w:hint="eastAsia" w:ascii="宋体" w:hAnsi="宋体" w:eastAsia="宋体" w:cs="宋体"/>
                <w:b/>
                <w:bCs w:val="0"/>
                <w:spacing w:val="-6"/>
                <w:kern w:val="2"/>
                <w:sz w:val="21"/>
                <w:szCs w:val="21"/>
                <w:lang w:val="en-US" w:eastAsia="zh-CN" w:bidi="ar"/>
              </w:rPr>
              <w:t>安装调试</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1）安装地点：浙江传媒学院钱塘校区。</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2）安装标准：符合我国国家有关技术规范要求和技术标准，所有的软件和硬件必须保证同时安装到位。</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3）中标方免费提供合同系统的安装服务。</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3、驻场服务</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要求中标方提供驻场保障服务（自功能验收合格之日起）：驻场人员具备广电背景，验收完成后，来校提供技术服务不少于两年，其中：第一年每周不少于2天，第二年每周不少于1天。</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4、其他要求</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根据整体项目要求，做好与装修方的配合，以采购人的指令为准。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napToGrid w:val="0"/>
                <w:kern w:val="0"/>
                <w:lang w:val="en-US"/>
              </w:rPr>
            </w:pPr>
            <w:r>
              <w:rPr>
                <w:rFonts w:hint="eastAsia" w:ascii="宋体" w:hAnsi="宋体" w:eastAsia="宋体" w:cs="宋体"/>
                <w:b/>
                <w:bCs w:val="0"/>
                <w:spacing w:val="-6"/>
                <w:kern w:val="2"/>
                <w:sz w:val="21"/>
                <w:szCs w:val="21"/>
                <w:lang w:val="en-US" w:eastAsia="zh-CN" w:bidi="ar"/>
              </w:rPr>
              <w:t>5、备品备件及耗材等要求</w:t>
            </w:r>
            <w:r>
              <w:rPr>
                <w:rFonts w:hint="eastAsia" w:ascii="宋体" w:hAnsi="宋体" w:eastAsia="宋体" w:cs="宋体"/>
                <w:spacing w:val="-6"/>
                <w:kern w:val="2"/>
                <w:sz w:val="21"/>
                <w:szCs w:val="21"/>
                <w:lang w:val="en-US" w:eastAsia="zh-CN" w:bidi="ar"/>
              </w:rPr>
              <w:t>（1分）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投标时标明常用备品备件及耗材的投标价。所投标的主要产品在发生故障的时候能够提供备机。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具体实施响应要求</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提供免费上门保修维护服务，并保证到达钱塘校区服务的时间为小于4小时内，如果故障不能排除，则需要提供相当档次的备机供使用。具体按保修维护服务标准执行，确保项目实施的高可用性，确保教学活动的正常进行。</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2.质保期满后，仅收取零配件成本费用，人工免费。</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售后服务：</w:t>
            </w:r>
            <w:r>
              <w:rPr>
                <w:rFonts w:hint="eastAsia" w:ascii="宋体" w:hAnsi="宋体" w:eastAsia="宋体" w:cs="宋体"/>
                <w:spacing w:val="-6"/>
                <w:kern w:val="2"/>
                <w:sz w:val="21"/>
                <w:szCs w:val="21"/>
                <w:lang w:val="en-US" w:eastAsia="zh-CN" w:bidi="ar"/>
              </w:rPr>
              <w:t>（2分）</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1.质保期内因不能排除的故障而影响工作的情况每发生一次，其质保期相应延长60天，质保期内因系统本身缺陷造成各种故障应由中标方免费予以更换，否则将扣除履约保证金作为对采购人的补偿。</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2.质保期满后，仅收取零配件成本费用，免人工费。具体实施响应要求：现场免费提供安装、调试服务，在保修期内免费上门安装、调试服务；供货时提供相应保修证明资料。</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b/>
                <w:bCs w:val="0"/>
                <w:spacing w:val="-6"/>
                <w:lang w:val="en-US"/>
              </w:rPr>
            </w:pPr>
            <w:r>
              <w:rPr>
                <w:rFonts w:hint="eastAsia" w:ascii="宋体" w:hAnsi="宋体" w:eastAsia="宋体" w:cs="宋体"/>
                <w:b/>
                <w:bCs w:val="0"/>
                <w:spacing w:val="-6"/>
                <w:kern w:val="2"/>
                <w:sz w:val="21"/>
                <w:szCs w:val="21"/>
                <w:lang w:val="en-US" w:eastAsia="zh-CN" w:bidi="ar"/>
              </w:rPr>
              <w:t>技术支持：</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中标方应及时免费提供合同系统软件的升级，免费提供合同系统新功能和应用的资料。（1分）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投标方应提供相应的免费培训计划，对管理人员和使用人员进行学习培训。现场培训10次以上,每次不少于2小时，其中：建设期内的培训不少于4次，要求培训到师生掌握为止；项目验收完成后，培训不少于6次。培训内容包括相关软件的使用、调试、更新和维护诊断及硬件的使用与管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公司技术力量情况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①投标人或制造商具有ISO9001质量管理体系认证证书。（1分）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lang w:val="en-US"/>
              </w:rPr>
            </w:pPr>
            <w:r>
              <w:rPr>
                <w:rFonts w:hint="eastAsia" w:ascii="宋体" w:hAnsi="宋体" w:eastAsia="宋体" w:cs="宋体"/>
                <w:spacing w:val="-6"/>
                <w:kern w:val="2"/>
                <w:sz w:val="21"/>
                <w:szCs w:val="21"/>
                <w:lang w:val="en-US" w:eastAsia="zh-CN" w:bidi="ar"/>
              </w:rPr>
              <w:t>②投标人或制造商具有ISO14001环境管理体系认证证书。（1分）</w:t>
            </w:r>
          </w:p>
          <w:p>
            <w:pPr>
              <w:keepNext w:val="0"/>
              <w:keepLines w:val="0"/>
              <w:widowControl w:val="0"/>
              <w:suppressLineNumbers w:val="0"/>
              <w:spacing w:before="0" w:beforeAutospacing="0" w:after="0" w:afterAutospacing="0" w:line="288" w:lineRule="auto"/>
              <w:ind w:left="0" w:right="0"/>
              <w:jc w:val="both"/>
              <w:rPr>
                <w:rFonts w:hint="default"/>
              </w:rPr>
            </w:pPr>
            <w:r>
              <w:rPr>
                <w:rFonts w:hint="eastAsia" w:ascii="宋体" w:hAnsi="宋体" w:eastAsia="宋体" w:cs="宋体"/>
                <w:spacing w:val="-6"/>
                <w:kern w:val="2"/>
                <w:sz w:val="21"/>
                <w:szCs w:val="21"/>
                <w:lang w:val="en-US" w:eastAsia="zh-CN" w:bidi="ar"/>
              </w:rPr>
              <w:t>③投标人或制造商具有ISO20000信息技术服务管理体系认证证书。（1分）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lang w:val="en-US"/>
              </w:rPr>
            </w:pPr>
            <w:r>
              <w:rPr>
                <w:rFonts w:hint="eastAsia" w:ascii="宋体" w:hAnsi="宋体" w:eastAsia="宋体" w:cs="仿宋_GB2312"/>
                <w:b/>
                <w:kern w:val="2"/>
                <w:sz w:val="21"/>
                <w:szCs w:val="21"/>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仿宋_GB2312"/>
                <w:kern w:val="2"/>
                <w:sz w:val="21"/>
                <w:szCs w:val="21"/>
                <w:lang w:val="en-US" w:eastAsia="zh-CN" w:bidi="ar"/>
              </w:rPr>
              <w:t>请提供自2019年以来同类项目合同复印件，每提供一个得一分。</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仿宋_GB2312"/>
                <w:lang w:val="en-US"/>
              </w:rPr>
            </w:pPr>
            <w:r>
              <w:rPr>
                <w:rFonts w:hint="eastAsia" w:ascii="宋体" w:hAnsi="宋体" w:eastAsia="宋体" w:cs="仿宋_GB2312"/>
                <w:kern w:val="2"/>
                <w:sz w:val="21"/>
                <w:szCs w:val="21"/>
                <w:lang w:val="en-US" w:eastAsia="zh-CN" w:bidi="ar"/>
              </w:rPr>
              <w:t>（3分）</w:t>
            </w:r>
          </w:p>
        </w:tc>
      </w:tr>
    </w:tbl>
    <w:p>
      <w:pPr>
        <w:pStyle w:val="53"/>
        <w:keepNext w:val="0"/>
        <w:keepLines w:val="0"/>
        <w:widowControl w:val="0"/>
        <w:suppressLineNumbers w:val="0"/>
        <w:spacing w:before="120" w:beforeLines="50" w:beforeAutospacing="0" w:after="0" w:afterAutospacing="0" w:line="360" w:lineRule="auto"/>
        <w:ind w:left="0" w:right="0"/>
        <w:jc w:val="both"/>
        <w:rPr>
          <w:rFonts w:ascii="宋体" w:hAnsi="宋体" w:eastAsia="宋体"/>
          <w:lang w:val="en-US"/>
        </w:rPr>
      </w:pPr>
    </w:p>
    <w:p>
      <w:pPr>
        <w:pStyle w:val="5"/>
        <w:widowControl/>
        <w:rPr>
          <w:rFonts w:hint="eastAsia" w:ascii="黑体" w:hAnsi="宋体" w:eastAsia="黑体" w:cs="黑体"/>
          <w:sz w:val="24"/>
          <w:szCs w:val="24"/>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napToGrid w:val="0"/>
        <w:spacing w:before="0" w:beforeAutospacing="0" w:after="0" w:afterAutospacing="0" w:line="360" w:lineRule="auto"/>
        <w:ind w:left="0" w:right="0"/>
        <w:jc w:val="both"/>
        <w:outlineLvl w:val="1"/>
        <w:rPr>
          <w:rFonts w:hint="eastAsia" w:ascii="仿宋" w:hAnsi="仿宋" w:eastAsia="仿宋" w:cs="仿宋"/>
          <w:b/>
          <w:spacing w:val="30"/>
          <w:sz w:val="28"/>
          <w:szCs w:val="28"/>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付款方式：</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419" w:firstLineChars="212"/>
        <w:jc w:val="both"/>
        <w:rPr>
          <w:rFonts w:hint="eastAsia" w:ascii="仿宋" w:hAnsi="仿宋" w:eastAsia="仿宋" w:cs="仿宋"/>
          <w:kern w:val="0"/>
          <w:sz w:val="30"/>
          <w:szCs w:val="30"/>
          <w:lang w:val="en-US"/>
        </w:rPr>
      </w:pPr>
      <w:r>
        <w:rPr>
          <w:rFonts w:hint="eastAsia" w:ascii="宋体" w:hAnsi="宋体" w:eastAsia="宋体" w:cs="宋体"/>
          <w:spacing w:val="-6"/>
          <w:kern w:val="2"/>
          <w:sz w:val="21"/>
          <w:szCs w:val="21"/>
          <w:lang w:val="en-US" w:eastAsia="zh-CN" w:bidi="ar"/>
        </w:rPr>
        <w:t>1、</w:t>
      </w:r>
      <w:r>
        <w:rPr>
          <w:rFonts w:hint="eastAsia" w:ascii="仿宋" w:hAnsi="仿宋" w:eastAsia="仿宋" w:cs="仿宋"/>
          <w:kern w:val="0"/>
          <w:sz w:val="30"/>
          <w:szCs w:val="30"/>
          <w:lang w:val="en-US" w:eastAsia="zh-CN" w:bidi="ar"/>
        </w:rPr>
        <w:t xml:space="preserve">同总价的1％作为履约保证金，签订合同后3个工作日内由中标人交入采购人帐户（履约保证金可以以银行转账、由银行或保险公司出具的保函保单等形式），一般情况下待全部货物及项目功能验收合格之日起7个工作日内退还中标人；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2.签订合同之日起7个工作日内，采购人支付合同金额的40%给中标人，作为预付款；</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3.合同货物到货后，经采购人清点、验收合格后，支付合同金额的30%；</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4.待实验室整体功能验收合格并正常使用后的7个工作日内，由采购人向中标人支付合同金额的30%。</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2. </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1" w:name="_Toc496796640"/>
      <w:bookmarkEnd w:id="31"/>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2" w:name="PO_1000000445_PM002_2"/>
      <w:bookmarkEnd w:id="32"/>
      <w:r>
        <w:rPr>
          <w:rFonts w:hint="eastAsia" w:ascii="仿宋" w:hAnsi="仿宋" w:eastAsia="仿宋" w:cs="仿宋"/>
          <w:b/>
          <w:color w:val="000000"/>
          <w:spacing w:val="40"/>
          <w:kern w:val="2"/>
          <w:sz w:val="52"/>
          <w:szCs w:val="52"/>
          <w:lang w:val="en-US" w:eastAsia="zh-CN" w:bidi="ar"/>
        </w:rPr>
        <w:t>浙江传媒学院历史影音资料智能修护实验室项目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3" w:name="PO_15528_PM001_2"/>
      <w:bookmarkEnd w:id="33"/>
      <w:r>
        <w:rPr>
          <w:rFonts w:hint="eastAsia" w:ascii="仿宋" w:hAnsi="仿宋" w:eastAsia="仿宋" w:cs="仿宋"/>
          <w:kern w:val="2"/>
          <w:sz w:val="36"/>
          <w:szCs w:val="36"/>
          <w:lang w:val="en-US" w:eastAsia="zh-CN" w:bidi="ar"/>
        </w:rPr>
        <w:t>ZZCG2022F-GK-149（标项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4" w:name="PO_15528_PM001_3"/>
      <w:bookmarkEnd w:id="34"/>
      <w:r>
        <w:rPr>
          <w:rFonts w:hint="eastAsia" w:ascii="仿宋" w:hAnsi="仿宋" w:eastAsia="仿宋" w:cs="仿宋"/>
          <w:kern w:val="2"/>
          <w:sz w:val="30"/>
          <w:szCs w:val="30"/>
          <w:u w:val="single"/>
          <w:lang w:val="en-US" w:eastAsia="zh-CN" w:bidi="ar"/>
        </w:rPr>
        <w:t>ZZCG2022F-GK-149）</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w:t>
      </w:r>
      <w:bookmarkStart w:id="39" w:name="_GoBack"/>
      <w:bookmarkEnd w:id="39"/>
      <w:r>
        <w:rPr>
          <w:rFonts w:hint="eastAsia" w:ascii="仿宋" w:hAnsi="仿宋" w:eastAsia="仿宋" w:cs="仿宋"/>
          <w:kern w:val="2"/>
          <w:sz w:val="28"/>
          <w:szCs w:val="28"/>
          <w:lang w:val="en-US" w:eastAsia="zh-CN" w:bidi="ar"/>
        </w:rPr>
        <w:t>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w:t>
      </w:r>
    </w:p>
    <w:p>
      <w:pPr>
        <w:keepNext w:val="0"/>
        <w:keepLines w:val="0"/>
        <w:widowControl w:val="0"/>
        <w:suppressLineNumbers w:val="0"/>
        <w:snapToGrid w:val="0"/>
        <w:spacing w:before="0" w:beforeAutospacing="0" w:after="0" w:afterAutospacing="0" w:line="360" w:lineRule="exact"/>
        <w:ind w:left="838" w:leftChars="399" w:right="0" w:firstLine="0" w:firstLineChars="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附件7</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5" w:name="PO_1000000445_PM002"/>
      <w:bookmarkEnd w:id="35"/>
      <w:r>
        <w:rPr>
          <w:rFonts w:hint="eastAsia" w:ascii="仿宋" w:hAnsi="仿宋" w:eastAsia="仿宋" w:cs="仿宋"/>
          <w:b/>
          <w:color w:val="000000"/>
          <w:spacing w:val="40"/>
          <w:kern w:val="2"/>
          <w:sz w:val="52"/>
          <w:szCs w:val="52"/>
          <w:lang w:val="en-US" w:eastAsia="zh-CN" w:bidi="ar"/>
        </w:rPr>
        <w:t>浙江传媒学院历史影音资料智能修护实验室项目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6" w:name="PO_15528_PM001_4"/>
      <w:bookmarkEnd w:id="36"/>
      <w:r>
        <w:rPr>
          <w:rFonts w:hint="eastAsia" w:ascii="仿宋" w:hAnsi="仿宋" w:eastAsia="仿宋" w:cs="仿宋"/>
          <w:kern w:val="2"/>
          <w:sz w:val="36"/>
          <w:szCs w:val="36"/>
          <w:lang w:val="en-US" w:eastAsia="zh-CN" w:bidi="ar"/>
        </w:rPr>
        <w:t>ZZCG2022F-GK-149（标项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3" w:type="default"/>
          <w:footerReference r:id="rId4" w:type="default"/>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附件14</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37" w:name="PO_1000000445_PM002_1"/>
      <w:bookmarkEnd w:id="37"/>
      <w:r>
        <w:rPr>
          <w:rFonts w:hint="eastAsia" w:ascii="仿宋" w:hAnsi="仿宋" w:eastAsia="仿宋" w:cs="仿宋"/>
          <w:b/>
          <w:color w:val="000000"/>
          <w:spacing w:val="40"/>
          <w:kern w:val="2"/>
          <w:sz w:val="52"/>
          <w:szCs w:val="52"/>
          <w:lang w:val="en-US" w:eastAsia="zh-CN" w:bidi="ar"/>
        </w:rPr>
        <w:t>浙江传媒学院历史影音资料智能修护实验室项目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8" w:name="PO_1000000445_PM001"/>
      <w:bookmarkEnd w:id="38"/>
      <w:r>
        <w:rPr>
          <w:rFonts w:hint="eastAsia" w:ascii="仿宋" w:hAnsi="仿宋" w:eastAsia="仿宋" w:cs="仿宋"/>
          <w:b/>
          <w:color w:val="000000"/>
          <w:kern w:val="2"/>
          <w:sz w:val="36"/>
          <w:szCs w:val="36"/>
          <w:lang w:val="en-US" w:eastAsia="zh-CN" w:bidi="ar"/>
        </w:rPr>
        <w:t>ZZCG2022F-GK-149</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（1）开标一览表（见附件15）；</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kern w:val="2"/>
          <w:sz w:val="30"/>
          <w:szCs w:val="30"/>
          <w:lang w:val="en-US" w:eastAsia="zh-CN" w:bidi="ar"/>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MS Mincho">
    <w:altName w:val="Meiryo UI"/>
    <w:panose1 w:val="02020609040205080304"/>
    <w:charset w:val="80"/>
    <w:family w:val="modern"/>
    <w:pitch w:val="default"/>
    <w:sig w:usb0="00000000" w:usb1="00000000" w:usb2="08000012" w:usb3="00000000" w:csb0="0002009F" w:csb1="00000000"/>
  </w:font>
  <w:font w:name="MS Gothic">
    <w:altName w:val="Meiryo UI"/>
    <w:panose1 w:val="020B0609070205080204"/>
    <w:charset w:val="80"/>
    <w:family w:val="modern"/>
    <w:pitch w:val="default"/>
    <w:sig w:usb0="00000000" w:usb1="00000000" w:usb2="08000012" w:usb3="00000000" w:csb0="0002009F" w:csb1="00000000"/>
  </w:font>
  <w:font w:name="Courier New">
    <w:panose1 w:val="02070309020205020404"/>
    <w:charset w:val="00"/>
    <w:family w:val="auto"/>
    <w:pitch w:val="default"/>
    <w:sig w:usb0="E0002AFF" w:usb1="C0007843" w:usb2="00000009" w:usb3="00000000" w:csb0="400001FF" w:csb1="FFFF0000"/>
  </w:font>
  <w:font w:name="Meiryo UI">
    <w:panose1 w:val="020B0604030504040204"/>
    <w:charset w:val="80"/>
    <w:family w:val="auto"/>
    <w:pitch w:val="default"/>
    <w:sig w:usb0="E10102FF" w:usb1="EAC7FFFF" w:usb2="00010012" w:usb3="00000000" w:csb0="6002009F" w:csb1="DFD7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53</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1F13302E"/>
    <w:multiLevelType w:val="multilevel"/>
    <w:tmpl w:val="1F13302E"/>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D8DC607"/>
    <w:multiLevelType w:val="multilevel"/>
    <w:tmpl w:val="4D8DC607"/>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3"/>
  </w:num>
  <w:num w:numId="9">
    <w:abstractNumId w:val="28"/>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6"/>
  </w:num>
  <w:num w:numId="15">
    <w:abstractNumId w:val="19"/>
  </w:num>
  <w:num w:numId="16">
    <w:abstractNumId w:val="16"/>
  </w:num>
  <w:num w:numId="17">
    <w:abstractNumId w:val="4"/>
  </w:num>
  <w:num w:numId="18">
    <w:abstractNumId w:val="24"/>
  </w:num>
  <w:num w:numId="19">
    <w:abstractNumId w:val="6"/>
  </w:num>
  <w:num w:numId="20">
    <w:abstractNumId w:val="14"/>
  </w:num>
  <w:num w:numId="21">
    <w:abstractNumId w:val="12"/>
  </w:num>
  <w:num w:numId="22">
    <w:abstractNumId w:val="20"/>
  </w:num>
  <w:num w:numId="23">
    <w:abstractNumId w:val="7"/>
  </w:num>
  <w:num w:numId="24">
    <w:abstractNumId w:val="29"/>
  </w:num>
  <w:num w:numId="25">
    <w:abstractNumId w:val="3"/>
  </w:num>
  <w:num w:numId="26">
    <w:abstractNumId w:val="27"/>
  </w:num>
  <w:num w:numId="27">
    <w:abstractNumId w:val="21"/>
  </w:num>
  <w:num w:numId="28">
    <w:abstractNumId w:val="10"/>
  </w:num>
  <w:num w:numId="29">
    <w:abstractNumId w:val="2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2077720"/>
    <w:rsid w:val="0EA3070B"/>
    <w:rsid w:val="116F7877"/>
    <w:rsid w:val="184669EB"/>
    <w:rsid w:val="2FD81016"/>
    <w:rsid w:val="36316B05"/>
    <w:rsid w:val="58563990"/>
    <w:rsid w:val="5DE83AB8"/>
    <w:rsid w:val="5EFB4E7D"/>
    <w:rsid w:val="7A00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qFormat="1" w:uiPriority="39" w:name="toc 4"/>
    <w:lsdException w:qFormat="1" w:uiPriority="39" w:name="toc 5"/>
    <w:lsdException w:qFormat="1" w:uiPriority="39" w:name="toc 6"/>
    <w:lsdException w:qFormat="1" w:uiPriority="39" w:name="toc 7"/>
    <w:lsdException w:uiPriority="39" w:name="toc 8"/>
    <w:lsdException w:qFormat="1"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qFormat="1"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93"/>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992"/>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87"/>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99"/>
    <w:pPr>
      <w:ind w:firstLine="420"/>
    </w:pPr>
    <w:rPr>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991"/>
    <w:semiHidden/>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986"/>
    <w:semiHidden/>
    <w:unhideWhenUsed/>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uiPriority w:val="99"/>
    <w:pPr>
      <w:spacing w:after="120"/>
    </w:pPr>
    <w:rPr>
      <w:sz w:val="28"/>
      <w:szCs w:val="24"/>
    </w:rPr>
  </w:style>
  <w:style w:type="paragraph" w:styleId="25">
    <w:name w:val="Body Text Indent"/>
    <w:basedOn w:val="1"/>
    <w:link w:val="994"/>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uiPriority w:val="39"/>
    <w:pPr>
      <w:ind w:left="840" w:leftChars="400"/>
    </w:pPr>
  </w:style>
  <w:style w:type="paragraph" w:styleId="31">
    <w:name w:val="Plain Text"/>
    <w:basedOn w:val="1"/>
    <w:link w:val="984"/>
    <w:qFormat/>
    <w:uiPriority w:val="99"/>
    <w:pPr>
      <w:spacing w:beforeLines="50" w:afterLines="50" w:line="400" w:lineRule="exact"/>
    </w:pPr>
    <w:rPr>
      <w:rFonts w:ascii="宋体" w:hAnsi="Courier New"/>
      <w:sz w:val="24"/>
      <w:szCs w:val="24"/>
    </w:rPr>
  </w:style>
  <w:style w:type="paragraph" w:styleId="32">
    <w:name w:val="List Bullet 5"/>
    <w:basedOn w:val="1"/>
    <w:semiHidden/>
    <w:unhideWhenUsed/>
    <w:qFormat/>
    <w:uiPriority w:val="99"/>
    <w:pPr>
      <w:numPr>
        <w:ilvl w:val="0"/>
        <w:numId w:val="4"/>
      </w:numPr>
    </w:pPr>
    <w:rPr>
      <w:rFonts w:ascii="Times New Roman" w:hAnsi="Times New Roman"/>
      <w:szCs w:val="24"/>
    </w:rPr>
  </w:style>
  <w:style w:type="paragraph" w:styleId="33">
    <w:name w:val="toc 8"/>
    <w:basedOn w:val="1"/>
    <w:next w:val="1"/>
    <w:semiHidden/>
    <w:unhideWhenUsed/>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985"/>
    <w:semiHidden/>
    <w:unhideWhenUsed/>
    <w:uiPriority w:val="99"/>
    <w:pPr>
      <w:ind w:left="2500" w:leftChars="2500"/>
    </w:pPr>
    <w:rPr>
      <w:rFonts w:eastAsia="楷体_GB2312"/>
      <w:sz w:val="32"/>
      <w:szCs w:val="20"/>
    </w:rPr>
  </w:style>
  <w:style w:type="paragraph" w:styleId="35">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88"/>
    <w:semiHidden/>
    <w:unhideWhenUsed/>
    <w:uiPriority w:val="99"/>
    <w:rPr>
      <w:sz w:val="18"/>
      <w:szCs w:val="18"/>
    </w:rPr>
  </w:style>
  <w:style w:type="paragraph" w:styleId="38">
    <w:name w:val="footer"/>
    <w:basedOn w:val="1"/>
    <w:link w:val="819"/>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uiPriority w:val="99"/>
    <w:pPr>
      <w:snapToGrid w:val="0"/>
      <w:jc w:val="left"/>
    </w:pPr>
    <w:rPr>
      <w:sz w:val="18"/>
      <w:szCs w:val="18"/>
    </w:rPr>
  </w:style>
  <w:style w:type="paragraph" w:styleId="45">
    <w:name w:val="toc 6"/>
    <w:basedOn w:val="1"/>
    <w:next w:val="1"/>
    <w:semiHidden/>
    <w:unhideWhenUsed/>
    <w:qFormat/>
    <w:uiPriority w:val="39"/>
    <w:pPr>
      <w:ind w:left="1050"/>
      <w:jc w:val="left"/>
    </w:pPr>
    <w:rPr>
      <w:rFonts w:ascii="Times New Roman" w:hAnsi="Times New Roman"/>
      <w:sz w:val="18"/>
      <w:szCs w:val="18"/>
    </w:rPr>
  </w:style>
  <w:style w:type="paragraph" w:styleId="46">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qFormat/>
    <w:uiPriority w:val="39"/>
    <w:pPr>
      <w:ind w:left="1680"/>
      <w:jc w:val="left"/>
    </w:pPr>
    <w:rPr>
      <w:rFonts w:ascii="Times New Roman" w:hAnsi="Times New Roman"/>
      <w:sz w:val="18"/>
      <w:szCs w:val="18"/>
    </w:rPr>
  </w:style>
  <w:style w:type="paragraph" w:styleId="50">
    <w:name w:val="Body Text 2"/>
    <w:basedOn w:val="1"/>
    <w:link w:val="995"/>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qFormat/>
    <w:uiPriority w:val="99"/>
    <w:rPr>
      <w:b/>
      <w:bCs/>
    </w:rPr>
  </w:style>
  <w:style w:type="paragraph" w:styleId="57">
    <w:name w:val="Body Text First Indent"/>
    <w:basedOn w:val="24"/>
    <w:link w:val="102"/>
    <w:semiHidden/>
    <w:unhideWhenUsed/>
    <w:qFormat/>
    <w:uiPriority w:val="99"/>
    <w:pPr>
      <w:ind w:firstLine="420" w:firstLineChars="100"/>
    </w:pPr>
    <w:rPr>
      <w:sz w:val="21"/>
      <w:szCs w:val="22"/>
    </w:rPr>
  </w:style>
  <w:style w:type="paragraph" w:styleId="58">
    <w:name w:val="Body Text First Indent 2"/>
    <w:basedOn w:val="25"/>
    <w:link w:val="965"/>
    <w:semiHidden/>
    <w:unhideWhenUsed/>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semiHidden/>
    <w:unhideWhenUsed/>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qFormat/>
    <w:uiPriority w:val="0"/>
    <w:rPr>
      <w:rFonts w:ascii="Times New Roman" w:hAnsi="Times New Roman"/>
      <w:sz w:val="24"/>
    </w:rPr>
  </w:style>
  <w:style w:type="paragraph" w:customStyle="1" w:styleId="109">
    <w:name w:val="正文2"/>
    <w:basedOn w:val="1"/>
    <w:link w:val="983"/>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basedOn w:val="64"/>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basedOn w:val="64"/>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964"/>
    <w:link w:val="56"/>
    <w:qFormat/>
    <w:uiPriority w:val="99"/>
    <w:rPr>
      <w:rFonts w:ascii="Calibri" w:hAnsi="Calibri" w:eastAsia="宋体" w:cs="Times New Roman"/>
      <w:b/>
      <w:bCs/>
    </w:rPr>
  </w:style>
  <w:style w:type="character" w:customStyle="1" w:styleId="964">
    <w:name w:val="批注文字 字符"/>
    <w:qFormat/>
    <w:uiPriority w:val="99"/>
    <w:rPr>
      <w:kern w:val="2"/>
      <w:sz w:val="21"/>
      <w:szCs w:val="22"/>
    </w:rPr>
  </w:style>
  <w:style w:type="character" w:customStyle="1" w:styleId="965">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0"/>
    <w:rPr>
      <w:rFonts w:eastAsia="宋体"/>
      <w:kern w:val="2"/>
      <w:sz w:val="28"/>
      <w:szCs w:val="24"/>
      <w:lang w:val="en-US" w:eastAsia="zh-CN" w:bidi="ar-SA"/>
    </w:rPr>
  </w:style>
  <w:style w:type="character" w:customStyle="1" w:styleId="970">
    <w:name w:val="正文文本缩进 字符"/>
    <w:basedOn w:val="64"/>
    <w:link w:val="25"/>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reader-word-layer reader-word-s1-7"/>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982">
    <w:name w:val="纯文本 Char2"/>
    <w:qFormat/>
    <w:uiPriority w:val="0"/>
    <w:rPr>
      <w:rFonts w:ascii="宋体" w:hAnsi="Courier New" w:eastAsia="宋体" w:cs="Courier New"/>
      <w:kern w:val="2"/>
      <w:sz w:val="21"/>
      <w:szCs w:val="21"/>
      <w:lang w:val="en-US" w:eastAsia="zh-CN" w:bidi="ar-SA"/>
    </w:rPr>
  </w:style>
  <w:style w:type="character" w:customStyle="1" w:styleId="983">
    <w:name w:val="正文2 Char"/>
    <w:link w:val="109"/>
    <w:qFormat/>
    <w:locked/>
    <w:uiPriority w:val="0"/>
    <w:rPr>
      <w:rFonts w:eastAsia="宋体" w:asciiTheme="minorHAnsi" w:hAnsiTheme="minorHAnsi" w:cstheme="minorBidi"/>
      <w:kern w:val="2"/>
      <w:sz w:val="24"/>
      <w:lang w:val="en-US" w:eastAsia="zh-CN" w:bidi="ar-SA"/>
    </w:rPr>
  </w:style>
  <w:style w:type="character" w:customStyle="1" w:styleId="984">
    <w:name w:val="纯文本 Char"/>
    <w:basedOn w:val="64"/>
    <w:link w:val="31"/>
    <w:uiPriority w:val="0"/>
    <w:rPr>
      <w:rFonts w:hint="eastAsia" w:ascii="宋体" w:hAnsi="Courier New" w:eastAsia="宋体" w:cs="Times New Roman"/>
      <w:sz w:val="24"/>
      <w:szCs w:val="24"/>
    </w:rPr>
  </w:style>
  <w:style w:type="character" w:customStyle="1" w:styleId="985">
    <w:name w:val="日期 Char"/>
    <w:basedOn w:val="64"/>
    <w:link w:val="34"/>
    <w:uiPriority w:val="0"/>
    <w:rPr>
      <w:rFonts w:hint="default" w:ascii="Calibri" w:hAnsi="Calibri" w:eastAsia="楷体_GB2312" w:cs="Times New Roman"/>
      <w:sz w:val="32"/>
      <w:szCs w:val="32"/>
    </w:rPr>
  </w:style>
  <w:style w:type="character" w:customStyle="1" w:styleId="986">
    <w:name w:val="正文文本 3 Char"/>
    <w:basedOn w:val="64"/>
    <w:link w:val="23"/>
    <w:uiPriority w:val="0"/>
    <w:rPr>
      <w:rFonts w:hint="default" w:ascii="Times New Roman" w:hAnsi="宋体" w:eastAsia="仿宋_GB2312" w:cs="Times New Roman"/>
      <w:b/>
      <w:sz w:val="24"/>
      <w:szCs w:val="24"/>
    </w:rPr>
  </w:style>
  <w:style w:type="character" w:customStyle="1" w:styleId="987">
    <w:name w:val="标题 5 Char"/>
    <w:basedOn w:val="64"/>
    <w:link w:val="6"/>
    <w:uiPriority w:val="0"/>
    <w:rPr>
      <w:rFonts w:hint="default" w:ascii="Calibri" w:hAnsi="Calibri" w:eastAsia="宋体" w:cs="Times New Roman"/>
      <w:b/>
      <w:sz w:val="28"/>
      <w:szCs w:val="28"/>
    </w:rPr>
  </w:style>
  <w:style w:type="character" w:customStyle="1" w:styleId="988">
    <w:name w:val="批注框文本 Char"/>
    <w:basedOn w:val="64"/>
    <w:link w:val="37"/>
    <w:uiPriority w:val="0"/>
    <w:rPr>
      <w:rFonts w:hint="default" w:ascii="Calibri" w:hAnsi="Calibri" w:eastAsia="宋体" w:cs="Times New Roman"/>
      <w:sz w:val="18"/>
      <w:szCs w:val="18"/>
    </w:rPr>
  </w:style>
  <w:style w:type="character" w:customStyle="1" w:styleId="989">
    <w:name w:val="16"/>
    <w:basedOn w:val="64"/>
    <w:uiPriority w:val="0"/>
    <w:rPr>
      <w:rFonts w:hint="default" w:ascii="Calibri" w:hAnsi="Calibri" w:cs="Calibri"/>
      <w:color w:val="0000FF"/>
      <w:u w:val="single"/>
    </w:rPr>
  </w:style>
  <w:style w:type="character" w:customStyle="1" w:styleId="990">
    <w:name w:val="10"/>
    <w:basedOn w:val="64"/>
    <w:uiPriority w:val="0"/>
    <w:rPr>
      <w:rFonts w:hint="default" w:ascii="Calibri" w:hAnsi="Calibri" w:cs="Calibri"/>
    </w:rPr>
  </w:style>
  <w:style w:type="character" w:customStyle="1" w:styleId="991">
    <w:name w:val="批注文字 Char"/>
    <w:basedOn w:val="64"/>
    <w:link w:val="21"/>
    <w:uiPriority w:val="0"/>
    <w:rPr>
      <w:rFonts w:hint="default" w:ascii="Calibri" w:hAnsi="Calibri" w:eastAsia="宋体" w:cs="Times New Roman"/>
      <w:szCs w:val="21"/>
    </w:rPr>
  </w:style>
  <w:style w:type="character" w:customStyle="1" w:styleId="992">
    <w:name w:val="标题 4 Char"/>
    <w:basedOn w:val="64"/>
    <w:link w:val="5"/>
    <w:uiPriority w:val="0"/>
    <w:rPr>
      <w:rFonts w:hint="default" w:ascii="Arial" w:hAnsi="Arial" w:eastAsia="黑体" w:cs="Times New Roman"/>
      <w:b/>
      <w:sz w:val="28"/>
      <w:szCs w:val="28"/>
    </w:rPr>
  </w:style>
  <w:style w:type="character" w:customStyle="1" w:styleId="993">
    <w:name w:val="标题 3 Char"/>
    <w:basedOn w:val="64"/>
    <w:link w:val="4"/>
    <w:uiPriority w:val="0"/>
    <w:rPr>
      <w:rFonts w:hint="default" w:ascii="Calibri" w:hAnsi="Calibri" w:eastAsia="宋体" w:cs="Times New Roman"/>
      <w:b/>
      <w:sz w:val="32"/>
      <w:szCs w:val="32"/>
    </w:rPr>
  </w:style>
  <w:style w:type="character" w:customStyle="1" w:styleId="994">
    <w:name w:val="正文文本缩进 Char"/>
    <w:basedOn w:val="64"/>
    <w:link w:val="25"/>
    <w:uiPriority w:val="0"/>
    <w:rPr>
      <w:rFonts w:hint="eastAsia" w:ascii="宋体" w:hAnsi="Courier New" w:eastAsia="宋体" w:cs="Times New Roman"/>
      <w:spacing w:val="-4"/>
      <w:sz w:val="18"/>
      <w:szCs w:val="18"/>
    </w:rPr>
  </w:style>
  <w:style w:type="character" w:customStyle="1" w:styleId="995">
    <w:name w:val="正文文本 2 Char"/>
    <w:basedOn w:val="64"/>
    <w:link w:val="50"/>
    <w:uiPriority w:val="0"/>
    <w:rPr>
      <w:rFonts w:hint="eastAsia" w:ascii="宋体" w:hAnsi="宋体" w:eastAsia="宋体" w:cs="Times New Roman"/>
      <w:color w:val="000000"/>
      <w:sz w:val="24"/>
      <w:szCs w:val="24"/>
    </w:rPr>
  </w:style>
  <w:style w:type="character" w:customStyle="1" w:styleId="996">
    <w:name w:val="纯文本 Char3"/>
    <w:basedOn w:val="64"/>
    <w:uiPriority w:val="0"/>
    <w:rPr>
      <w:rFonts w:hint="eastAsia" w:ascii="宋体" w:hAnsi="Courier New" w:eastAsia="宋体" w:cs="Times New Roman"/>
      <w:sz w:val="24"/>
      <w:szCs w:val="24"/>
    </w:rPr>
  </w:style>
  <w:style w:type="paragraph" w:customStyle="1" w:styleId="997">
    <w:name w:val="111"/>
    <w:basedOn w:val="1"/>
    <w:uiPriority w:val="0"/>
    <w:pPr>
      <w:keepNext w:val="0"/>
      <w:keepLines w:val="0"/>
      <w:widowControl w:val="0"/>
      <w:suppressLineNumbers w:val="0"/>
      <w:adjustRightInd w:val="0"/>
      <w:snapToGrid w:val="0"/>
      <w:spacing w:before="0" w:beforeAutospacing="0" w:after="0" w:afterAutospacing="0" w:line="360" w:lineRule="auto"/>
      <w:ind w:left="0" w:right="0" w:firstLine="315" w:firstLineChars="150"/>
      <w:jc w:val="both"/>
    </w:pPr>
    <w:rPr>
      <w:rFonts w:hint="eastAsia" w:ascii="宋体" w:hAnsi="宋体"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170</Pages>
  <Words>90179</Words>
  <Characters>106378</Characters>
  <Lines>799</Lines>
  <Paragraphs>225</Paragraphs>
  <TotalTime>341</TotalTime>
  <ScaleCrop>false</ScaleCrop>
  <LinksUpToDate>false</LinksUpToDate>
  <CharactersWithSpaces>111598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2022-06-15T05:13:00Z</dcterms:created>
  <dc:creator>wineda</dc:creator>
  <cp:lastModifiedBy>Administrator</cp:lastModifiedBy>
  <cp:lastPrinted>2021-01-25T02:12:00Z</cp:lastPrinted>
  <dcterms:modified xsi:type="dcterms:W3CDTF">2022-08-02T07:15:22Z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6629C06E208140D2A049430DE96115C4</vt:lpwstr>
  </property>
</Properties>
</file>