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240" w:lineRule="atLeast"/>
        <w:ind w:right="-108"/>
        <w:jc w:val="center"/>
        <w:rPr>
          <w:rFonts w:hint="eastAsia" w:ascii="仿宋" w:hAnsi="仿宋" w:eastAsia="仿宋" w:cs="宋体"/>
          <w:b/>
          <w:bCs/>
          <w:sz w:val="48"/>
          <w:szCs w:val="48"/>
          <w:lang w:eastAsia="zh-CN"/>
        </w:rPr>
      </w:pPr>
      <w:bookmarkStart w:id="0" w:name="PO_15526_PM002"/>
      <w:r>
        <w:rPr>
          <w:rFonts w:hint="eastAsia" w:ascii="仿宋" w:hAnsi="仿宋" w:eastAsia="仿宋" w:cs="宋体"/>
          <w:b/>
          <w:bCs/>
          <w:sz w:val="48"/>
          <w:szCs w:val="48"/>
          <w:lang w:eastAsia="zh-CN"/>
        </w:rPr>
        <w:t>浙江科技学院小和山校区2022年后勤物业服务项目</w:t>
      </w:r>
      <w:bookmarkEnd w:id="0"/>
    </w:p>
    <w:p>
      <w:pPr>
        <w:shd w:val="clear" w:color="auto" w:fill="FFFFFF"/>
        <w:spacing w:line="240" w:lineRule="atLeast"/>
        <w:ind w:right="-108"/>
        <w:jc w:val="center"/>
        <w:rPr>
          <w:rFonts w:hint="eastAsia" w:ascii="仿宋" w:hAnsi="仿宋" w:eastAsia="仿宋" w:cs="宋体"/>
          <w:sz w:val="36"/>
          <w:szCs w:val="36"/>
        </w:rPr>
      </w:pPr>
    </w:p>
    <w:p>
      <w:pPr>
        <w:shd w:val="clear" w:color="auto" w:fill="FFFFFF"/>
        <w:spacing w:line="240" w:lineRule="atLeast"/>
        <w:ind w:right="-108"/>
        <w:jc w:val="center"/>
        <w:rPr>
          <w:rFonts w:hint="eastAsia" w:ascii="仿宋" w:hAnsi="仿宋" w:eastAsia="仿宋" w:cs="宋体"/>
          <w:sz w:val="36"/>
          <w:szCs w:val="36"/>
          <w:lang w:eastAsia="zh-CN"/>
        </w:rPr>
      </w:pPr>
      <w:r>
        <w:rPr>
          <w:rFonts w:hint="eastAsia" w:ascii="仿宋" w:hAnsi="仿宋" w:eastAsia="仿宋" w:cs="宋体"/>
          <w:sz w:val="36"/>
          <w:szCs w:val="36"/>
        </w:rPr>
        <w:t>项目编号：</w:t>
      </w:r>
      <w:bookmarkStart w:id="1" w:name="PO_15526_PM001"/>
      <w:r>
        <w:rPr>
          <w:rFonts w:hint="eastAsia" w:ascii="仿宋" w:hAnsi="仿宋" w:eastAsia="仿宋" w:cs="宋体"/>
          <w:sz w:val="36"/>
          <w:szCs w:val="36"/>
          <w:lang w:eastAsia="zh-CN"/>
        </w:rPr>
        <w:t>ZZCG2022X-DY-113</w:t>
      </w:r>
      <w:bookmarkEnd w:id="1"/>
    </w:p>
    <w:p>
      <w:pPr>
        <w:shd w:val="clear" w:color="auto" w:fill="FFFFFF"/>
        <w:spacing w:line="240" w:lineRule="atLeast"/>
        <w:ind w:right="-108"/>
        <w:jc w:val="center"/>
        <w:rPr>
          <w:rFonts w:hint="eastAsia" w:ascii="仿宋" w:hAnsi="仿宋" w:eastAsia="仿宋" w:cs="宋体"/>
          <w:sz w:val="36"/>
          <w:szCs w:val="36"/>
          <w:lang w:eastAsia="zh-CN"/>
        </w:rPr>
      </w:pP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单</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一</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来</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源</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采</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购</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文</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件</w:t>
      </w:r>
    </w:p>
    <w:p>
      <w:pPr>
        <w:spacing w:line="500" w:lineRule="exact"/>
        <w:ind w:right="532" w:firstLine="540" w:firstLineChars="150"/>
        <w:jc w:val="center"/>
        <w:rPr>
          <w:rFonts w:hint="eastAsia" w:ascii="宋体" w:hAnsi="宋体"/>
          <w:color w:val="000000"/>
          <w:sz w:val="36"/>
          <w:szCs w:val="36"/>
        </w:rPr>
      </w:pPr>
      <w:bookmarkStart w:id="2" w:name="采购单位"/>
    </w:p>
    <w:p>
      <w:pPr>
        <w:spacing w:line="500" w:lineRule="exact"/>
        <w:ind w:right="532" w:firstLine="540" w:firstLineChars="150"/>
        <w:jc w:val="center"/>
        <w:rPr>
          <w:rFonts w:ascii="宋体"/>
          <w:color w:val="000000"/>
          <w:sz w:val="36"/>
          <w:szCs w:val="36"/>
        </w:rPr>
      </w:pPr>
      <w:r>
        <w:rPr>
          <w:rFonts w:hint="eastAsia" w:ascii="宋体" w:hAnsi="宋体"/>
          <w:color w:val="000000"/>
          <w:sz w:val="36"/>
          <w:szCs w:val="36"/>
        </w:rPr>
        <w:t>浙江省政府采购中心</w:t>
      </w:r>
      <w:bookmarkEnd w:id="2"/>
    </w:p>
    <w:p>
      <w:pPr>
        <w:wordWrap w:val="0"/>
        <w:spacing w:line="500" w:lineRule="exact"/>
        <w:ind w:right="-108" w:firstLine="540" w:firstLineChars="150"/>
        <w:jc w:val="center"/>
        <w:rPr>
          <w:rFonts w:ascii="宋体"/>
          <w:color w:val="000000"/>
          <w:sz w:val="36"/>
          <w:szCs w:val="36"/>
        </w:rPr>
      </w:pPr>
      <w:bookmarkStart w:id="3" w:name="地址"/>
      <w:r>
        <w:rPr>
          <w:rFonts w:hint="eastAsia" w:ascii="宋体" w:hAnsi="宋体"/>
          <w:color w:val="000000"/>
          <w:sz w:val="36"/>
          <w:szCs w:val="36"/>
        </w:rPr>
        <w:t>杭州市环城北路</w:t>
      </w:r>
      <w:r>
        <w:rPr>
          <w:rFonts w:ascii="宋体" w:hAnsi="宋体"/>
          <w:color w:val="000000"/>
          <w:sz w:val="36"/>
          <w:szCs w:val="36"/>
        </w:rPr>
        <w:t>305</w:t>
      </w:r>
      <w:r>
        <w:rPr>
          <w:rFonts w:hint="eastAsia" w:ascii="宋体" w:hAnsi="宋体"/>
          <w:color w:val="000000"/>
          <w:sz w:val="36"/>
          <w:szCs w:val="36"/>
        </w:rPr>
        <w:t>号耀江发展中心</w:t>
      </w:r>
      <w:bookmarkEnd w:id="3"/>
    </w:p>
    <w:p>
      <w:pPr>
        <w:pStyle w:val="22"/>
        <w:spacing w:beforeLines="0" w:afterLines="0" w:line="360" w:lineRule="auto"/>
        <w:jc w:val="center"/>
        <w:rPr>
          <w:rFonts w:ascii="仿宋" w:hAnsi="仿宋" w:eastAsia="仿宋"/>
          <w:b/>
          <w:sz w:val="52"/>
          <w:szCs w:val="52"/>
        </w:rPr>
      </w:pPr>
    </w:p>
    <w:p>
      <w:pPr>
        <w:pStyle w:val="22"/>
        <w:spacing w:beforeLines="0" w:afterLines="0" w:line="360" w:lineRule="auto"/>
        <w:jc w:val="center"/>
        <w:rPr>
          <w:rFonts w:ascii="仿宋" w:hAnsi="仿宋" w:eastAsia="仿宋"/>
          <w:b/>
          <w:sz w:val="52"/>
          <w:szCs w:val="52"/>
        </w:rPr>
      </w:pPr>
      <w:r>
        <w:rPr>
          <w:rFonts w:hint="eastAsia" w:ascii="仿宋" w:hAnsi="仿宋" w:eastAsia="仿宋"/>
          <w:b/>
          <w:sz w:val="52"/>
          <w:szCs w:val="52"/>
        </w:rPr>
        <w:t>目  录</w:t>
      </w:r>
    </w:p>
    <w:p>
      <w:pPr>
        <w:pStyle w:val="22"/>
        <w:spacing w:beforeLines="0" w:afterLines="0" w:line="360" w:lineRule="auto"/>
        <w:jc w:val="center"/>
        <w:rPr>
          <w:rFonts w:ascii="仿宋" w:hAnsi="仿宋" w:eastAsia="仿宋"/>
          <w:b/>
          <w:sz w:val="52"/>
          <w:szCs w:val="52"/>
        </w:rPr>
      </w:pPr>
    </w:p>
    <w:p>
      <w:pPr>
        <w:pStyle w:val="29"/>
        <w:tabs>
          <w:tab w:val="right" w:leader="dot" w:pos="8296"/>
        </w:tabs>
        <w:rPr>
          <w:rFonts w:ascii="Calibri" w:hAnsi="Calibri"/>
          <w:sz w:val="28"/>
          <w:szCs w:val="28"/>
        </w:rPr>
      </w:pPr>
      <w:r>
        <w:rPr>
          <w:rFonts w:ascii="宋体" w:hAnsi="宋体"/>
          <w:sz w:val="28"/>
          <w:szCs w:val="28"/>
        </w:rPr>
        <w:fldChar w:fldCharType="begin"/>
      </w:r>
      <w:r>
        <w:rPr>
          <w:rFonts w:ascii="宋体" w:hAnsi="宋体"/>
          <w:sz w:val="28"/>
          <w:szCs w:val="28"/>
        </w:rPr>
        <w:instrText xml:space="preserve"> TOC \o "1-1" \h \z \u </w:instrText>
      </w:r>
      <w:r>
        <w:rPr>
          <w:rFonts w:ascii="宋体" w:hAnsi="宋体"/>
          <w:sz w:val="28"/>
          <w:szCs w:val="28"/>
        </w:rPr>
        <w:fldChar w:fldCharType="separate"/>
      </w:r>
      <w:r>
        <w:fldChar w:fldCharType="begin"/>
      </w:r>
      <w:r>
        <w:instrText xml:space="preserve"> HYPERLINK \l "_Toc510136958" </w:instrText>
      </w:r>
      <w:r>
        <w:fldChar w:fldCharType="separate"/>
      </w:r>
      <w:r>
        <w:rPr>
          <w:rStyle w:val="50"/>
          <w:rFonts w:hint="eastAsia"/>
          <w:sz w:val="28"/>
          <w:szCs w:val="28"/>
        </w:rPr>
        <w:t>第一章单一来源采购邀请</w:t>
      </w:r>
      <w:r>
        <w:rPr>
          <w:sz w:val="28"/>
          <w:szCs w:val="28"/>
        </w:rPr>
        <w:tab/>
      </w:r>
      <w:r>
        <w:rPr>
          <w:sz w:val="28"/>
          <w:szCs w:val="28"/>
        </w:rPr>
        <w:fldChar w:fldCharType="begin"/>
      </w:r>
      <w:r>
        <w:rPr>
          <w:sz w:val="28"/>
          <w:szCs w:val="28"/>
        </w:rPr>
        <w:instrText xml:space="preserve"> PAGEREF _Toc510136958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9"/>
        <w:tabs>
          <w:tab w:val="right" w:leader="dot" w:pos="8296"/>
        </w:tabs>
        <w:rPr>
          <w:rFonts w:ascii="Calibri" w:hAnsi="Calibri"/>
          <w:sz w:val="28"/>
          <w:szCs w:val="28"/>
        </w:rPr>
      </w:pPr>
      <w:r>
        <w:fldChar w:fldCharType="begin"/>
      </w:r>
      <w:r>
        <w:instrText xml:space="preserve"> HYPERLINK \l "_Toc510136959" </w:instrText>
      </w:r>
      <w:r>
        <w:fldChar w:fldCharType="separate"/>
      </w:r>
      <w:r>
        <w:rPr>
          <w:rStyle w:val="50"/>
          <w:rFonts w:hint="eastAsia"/>
          <w:sz w:val="28"/>
          <w:szCs w:val="28"/>
        </w:rPr>
        <w:t>第二章响应方须知</w:t>
      </w:r>
      <w:r>
        <w:rPr>
          <w:sz w:val="28"/>
          <w:szCs w:val="28"/>
        </w:rPr>
        <w:tab/>
      </w:r>
      <w:r>
        <w:rPr>
          <w:sz w:val="28"/>
          <w:szCs w:val="28"/>
        </w:rPr>
        <w:fldChar w:fldCharType="begin"/>
      </w:r>
      <w:r>
        <w:rPr>
          <w:sz w:val="28"/>
          <w:szCs w:val="28"/>
        </w:rPr>
        <w:instrText xml:space="preserve"> PAGEREF _Toc510136959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29"/>
        <w:tabs>
          <w:tab w:val="right" w:leader="dot" w:pos="8296"/>
        </w:tabs>
        <w:rPr>
          <w:rFonts w:ascii="Calibri" w:hAnsi="Calibri"/>
          <w:sz w:val="28"/>
          <w:szCs w:val="28"/>
        </w:rPr>
      </w:pPr>
      <w:r>
        <w:fldChar w:fldCharType="begin"/>
      </w:r>
      <w:r>
        <w:instrText xml:space="preserve"> HYPERLINK \l "_Toc510136960" </w:instrText>
      </w:r>
      <w:r>
        <w:fldChar w:fldCharType="separate"/>
      </w:r>
      <w:r>
        <w:rPr>
          <w:rStyle w:val="50"/>
          <w:rFonts w:hint="eastAsia"/>
          <w:sz w:val="28"/>
          <w:szCs w:val="28"/>
        </w:rPr>
        <w:t>第三章采购内容</w:t>
      </w:r>
      <w:r>
        <w:rPr>
          <w:sz w:val="28"/>
          <w:szCs w:val="28"/>
        </w:rPr>
        <w:tab/>
      </w:r>
      <w:r>
        <w:rPr>
          <w:sz w:val="28"/>
          <w:szCs w:val="28"/>
        </w:rPr>
        <w:fldChar w:fldCharType="begin"/>
      </w:r>
      <w:r>
        <w:rPr>
          <w:sz w:val="28"/>
          <w:szCs w:val="28"/>
        </w:rPr>
        <w:instrText xml:space="preserve"> PAGEREF _Toc510136960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29"/>
        <w:tabs>
          <w:tab w:val="right" w:leader="dot" w:pos="8296"/>
        </w:tabs>
        <w:rPr>
          <w:rFonts w:ascii="Calibri" w:hAnsi="Calibri"/>
          <w:sz w:val="28"/>
          <w:szCs w:val="28"/>
        </w:rPr>
      </w:pPr>
      <w:r>
        <w:fldChar w:fldCharType="begin"/>
      </w:r>
      <w:r>
        <w:instrText xml:space="preserve"> HYPERLINK \l "_Toc510136961" </w:instrText>
      </w:r>
      <w:r>
        <w:fldChar w:fldCharType="separate"/>
      </w:r>
      <w:r>
        <w:rPr>
          <w:rStyle w:val="50"/>
          <w:rFonts w:hint="eastAsia"/>
          <w:sz w:val="28"/>
          <w:szCs w:val="28"/>
        </w:rPr>
        <w:t>第四章浙江省政府采购合同主要条款指引</w:t>
      </w:r>
      <w:r>
        <w:rPr>
          <w:sz w:val="28"/>
          <w:szCs w:val="28"/>
        </w:rPr>
        <w:tab/>
      </w:r>
      <w:r>
        <w:rPr>
          <w:sz w:val="28"/>
          <w:szCs w:val="28"/>
        </w:rPr>
        <w:t>30</w:t>
      </w:r>
      <w:r>
        <w:rPr>
          <w:sz w:val="28"/>
          <w:szCs w:val="28"/>
        </w:rPr>
        <w:fldChar w:fldCharType="end"/>
      </w:r>
    </w:p>
    <w:p>
      <w:pPr>
        <w:pStyle w:val="29"/>
        <w:tabs>
          <w:tab w:val="right" w:leader="dot" w:pos="8296"/>
        </w:tabs>
        <w:rPr>
          <w:rFonts w:ascii="Calibri" w:hAnsi="Calibri"/>
          <w:sz w:val="28"/>
          <w:szCs w:val="28"/>
        </w:rPr>
      </w:pPr>
      <w:r>
        <w:fldChar w:fldCharType="begin"/>
      </w:r>
      <w:r>
        <w:instrText xml:space="preserve"> HYPERLINK \l "_Toc510136962" </w:instrText>
      </w:r>
      <w:r>
        <w:fldChar w:fldCharType="separate"/>
      </w:r>
      <w:r>
        <w:rPr>
          <w:rStyle w:val="50"/>
          <w:rFonts w:hint="eastAsia"/>
          <w:snapToGrid w:val="0"/>
          <w:sz w:val="28"/>
          <w:szCs w:val="28"/>
        </w:rPr>
        <w:t>第五章</w:t>
      </w:r>
      <w:r>
        <w:rPr>
          <w:rStyle w:val="50"/>
          <w:rFonts w:hint="eastAsia"/>
          <w:sz w:val="28"/>
          <w:szCs w:val="28"/>
        </w:rPr>
        <w:t>单一来源采购响应文件格式附件</w:t>
      </w:r>
      <w:r>
        <w:rPr>
          <w:sz w:val="28"/>
          <w:szCs w:val="28"/>
        </w:rPr>
        <w:tab/>
      </w:r>
      <w:r>
        <w:rPr>
          <w:sz w:val="28"/>
          <w:szCs w:val="28"/>
        </w:rPr>
        <w:t>35</w:t>
      </w:r>
      <w:r>
        <w:rPr>
          <w:sz w:val="28"/>
          <w:szCs w:val="28"/>
        </w:rPr>
        <w:fldChar w:fldCharType="end"/>
      </w:r>
    </w:p>
    <w:p>
      <w:pPr>
        <w:pStyle w:val="22"/>
        <w:spacing w:beforeLines="0" w:afterLines="0" w:line="480" w:lineRule="auto"/>
        <w:jc w:val="left"/>
        <w:rPr>
          <w:rFonts w:ascii="仿宋" w:hAnsi="仿宋" w:eastAsia="仿宋"/>
          <w:sz w:val="28"/>
          <w:szCs w:val="28"/>
        </w:rPr>
      </w:pPr>
      <w:r>
        <w:rPr>
          <w:rFonts w:hAnsi="宋体"/>
          <w:sz w:val="28"/>
          <w:szCs w:val="28"/>
        </w:rPr>
        <w:fldChar w:fldCharType="end"/>
      </w:r>
    </w:p>
    <w:p>
      <w:pPr>
        <w:pStyle w:val="40"/>
      </w:pPr>
      <w:r>
        <w:rPr>
          <w:sz w:val="30"/>
          <w:szCs w:val="30"/>
        </w:rPr>
        <w:br w:type="page"/>
      </w:r>
      <w:bookmarkStart w:id="4" w:name="_Toc451268214"/>
      <w:bookmarkStart w:id="5" w:name="_Toc510136958"/>
      <w:r>
        <w:rPr>
          <w:rFonts w:hint="eastAsia"/>
        </w:rPr>
        <w:t>第一章</w:t>
      </w:r>
      <w:r>
        <w:rPr>
          <w:rFonts w:hint="eastAsia"/>
          <w:lang w:val="en-US" w:eastAsia="zh-CN"/>
        </w:rPr>
        <w:t xml:space="preserve"> </w:t>
      </w:r>
      <w:r>
        <w:rPr>
          <w:rFonts w:hint="eastAsia"/>
        </w:rPr>
        <w:t>单一来源采购邀请</w:t>
      </w:r>
      <w:bookmarkEnd w:id="4"/>
      <w:bookmarkEnd w:id="5"/>
    </w:p>
    <w:p>
      <w:pPr>
        <w:spacing w:line="360" w:lineRule="auto"/>
        <w:ind w:firstLine="588" w:firstLineChars="196"/>
        <w:rPr>
          <w:rFonts w:ascii="仿宋" w:hAnsi="仿宋" w:eastAsia="仿宋" w:cs="仿宋"/>
          <w:sz w:val="28"/>
          <w:szCs w:val="28"/>
        </w:rPr>
      </w:pPr>
      <w:r>
        <w:rPr>
          <w:rFonts w:hint="eastAsia" w:ascii="仿宋" w:hAnsi="仿宋" w:eastAsia="仿宋"/>
          <w:sz w:val="30"/>
          <w:szCs w:val="30"/>
        </w:rPr>
        <w:t>根据《中华人民共和国政府采购法》、《政府采购非招标采购方式管理规定》、《中华人民共和国政府采购法实施条例》规定，经采购人推荐，浙江省财政厅批准，现就下列项目向</w:t>
      </w:r>
      <w:bookmarkStart w:id="6" w:name="PO_15526_PM001383"/>
      <w:r>
        <w:rPr>
          <w:rFonts w:hint="eastAsia" w:ascii="仿宋" w:hAnsi="仿宋" w:eastAsia="仿宋"/>
          <w:sz w:val="30"/>
          <w:szCs w:val="30"/>
          <w:lang w:eastAsia="zh-CN"/>
        </w:rPr>
        <w:t>标项1：(正式)浙江科源后勤发展有限公司。</w:t>
      </w:r>
      <w:bookmarkEnd w:id="6"/>
      <w:r>
        <w:rPr>
          <w:rFonts w:hint="eastAsia" w:ascii="仿宋" w:hAnsi="仿宋" w:eastAsia="仿宋"/>
          <w:sz w:val="30"/>
          <w:szCs w:val="30"/>
        </w:rPr>
        <w:t>进行单一来源采购：</w:t>
      </w:r>
    </w:p>
    <w:p>
      <w:pPr>
        <w:snapToGrid w:val="0"/>
        <w:spacing w:line="460" w:lineRule="exact"/>
        <w:ind w:firstLine="600" w:firstLineChars="200"/>
        <w:rPr>
          <w:rFonts w:hint="eastAsia" w:ascii="仿宋" w:hAnsi="仿宋" w:eastAsia="仿宋"/>
          <w:kern w:val="0"/>
          <w:sz w:val="30"/>
          <w:szCs w:val="30"/>
          <w:lang w:eastAsia="zh-CN"/>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7" w:name="PO_15526_PM001_1"/>
      <w:r>
        <w:rPr>
          <w:rFonts w:hint="eastAsia" w:ascii="仿宋" w:hAnsi="仿宋" w:eastAsia="仿宋" w:cs="Arial"/>
          <w:b/>
          <w:bCs/>
          <w:sz w:val="30"/>
          <w:szCs w:val="30"/>
          <w:lang w:eastAsia="zh-CN"/>
        </w:rPr>
        <w:t>ZZCG2022X-DY-113</w:t>
      </w:r>
      <w:bookmarkEnd w:id="7"/>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bCs/>
          <w:sz w:val="30"/>
          <w:szCs w:val="30"/>
        </w:rPr>
        <w:t>采购内容及数量</w:t>
      </w:r>
    </w:p>
    <w:p>
      <w:pPr>
        <w:snapToGrid w:val="0"/>
        <w:spacing w:line="460" w:lineRule="exact"/>
        <w:ind w:firstLine="602" w:firstLineChars="200"/>
        <w:rPr>
          <w:rFonts w:hint="eastAsia" w:ascii="仿宋" w:hAnsi="仿宋" w:eastAsia="仿宋" w:cs="Arial"/>
          <w:b/>
          <w:bCs/>
          <w:sz w:val="30"/>
          <w:szCs w:val="30"/>
          <w:vertAlign w:val="baseline"/>
          <w:lang w:eastAsia="zh-CN"/>
        </w:rPr>
      </w:pPr>
      <w:bookmarkStart w:id="8" w:name="PO_15526_PM004_1"/>
      <w:r>
        <w:rPr>
          <w:rFonts w:hint="eastAsia" w:ascii="仿宋" w:hAnsi="仿宋" w:eastAsia="仿宋" w:cs="Arial"/>
          <w:b/>
          <w:bCs/>
          <w:sz w:val="30"/>
          <w:szCs w:val="30"/>
          <w:lang w:eastAsia="zh-CN"/>
        </w:rPr>
        <w:t xml:space="preserve"> </w:t>
      </w:r>
    </w:p>
    <w:tbl>
      <w:tblPr>
        <w:tblStyle w:val="44"/>
        <w:tblW w:w="50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462"/>
        <w:gridCol w:w="885"/>
        <w:gridCol w:w="915"/>
        <w:gridCol w:w="1424"/>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标项序号</w:t>
            </w:r>
          </w:p>
        </w:tc>
        <w:tc>
          <w:tcPr>
            <w:tcW w:w="1416" w:type="pct"/>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标项名称</w:t>
            </w:r>
          </w:p>
        </w:tc>
        <w:tc>
          <w:tcPr>
            <w:tcW w:w="509" w:type="pct"/>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数量</w:t>
            </w:r>
          </w:p>
        </w:tc>
        <w:tc>
          <w:tcPr>
            <w:tcW w:w="526" w:type="pct"/>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单位</w:t>
            </w:r>
          </w:p>
        </w:tc>
        <w:tc>
          <w:tcPr>
            <w:tcW w:w="819" w:type="pct"/>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预算金额(万元)</w:t>
            </w:r>
          </w:p>
        </w:tc>
        <w:tc>
          <w:tcPr>
            <w:tcW w:w="1250" w:type="pct"/>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1</w:t>
            </w:r>
          </w:p>
        </w:tc>
        <w:tc>
          <w:tcPr>
            <w:tcW w:w="1416" w:type="pct"/>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浙江科技学院小和山校区2022年后勤物业服务项目</w:t>
            </w:r>
          </w:p>
        </w:tc>
        <w:tc>
          <w:tcPr>
            <w:tcW w:w="509" w:type="pct"/>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1</w:t>
            </w:r>
          </w:p>
        </w:tc>
        <w:tc>
          <w:tcPr>
            <w:tcW w:w="526" w:type="pct"/>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年</w:t>
            </w:r>
          </w:p>
        </w:tc>
        <w:tc>
          <w:tcPr>
            <w:tcW w:w="819" w:type="pct"/>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1080.2</w:t>
            </w:r>
          </w:p>
        </w:tc>
        <w:tc>
          <w:tcPr>
            <w:tcW w:w="1250" w:type="pct"/>
          </w:tcPr>
          <w:p>
            <w:pPr>
              <w:snapToGrid w:val="0"/>
              <w:spacing w:line="460" w:lineRule="exact"/>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详见招标文件</w:t>
            </w:r>
          </w:p>
        </w:tc>
      </w:tr>
    </w:tbl>
    <w:p>
      <w:pPr>
        <w:snapToGrid w:val="0"/>
        <w:spacing w:line="460" w:lineRule="exact"/>
        <w:ind w:firstLine="602" w:firstLineChars="200"/>
        <w:rPr>
          <w:rStyle w:val="51"/>
          <w:rFonts w:hint="eastAsia" w:ascii="仿宋" w:hAnsi="仿宋" w:eastAsia="仿宋" w:cs="Arial"/>
          <w:b/>
          <w:bCs/>
          <w:sz w:val="30"/>
          <w:szCs w:val="30"/>
          <w:lang w:eastAsia="zh-CN"/>
        </w:rPr>
      </w:pPr>
      <w:r>
        <w:rPr>
          <w:rFonts w:hint="eastAsia" w:ascii="仿宋" w:hAnsi="仿宋" w:eastAsia="仿宋" w:cs="Arial"/>
          <w:b/>
          <w:bCs/>
          <w:sz w:val="30"/>
          <w:szCs w:val="30"/>
          <w:lang w:eastAsia="zh-CN"/>
        </w:rPr>
        <w:t xml:space="preserve"> </w:t>
      </w:r>
      <w:bookmarkEnd w:id="8"/>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三</w:t>
      </w:r>
      <w:r>
        <w:rPr>
          <w:rFonts w:hint="eastAsia" w:ascii="仿宋" w:hAnsi="仿宋" w:eastAsia="仿宋" w:cs="Arial"/>
          <w:sz w:val="30"/>
          <w:szCs w:val="30"/>
        </w:rPr>
        <w:t>、</w:t>
      </w:r>
      <w:r>
        <w:rPr>
          <w:rFonts w:hint="eastAsia" w:ascii="仿宋" w:hAnsi="仿宋" w:eastAsia="仿宋" w:cs="Arial"/>
          <w:b/>
          <w:bCs/>
          <w:sz w:val="30"/>
          <w:szCs w:val="30"/>
        </w:rPr>
        <w:t>合格响应方的资格要求</w:t>
      </w:r>
    </w:p>
    <w:p>
      <w:pPr>
        <w:snapToGrid w:val="0"/>
        <w:spacing w:line="460" w:lineRule="exact"/>
        <w:ind w:firstLine="560" w:firstLineChars="200"/>
        <w:rPr>
          <w:rFonts w:ascii="仿宋" w:hAnsi="仿宋" w:eastAsia="仿宋"/>
          <w:sz w:val="28"/>
          <w:szCs w:val="28"/>
        </w:rPr>
      </w:pPr>
      <w:r>
        <w:rPr>
          <w:rFonts w:hint="eastAsia" w:ascii="仿宋" w:hAnsi="仿宋" w:eastAsia="仿宋" w:cs="Arial"/>
          <w:bCs/>
          <w:sz w:val="28"/>
          <w:szCs w:val="28"/>
        </w:rPr>
        <w:t>符合《中华人民共和国政府采购法》第二十二条和浙财采监【</w:t>
      </w:r>
      <w:r>
        <w:rPr>
          <w:rFonts w:ascii="仿宋" w:hAnsi="仿宋" w:eastAsia="仿宋" w:cs="Arial"/>
          <w:bCs/>
          <w:sz w:val="28"/>
          <w:szCs w:val="28"/>
        </w:rPr>
        <w:t>2013</w:t>
      </w:r>
      <w:r>
        <w:rPr>
          <w:rFonts w:hint="eastAsia" w:ascii="仿宋" w:hAnsi="仿宋" w:eastAsia="仿宋" w:cs="Arial"/>
          <w:bCs/>
          <w:sz w:val="28"/>
          <w:szCs w:val="28"/>
        </w:rPr>
        <w:t>】</w:t>
      </w:r>
      <w:r>
        <w:rPr>
          <w:rFonts w:ascii="仿宋" w:hAnsi="仿宋" w:eastAsia="仿宋" w:cs="Arial"/>
          <w:bCs/>
          <w:sz w:val="28"/>
          <w:szCs w:val="28"/>
        </w:rPr>
        <w:t>24</w:t>
      </w:r>
      <w:r>
        <w:rPr>
          <w:rFonts w:hint="eastAsia" w:ascii="仿宋" w:hAnsi="仿宋" w:eastAsia="仿宋" w:cs="Arial"/>
          <w:bCs/>
          <w:sz w:val="28"/>
          <w:szCs w:val="28"/>
        </w:rPr>
        <w:t>号《关于规范政府采购供应商资格设定及资格审查的通知》第六条规定</w:t>
      </w:r>
      <w:r>
        <w:rPr>
          <w:rFonts w:ascii="仿宋" w:hAnsi="仿宋" w:eastAsia="仿宋" w:cs="Arial"/>
          <w:bCs/>
          <w:sz w:val="28"/>
          <w:szCs w:val="28"/>
        </w:rPr>
        <w:t>,</w:t>
      </w:r>
      <w:r>
        <w:rPr>
          <w:rFonts w:hint="eastAsia" w:ascii="仿宋" w:hAnsi="仿宋" w:eastAsia="仿宋" w:cs="Arial"/>
          <w:bCs/>
          <w:sz w:val="28"/>
          <w:szCs w:val="28"/>
        </w:rPr>
        <w:t>且未被</w:t>
      </w:r>
      <w:r>
        <w:rPr>
          <w:rFonts w:hint="eastAsia" w:ascii="仿宋" w:hAnsi="仿宋" w:eastAsia="仿宋"/>
          <w:sz w:val="28"/>
          <w:szCs w:val="28"/>
        </w:rPr>
        <w:t>“信用中国”（</w:t>
      </w:r>
      <w:r>
        <w:rPr>
          <w:rFonts w:ascii="仿宋" w:hAnsi="仿宋" w:eastAsia="仿宋"/>
          <w:sz w:val="28"/>
          <w:szCs w:val="28"/>
        </w:rPr>
        <w:t>www.creditchina.gov.cn</w:t>
      </w:r>
      <w:r>
        <w:rPr>
          <w:rFonts w:hint="eastAsia" w:ascii="仿宋" w:hAnsi="仿宋" w:eastAsia="仿宋"/>
          <w:sz w:val="28"/>
          <w:szCs w:val="28"/>
        </w:rPr>
        <w:t>）、中国政府采购网（</w:t>
      </w:r>
      <w:r>
        <w:rPr>
          <w:rFonts w:ascii="仿宋" w:hAnsi="仿宋" w:eastAsia="仿宋"/>
          <w:sz w:val="28"/>
          <w:szCs w:val="28"/>
        </w:rPr>
        <w:t>www.ccgp.gov.cn</w:t>
      </w:r>
      <w:r>
        <w:rPr>
          <w:rFonts w:hint="eastAsia" w:ascii="仿宋" w:hAnsi="仿宋" w:eastAsia="仿宋"/>
          <w:sz w:val="28"/>
          <w:szCs w:val="28"/>
        </w:rPr>
        <w:t>）列入失信被执行人、重大税收违法案件当事人名单、政府采购严重违法失信行为记录名单。</w:t>
      </w:r>
    </w:p>
    <w:p>
      <w:pPr>
        <w:snapToGrid w:val="0"/>
        <w:spacing w:line="46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单一来源响应方的特定条件：</w:t>
      </w:r>
      <w:bookmarkStart w:id="9" w:name="PO_419_PM006"/>
    </w:p>
    <w:p>
      <w:pPr>
        <w:snapToGrid w:val="0"/>
        <w:spacing w:line="460" w:lineRule="exact"/>
        <w:ind w:firstLine="602" w:firstLineChars="200"/>
        <w:rPr>
          <w:rFonts w:hint="eastAsia" w:ascii="仿宋" w:hAnsi="仿宋" w:eastAsia="仿宋"/>
          <w:b/>
          <w:bCs/>
          <w:sz w:val="30"/>
          <w:szCs w:val="30"/>
          <w:lang w:eastAsia="zh-CN"/>
        </w:rPr>
      </w:pPr>
      <w:r>
        <w:rPr>
          <w:rFonts w:hint="eastAsia" w:ascii="仿宋" w:hAnsi="仿宋" w:eastAsia="仿宋"/>
          <w:b/>
          <w:bCs/>
          <w:color w:val="C00000"/>
          <w:sz w:val="30"/>
          <w:szCs w:val="30"/>
          <w:lang w:eastAsia="zh-CN"/>
        </w:rPr>
        <w:t>专门面向中小企业采购，请单独上传《中小企业声明函》。</w:t>
      </w:r>
      <w:bookmarkEnd w:id="9"/>
    </w:p>
    <w:p>
      <w:pPr>
        <w:snapToGrid w:val="0"/>
        <w:spacing w:line="460" w:lineRule="exact"/>
        <w:ind w:firstLine="602" w:firstLineChars="200"/>
        <w:rPr>
          <w:rFonts w:ascii="仿宋" w:hAnsi="仿宋" w:eastAsia="仿宋" w:cs="Arial"/>
          <w:sz w:val="30"/>
          <w:szCs w:val="30"/>
        </w:rPr>
      </w:pPr>
      <w:r>
        <w:rPr>
          <w:rFonts w:hint="eastAsia" w:ascii="仿宋" w:hAnsi="仿宋" w:eastAsia="仿宋" w:cs="Arial"/>
          <w:b/>
          <w:bCs/>
          <w:sz w:val="30"/>
          <w:szCs w:val="30"/>
        </w:rPr>
        <w:t>四、单一来源采购的时间和地点</w:t>
      </w:r>
      <w:r>
        <w:rPr>
          <w:rFonts w:hint="eastAsia" w:ascii="仿宋" w:hAnsi="仿宋" w:eastAsia="仿宋" w:cs="Arial"/>
          <w:sz w:val="30"/>
          <w:szCs w:val="30"/>
        </w:rPr>
        <w:t>：</w:t>
      </w:r>
    </w:p>
    <w:p>
      <w:pPr>
        <w:snapToGrid w:val="0"/>
        <w:spacing w:line="460" w:lineRule="exact"/>
        <w:ind w:firstLine="600" w:firstLineChars="200"/>
        <w:rPr>
          <w:rFonts w:hint="eastAsia" w:ascii="仿宋" w:hAnsi="仿宋" w:eastAsia="仿宋" w:cs="仿宋"/>
          <w:color w:val="000000"/>
          <w:kern w:val="0"/>
          <w:sz w:val="30"/>
          <w:szCs w:val="30"/>
          <w:lang w:eastAsia="zh-CN"/>
        </w:rPr>
      </w:pPr>
      <w:r>
        <w:rPr>
          <w:rFonts w:hint="eastAsia" w:ascii="仿宋" w:hAnsi="仿宋" w:eastAsia="仿宋" w:cs="Arial"/>
          <w:sz w:val="30"/>
          <w:szCs w:val="30"/>
        </w:rPr>
        <w:t>时间：</w:t>
      </w:r>
      <w:bookmarkStart w:id="10" w:name="开标时间1"/>
      <w:bookmarkEnd w:id="10"/>
      <w:bookmarkStart w:id="11" w:name="PO_15526_PM015"/>
      <w:r>
        <w:rPr>
          <w:rFonts w:hint="eastAsia" w:ascii="仿宋" w:hAnsi="仿宋" w:eastAsia="仿宋" w:cs="Arial"/>
          <w:sz w:val="30"/>
          <w:szCs w:val="30"/>
          <w:lang w:eastAsia="zh-CN"/>
        </w:rPr>
        <w:t>2022-06-16 09:00:00</w:t>
      </w:r>
      <w:bookmarkEnd w:id="11"/>
    </w:p>
    <w:p>
      <w:pPr>
        <w:snapToGrid w:val="0"/>
        <w:spacing w:line="460" w:lineRule="exact"/>
        <w:ind w:firstLine="600" w:firstLineChars="200"/>
        <w:rPr>
          <w:rFonts w:hint="eastAsia" w:ascii="仿宋" w:hAnsi="仿宋" w:eastAsia="仿宋" w:cs="Arial"/>
          <w:sz w:val="30"/>
          <w:szCs w:val="30"/>
          <w:lang w:eastAsia="zh-CN"/>
        </w:rPr>
      </w:pPr>
      <w:r>
        <w:rPr>
          <w:rFonts w:hint="eastAsia" w:ascii="仿宋" w:hAnsi="仿宋" w:eastAsia="仿宋" w:cs="Arial"/>
          <w:sz w:val="30"/>
          <w:szCs w:val="30"/>
        </w:rPr>
        <w:t>地点：</w:t>
      </w:r>
      <w:bookmarkStart w:id="12" w:name="PO_15526_PM016"/>
      <w:r>
        <w:rPr>
          <w:rFonts w:hint="eastAsia" w:ascii="仿宋" w:hAnsi="仿宋" w:eastAsia="仿宋" w:cs="Arial"/>
          <w:sz w:val="30"/>
          <w:szCs w:val="30"/>
          <w:lang w:eastAsia="zh-CN"/>
        </w:rPr>
        <w:t>杭州市拱墅区环城北路305号耀江发展中心 201开标室（大）</w:t>
      </w:r>
      <w:bookmarkEnd w:id="12"/>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五、</w:t>
      </w:r>
      <w:r>
        <w:rPr>
          <w:rFonts w:hint="eastAsia" w:ascii="宋体" w:hAnsi="宋体" w:cs="Arial"/>
          <w:b/>
          <w:bCs/>
          <w:sz w:val="30"/>
          <w:szCs w:val="30"/>
        </w:rPr>
        <w:t>单一来源响应截止时间和地点</w:t>
      </w:r>
      <w:r>
        <w:rPr>
          <w:rFonts w:hint="eastAsia" w:ascii="仿宋" w:hAnsi="仿宋" w:eastAsia="仿宋" w:cs="Arial"/>
          <w:b/>
          <w:bCs/>
          <w:sz w:val="30"/>
          <w:szCs w:val="30"/>
        </w:rPr>
        <w:t>：</w:t>
      </w:r>
    </w:p>
    <w:p>
      <w:pPr>
        <w:pStyle w:val="22"/>
        <w:adjustRightInd w:val="0"/>
        <w:snapToGrid w:val="0"/>
        <w:spacing w:beforeLines="0" w:afterLines="0" w:line="500" w:lineRule="exact"/>
        <w:ind w:firstLine="565" w:firstLineChars="201"/>
        <w:rPr>
          <w:rFonts w:hint="eastAsia" w:ascii="仿宋" w:hAnsi="仿宋" w:eastAsia="仿宋" w:cs="Arial"/>
          <w:sz w:val="30"/>
          <w:szCs w:val="30"/>
          <w:lang w:eastAsia="zh-CN"/>
        </w:rPr>
      </w:pPr>
      <w:r>
        <w:rPr>
          <w:rFonts w:hint="eastAsia" w:hAnsi="宋体"/>
          <w:b/>
          <w:color w:val="000000"/>
          <w:kern w:val="0"/>
          <w:sz w:val="28"/>
          <w:szCs w:val="28"/>
        </w:rPr>
        <w:t>投标截止时间：</w:t>
      </w:r>
      <w:r>
        <w:rPr>
          <w:rFonts w:hint="eastAsia" w:ascii="仿宋" w:hAnsi="仿宋" w:eastAsia="仿宋" w:cs="Arial"/>
          <w:sz w:val="30"/>
          <w:szCs w:val="30"/>
          <w:lang w:eastAsia="zh-CN"/>
        </w:rPr>
        <w:t>2022-06-16 09:00:00</w:t>
      </w:r>
    </w:p>
    <w:p>
      <w:pPr>
        <w:pStyle w:val="22"/>
        <w:adjustRightInd w:val="0"/>
        <w:snapToGrid w:val="0"/>
        <w:spacing w:beforeLines="0" w:afterLines="0" w:line="500" w:lineRule="exact"/>
        <w:ind w:firstLine="565" w:firstLineChars="201"/>
        <w:rPr>
          <w:rFonts w:hAnsi="宋体"/>
          <w:b/>
          <w:bCs/>
          <w:kern w:val="0"/>
          <w:sz w:val="28"/>
          <w:szCs w:val="28"/>
        </w:rPr>
      </w:pPr>
      <w:r>
        <w:rPr>
          <w:rFonts w:hint="eastAsia" w:hAnsi="宋体"/>
          <w:b/>
          <w:bCs/>
          <w:kern w:val="0"/>
          <w:sz w:val="28"/>
          <w:szCs w:val="28"/>
        </w:rPr>
        <w:t>本项目实行电子投标。单一来源响应文件应按照本项目单一来源响应文件</w:t>
      </w:r>
      <w:r>
        <w:rPr>
          <w:rFonts w:hint="eastAsia" w:hAnsi="宋体"/>
          <w:b/>
          <w:bCs/>
          <w:sz w:val="28"/>
          <w:szCs w:val="28"/>
        </w:rPr>
        <w:t>和电子交易平台</w:t>
      </w:r>
      <w:r>
        <w:rPr>
          <w:rFonts w:hint="eastAsia" w:hAnsi="宋体"/>
          <w:b/>
          <w:bCs/>
          <w:kern w:val="0"/>
          <w:sz w:val="28"/>
          <w:szCs w:val="28"/>
        </w:rPr>
        <w:t>的要求编制、加密，并应当在投标截止时间前在规定电子交易平台完成传输递交，投标截止时间后送达的单一来源响应文件，将被电子交易平台拒收。</w:t>
      </w:r>
    </w:p>
    <w:p>
      <w:pPr>
        <w:pStyle w:val="22"/>
        <w:adjustRightInd w:val="0"/>
        <w:snapToGrid w:val="0"/>
        <w:spacing w:beforeLines="0" w:afterLines="0" w:line="500" w:lineRule="exact"/>
        <w:ind w:firstLine="565" w:firstLineChars="201"/>
        <w:rPr>
          <w:rFonts w:hAnsi="宋体"/>
          <w:b/>
          <w:bCs/>
          <w:kern w:val="0"/>
          <w:sz w:val="28"/>
          <w:szCs w:val="28"/>
        </w:rPr>
      </w:pPr>
      <w:r>
        <w:rPr>
          <w:rFonts w:hint="eastAsia" w:hAnsi="宋体"/>
          <w:b/>
          <w:bCs/>
          <w:kern w:val="0"/>
          <w:sz w:val="28"/>
          <w:szCs w:val="28"/>
        </w:rPr>
        <w:t>如认为需要，单一来源响应方可以选择递交备份单一来源响应文件，采用数据电文形式，以U盘或DVD光盘形式存储，并在投标截止时间前，通过邮寄方式，送达指定地点，逾期送达或未密封将被拒收。</w:t>
      </w:r>
    </w:p>
    <w:p>
      <w:pPr>
        <w:pStyle w:val="22"/>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备份文件填写收件人：</w:t>
      </w:r>
      <w:r>
        <w:rPr>
          <w:rFonts w:hint="eastAsia" w:ascii="宋体" w:hAnsi="宋体" w:eastAsia="宋体" w:cs="Times New Roman"/>
          <w:kern w:val="0"/>
          <w:sz w:val="28"/>
          <w:szCs w:val="28"/>
        </w:rPr>
        <w:t>陶老师</w:t>
      </w:r>
      <w:r>
        <w:rPr>
          <w:rFonts w:hint="eastAsia" w:hAnsi="宋体"/>
          <w:kern w:val="0"/>
          <w:sz w:val="28"/>
          <w:szCs w:val="28"/>
        </w:rPr>
        <w:t>，联系方式：</w:t>
      </w:r>
      <w:r>
        <w:rPr>
          <w:rFonts w:hint="eastAsia" w:ascii="宋体" w:hAnsi="宋体" w:eastAsia="宋体" w:cs="Times New Roman"/>
          <w:kern w:val="0"/>
          <w:sz w:val="28"/>
          <w:szCs w:val="28"/>
        </w:rPr>
        <w:t>0571-88901836</w:t>
      </w:r>
      <w:r>
        <w:rPr>
          <w:rFonts w:hint="eastAsia" w:hAnsi="宋体"/>
          <w:kern w:val="0"/>
          <w:sz w:val="28"/>
          <w:szCs w:val="28"/>
        </w:rPr>
        <w:t>，收件地址：浙江省杭州市下城区环城北路305号耀江发展中心三楼北面浙江省政府采购中心302会议室。（疫情期间仅接收邮寄方式递交的备份电子单一来源响应文件,因本大楼疫情管控，推荐使用中国邮政速递和顺丰快递。）</w:t>
      </w:r>
    </w:p>
    <w:p>
      <w:pPr>
        <w:snapToGrid w:val="0"/>
        <w:spacing w:line="460" w:lineRule="exact"/>
        <w:ind w:firstLine="602" w:firstLineChars="200"/>
        <w:rPr>
          <w:rFonts w:ascii="仿宋" w:hAnsi="仿宋" w:eastAsia="仿宋" w:cs="Arial"/>
          <w:sz w:val="30"/>
          <w:szCs w:val="30"/>
        </w:rPr>
      </w:pPr>
      <w:r>
        <w:rPr>
          <w:rFonts w:hint="eastAsia" w:ascii="仿宋" w:hAnsi="仿宋" w:eastAsia="仿宋" w:cs="Arial"/>
          <w:b/>
          <w:bCs/>
          <w:sz w:val="30"/>
          <w:szCs w:val="30"/>
        </w:rPr>
        <w:t>本项目拒绝接受纸质</w:t>
      </w:r>
      <w:r>
        <w:rPr>
          <w:rFonts w:hint="eastAsia" w:hAnsi="宋体"/>
          <w:b/>
          <w:bCs/>
          <w:kern w:val="0"/>
          <w:sz w:val="28"/>
          <w:szCs w:val="28"/>
        </w:rPr>
        <w:t>单一来源响应</w:t>
      </w:r>
      <w:r>
        <w:rPr>
          <w:rFonts w:hint="eastAsia" w:ascii="仿宋" w:hAnsi="仿宋" w:eastAsia="仿宋" w:cs="Arial"/>
          <w:b/>
          <w:bCs/>
          <w:sz w:val="30"/>
          <w:szCs w:val="30"/>
        </w:rPr>
        <w:t>文件。</w:t>
      </w:r>
    </w:p>
    <w:p>
      <w:pPr>
        <w:snapToGrid w:val="0"/>
        <w:spacing w:line="460" w:lineRule="exact"/>
        <w:ind w:firstLine="569" w:firstLineChars="189"/>
        <w:rPr>
          <w:rFonts w:ascii="仿宋" w:hAnsi="仿宋" w:eastAsia="仿宋" w:cs="Arial"/>
          <w:b/>
          <w:sz w:val="30"/>
          <w:szCs w:val="30"/>
        </w:rPr>
      </w:pPr>
      <w:r>
        <w:rPr>
          <w:rFonts w:hint="eastAsia" w:ascii="仿宋" w:hAnsi="仿宋" w:eastAsia="仿宋" w:cs="Arial"/>
          <w:b/>
          <w:sz w:val="30"/>
          <w:szCs w:val="30"/>
        </w:rPr>
        <w:t>六、业务咨询：</w:t>
      </w:r>
    </w:p>
    <w:tbl>
      <w:tblPr>
        <w:tblStyle w:val="43"/>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bookmarkStart w:id="13" w:name="PO_15528_PM032"/>
            <w:r>
              <w:rPr>
                <w:rFonts w:hint="eastAsia" w:ascii="仿宋" w:hAnsi="仿宋" w:eastAsia="仿宋" w:cs="仿宋"/>
                <w:sz w:val="28"/>
                <w:szCs w:val="28"/>
                <w:lang w:eastAsia="zh-CN"/>
              </w:rPr>
              <w:t>柯泓</w:t>
            </w:r>
            <w:bookmarkEnd w:id="13"/>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bookmarkStart w:id="14" w:name="PO_15528_PM033"/>
            <w:r>
              <w:rPr>
                <w:rFonts w:hint="eastAsia" w:ascii="仿宋" w:hAnsi="仿宋" w:eastAsia="仿宋" w:cs="仿宋"/>
                <w:sz w:val="28"/>
                <w:szCs w:val="28"/>
                <w:lang w:eastAsia="zh-CN"/>
              </w:rPr>
              <w:t>0571-88901833</w:t>
            </w:r>
            <w:bookmarkEnd w:id="14"/>
          </w:p>
        </w:tc>
        <w:tc>
          <w:tcPr>
            <w:tcW w:w="2066" w:type="dxa"/>
            <w:vMerge w:val="restart"/>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三楼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采购二部</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kern w:val="2"/>
                <w:sz w:val="28"/>
                <w:szCs w:val="28"/>
                <w:lang w:val="en-US" w:eastAsia="zh-CN" w:bidi="ar-SA"/>
              </w:rPr>
            </w:pPr>
            <w:r>
              <w:rPr>
                <w:rFonts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kern w:val="2"/>
                <w:sz w:val="28"/>
                <w:szCs w:val="28"/>
                <w:lang w:val="en-US" w:eastAsia="zh-CN" w:bidi="ar-SA"/>
              </w:rPr>
            </w:pPr>
            <w:r>
              <w:rPr>
                <w:rFonts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0117</w:t>
            </w:r>
          </w:p>
        </w:tc>
        <w:tc>
          <w:tcPr>
            <w:tcW w:w="2066" w:type="dxa"/>
            <w:vMerge w:val="continue"/>
            <w:tcBorders>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500" w:lineRule="exact"/>
        <w:rPr>
          <w:rFonts w:ascii="仿宋" w:hAnsi="仿宋" w:eastAsia="仿宋" w:cs="Arial"/>
          <w:b/>
          <w:bCs/>
          <w:color w:val="000000"/>
          <w:sz w:val="30"/>
          <w:szCs w:val="30"/>
        </w:rPr>
      </w:pPr>
      <w:bookmarkStart w:id="15" w:name="_Toc451268215"/>
    </w:p>
    <w:p>
      <w:pPr>
        <w:snapToGrid w:val="0"/>
        <w:spacing w:line="360" w:lineRule="auto"/>
        <w:ind w:firstLine="602" w:firstLineChars="200"/>
        <w:rPr>
          <w:rFonts w:ascii="宋体" w:hAnsi="宋体" w:cs="Arial"/>
          <w:b/>
          <w:bCs/>
          <w:sz w:val="28"/>
          <w:szCs w:val="28"/>
        </w:rPr>
      </w:pPr>
      <w:r>
        <w:rPr>
          <w:rFonts w:hint="eastAsia" w:ascii="仿宋" w:hAnsi="仿宋" w:eastAsia="仿宋" w:cs="Arial"/>
          <w:b/>
          <w:bCs/>
          <w:color w:val="000000"/>
          <w:sz w:val="30"/>
          <w:szCs w:val="30"/>
        </w:rPr>
        <w:t>七、</w:t>
      </w:r>
      <w:r>
        <w:rPr>
          <w:rFonts w:hint="eastAsia" w:ascii="宋体" w:hAnsi="宋体" w:cs="Arial"/>
          <w:b/>
          <w:bCs/>
          <w:sz w:val="28"/>
          <w:szCs w:val="28"/>
        </w:rPr>
        <w:t>采购需求和项目监督</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500" w:lineRule="exact"/>
              <w:rPr>
                <w:rFonts w:hint="eastAsia" w:ascii="仿宋_GB2312" w:hAnsi="仿宋" w:eastAsia="仿宋_GB2312"/>
                <w:color w:val="000000"/>
                <w:sz w:val="30"/>
                <w:szCs w:val="30"/>
                <w:vertAlign w:val="baseline"/>
                <w:lang w:eastAsia="zh-CN"/>
              </w:rPr>
            </w:pPr>
            <w:bookmarkStart w:id="16" w:name="PO_TDCUS_ITEM_PRC_TABLE_1_1"/>
            <w:r>
              <w:rPr>
                <w:rFonts w:hint="eastAsia" w:ascii="仿宋_GB2312" w:hAnsi="仿宋" w:eastAsia="仿宋_GB2312"/>
                <w:color w:val="000000"/>
                <w:sz w:val="30"/>
                <w:szCs w:val="30"/>
                <w:vertAlign w:val="baseline"/>
                <w:lang w:eastAsia="zh-CN"/>
              </w:rPr>
              <w:t>采购单位</w:t>
            </w:r>
          </w:p>
        </w:tc>
        <w:tc>
          <w:tcPr>
            <w:tcW w:w="2500" w:type="pct"/>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2500" w:type="pct"/>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浙江省杭州市西湖区留和路318号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2500" w:type="pct"/>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2500" w:type="pct"/>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2500" w:type="pct"/>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0571-85070945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传真</w:t>
            </w:r>
          </w:p>
        </w:tc>
        <w:tc>
          <w:tcPr>
            <w:tcW w:w="2500" w:type="pct"/>
          </w:tcPr>
          <w:p>
            <w:pPr>
              <w:snapToGrid w:val="0"/>
              <w:spacing w:line="500" w:lineRule="exact"/>
              <w:rPr>
                <w:rFonts w:hint="eastAsia" w:ascii="仿宋_GB2312" w:hAnsi="仿宋" w:eastAsia="仿宋_GB2312"/>
                <w:color w:val="00000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备注</w:t>
            </w:r>
          </w:p>
        </w:tc>
        <w:tc>
          <w:tcPr>
            <w:tcW w:w="2500" w:type="pct"/>
          </w:tcPr>
          <w:p>
            <w:pPr>
              <w:snapToGrid w:val="0"/>
              <w:spacing w:line="500" w:lineRule="exact"/>
              <w:rPr>
                <w:rFonts w:hint="eastAsia" w:ascii="仿宋_GB2312" w:hAnsi="仿宋" w:eastAsia="仿宋_GB2312"/>
                <w:color w:val="000000"/>
                <w:sz w:val="30"/>
                <w:szCs w:val="30"/>
                <w:vertAlign w:val="baseline"/>
                <w:lang w:eastAsia="zh-CN"/>
              </w:rPr>
            </w:pPr>
          </w:p>
        </w:tc>
      </w:tr>
    </w:tbl>
    <w:p>
      <w:pPr>
        <w:snapToGrid w:val="0"/>
        <w:spacing w:line="500" w:lineRule="exact"/>
        <w:ind w:firstLine="600" w:firstLineChars="200"/>
        <w:rPr>
          <w:rFonts w:hint="eastAsia" w:ascii="宋体" w:hAnsi="宋体" w:eastAsia="宋体" w:cs="Arial"/>
          <w:b/>
          <w:bCs/>
          <w:sz w:val="28"/>
          <w:szCs w:val="28"/>
          <w:lang w:eastAsia="zh-CN"/>
        </w:rPr>
      </w:pPr>
      <w:r>
        <w:rPr>
          <w:rFonts w:hint="eastAsia" w:ascii="仿宋_GB2312" w:hAnsi="仿宋" w:eastAsia="仿宋_GB2312"/>
          <w:color w:val="000000"/>
          <w:sz w:val="30"/>
          <w:szCs w:val="30"/>
          <w:lang w:eastAsia="zh-CN"/>
        </w:rPr>
        <w:t xml:space="preserve"> </w:t>
      </w:r>
      <w:bookmarkEnd w:id="16"/>
    </w:p>
    <w:bookmarkEnd w:id="15"/>
    <w:p>
      <w:pPr>
        <w:pStyle w:val="40"/>
        <w:rPr>
          <w:sz w:val="30"/>
          <w:szCs w:val="30"/>
        </w:rPr>
      </w:pPr>
      <w:r>
        <w:br w:type="page"/>
      </w:r>
      <w:bookmarkStart w:id="17" w:name="_Toc451268216"/>
      <w:bookmarkStart w:id="18" w:name="_Toc510136959"/>
      <w:r>
        <w:rPr>
          <w:rFonts w:hint="eastAsia"/>
        </w:rPr>
        <w:t>第二章</w:t>
      </w:r>
      <w:r>
        <w:rPr>
          <w:rFonts w:hint="eastAsia"/>
          <w:lang w:val="en-US" w:eastAsia="zh-CN"/>
        </w:rPr>
        <w:t xml:space="preserve"> </w:t>
      </w:r>
      <w:r>
        <w:rPr>
          <w:rFonts w:hint="eastAsia"/>
        </w:rPr>
        <w:t>响应方须知</w:t>
      </w:r>
      <w:bookmarkEnd w:id="17"/>
      <w:bookmarkEnd w:id="18"/>
    </w:p>
    <w:p>
      <w:pPr>
        <w:autoSpaceDE w:val="0"/>
        <w:autoSpaceDN w:val="0"/>
        <w:snapToGrid w:val="0"/>
        <w:spacing w:line="460" w:lineRule="exact"/>
        <w:textAlignment w:val="bottom"/>
        <w:rPr>
          <w:rFonts w:ascii="仿宋" w:hAnsi="仿宋" w:eastAsia="仿宋"/>
          <w:sz w:val="30"/>
          <w:szCs w:val="30"/>
        </w:rPr>
      </w:pPr>
      <w:bookmarkStart w:id="19" w:name="_Toc451268217"/>
      <w:r>
        <w:rPr>
          <w:rFonts w:hint="eastAsia" w:ascii="仿宋" w:hAnsi="仿宋" w:eastAsia="仿宋"/>
          <w:sz w:val="30"/>
          <w:szCs w:val="30"/>
        </w:rPr>
        <w:t>前附表</w:t>
      </w:r>
      <w:bookmarkEnd w:id="19"/>
    </w:p>
    <w:tbl>
      <w:tblPr>
        <w:tblStyle w:val="43"/>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418"/>
        <w:gridCol w:w="22"/>
        <w:gridCol w:w="6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41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内容</w:t>
            </w:r>
          </w:p>
        </w:tc>
        <w:tc>
          <w:tcPr>
            <w:tcW w:w="6662" w:type="dxa"/>
            <w:gridSpan w:val="2"/>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ascii="仿宋" w:hAnsi="仿宋" w:eastAsia="仿宋"/>
                <w:sz w:val="24"/>
                <w:szCs w:val="24"/>
              </w:rPr>
              <w:t>1</w:t>
            </w:r>
          </w:p>
        </w:tc>
        <w:tc>
          <w:tcPr>
            <w:tcW w:w="1418" w:type="dxa"/>
            <w:tcBorders>
              <w:top w:val="single" w:color="auto" w:sz="4" w:space="0"/>
              <w:left w:val="single" w:color="auto" w:sz="4" w:space="0"/>
              <w:bottom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项目名称及数量</w:t>
            </w:r>
          </w:p>
        </w:tc>
        <w:tc>
          <w:tcPr>
            <w:tcW w:w="6662" w:type="dxa"/>
            <w:gridSpan w:val="2"/>
            <w:tcBorders>
              <w:top w:val="single" w:color="auto" w:sz="4" w:space="0"/>
              <w:left w:val="single" w:color="auto" w:sz="4" w:space="0"/>
              <w:bottom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详见《单一来源采购邀请》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响应方，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中小企业预留份额情况</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根据《政府采购促进中小企业发展管理办法》财库〔</w:t>
            </w:r>
            <w:r>
              <w:rPr>
                <w:rFonts w:ascii="仿宋" w:hAnsi="仿宋" w:eastAsia="仿宋"/>
                <w:sz w:val="24"/>
                <w:szCs w:val="24"/>
              </w:rPr>
              <w:t>2020〕46号</w:t>
            </w:r>
            <w:r>
              <w:rPr>
                <w:rFonts w:hint="eastAsia" w:ascii="仿宋" w:hAnsi="仿宋" w:eastAsia="仿宋"/>
                <w:sz w:val="24"/>
                <w:szCs w:val="24"/>
              </w:rPr>
              <w:t>文件的规定，本项目</w:t>
            </w:r>
            <w:r>
              <w:rPr>
                <w:rFonts w:hint="eastAsia" w:ascii="仿宋" w:hAnsi="仿宋" w:eastAsia="仿宋"/>
                <w:sz w:val="24"/>
                <w:szCs w:val="24"/>
                <w:u w:val="single"/>
              </w:rPr>
              <w:t>是</w:t>
            </w:r>
            <w:r>
              <w:rPr>
                <w:rFonts w:hint="eastAsia" w:ascii="仿宋" w:hAnsi="仿宋" w:eastAsia="仿宋"/>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中小企业优惠措施</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pStyle w:val="161"/>
              <w:numPr>
                <w:ilvl w:val="0"/>
                <w:numId w:val="4"/>
              </w:numPr>
              <w:snapToGrid w:val="0"/>
              <w:spacing w:line="460" w:lineRule="exact"/>
              <w:ind w:firstLineChars="0"/>
              <w:rPr>
                <w:rFonts w:ascii="仿宋" w:hAnsi="仿宋" w:eastAsia="仿宋"/>
                <w:sz w:val="24"/>
                <w:szCs w:val="24"/>
              </w:rPr>
            </w:pPr>
            <w:r>
              <w:rPr>
                <w:rFonts w:hint="eastAsia" w:ascii="仿宋" w:hAnsi="仿宋" w:eastAsia="仿宋"/>
                <w:sz w:val="24"/>
                <w:szCs w:val="24"/>
              </w:rPr>
              <w:t>项目属性（</w:t>
            </w:r>
            <w:r>
              <w:rPr>
                <w:rFonts w:hint="eastAsia" w:ascii="仿宋" w:hAnsi="仿宋" w:eastAsia="仿宋"/>
                <w:sz w:val="24"/>
                <w:szCs w:val="24"/>
                <w:lang w:val="en-US" w:eastAsia="zh-CN"/>
              </w:rPr>
              <w:t>服务类</w:t>
            </w:r>
            <w:r>
              <w:rPr>
                <w:rFonts w:hint="eastAsia" w:ascii="仿宋" w:hAnsi="仿宋" w:eastAsia="仿宋"/>
                <w:sz w:val="24"/>
                <w:szCs w:val="24"/>
              </w:rPr>
              <w:t>）</w:t>
            </w:r>
            <w:bookmarkStart w:id="50" w:name="_GoBack"/>
            <w:bookmarkEnd w:id="50"/>
          </w:p>
          <w:p>
            <w:pPr>
              <w:pStyle w:val="161"/>
              <w:numPr>
                <w:ilvl w:val="0"/>
                <w:numId w:val="4"/>
              </w:numPr>
              <w:snapToGrid w:val="0"/>
              <w:spacing w:line="460" w:lineRule="exact"/>
              <w:ind w:firstLineChars="0"/>
              <w:rPr>
                <w:rFonts w:ascii="仿宋" w:hAnsi="仿宋" w:eastAsia="仿宋"/>
                <w:sz w:val="24"/>
                <w:szCs w:val="24"/>
              </w:rPr>
            </w:pPr>
            <w:r>
              <w:rPr>
                <w:rFonts w:hint="eastAsia" w:ascii="仿宋" w:hAnsi="仿宋" w:eastAsia="仿宋"/>
                <w:sz w:val="24"/>
                <w:szCs w:val="24"/>
              </w:rPr>
              <w:t>中小企业划分标准所属行业（具体根据</w:t>
            </w:r>
            <w:r>
              <w:rPr>
                <w:rFonts w:ascii="仿宋" w:hAnsi="仿宋" w:eastAsia="仿宋"/>
                <w:sz w:val="24"/>
                <w:szCs w:val="24"/>
              </w:rPr>
              <w:t>《中小企业划型标准规定》</w:t>
            </w:r>
            <w:r>
              <w:rPr>
                <w:rFonts w:hint="eastAsia" w:ascii="仿宋" w:hAnsi="仿宋" w:eastAsia="仿宋"/>
                <w:sz w:val="24"/>
                <w:szCs w:val="24"/>
              </w:rPr>
              <w:t>执行）</w:t>
            </w:r>
          </w:p>
          <w:p>
            <w:pPr>
              <w:snapToGrid w:val="0"/>
              <w:spacing w:line="460" w:lineRule="exact"/>
              <w:ind w:left="600"/>
              <w:rPr>
                <w:rFonts w:ascii="仿宋" w:hAnsi="仿宋" w:eastAsia="仿宋"/>
                <w:sz w:val="24"/>
                <w:szCs w:val="24"/>
              </w:rPr>
            </w:pPr>
            <w:r>
              <w:rPr>
                <w:rFonts w:hint="eastAsia" w:ascii="仿宋" w:hAnsi="仿宋" w:eastAsia="仿宋"/>
                <w:sz w:val="24"/>
                <w:szCs w:val="24"/>
              </w:rPr>
              <w:t xml:space="preserve">采购标的：浙江科技学院小和山校区2022年后勤物业服务项目 </w:t>
            </w:r>
          </w:p>
          <w:p>
            <w:pPr>
              <w:snapToGrid w:val="0"/>
              <w:spacing w:line="460" w:lineRule="exact"/>
              <w:ind w:left="600"/>
              <w:rPr>
                <w:rFonts w:ascii="仿宋" w:hAnsi="仿宋" w:eastAsia="仿宋"/>
                <w:sz w:val="24"/>
                <w:szCs w:val="24"/>
              </w:rPr>
            </w:pPr>
            <w:r>
              <w:rPr>
                <w:rFonts w:hint="eastAsia" w:ascii="仿宋" w:hAnsi="仿宋" w:eastAsia="仿宋"/>
                <w:sz w:val="24"/>
                <w:szCs w:val="24"/>
              </w:rPr>
              <w:t>所属行业：</w:t>
            </w:r>
            <w:r>
              <w:rPr>
                <w:rFonts w:hint="eastAsia" w:ascii="仿宋" w:hAnsi="仿宋" w:eastAsia="仿宋"/>
                <w:sz w:val="24"/>
                <w:szCs w:val="24"/>
                <w:lang w:val="en-US" w:eastAsia="zh-CN"/>
              </w:rPr>
              <w:t>物业管理</w:t>
            </w:r>
            <w:r>
              <w:rPr>
                <w:rFonts w:hint="eastAsia" w:ascii="仿宋" w:hAnsi="仿宋" w:eastAsia="仿宋"/>
                <w:sz w:val="24"/>
                <w:szCs w:val="24"/>
              </w:rPr>
              <w:t xml:space="preserve">   </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3.根据财库[2017]141号的相关规定，在政府采购活动中，残疾人福利性单位视同小型、微型企业,并在单一来源响应文件中提供残疾人福利性单位声明函（见附件）。</w:t>
            </w:r>
          </w:p>
          <w:p>
            <w:pPr>
              <w:snapToGrid w:val="0"/>
              <w:spacing w:line="460" w:lineRule="exact"/>
              <w:ind w:firstLine="600" w:firstLineChars="25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根据财库[2014]68号的相关规定，在政府采购活动中，监狱企业视同小型、微型企业，并在响应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5</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政府采购节能环保产品</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pacing w:line="500" w:lineRule="exact"/>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响应方须按上款要求提供节能产品认证证书或规定网站证书查询截图。产品属于政府强制采购节能产品品目的，响应方未提供节能产品的，其投标将作无效标处理；本文件“第四章采购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440" w:type="dxa"/>
            <w:gridSpan w:val="2"/>
            <w:tcBorders>
              <w:top w:val="single" w:color="auto" w:sz="4" w:space="0"/>
              <w:left w:val="single" w:color="auto" w:sz="4" w:space="0"/>
              <w:bottom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是否允许进口产品</w:t>
            </w:r>
          </w:p>
        </w:tc>
        <w:tc>
          <w:tcPr>
            <w:tcW w:w="6640" w:type="dxa"/>
            <w:tcBorders>
              <w:top w:val="single" w:color="auto" w:sz="4" w:space="0"/>
              <w:left w:val="single" w:color="auto" w:sz="4" w:space="0"/>
              <w:bottom w:val="single" w:color="auto" w:sz="4" w:space="0"/>
            </w:tcBorders>
            <w:vAlign w:val="center"/>
          </w:tcPr>
          <w:p>
            <w:pPr>
              <w:spacing w:line="500" w:lineRule="exact"/>
              <w:rPr>
                <w:rFonts w:hint="eastAsia" w:ascii="仿宋" w:hAnsi="仿宋" w:eastAsia="仿宋"/>
                <w:sz w:val="24"/>
                <w:szCs w:val="24"/>
                <w:lang w:eastAsia="zh-CN"/>
              </w:rPr>
            </w:pPr>
            <w:bookmarkStart w:id="20" w:name="PO_15528_PM042"/>
            <w:r>
              <w:rPr>
                <w:rFonts w:hint="eastAsia" w:ascii="仿宋" w:hAnsi="仿宋" w:eastAsia="仿宋"/>
                <w:sz w:val="24"/>
                <w:szCs w:val="24"/>
                <w:lang w:eastAsia="zh-CN"/>
              </w:rPr>
              <w:t>不允许进口产品</w:t>
            </w:r>
            <w:bookmarkEnd w:id="2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440" w:type="dxa"/>
            <w:gridSpan w:val="2"/>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是否允许转包与分包</w:t>
            </w:r>
          </w:p>
        </w:tc>
        <w:tc>
          <w:tcPr>
            <w:tcW w:w="6640" w:type="dxa"/>
            <w:tcBorders>
              <w:top w:val="single" w:color="auto" w:sz="4" w:space="0"/>
              <w:left w:val="single" w:color="auto" w:sz="4" w:space="0"/>
              <w:bottom w:val="single" w:color="auto" w:sz="4" w:space="0"/>
            </w:tcBorders>
            <w:vAlign w:val="center"/>
          </w:tcPr>
          <w:p>
            <w:pPr>
              <w:spacing w:line="500" w:lineRule="exact"/>
              <w:rPr>
                <w:rFonts w:hint="eastAsia" w:ascii="仿宋" w:hAnsi="仿宋" w:eastAsia="仿宋"/>
                <w:sz w:val="24"/>
                <w:szCs w:val="24"/>
                <w:lang w:eastAsia="zh-CN"/>
              </w:rPr>
            </w:pPr>
            <w:bookmarkStart w:id="21" w:name="PO_15528_PM044"/>
            <w:r>
              <w:rPr>
                <w:rFonts w:hint="eastAsia" w:ascii="仿宋" w:hAnsi="仿宋" w:eastAsia="仿宋"/>
                <w:sz w:val="24"/>
                <w:szCs w:val="24"/>
                <w:lang w:eastAsia="zh-CN"/>
              </w:rPr>
              <w:t>不允许分包</w:t>
            </w:r>
            <w:bookmarkEnd w:id="2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440" w:type="dxa"/>
            <w:gridSpan w:val="2"/>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是否接受联合体投标</w:t>
            </w:r>
          </w:p>
        </w:tc>
        <w:tc>
          <w:tcPr>
            <w:tcW w:w="6640" w:type="dxa"/>
            <w:tcBorders>
              <w:top w:val="single" w:color="auto" w:sz="4" w:space="0"/>
              <w:left w:val="single" w:color="auto" w:sz="4" w:space="0"/>
              <w:bottom w:val="single" w:color="auto" w:sz="4" w:space="0"/>
            </w:tcBorders>
            <w:vAlign w:val="center"/>
          </w:tcPr>
          <w:p>
            <w:pPr>
              <w:spacing w:line="500" w:lineRule="exact"/>
              <w:rPr>
                <w:rFonts w:hint="eastAsia" w:ascii="仿宋" w:hAnsi="仿宋" w:eastAsia="仿宋"/>
                <w:sz w:val="24"/>
                <w:szCs w:val="24"/>
                <w:lang w:eastAsia="zh-CN"/>
              </w:rPr>
            </w:pPr>
            <w:bookmarkStart w:id="22" w:name="PO_15528_PM007_1"/>
            <w:r>
              <w:rPr>
                <w:rFonts w:hint="eastAsia" w:ascii="仿宋" w:hAnsi="仿宋" w:eastAsia="仿宋"/>
                <w:sz w:val="24"/>
                <w:szCs w:val="24"/>
                <w:lang w:eastAsia="zh-CN"/>
              </w:rPr>
              <w:t>标项1:不允许联合体投标</w:t>
            </w:r>
            <w:bookmarkEnd w:id="2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440" w:type="dxa"/>
            <w:gridSpan w:val="2"/>
            <w:tcBorders>
              <w:top w:val="single" w:color="auto" w:sz="4" w:space="0"/>
              <w:left w:val="single" w:color="auto" w:sz="4" w:space="0"/>
              <w:bottom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是否需要演示</w:t>
            </w:r>
          </w:p>
        </w:tc>
        <w:tc>
          <w:tcPr>
            <w:tcW w:w="6640" w:type="dxa"/>
            <w:tcBorders>
              <w:top w:val="single" w:color="auto" w:sz="4" w:space="0"/>
              <w:left w:val="single" w:color="auto" w:sz="4" w:space="0"/>
              <w:bottom w:val="single" w:color="auto" w:sz="4" w:space="0"/>
            </w:tcBorders>
            <w:vAlign w:val="center"/>
          </w:tcPr>
          <w:p>
            <w:pPr>
              <w:spacing w:line="500" w:lineRule="exact"/>
              <w:rPr>
                <w:rFonts w:hint="eastAsia" w:ascii="仿宋" w:hAnsi="仿宋" w:eastAsia="仿宋"/>
                <w:sz w:val="24"/>
                <w:szCs w:val="24"/>
                <w:lang w:eastAsia="zh-CN"/>
              </w:rPr>
            </w:pPr>
            <w:bookmarkStart w:id="23" w:name="PO_15526_PM041"/>
            <w:r>
              <w:rPr>
                <w:rFonts w:hint="eastAsia" w:ascii="仿宋" w:hAnsi="仿宋" w:eastAsia="仿宋"/>
                <w:sz w:val="24"/>
                <w:szCs w:val="24"/>
                <w:lang w:eastAsia="zh-CN"/>
              </w:rPr>
              <w:t>不进行演示</w:t>
            </w:r>
            <w:bookmarkEnd w:id="2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8080" w:type="dxa"/>
            <w:gridSpan w:val="3"/>
            <w:tcBorders>
              <w:top w:val="single" w:color="auto" w:sz="4" w:space="0"/>
              <w:left w:val="single" w:color="auto" w:sz="4" w:space="0"/>
              <w:bottom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单一来源采购响应文件组成：由资质文件、技术及商务文件、报价组成。</w:t>
            </w:r>
          </w:p>
          <w:p>
            <w:pPr>
              <w:spacing w:line="500" w:lineRule="exact"/>
              <w:rPr>
                <w:rFonts w:ascii="仿宋" w:hAnsi="仿宋" w:eastAsia="仿宋"/>
                <w:sz w:val="24"/>
                <w:szCs w:val="24"/>
              </w:rPr>
            </w:pPr>
            <w:r>
              <w:rPr>
                <w:rFonts w:hint="eastAsia" w:ascii="仿宋" w:hAnsi="仿宋" w:eastAsia="仿宋"/>
                <w:sz w:val="24"/>
                <w:szCs w:val="24"/>
              </w:rPr>
              <w:t>单一来源响应方提供备份单一来源响应文件的，数量为1份。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8080" w:type="dxa"/>
            <w:gridSpan w:val="3"/>
            <w:tcBorders>
              <w:top w:val="single" w:color="auto" w:sz="4" w:space="0"/>
              <w:left w:val="single" w:color="auto" w:sz="4" w:space="0"/>
              <w:bottom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电子交易平台登录方法：</w:t>
            </w:r>
          </w:p>
          <w:p>
            <w:pPr>
              <w:spacing w:line="500" w:lineRule="exact"/>
              <w:jc w:val="left"/>
              <w:rPr>
                <w:rFonts w:ascii="仿宋" w:hAnsi="仿宋" w:eastAsia="仿宋"/>
                <w:sz w:val="24"/>
                <w:szCs w:val="24"/>
              </w:rPr>
            </w:pPr>
            <w:r>
              <w:rPr>
                <w:rFonts w:hint="eastAsia" w:ascii="仿宋" w:hAnsi="仿宋" w:eastAsia="仿宋"/>
                <w:sz w:val="24"/>
                <w:szCs w:val="24"/>
              </w:rPr>
              <w:t>第一步：响应方注册</w:t>
            </w:r>
          </w:p>
          <w:p>
            <w:pPr>
              <w:spacing w:line="500" w:lineRule="exact"/>
              <w:jc w:val="left"/>
              <w:rPr>
                <w:rFonts w:ascii="仿宋" w:hAnsi="仿宋" w:eastAsia="仿宋"/>
                <w:sz w:val="24"/>
                <w:szCs w:val="24"/>
              </w:rPr>
            </w:pPr>
            <w:r>
              <w:rPr>
                <w:rFonts w:hint="eastAsia" w:ascii="仿宋" w:hAnsi="仿宋" w:eastAsia="仿宋"/>
                <w:sz w:val="24"/>
                <w:szCs w:val="24"/>
              </w:rPr>
              <w:t>单一来源响应方</w:t>
            </w:r>
            <w:r>
              <w:rPr>
                <w:rFonts w:ascii="仿宋" w:hAnsi="仿宋" w:eastAsia="仿宋"/>
                <w:sz w:val="24"/>
                <w:szCs w:val="24"/>
              </w:rPr>
              <w:t>应在</w:t>
            </w:r>
            <w:r>
              <w:rPr>
                <w:rFonts w:hint="eastAsia" w:ascii="仿宋" w:hAnsi="仿宋" w:eastAsia="仿宋"/>
                <w:sz w:val="24"/>
                <w:szCs w:val="24"/>
              </w:rPr>
              <w:t>投</w:t>
            </w:r>
            <w:r>
              <w:rPr>
                <w:rFonts w:ascii="仿宋" w:hAnsi="仿宋" w:eastAsia="仿宋"/>
                <w:sz w:val="24"/>
                <w:szCs w:val="24"/>
              </w:rPr>
              <w:t>标前</w:t>
            </w:r>
            <w:r>
              <w:rPr>
                <w:rFonts w:hint="eastAsia" w:ascii="仿宋" w:hAnsi="仿宋" w:eastAsia="仿宋"/>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sz w:val="24"/>
                <w:szCs w:val="24"/>
              </w:rPr>
              <w:t>https://middle.zcygov.cn/v-settle-front/registry</w:t>
            </w:r>
            <w:r>
              <w:rPr>
                <w:rFonts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ascii="仿宋" w:hAnsi="仿宋" w:eastAsia="仿宋"/>
                <w:sz w:val="24"/>
                <w:szCs w:val="24"/>
              </w:rPr>
            </w:pPr>
            <w:r>
              <w:rPr>
                <w:rFonts w:hint="eastAsia" w:ascii="仿宋" w:hAnsi="仿宋" w:eastAsia="仿宋"/>
                <w:sz w:val="24"/>
                <w:szCs w:val="24"/>
              </w:rPr>
              <w:t>第二步：申请CA</w:t>
            </w:r>
          </w:p>
          <w:p>
            <w:pPr>
              <w:spacing w:line="500" w:lineRule="exact"/>
              <w:jc w:val="left"/>
              <w:rPr>
                <w:rFonts w:ascii="仿宋" w:hAnsi="仿宋" w:eastAsia="仿宋"/>
                <w:sz w:val="24"/>
                <w:szCs w:val="24"/>
              </w:rPr>
            </w:pPr>
            <w:r>
              <w:rPr>
                <w:rFonts w:hint="eastAsia" w:ascii="仿宋" w:hAnsi="仿宋" w:eastAsia="仿宋"/>
                <w:sz w:val="24"/>
                <w:szCs w:val="24"/>
              </w:rPr>
              <w:t>单一来源响应方</w:t>
            </w:r>
            <w:r>
              <w:rPr>
                <w:rFonts w:ascii="仿宋" w:hAnsi="仿宋" w:eastAsia="仿宋"/>
                <w:sz w:val="24"/>
                <w:szCs w:val="24"/>
              </w:rPr>
              <w:t>应在</w:t>
            </w:r>
            <w:r>
              <w:rPr>
                <w:rFonts w:hint="eastAsia" w:ascii="仿宋" w:hAnsi="仿宋" w:eastAsia="仿宋"/>
                <w:sz w:val="24"/>
                <w:szCs w:val="24"/>
              </w:rPr>
              <w:t>投</w:t>
            </w:r>
            <w:r>
              <w:rPr>
                <w:rFonts w:ascii="仿宋" w:hAnsi="仿宋" w:eastAsia="仿宋"/>
                <w:sz w:val="24"/>
                <w:szCs w:val="24"/>
              </w:rPr>
              <w:t>标前完成CA数字证书办理（办理流程详见http://zfcg.czt.zj.gov.cn/bidClientTemplate/2019-05-27/12945.html）。完成CA数字证书办理</w:t>
            </w:r>
            <w:r>
              <w:rPr>
                <w:rFonts w:hint="eastAsia" w:ascii="仿宋" w:hAnsi="仿宋" w:eastAsia="仿宋"/>
                <w:sz w:val="24"/>
                <w:szCs w:val="24"/>
              </w:rPr>
              <w:t>预计一周左右，建议各单一来源响应方抓紧时间办理；</w:t>
            </w:r>
          </w:p>
          <w:p>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pPr>
              <w:spacing w:line="500" w:lineRule="exact"/>
              <w:jc w:val="left"/>
              <w:rPr>
                <w:rFonts w:ascii="仿宋" w:hAnsi="仿宋" w:eastAsia="仿宋"/>
                <w:sz w:val="24"/>
                <w:szCs w:val="24"/>
              </w:rPr>
            </w:pPr>
            <w:r>
              <w:rPr>
                <w:rFonts w:hint="eastAsia" w:ascii="仿宋" w:hAnsi="仿宋" w:eastAsia="仿宋"/>
                <w:sz w:val="24"/>
                <w:szCs w:val="24"/>
              </w:rPr>
              <w:t>单一来源响应方</w:t>
            </w:r>
            <w:r>
              <w:rPr>
                <w:rFonts w:ascii="仿宋" w:hAnsi="仿宋" w:eastAsia="仿宋"/>
                <w:sz w:val="24"/>
                <w:szCs w:val="24"/>
              </w:rPr>
              <w:t>通过政采云电子交易客户端制作</w:t>
            </w:r>
            <w:r>
              <w:rPr>
                <w:rFonts w:hint="eastAsia" w:ascii="仿宋" w:hAnsi="仿宋" w:eastAsia="仿宋"/>
                <w:sz w:val="24"/>
                <w:szCs w:val="24"/>
              </w:rPr>
              <w:t>单一来源响应</w:t>
            </w:r>
            <w:r>
              <w:rPr>
                <w:rFonts w:ascii="仿宋" w:hAnsi="仿宋" w:eastAsia="仿宋"/>
                <w:sz w:val="24"/>
                <w:szCs w:val="24"/>
              </w:rPr>
              <w:t>文件，请自行前往</w:t>
            </w:r>
            <w:r>
              <w:rPr>
                <w:rFonts w:hint="eastAsia" w:ascii="仿宋" w:hAnsi="仿宋" w:eastAsia="仿宋"/>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sz w:val="24"/>
                <w:szCs w:val="24"/>
              </w:rPr>
              <w:t>http://zfcg.czt.zj.gov.cn/bidClientTemplate/2019-09-24/12975.html</w:t>
            </w:r>
            <w:r>
              <w:rPr>
                <w:rFonts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ascii="仿宋" w:hAnsi="仿宋" w:eastAsia="仿宋"/>
                <w:sz w:val="24"/>
                <w:szCs w:val="24"/>
              </w:rPr>
            </w:pPr>
            <w:r>
              <w:rPr>
                <w:rFonts w:hint="eastAsia" w:ascii="仿宋" w:hAnsi="仿宋" w:eastAsia="仿宋"/>
                <w:sz w:val="24"/>
                <w:szCs w:val="24"/>
              </w:rPr>
              <w:t>第四步：具体流程</w:t>
            </w:r>
          </w:p>
          <w:p>
            <w:pPr>
              <w:spacing w:line="500" w:lineRule="exact"/>
              <w:jc w:val="left"/>
              <w:rPr>
                <w:rFonts w:ascii="仿宋" w:hAnsi="仿宋" w:eastAsia="仿宋"/>
                <w:sz w:val="24"/>
                <w:szCs w:val="24"/>
              </w:rPr>
            </w:pPr>
            <w:r>
              <w:rPr>
                <w:rFonts w:ascii="仿宋" w:hAnsi="仿宋" w:eastAsia="仿宋"/>
                <w:sz w:val="24"/>
                <w:szCs w:val="24"/>
              </w:rPr>
              <w:t>详见</w:t>
            </w:r>
            <w:r>
              <w:rPr>
                <w:rFonts w:hint="eastAsia" w:ascii="仿宋" w:hAnsi="仿宋" w:eastAsia="仿宋"/>
                <w:sz w:val="24"/>
                <w:szCs w:val="24"/>
              </w:rPr>
              <w:t>浙江省“电子交易/不见面开评标”学习专题（网址</w:t>
            </w:r>
            <w:r>
              <w:fldChar w:fldCharType="begin"/>
            </w:r>
            <w:r>
              <w:instrText xml:space="preserve"> HYPERLINK "https://edu.zcygov.cn/luban/e-biding" </w:instrText>
            </w:r>
            <w:r>
              <w:fldChar w:fldCharType="separate"/>
            </w:r>
            <w:r>
              <w:rPr>
                <w:rFonts w:hint="eastAsia" w:ascii="仿宋" w:hAnsi="仿宋" w:eastAsia="仿宋"/>
                <w:sz w:val="24"/>
                <w:szCs w:val="24"/>
              </w:rPr>
              <w:t>https://edu.zcygov.cn/luban/e-biding</w:t>
            </w:r>
            <w:r>
              <w:rPr>
                <w:rFonts w:hint="eastAsia" w:ascii="仿宋" w:hAnsi="仿宋" w:eastAsia="仿宋"/>
                <w:sz w:val="24"/>
                <w:szCs w:val="24"/>
              </w:rPr>
              <w:fldChar w:fldCharType="end"/>
            </w:r>
            <w:r>
              <w:rPr>
                <w:rFonts w:hint="eastAsia" w:ascii="仿宋" w:hAnsi="仿宋" w:eastAsia="仿宋"/>
                <w:sz w:val="24"/>
                <w:szCs w:val="24"/>
              </w:rPr>
              <w:t>）</w:t>
            </w:r>
          </w:p>
          <w:p>
            <w:pPr>
              <w:spacing w:line="500" w:lineRule="exact"/>
              <w:rPr>
                <w:rFonts w:ascii="仿宋" w:hAnsi="仿宋" w:eastAsia="仿宋"/>
                <w:sz w:val="24"/>
                <w:szCs w:val="24"/>
              </w:rPr>
            </w:pPr>
            <w:r>
              <w:rPr>
                <w:rFonts w:hint="eastAsia" w:ascii="仿宋" w:hAnsi="仿宋" w:eastAsia="仿宋"/>
                <w:sz w:val="24"/>
                <w:szCs w:val="24"/>
              </w:rPr>
              <w:t>提醒：请各单一来源响应方合理安排时间，尽快完成第一、二、三步骤，避免影响投标。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8080" w:type="dxa"/>
            <w:gridSpan w:val="3"/>
            <w:tcBorders>
              <w:top w:val="single" w:color="auto" w:sz="4" w:space="0"/>
              <w:left w:val="single" w:color="auto" w:sz="4" w:space="0"/>
              <w:bottom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单一来源响应文件的递交与接收：单一来源响应方应当在投标截止时间前完成电子单一来源响应文件的传输递交，并可以补充、修改或者撤回电子单一来源响应文件。补充或者修改电子单一来源响应文件的，应当先行撤回原文件，补充、修改后重新传输递交。投标截止时间前未完成传输的，视为撤回单一来源响应文件。投标截止时间后送达的单一来源响应文件，将被电子交易平台拒收。</w:t>
            </w:r>
          </w:p>
          <w:p>
            <w:pPr>
              <w:spacing w:line="500" w:lineRule="exact"/>
              <w:jc w:val="left"/>
              <w:rPr>
                <w:rFonts w:ascii="仿宋" w:hAnsi="仿宋" w:eastAsia="仿宋"/>
                <w:sz w:val="24"/>
                <w:szCs w:val="24"/>
              </w:rPr>
            </w:pPr>
            <w:r>
              <w:rPr>
                <w:rFonts w:hint="eastAsia" w:ascii="仿宋" w:hAnsi="仿宋" w:eastAsia="仿宋"/>
                <w:sz w:val="24"/>
                <w:szCs w:val="24"/>
              </w:rPr>
              <w:t>单一来源响应文件的接收以本项目公告要求的时间、地点和“第二章”的“单一来源响应文件的编制”等要求为准。</w:t>
            </w:r>
          </w:p>
          <w:p>
            <w:pPr>
              <w:spacing w:line="500" w:lineRule="exact"/>
              <w:jc w:val="left"/>
              <w:rPr>
                <w:rFonts w:ascii="仿宋" w:hAnsi="仿宋" w:eastAsia="仿宋"/>
                <w:sz w:val="24"/>
                <w:szCs w:val="24"/>
              </w:rPr>
            </w:pPr>
            <w:r>
              <w:rPr>
                <w:rFonts w:hint="eastAsia" w:ascii="仿宋" w:hAnsi="仿宋" w:eastAsia="仿宋"/>
                <w:sz w:val="24"/>
                <w:szCs w:val="24"/>
              </w:rPr>
              <w:t>单一来源响应方递交备份响应文件，出现下列情况之一的，将被拒收：</w:t>
            </w:r>
          </w:p>
          <w:p>
            <w:pPr>
              <w:spacing w:line="500" w:lineRule="exact"/>
              <w:jc w:val="left"/>
              <w:rPr>
                <w:rFonts w:ascii="仿宋" w:hAnsi="仿宋" w:eastAsia="仿宋"/>
                <w:sz w:val="24"/>
                <w:szCs w:val="24"/>
              </w:rPr>
            </w:pPr>
            <w:r>
              <w:rPr>
                <w:rFonts w:hint="eastAsia" w:ascii="仿宋" w:hAnsi="仿宋" w:eastAsia="仿宋"/>
                <w:sz w:val="24"/>
                <w:szCs w:val="24"/>
              </w:rPr>
              <w:t>1、未按规定密封或标记的；</w:t>
            </w:r>
          </w:p>
          <w:p>
            <w:pPr>
              <w:spacing w:line="500" w:lineRule="exact"/>
              <w:jc w:val="left"/>
              <w:rPr>
                <w:rFonts w:ascii="仿宋" w:hAnsi="仿宋" w:eastAsia="仿宋"/>
                <w:sz w:val="24"/>
                <w:szCs w:val="24"/>
              </w:rPr>
            </w:pPr>
            <w:r>
              <w:rPr>
                <w:rFonts w:hint="eastAsia" w:ascii="仿宋" w:hAnsi="仿宋" w:eastAsia="仿宋"/>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8080" w:type="dxa"/>
            <w:gridSpan w:val="3"/>
            <w:tcBorders>
              <w:top w:val="single" w:color="auto" w:sz="4" w:space="0"/>
              <w:left w:val="single" w:color="auto" w:sz="4" w:space="0"/>
              <w:bottom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采购结果公示：采购结果经采购人确认后，采购中心将于</w:t>
            </w:r>
            <w:r>
              <w:rPr>
                <w:rFonts w:ascii="仿宋" w:hAnsi="仿宋" w:eastAsia="仿宋"/>
                <w:sz w:val="24"/>
                <w:szCs w:val="24"/>
              </w:rPr>
              <w:t>2</w:t>
            </w:r>
            <w:r>
              <w:rPr>
                <w:rFonts w:hint="eastAsia" w:ascii="仿宋" w:hAnsi="仿宋" w:eastAsia="仿宋"/>
                <w:sz w:val="24"/>
                <w:szCs w:val="24"/>
              </w:rPr>
              <w:t>个工作日内在浙江省政府采购网上公告成交结果，并向成交响应方发出成交通知书。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8080" w:type="dxa"/>
            <w:gridSpan w:val="3"/>
            <w:tcBorders>
              <w:top w:val="single" w:color="auto" w:sz="4" w:space="0"/>
              <w:left w:val="single" w:color="auto" w:sz="4" w:space="0"/>
              <w:bottom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8080" w:type="dxa"/>
            <w:gridSpan w:val="3"/>
            <w:tcBorders>
              <w:top w:val="single" w:color="auto" w:sz="4" w:space="0"/>
              <w:left w:val="single" w:color="auto" w:sz="4" w:space="0"/>
              <w:bottom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响应方提交履约保证金的，响应方应当以支票、汇票、本票或者金融机构、担保机构出具的保函等非现金形式提交。履约保证金的数额不得超过政府采购合同金额的</w:t>
            </w:r>
            <w:r>
              <w:rPr>
                <w:rFonts w:hint="eastAsia" w:ascii="仿宋" w:hAnsi="仿宋" w:eastAsia="仿宋"/>
                <w:sz w:val="24"/>
                <w:szCs w:val="24"/>
                <w:lang w:val="en-US" w:eastAsia="zh-CN"/>
              </w:rPr>
              <w:t>2.5</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16</w:t>
            </w:r>
          </w:p>
        </w:tc>
        <w:tc>
          <w:tcPr>
            <w:tcW w:w="8080" w:type="dxa"/>
            <w:gridSpan w:val="3"/>
            <w:tcBorders>
              <w:top w:val="single" w:color="auto" w:sz="4" w:space="0"/>
              <w:left w:val="single" w:color="auto" w:sz="4" w:space="0"/>
              <w:bottom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付款方式：国库集中支付（采购人自行支付），详见各标项的资信及商务要求表。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17</w:t>
            </w:r>
          </w:p>
        </w:tc>
        <w:tc>
          <w:tcPr>
            <w:tcW w:w="8080" w:type="dxa"/>
            <w:gridSpan w:val="3"/>
            <w:tcBorders>
              <w:top w:val="single" w:color="auto" w:sz="4" w:space="0"/>
              <w:left w:val="single" w:color="auto" w:sz="4" w:space="0"/>
              <w:bottom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解释：单一来源采购文件的解释权属于浙江省政府采购中心。</w:t>
            </w:r>
          </w:p>
        </w:tc>
      </w:tr>
    </w:tbl>
    <w:p>
      <w:pPr>
        <w:pStyle w:val="22"/>
        <w:snapToGrid w:val="0"/>
        <w:spacing w:beforeLines="0" w:afterLines="0" w:line="240" w:lineRule="auto"/>
        <w:jc w:val="left"/>
        <w:outlineLvl w:val="0"/>
        <w:rPr>
          <w:rFonts w:ascii="仿宋" w:hAnsi="仿宋" w:eastAsia="仿宋"/>
          <w:b/>
          <w:sz w:val="30"/>
          <w:szCs w:val="30"/>
        </w:rPr>
      </w:pPr>
      <w:bookmarkStart w:id="24" w:name="_Toc451268218"/>
    </w:p>
    <w:p>
      <w:pPr>
        <w:pStyle w:val="22"/>
        <w:snapToGrid w:val="0"/>
        <w:spacing w:beforeLines="0" w:afterLines="0" w:line="240" w:lineRule="auto"/>
        <w:jc w:val="left"/>
        <w:outlineLvl w:val="0"/>
        <w:rPr>
          <w:rFonts w:ascii="仿宋" w:hAnsi="仿宋" w:eastAsia="仿宋"/>
          <w:b/>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bookmarkEnd w:id="24"/>
    <w:p>
      <w:pPr>
        <w:jc w:val="center"/>
        <w:rPr>
          <w:rFonts w:ascii="仿宋" w:hAnsi="仿宋" w:eastAsia="仿宋" w:cs="Arial"/>
          <w:sz w:val="30"/>
          <w:szCs w:val="30"/>
        </w:rPr>
      </w:pPr>
      <w:r>
        <w:rPr>
          <w:rFonts w:hint="eastAsia" w:ascii="仿宋" w:hAnsi="仿宋" w:eastAsia="仿宋" w:cs="Arial"/>
          <w:sz w:val="30"/>
          <w:szCs w:val="30"/>
        </w:rPr>
        <w:t>一、总则</w:t>
      </w:r>
    </w:p>
    <w:p>
      <w:pPr>
        <w:snapToGrid w:val="0"/>
        <w:spacing w:line="460" w:lineRule="exact"/>
        <w:ind w:firstLine="600" w:firstLineChars="200"/>
        <w:jc w:val="left"/>
        <w:outlineLvl w:val="1"/>
        <w:rPr>
          <w:rFonts w:ascii="仿宋" w:hAnsi="仿宋" w:eastAsia="仿宋" w:cs="Arial"/>
          <w:sz w:val="30"/>
          <w:szCs w:val="30"/>
        </w:rPr>
      </w:pPr>
      <w:r>
        <w:rPr>
          <w:rFonts w:hint="eastAsia" w:ascii="仿宋" w:hAnsi="仿宋" w:eastAsia="仿宋" w:cs="Arial"/>
          <w:sz w:val="30"/>
          <w:szCs w:val="30"/>
        </w:rPr>
        <w:t>单一来源是指采购人为了从某一特定供应商处采购货物、工程和服务，采购中心组织具有相关经验的专业人员与供应商商定合理的成交价格并保证采购项目质量的采购方式。</w:t>
      </w:r>
    </w:p>
    <w:p>
      <w:pPr>
        <w:snapToGrid w:val="0"/>
        <w:spacing w:line="460" w:lineRule="exact"/>
        <w:ind w:firstLine="602" w:firstLineChars="200"/>
        <w:jc w:val="left"/>
        <w:outlineLvl w:val="1"/>
        <w:rPr>
          <w:rFonts w:ascii="仿宋" w:hAnsi="仿宋" w:eastAsia="仿宋"/>
          <w:b/>
          <w:sz w:val="30"/>
          <w:szCs w:val="30"/>
        </w:rPr>
      </w:pPr>
      <w:r>
        <w:rPr>
          <w:rFonts w:hint="eastAsia" w:ascii="仿宋" w:hAnsi="仿宋" w:eastAsia="仿宋"/>
          <w:b/>
          <w:sz w:val="30"/>
          <w:szCs w:val="30"/>
        </w:rPr>
        <w:t>（一）适用范围</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仅适用于本次单一来源采购文件中政府采购的项目</w:t>
      </w:r>
    </w:p>
    <w:p>
      <w:pPr>
        <w:snapToGrid w:val="0"/>
        <w:spacing w:line="460" w:lineRule="exact"/>
        <w:ind w:firstLine="602" w:firstLineChars="200"/>
        <w:jc w:val="left"/>
        <w:outlineLvl w:val="1"/>
        <w:rPr>
          <w:rFonts w:ascii="仿宋" w:hAnsi="仿宋" w:eastAsia="仿宋"/>
          <w:b/>
          <w:sz w:val="30"/>
          <w:szCs w:val="30"/>
        </w:rPr>
      </w:pPr>
      <w:r>
        <w:rPr>
          <w:rFonts w:hint="eastAsia" w:ascii="仿宋" w:hAnsi="仿宋" w:eastAsia="仿宋"/>
          <w:b/>
          <w:sz w:val="30"/>
          <w:szCs w:val="30"/>
        </w:rPr>
        <w:t>（二）定义</w:t>
      </w:r>
    </w:p>
    <w:p>
      <w:pPr>
        <w:snapToGrid w:val="0"/>
        <w:spacing w:line="460" w:lineRule="exact"/>
        <w:ind w:firstLine="600" w:firstLineChars="200"/>
        <w:rPr>
          <w:rFonts w:ascii="仿宋" w:hAnsi="仿宋" w:eastAsia="仿宋" w:cs="Arial"/>
          <w:sz w:val="30"/>
          <w:szCs w:val="30"/>
        </w:rPr>
      </w:pPr>
      <w:r>
        <w:rPr>
          <w:rFonts w:ascii="仿宋" w:hAnsi="仿宋" w:eastAsia="仿宋" w:cs="Arial"/>
          <w:sz w:val="30"/>
          <w:szCs w:val="30"/>
        </w:rPr>
        <w:t>1.</w:t>
      </w:r>
      <w:r>
        <w:rPr>
          <w:rFonts w:hint="eastAsia" w:ascii="仿宋" w:hAnsi="仿宋" w:eastAsia="仿宋" w:cs="Arial"/>
          <w:sz w:val="30"/>
          <w:szCs w:val="30"/>
        </w:rPr>
        <w:t>“采购中心”系指组织本次采购的浙江省政府采购中心。</w:t>
      </w:r>
    </w:p>
    <w:p>
      <w:pPr>
        <w:snapToGrid w:val="0"/>
        <w:spacing w:line="460" w:lineRule="exact"/>
        <w:ind w:firstLine="600" w:firstLineChars="200"/>
        <w:rPr>
          <w:rFonts w:ascii="仿宋" w:hAnsi="仿宋" w:eastAsia="仿宋" w:cs="Arial"/>
          <w:sz w:val="30"/>
          <w:szCs w:val="30"/>
        </w:rPr>
      </w:pPr>
      <w:r>
        <w:rPr>
          <w:rFonts w:ascii="仿宋" w:hAnsi="仿宋" w:eastAsia="仿宋" w:cs="Arial"/>
          <w:sz w:val="30"/>
          <w:szCs w:val="30"/>
        </w:rPr>
        <w:t>2.</w:t>
      </w:r>
      <w:r>
        <w:rPr>
          <w:rFonts w:hint="eastAsia" w:ascii="仿宋" w:hAnsi="仿宋" w:eastAsia="仿宋" w:cs="Arial"/>
          <w:sz w:val="30"/>
          <w:szCs w:val="30"/>
        </w:rPr>
        <w:t>“响应方”系指向采购中心提交单一来源采购响应文件的单位。</w:t>
      </w:r>
    </w:p>
    <w:p>
      <w:pPr>
        <w:snapToGrid w:val="0"/>
        <w:spacing w:line="460" w:lineRule="exact"/>
        <w:ind w:firstLine="600" w:firstLineChars="200"/>
        <w:rPr>
          <w:rFonts w:ascii="仿宋" w:hAnsi="仿宋" w:eastAsia="仿宋" w:cs="Arial"/>
          <w:sz w:val="30"/>
          <w:szCs w:val="30"/>
        </w:rPr>
      </w:pPr>
      <w:r>
        <w:rPr>
          <w:rFonts w:ascii="仿宋" w:hAnsi="仿宋" w:eastAsia="仿宋" w:cs="Arial"/>
          <w:sz w:val="30"/>
          <w:szCs w:val="30"/>
        </w:rPr>
        <w:t>3.</w:t>
      </w:r>
      <w:r>
        <w:rPr>
          <w:rFonts w:hint="eastAsia" w:ascii="仿宋" w:hAnsi="仿宋" w:eastAsia="仿宋" w:cs="Arial"/>
          <w:sz w:val="30"/>
          <w:szCs w:val="30"/>
        </w:rPr>
        <w:t>“采购人”系指委托采购中心采购本次项目的国家机关、事业单位和团体组织。</w:t>
      </w:r>
    </w:p>
    <w:p>
      <w:pPr>
        <w:snapToGrid w:val="0"/>
        <w:spacing w:line="460" w:lineRule="exact"/>
        <w:ind w:firstLine="600" w:firstLineChars="200"/>
        <w:rPr>
          <w:rFonts w:ascii="仿宋" w:hAnsi="仿宋" w:eastAsia="仿宋" w:cs="Arial"/>
          <w:sz w:val="30"/>
          <w:szCs w:val="30"/>
        </w:rPr>
      </w:pPr>
      <w:r>
        <w:rPr>
          <w:rFonts w:ascii="仿宋" w:hAnsi="仿宋" w:eastAsia="仿宋" w:cs="Arial"/>
          <w:sz w:val="30"/>
          <w:szCs w:val="30"/>
        </w:rPr>
        <w:t>4.</w:t>
      </w:r>
      <w:r>
        <w:rPr>
          <w:rFonts w:hint="eastAsia" w:ascii="仿宋" w:hAnsi="仿宋" w:eastAsia="仿宋" w:cs="Arial"/>
          <w:sz w:val="30"/>
          <w:szCs w:val="30"/>
        </w:rPr>
        <w:t>“产品”系指响应方按单一来源采购文件规定，须向采购人提供的一切设备、保险、税金、备品备件、工具、手册及其它有关技术资料和材料。</w:t>
      </w:r>
    </w:p>
    <w:p>
      <w:pPr>
        <w:snapToGrid w:val="0"/>
        <w:spacing w:line="460" w:lineRule="exact"/>
        <w:ind w:firstLine="600" w:firstLineChars="200"/>
        <w:rPr>
          <w:rFonts w:ascii="仿宋" w:hAnsi="仿宋" w:eastAsia="仿宋" w:cs="Arial"/>
          <w:sz w:val="30"/>
          <w:szCs w:val="30"/>
        </w:rPr>
      </w:pPr>
      <w:r>
        <w:rPr>
          <w:rFonts w:ascii="仿宋" w:hAnsi="仿宋" w:eastAsia="仿宋" w:cs="Arial"/>
          <w:sz w:val="30"/>
          <w:szCs w:val="30"/>
        </w:rPr>
        <w:t>5.</w:t>
      </w:r>
      <w:r>
        <w:rPr>
          <w:rFonts w:hint="eastAsia" w:ascii="仿宋" w:hAnsi="仿宋" w:eastAsia="仿宋" w:cs="Arial"/>
          <w:sz w:val="30"/>
          <w:szCs w:val="30"/>
        </w:rPr>
        <w:t>“服务”系指单一来源采购文件规定响应方须承担的安装、调试、技术协助、校准、培训、技术指导以及其他类似的义务。</w:t>
      </w:r>
    </w:p>
    <w:p>
      <w:pPr>
        <w:snapToGrid w:val="0"/>
        <w:spacing w:line="460" w:lineRule="exact"/>
        <w:ind w:firstLine="600" w:firstLineChars="200"/>
        <w:rPr>
          <w:rFonts w:ascii="仿宋" w:hAnsi="仿宋" w:eastAsia="仿宋" w:cs="Arial"/>
          <w:sz w:val="30"/>
          <w:szCs w:val="30"/>
        </w:rPr>
      </w:pPr>
      <w:r>
        <w:rPr>
          <w:rFonts w:ascii="仿宋" w:hAnsi="仿宋" w:eastAsia="仿宋" w:cs="Arial"/>
          <w:sz w:val="30"/>
          <w:szCs w:val="30"/>
        </w:rPr>
        <w:t>6.</w:t>
      </w:r>
      <w:r>
        <w:rPr>
          <w:rFonts w:hint="eastAsia" w:ascii="仿宋" w:hAnsi="仿宋" w:eastAsia="仿宋" w:cs="Arial"/>
          <w:sz w:val="30"/>
          <w:szCs w:val="30"/>
        </w:rPr>
        <w:t>“项目”系指响应方按单一来源采购文件规定向采购人提供的产品和服务。</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w:t>
      </w:r>
      <w:r>
        <w:rPr>
          <w:rFonts w:ascii="宋体" w:hAnsi="宋体" w:cs="Arial"/>
          <w:b/>
          <w:color w:val="000000"/>
          <w:sz w:val="28"/>
          <w:szCs w:val="28"/>
        </w:rPr>
        <w:t>政府采购项目电子交易平台</w:t>
      </w:r>
      <w:r>
        <w:rPr>
          <w:rFonts w:hint="eastAsia" w:ascii="宋体" w:hAnsi="宋体" w:cs="Arial"/>
          <w:b/>
          <w:color w:val="000000"/>
          <w:sz w:val="28"/>
          <w:szCs w:val="28"/>
        </w:rPr>
        <w:t>，即</w:t>
      </w:r>
      <w:r>
        <w:rPr>
          <w:rFonts w:ascii="宋体" w:hAnsi="宋体" w:cs="Arial"/>
          <w:b/>
          <w:color w:val="000000"/>
          <w:sz w:val="28"/>
          <w:szCs w:val="28"/>
        </w:rPr>
        <w:t>政采云平台。</w:t>
      </w:r>
    </w:p>
    <w:p>
      <w:pPr>
        <w:snapToGrid w:val="0"/>
        <w:spacing w:line="460" w:lineRule="exact"/>
        <w:ind w:firstLine="602" w:firstLineChars="200"/>
        <w:jc w:val="left"/>
        <w:outlineLvl w:val="1"/>
        <w:rPr>
          <w:rFonts w:ascii="仿宋" w:hAnsi="仿宋" w:eastAsia="仿宋" w:cs="Arial"/>
          <w:b/>
          <w:sz w:val="30"/>
          <w:szCs w:val="30"/>
        </w:rPr>
      </w:pPr>
      <w:r>
        <w:rPr>
          <w:rFonts w:hint="eastAsia" w:ascii="仿宋" w:hAnsi="仿宋" w:eastAsia="仿宋" w:cs="Arial"/>
          <w:b/>
          <w:sz w:val="30"/>
          <w:szCs w:val="30"/>
        </w:rPr>
        <w:t>（三）响应方全权代表委托</w:t>
      </w:r>
    </w:p>
    <w:p>
      <w:pPr>
        <w:snapToGrid w:val="0"/>
        <w:spacing w:line="460" w:lineRule="exact"/>
        <w:ind w:firstLine="600" w:firstLineChars="200"/>
        <w:jc w:val="left"/>
        <w:outlineLvl w:val="1"/>
        <w:rPr>
          <w:rFonts w:ascii="仿宋" w:hAnsi="仿宋" w:eastAsia="仿宋" w:cs="Arial"/>
          <w:sz w:val="30"/>
          <w:szCs w:val="30"/>
        </w:rPr>
      </w:pPr>
      <w:r>
        <w:rPr>
          <w:rFonts w:hint="eastAsia" w:ascii="仿宋" w:hAnsi="仿宋" w:eastAsia="仿宋" w:cs="Arial"/>
          <w:sz w:val="30"/>
          <w:szCs w:val="30"/>
        </w:rPr>
        <w:t>如全权代表不是法定代表人，须有法定代表人出具的授权委托书（格式见附部分）。</w:t>
      </w:r>
    </w:p>
    <w:p>
      <w:pPr>
        <w:snapToGrid w:val="0"/>
        <w:spacing w:line="460" w:lineRule="exact"/>
        <w:ind w:firstLine="602" w:firstLineChars="200"/>
        <w:jc w:val="left"/>
        <w:outlineLvl w:val="1"/>
        <w:rPr>
          <w:rFonts w:ascii="仿宋" w:hAnsi="仿宋" w:eastAsia="仿宋"/>
          <w:b/>
          <w:sz w:val="30"/>
          <w:szCs w:val="30"/>
        </w:rPr>
      </w:pPr>
      <w:r>
        <w:rPr>
          <w:rFonts w:hint="eastAsia" w:ascii="仿宋" w:hAnsi="仿宋" w:eastAsia="仿宋"/>
          <w:b/>
          <w:sz w:val="30"/>
          <w:szCs w:val="30"/>
        </w:rPr>
        <w:t>（四）单一来源采购费用</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不论采购结果如何，响应方均应自行承担所有与单一来源采购有关的全部费用（单一来源采购文件有其他规定除外）。</w:t>
      </w:r>
    </w:p>
    <w:p>
      <w:pPr>
        <w:pStyle w:val="10"/>
        <w:widowControl w:val="0"/>
        <w:numPr>
          <w:ilvl w:val="0"/>
          <w:numId w:val="0"/>
        </w:numPr>
        <w:tabs>
          <w:tab w:val="clear" w:pos="454"/>
        </w:tabs>
        <w:snapToGrid w:val="0"/>
        <w:spacing w:afterLines="0" w:line="460" w:lineRule="exact"/>
        <w:ind w:firstLine="602" w:firstLineChars="200"/>
        <w:rPr>
          <w:rFonts w:ascii="仿宋" w:hAnsi="仿宋" w:eastAsia="仿宋"/>
          <w:b/>
          <w:sz w:val="30"/>
          <w:szCs w:val="30"/>
        </w:rPr>
      </w:pPr>
      <w:r>
        <w:rPr>
          <w:rFonts w:hint="eastAsia" w:ascii="仿宋" w:hAnsi="仿宋" w:eastAsia="仿宋"/>
          <w:b/>
          <w:sz w:val="30"/>
          <w:szCs w:val="30"/>
        </w:rPr>
        <w:t>（五）单一来源采购文件的澄清与修改</w:t>
      </w:r>
    </w:p>
    <w:p>
      <w:pPr>
        <w:pStyle w:val="22"/>
        <w:snapToGrid w:val="0"/>
        <w:spacing w:beforeLines="0" w:afterLines="0" w:line="46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在采购过程中，协商小组可以根据单一来源采购文件和协商情况实质性变动采购需求中的技术、服务要求以及合同草案条款，但不得变动单一来源采购文件中的其他内容。实质性变动的内容，须经采购人代表确认，该实质性变动是单一来源采购文件的有效组成部分，并以书面形式通知响应方。</w:t>
      </w:r>
    </w:p>
    <w:p>
      <w:pPr>
        <w:pStyle w:val="22"/>
        <w:snapToGrid w:val="0"/>
        <w:spacing w:beforeLines="0" w:afterLines="0" w:line="46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单一来源采购文件澄清、答复、修改、补充的内容为单一来源采购文件的组成部分。当单一来源采购文件与单一来源采购文件的答复、澄清、修改、补充通知就同一内容的表述不一致时，以最后发出的书面文件为准。</w:t>
      </w:r>
    </w:p>
    <w:p>
      <w:pPr>
        <w:pStyle w:val="22"/>
        <w:snapToGrid w:val="0"/>
        <w:spacing w:beforeLines="0" w:afterLines="0" w:line="460" w:lineRule="exact"/>
        <w:jc w:val="center"/>
        <w:rPr>
          <w:rFonts w:ascii="仿宋" w:hAnsi="仿宋" w:eastAsia="仿宋"/>
          <w:b/>
          <w:sz w:val="30"/>
          <w:szCs w:val="30"/>
        </w:rPr>
      </w:pPr>
      <w:r>
        <w:rPr>
          <w:rFonts w:hint="eastAsia" w:ascii="仿宋" w:hAnsi="仿宋" w:eastAsia="仿宋"/>
          <w:b/>
          <w:sz w:val="30"/>
          <w:szCs w:val="30"/>
        </w:rPr>
        <w:t>二、单一来源采购响应文件的编制</w:t>
      </w:r>
    </w:p>
    <w:p>
      <w:pPr>
        <w:snapToGrid w:val="0"/>
        <w:spacing w:line="460" w:lineRule="exact"/>
        <w:ind w:firstLine="551" w:firstLineChars="196"/>
        <w:jc w:val="left"/>
        <w:rPr>
          <w:rFonts w:ascii="宋体" w:hAnsi="宋体"/>
          <w:b/>
          <w:sz w:val="28"/>
          <w:szCs w:val="28"/>
        </w:rPr>
      </w:pPr>
      <w:bookmarkStart w:id="25" w:name="_Toc451762175"/>
      <w:bookmarkStart w:id="26" w:name="_Toc451762244"/>
      <w:bookmarkStart w:id="27" w:name="_Toc510137461"/>
      <w:r>
        <w:rPr>
          <w:rFonts w:hint="eastAsia" w:ascii="宋体" w:hAnsi="宋体"/>
          <w:b/>
          <w:sz w:val="28"/>
          <w:szCs w:val="28"/>
        </w:rPr>
        <w:t>（一）单一来源响应文件编制工具</w:t>
      </w:r>
    </w:p>
    <w:p>
      <w:pPr>
        <w:pStyle w:val="22"/>
        <w:adjustRightInd w:val="0"/>
        <w:snapToGrid w:val="0"/>
        <w:spacing w:before="156" w:after="156" w:line="500" w:lineRule="exact"/>
        <w:ind w:firstLine="565" w:firstLineChars="201"/>
        <w:rPr>
          <w:rFonts w:hAnsi="宋体"/>
          <w:b/>
          <w:sz w:val="30"/>
          <w:szCs w:val="30"/>
        </w:rPr>
      </w:pPr>
      <w:r>
        <w:rPr>
          <w:rFonts w:hint="eastAsia" w:hAnsi="宋体"/>
          <w:b/>
          <w:sz w:val="28"/>
          <w:szCs w:val="28"/>
        </w:rPr>
        <w:t>单一来源响应文件编制工具为</w:t>
      </w:r>
      <w:r>
        <w:rPr>
          <w:rFonts w:hAnsi="宋体"/>
          <w:b/>
          <w:sz w:val="28"/>
          <w:szCs w:val="28"/>
        </w:rPr>
        <w:t>政采云电子交易客户端，</w:t>
      </w:r>
      <w:r>
        <w:rPr>
          <w:rFonts w:hint="eastAsia" w:hAnsi="宋体"/>
          <w:b/>
          <w:sz w:val="28"/>
          <w:szCs w:val="28"/>
        </w:rPr>
        <w:t>下载网址：</w:t>
      </w:r>
      <w:r>
        <w:fldChar w:fldCharType="begin"/>
      </w:r>
      <w:r>
        <w:instrText xml:space="preserve"> HYPERLINK "http://zfcg.czt.zj.gov.cn/bidClientTemplate/2019-09-24/12975.html" </w:instrText>
      </w:r>
      <w:r>
        <w:fldChar w:fldCharType="separate"/>
      </w:r>
      <w:r>
        <w:t>http://zfcg.czt.zj.gov.cn/bidClientTemplate/2019-09-24/12975.html</w:t>
      </w:r>
      <w:r>
        <w:fldChar w:fldCharType="end"/>
      </w:r>
      <w:r>
        <w:rPr>
          <w:rFonts w:hint="eastAsia" w:hAnsi="宋体"/>
          <w:b/>
          <w:sz w:val="28"/>
          <w:szCs w:val="28"/>
        </w:rPr>
        <w:t>，请自行下载并安装。</w:t>
      </w:r>
    </w:p>
    <w:p>
      <w:pPr>
        <w:snapToGrid w:val="0"/>
        <w:spacing w:line="460" w:lineRule="exact"/>
        <w:ind w:firstLine="590" w:firstLineChars="196"/>
        <w:jc w:val="left"/>
        <w:outlineLvl w:val="0"/>
        <w:rPr>
          <w:rFonts w:ascii="宋体" w:hAnsi="宋体"/>
          <w:b/>
          <w:sz w:val="30"/>
          <w:szCs w:val="30"/>
        </w:rPr>
      </w:pPr>
      <w:r>
        <w:rPr>
          <w:rFonts w:hint="eastAsia" w:ascii="宋体" w:hAnsi="宋体"/>
          <w:b/>
          <w:sz w:val="30"/>
          <w:szCs w:val="30"/>
        </w:rPr>
        <w:t>（二）单一来源响应文件的组成</w:t>
      </w:r>
      <w:bookmarkEnd w:id="25"/>
      <w:bookmarkEnd w:id="26"/>
      <w:bookmarkEnd w:id="27"/>
    </w:p>
    <w:p>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本项目所称单一来源响应文件系指电子单一来源响应文件或备份单一来源响应文件。单一来源响应文件需按照本采购文件和电子交易平台的要求制作、加密并递交。</w:t>
      </w:r>
    </w:p>
    <w:p>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电子单一来源响应文件由资质文件、技术商务文件、报价文件三部份组成，具体详见“第五章  单一来源响应格式附件”。备份响应文件的组成和内容等同电子响应文件。</w:t>
      </w:r>
    </w:p>
    <w:p>
      <w:pPr>
        <w:pStyle w:val="37"/>
        <w:widowControl w:val="0"/>
        <w:spacing w:after="156"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注：法定代表人授权委托书、投标声明书、投标报价明细表必须按采购文件格式要求正确签署并加盖响应方公章。响应文件中所须加盖公章部分均采用CA签章。</w:t>
      </w:r>
    </w:p>
    <w:p>
      <w:pPr>
        <w:snapToGrid w:val="0"/>
        <w:spacing w:before="50" w:after="50"/>
        <w:ind w:firstLine="602" w:firstLineChars="200"/>
        <w:rPr>
          <w:rFonts w:ascii="仿宋" w:hAnsi="仿宋" w:eastAsia="仿宋"/>
          <w:b/>
          <w:bCs/>
          <w:color w:val="FF0000"/>
          <w:sz w:val="36"/>
          <w:szCs w:val="36"/>
        </w:rPr>
      </w:pPr>
      <w:bookmarkStart w:id="28" w:name="_Toc451268220"/>
      <w:r>
        <w:rPr>
          <w:rFonts w:ascii="仿宋" w:hAnsi="仿宋" w:eastAsia="仿宋"/>
          <w:b/>
          <w:sz w:val="30"/>
          <w:szCs w:val="30"/>
        </w:rPr>
        <w:t>1</w:t>
      </w:r>
      <w:r>
        <w:rPr>
          <w:rFonts w:hint="eastAsia" w:ascii="仿宋" w:hAnsi="仿宋" w:eastAsia="仿宋"/>
          <w:b/>
          <w:sz w:val="30"/>
          <w:szCs w:val="30"/>
        </w:rPr>
        <w:t>、资质文件目录</w:t>
      </w:r>
    </w:p>
    <w:p>
      <w:pPr>
        <w:snapToGrid w:val="0"/>
        <w:spacing w:line="460" w:lineRule="exact"/>
        <w:ind w:firstLine="588" w:firstLineChars="196"/>
        <w:jc w:val="left"/>
        <w:rPr>
          <w:rFonts w:ascii="仿宋" w:hAnsi="仿宋" w:eastAsia="仿宋"/>
          <w:color w:val="FF0000"/>
          <w:sz w:val="30"/>
          <w:szCs w:val="30"/>
        </w:rPr>
      </w:pPr>
      <w:r>
        <w:rPr>
          <w:rFonts w:hint="eastAsia" w:ascii="宋体" w:hAnsi="宋体" w:cs="宋体"/>
          <w:color w:val="FF0000"/>
          <w:sz w:val="30"/>
          <w:szCs w:val="30"/>
        </w:rPr>
        <w:t>（</w:t>
      </w:r>
      <w:r>
        <w:rPr>
          <w:rFonts w:hint="eastAsia" w:ascii="仿宋" w:hAnsi="仿宋" w:eastAsia="仿宋"/>
          <w:color w:val="FF0000"/>
          <w:sz w:val="30"/>
          <w:szCs w:val="30"/>
        </w:rPr>
        <w:t>1）声明书 (格式见附件1，含重大违法记录声明)；</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（2）法定代表人授权委托书(格式见附件2)；</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（4）联合响应协议书（若需要见附件3）;</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（5）联合响应授权委托书（若需要见附件4）;</w:t>
      </w:r>
    </w:p>
    <w:p>
      <w:pPr>
        <w:snapToGrid w:val="0"/>
        <w:spacing w:line="460" w:lineRule="exact"/>
        <w:ind w:firstLine="600" w:firstLineChars="200"/>
        <w:jc w:val="left"/>
        <w:rPr>
          <w:rFonts w:ascii="仿宋" w:hAnsi="仿宋" w:eastAsia="仿宋"/>
          <w:color w:val="FF0000"/>
          <w:sz w:val="30"/>
          <w:szCs w:val="30"/>
        </w:rPr>
      </w:pPr>
      <w:r>
        <w:rPr>
          <w:rFonts w:hint="eastAsia" w:ascii="仿宋" w:hAnsi="仿宋" w:eastAsia="仿宋"/>
          <w:color w:val="FF0000"/>
          <w:sz w:val="30"/>
          <w:szCs w:val="30"/>
        </w:rPr>
        <w:t>（6）提供采购公告中符合响应方特定条件要求的有效的其他资质复印件并加盖公司公章及需要说明的资料。</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2.技术及商务文件目录：</w:t>
      </w:r>
    </w:p>
    <w:p>
      <w:pPr>
        <w:snapToGrid w:val="0"/>
        <w:spacing w:line="480" w:lineRule="exact"/>
        <w:ind w:firstLine="588" w:firstLineChars="196"/>
        <w:jc w:val="left"/>
        <w:rPr>
          <w:rFonts w:ascii="仿宋" w:hAnsi="仿宋" w:eastAsia="仿宋"/>
          <w:kern w:val="0"/>
          <w:sz w:val="30"/>
          <w:szCs w:val="30"/>
        </w:rPr>
      </w:pPr>
      <w:r>
        <w:rPr>
          <w:rFonts w:hint="eastAsia" w:ascii="仿宋" w:hAnsi="仿宋" w:eastAsia="仿宋"/>
          <w:kern w:val="0"/>
          <w:sz w:val="30"/>
          <w:szCs w:val="30"/>
        </w:rPr>
        <w:t>（1）技术响应表（见附件5）；</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（2）项目总体解决方案（可包含且不限于对项目总体要求的理解、项目总体架构及技术解决方案等）；</w:t>
      </w:r>
    </w:p>
    <w:p>
      <w:pPr>
        <w:snapToGrid w:val="0"/>
        <w:spacing w:line="480" w:lineRule="exact"/>
        <w:ind w:firstLine="588" w:firstLineChars="196"/>
        <w:jc w:val="left"/>
        <w:rPr>
          <w:rFonts w:ascii="仿宋" w:hAnsi="仿宋" w:eastAsia="仿宋"/>
          <w:sz w:val="30"/>
          <w:szCs w:val="30"/>
        </w:rPr>
      </w:pPr>
      <w:r>
        <w:rPr>
          <w:rFonts w:hint="eastAsia" w:ascii="仿宋" w:hAnsi="仿宋" w:eastAsia="仿宋"/>
          <w:sz w:val="30"/>
          <w:szCs w:val="30"/>
        </w:rPr>
        <w:t>（3）项目实施计划（可包含且不限于保证工期的施工组织方案及人力资源安排、项目组人员清单《</w:t>
      </w:r>
      <w:r>
        <w:rPr>
          <w:rFonts w:hint="eastAsia" w:ascii="仿宋" w:hAnsi="仿宋" w:eastAsia="仿宋"/>
          <w:color w:val="FF0000"/>
          <w:kern w:val="0"/>
          <w:sz w:val="30"/>
          <w:szCs w:val="30"/>
        </w:rPr>
        <w:t>项目实施人员一览表</w:t>
      </w:r>
      <w:r>
        <w:rPr>
          <w:rFonts w:hint="eastAsia" w:ascii="仿宋" w:hAnsi="仿宋" w:eastAsia="仿宋"/>
          <w:sz w:val="30"/>
          <w:szCs w:val="30"/>
        </w:rPr>
        <w:t>》（</w:t>
      </w:r>
      <w:r>
        <w:rPr>
          <w:rFonts w:hint="eastAsia" w:ascii="仿宋" w:hAnsi="仿宋" w:eastAsia="仿宋"/>
          <w:color w:val="FF0000"/>
          <w:kern w:val="0"/>
          <w:sz w:val="30"/>
          <w:szCs w:val="30"/>
        </w:rPr>
        <w:t>附件6）</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（4）列入政府采购节能环保清单的证明资料（若有）；</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（5）商务响应表（附件7）；</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（8）响应方履约能力（可包含且不限于技术力量情况、响应方各项能力证书）；</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（9）案例的业绩证明（响应方同类项目实施情况一览表（附件8）、合同复印件）；</w:t>
      </w:r>
    </w:p>
    <w:p>
      <w:pPr>
        <w:tabs>
          <w:tab w:val="left" w:pos="6540"/>
        </w:tabs>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（10）响应方认为需要的其他文件资料。</w:t>
      </w:r>
      <w:r>
        <w:rPr>
          <w:rFonts w:ascii="仿宋" w:hAnsi="仿宋" w:eastAsia="仿宋"/>
          <w:sz w:val="30"/>
          <w:szCs w:val="30"/>
        </w:rPr>
        <w:tab/>
      </w:r>
    </w:p>
    <w:p>
      <w:pPr>
        <w:tabs>
          <w:tab w:val="left" w:pos="6540"/>
        </w:tabs>
        <w:snapToGrid w:val="0"/>
        <w:spacing w:line="460" w:lineRule="exact"/>
        <w:ind w:firstLine="602" w:firstLineChars="200"/>
        <w:jc w:val="left"/>
        <w:rPr>
          <w:rFonts w:ascii="仿宋" w:hAnsi="仿宋" w:eastAsia="仿宋"/>
          <w:b/>
          <w:sz w:val="30"/>
          <w:szCs w:val="30"/>
        </w:rPr>
      </w:pPr>
      <w:r>
        <w:rPr>
          <w:rFonts w:hint="eastAsia" w:ascii="仿宋" w:hAnsi="仿宋" w:eastAsia="仿宋"/>
          <w:b/>
          <w:sz w:val="30"/>
          <w:szCs w:val="30"/>
        </w:rPr>
        <w:t>3、报价文件目录</w:t>
      </w:r>
    </w:p>
    <w:p>
      <w:pPr>
        <w:pStyle w:val="24"/>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（1）投标报价明细表（附件9）；</w:t>
      </w:r>
    </w:p>
    <w:p>
      <w:pPr>
        <w:pStyle w:val="24"/>
        <w:snapToGrid w:val="0"/>
        <w:spacing w:line="460" w:lineRule="exact"/>
        <w:ind w:left="0" w:leftChars="0"/>
        <w:rPr>
          <w:rFonts w:ascii="仿宋" w:hAnsi="仿宋" w:eastAsia="仿宋"/>
          <w:sz w:val="30"/>
          <w:szCs w:val="30"/>
        </w:rPr>
      </w:pPr>
      <w:r>
        <w:rPr>
          <w:rFonts w:hint="eastAsia" w:ascii="仿宋" w:hAnsi="仿宋" w:eastAsia="仿宋"/>
          <w:sz w:val="30"/>
          <w:szCs w:val="30"/>
        </w:rPr>
        <w:t>（2）响应方针对报价需要说明的其他文件和说明（格式自拟）；</w:t>
      </w:r>
    </w:p>
    <w:p>
      <w:pPr>
        <w:pStyle w:val="24"/>
        <w:snapToGrid w:val="0"/>
        <w:spacing w:line="460" w:lineRule="exact"/>
        <w:ind w:left="0" w:leftChars="0"/>
        <w:rPr>
          <w:rFonts w:ascii="仿宋" w:hAnsi="仿宋" w:eastAsia="仿宋"/>
        </w:rPr>
      </w:pPr>
      <w:r>
        <w:rPr>
          <w:rFonts w:hint="eastAsia" w:ascii="仿宋" w:hAnsi="仿宋" w:eastAsia="仿宋"/>
          <w:sz w:val="30"/>
          <w:szCs w:val="30"/>
        </w:rPr>
        <w:t>（3）中小企业声明函（见附件10）；</w:t>
      </w:r>
    </w:p>
    <w:p>
      <w:pPr>
        <w:pStyle w:val="37"/>
        <w:widowControl w:val="0"/>
        <w:spacing w:after="156" w:line="460" w:lineRule="exact"/>
        <w:jc w:val="both"/>
        <w:rPr>
          <w:rFonts w:ascii="仿宋" w:hAnsi="仿宋" w:eastAsia="仿宋"/>
          <w:color w:val="auto"/>
          <w:sz w:val="30"/>
          <w:szCs w:val="30"/>
        </w:rPr>
      </w:pPr>
      <w:r>
        <w:rPr>
          <w:rFonts w:hint="eastAsia" w:ascii="仿宋" w:hAnsi="仿宋" w:eastAsia="仿宋"/>
          <w:color w:val="auto"/>
          <w:sz w:val="30"/>
          <w:szCs w:val="30"/>
        </w:rPr>
        <w:t>（4）残疾人福利企业声明函（见附件11）。</w:t>
      </w:r>
    </w:p>
    <w:p>
      <w:pPr>
        <w:ind w:firstLine="446" w:firstLineChars="148"/>
        <w:rPr>
          <w:rFonts w:ascii="仿宋" w:hAnsi="仿宋" w:eastAsia="仿宋"/>
          <w:b/>
          <w:bCs/>
          <w:sz w:val="30"/>
          <w:szCs w:val="30"/>
        </w:rPr>
      </w:pPr>
      <w:r>
        <w:rPr>
          <w:rFonts w:hint="eastAsia" w:ascii="仿宋" w:hAnsi="仿宋" w:eastAsia="仿宋"/>
          <w:b/>
          <w:bCs/>
          <w:sz w:val="30"/>
          <w:szCs w:val="30"/>
        </w:rPr>
        <w:t>（</w:t>
      </w:r>
      <w:r>
        <w:rPr>
          <w:rFonts w:hint="eastAsia" w:ascii="仿宋" w:hAnsi="仿宋" w:eastAsia="仿宋"/>
          <w:b/>
          <w:bCs/>
          <w:sz w:val="30"/>
          <w:szCs w:val="30"/>
          <w:lang w:val="en-US" w:eastAsia="zh-CN"/>
        </w:rPr>
        <w:t>三</w:t>
      </w:r>
      <w:r>
        <w:rPr>
          <w:rFonts w:hint="eastAsia" w:ascii="仿宋" w:hAnsi="仿宋" w:eastAsia="仿宋"/>
          <w:b/>
          <w:bCs/>
          <w:sz w:val="30"/>
          <w:szCs w:val="30"/>
        </w:rPr>
        <w:t>）响应方报价</w:t>
      </w:r>
      <w:bookmarkEnd w:id="28"/>
    </w:p>
    <w:p>
      <w:pPr>
        <w:snapToGrid w:val="0"/>
        <w:spacing w:line="460" w:lineRule="exact"/>
        <w:ind w:firstLine="588" w:firstLineChars="196"/>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响应方报价应按单一来源采购文件中相关附表格式填报；</w:t>
      </w:r>
    </w:p>
    <w:p>
      <w:pPr>
        <w:pStyle w:val="10"/>
        <w:widowControl w:val="0"/>
        <w:numPr>
          <w:ilvl w:val="0"/>
          <w:numId w:val="0"/>
        </w:numPr>
        <w:tabs>
          <w:tab w:val="clear" w:pos="454"/>
        </w:tabs>
        <w:snapToGrid w:val="0"/>
        <w:spacing w:before="156" w:beforeLines="50" w:after="156" w:line="46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 xml:space="preserve"> 响应方的最终报价是履行合同的最终价格，应包括货款、标准附件、备品备件、专用工具、包装、运输、装卸、保险、税金、货到就位以及安装、调试、培训、保修等一切税金和费用。</w:t>
      </w:r>
    </w:p>
    <w:p>
      <w:pPr>
        <w:pStyle w:val="10"/>
        <w:widowControl w:val="0"/>
        <w:numPr>
          <w:ilvl w:val="0"/>
          <w:numId w:val="0"/>
        </w:numPr>
        <w:tabs>
          <w:tab w:val="clear" w:pos="454"/>
        </w:tabs>
        <w:snapToGrid w:val="0"/>
        <w:spacing w:before="156" w:beforeLines="50" w:after="156" w:line="460" w:lineRule="exact"/>
        <w:ind w:firstLine="602" w:firstLineChars="200"/>
        <w:rPr>
          <w:rFonts w:ascii="宋体"/>
          <w:b/>
          <w:sz w:val="30"/>
          <w:szCs w:val="30"/>
        </w:rPr>
      </w:pPr>
      <w:r>
        <w:rPr>
          <w:rFonts w:hint="eastAsia" w:ascii="宋体" w:hAnsi="宋体"/>
          <w:b/>
          <w:sz w:val="30"/>
          <w:szCs w:val="30"/>
        </w:rPr>
        <w:t>（</w:t>
      </w:r>
      <w:r>
        <w:rPr>
          <w:rFonts w:hint="eastAsia" w:ascii="宋体" w:hAnsi="宋体"/>
          <w:b/>
          <w:sz w:val="30"/>
          <w:szCs w:val="30"/>
          <w:lang w:val="en-US" w:eastAsia="zh-CN"/>
        </w:rPr>
        <w:t>四</w:t>
      </w:r>
      <w:r>
        <w:rPr>
          <w:rFonts w:hint="eastAsia" w:ascii="宋体" w:hAnsi="宋体"/>
          <w:b/>
          <w:sz w:val="30"/>
          <w:szCs w:val="30"/>
        </w:rPr>
        <w:t>）单一来源响应文件的有效期</w:t>
      </w:r>
    </w:p>
    <w:p>
      <w:pPr>
        <w:snapToGrid w:val="0"/>
        <w:spacing w:line="460" w:lineRule="exact"/>
        <w:ind w:firstLine="600" w:firstLineChars="200"/>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、自采购响应截止日起</w:t>
      </w:r>
      <w:r>
        <w:rPr>
          <w:rFonts w:ascii="仿宋" w:hAnsi="仿宋" w:eastAsia="仿宋"/>
          <w:sz w:val="30"/>
          <w:szCs w:val="30"/>
        </w:rPr>
        <w:t>90</w:t>
      </w:r>
      <w:r>
        <w:rPr>
          <w:rFonts w:hint="eastAsia" w:ascii="仿宋" w:hAnsi="仿宋" w:eastAsia="仿宋"/>
          <w:sz w:val="30"/>
          <w:szCs w:val="30"/>
        </w:rPr>
        <w:t>天内响应文件应保持有效。有效期不足的响应文件将被拒绝。</w:t>
      </w:r>
    </w:p>
    <w:p>
      <w:pPr>
        <w:snapToGrid w:val="0"/>
        <w:spacing w:line="460" w:lineRule="exact"/>
        <w:ind w:firstLine="600" w:firstLineChars="2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、成交人的响应文件自采购之日起至合同履行完毕止均应保持有效。</w:t>
      </w:r>
    </w:p>
    <w:p>
      <w:pPr>
        <w:ind w:firstLine="596" w:firstLineChars="198"/>
        <w:rPr>
          <w:rFonts w:ascii="仿宋" w:hAnsi="仿宋" w:eastAsia="仿宋"/>
          <w:b/>
          <w:bCs/>
          <w:sz w:val="30"/>
          <w:szCs w:val="30"/>
        </w:rPr>
      </w:pPr>
      <w:bookmarkStart w:id="29" w:name="_Toc451268222"/>
      <w:r>
        <w:rPr>
          <w:rFonts w:hint="eastAsia" w:ascii="仿宋" w:hAnsi="仿宋" w:eastAsia="仿宋"/>
          <w:b/>
          <w:bCs/>
          <w:sz w:val="30"/>
          <w:szCs w:val="30"/>
        </w:rPr>
        <w:t>（</w:t>
      </w:r>
      <w:r>
        <w:rPr>
          <w:rFonts w:hint="eastAsia" w:ascii="仿宋" w:hAnsi="仿宋" w:eastAsia="仿宋"/>
          <w:b/>
          <w:bCs/>
          <w:sz w:val="30"/>
          <w:szCs w:val="30"/>
          <w:lang w:val="en-US" w:eastAsia="zh-CN"/>
        </w:rPr>
        <w:t>五</w:t>
      </w:r>
      <w:r>
        <w:rPr>
          <w:rFonts w:hint="eastAsia" w:ascii="仿宋" w:hAnsi="仿宋" w:eastAsia="仿宋"/>
          <w:b/>
          <w:bCs/>
          <w:sz w:val="30"/>
          <w:szCs w:val="30"/>
        </w:rPr>
        <w:t>）单一来源采购响应文件的签署和份数</w:t>
      </w:r>
      <w:bookmarkEnd w:id="29"/>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1.电子响应文件部分：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响应方应根据本采购文件和电子交易平台规定的格式和顺序编制电子响应文件并进行关联定位，响应文件内容不完整、编排混乱、关联错误导致响应文件被误读、漏读或者查找不到相关内容的，是响应方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（2）响应文件须由响应方在规定位置盖章并由法定代表人或法定代表人的授权委托人签署，响应方应写全称。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（3）响应文件不得涂改，若有修改错漏处，须加盖响应方公章或者法定代表人或授权委托人签名或盖章。响应文件因字迹潦草或表达不清所引起的后果由响应方负责。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2.响应方选择递交备份响应文件</w:t>
      </w:r>
      <w:r>
        <w:rPr>
          <w:rFonts w:hint="eastAsia" w:ascii="仿宋" w:hAnsi="仿宋" w:eastAsia="仿宋"/>
          <w:b/>
          <w:bCs/>
          <w:color w:val="FF0000"/>
          <w:sz w:val="28"/>
          <w:szCs w:val="28"/>
        </w:rPr>
        <w:t>，</w:t>
      </w:r>
      <w:r>
        <w:rPr>
          <w:rFonts w:hint="eastAsia" w:ascii="仿宋" w:hAnsi="仿宋" w:eastAsia="仿宋"/>
          <w:b/>
          <w:bCs/>
          <w:sz w:val="28"/>
          <w:szCs w:val="28"/>
        </w:rPr>
        <w:t>备份响应文件另须满足以下条件：</w:t>
      </w:r>
    </w:p>
    <w:p>
      <w:pPr>
        <w:pStyle w:val="22"/>
        <w:adjustRightInd w:val="0"/>
        <w:snapToGrid w:val="0"/>
        <w:spacing w:before="156" w:after="156"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22"/>
        <w:adjustRightInd w:val="0"/>
        <w:snapToGrid w:val="0"/>
        <w:spacing w:before="156" w:after="156"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响应方名称、响应方地址、响应方联系方式（授权代表手机）、响应文件名称（备份响应文件）、投标项目名称、项目编号、标项及“开标时启封”字样，并加盖响应方公章。</w:t>
      </w:r>
    </w:p>
    <w:p>
      <w:pPr>
        <w:snapToGrid w:val="0"/>
        <w:spacing w:before="156" w:beforeLines="50" w:line="460" w:lineRule="exact"/>
        <w:ind w:firstLine="590" w:firstLineChars="196"/>
        <w:outlineLvl w:val="2"/>
        <w:rPr>
          <w:rFonts w:ascii="仿宋" w:hAnsi="仿宋" w:eastAsia="仿宋"/>
          <w:b/>
          <w:sz w:val="30"/>
          <w:szCs w:val="30"/>
        </w:rPr>
      </w:pPr>
      <w:r>
        <w:rPr>
          <w:rFonts w:hint="eastAsia" w:ascii="仿宋" w:hAnsi="仿宋" w:eastAsia="仿宋"/>
          <w:b/>
          <w:sz w:val="30"/>
          <w:szCs w:val="30"/>
        </w:rPr>
        <w:t>（</w:t>
      </w:r>
      <w:r>
        <w:rPr>
          <w:rFonts w:hint="eastAsia" w:ascii="仿宋" w:hAnsi="仿宋" w:eastAsia="仿宋"/>
          <w:b/>
          <w:sz w:val="30"/>
          <w:szCs w:val="30"/>
          <w:lang w:val="en-US" w:eastAsia="zh-CN"/>
        </w:rPr>
        <w:t>六</w:t>
      </w:r>
      <w:r>
        <w:rPr>
          <w:rFonts w:hint="eastAsia" w:ascii="仿宋" w:hAnsi="仿宋" w:eastAsia="仿宋"/>
          <w:b/>
          <w:sz w:val="30"/>
          <w:szCs w:val="30"/>
        </w:rPr>
        <w:t>）采购无效的情形</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在采购时，如发现下列情形之一的，采购响应文件将被视为无效：</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1、仅提供备份响应文件的；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2、电子响应文件解密失败，且未在规定时间内提交备份响应文件的；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3、电子响应文件解密失败，虽然在规定时间内提交了备份响应文件，但是备份响应文件无法导入或者无法读取或者不符合本采购文件和电子交易平台要求的；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4、响应方未能提供合格的资格文件；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5、与采购文件有重大偏离的；</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6、响应文件未有效授权；</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7、响应方最终报价超出预算的；</w:t>
      </w:r>
    </w:p>
    <w:p>
      <w:pPr>
        <w:snapToGrid w:val="0"/>
        <w:spacing w:line="460" w:lineRule="exact"/>
        <w:ind w:firstLine="570" w:firstLineChars="190"/>
        <w:jc w:val="left"/>
        <w:rPr>
          <w:rFonts w:ascii="仿宋" w:hAnsi="仿宋" w:eastAsia="仿宋"/>
          <w:color w:val="000000"/>
          <w:sz w:val="30"/>
          <w:szCs w:val="30"/>
        </w:rPr>
      </w:pPr>
      <w:r>
        <w:rPr>
          <w:rFonts w:hint="eastAsia" w:ascii="仿宋" w:hAnsi="仿宋" w:eastAsia="仿宋"/>
          <w:color w:val="000000"/>
          <w:sz w:val="30"/>
          <w:szCs w:val="30"/>
        </w:rPr>
        <w:t>8、最终报价明显高于其市场报价或低于成本价且不能合理说明原因并提供证明材料的；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9、不符合法律、法规和本采购文件规定的其他实质性要求的。</w:t>
      </w:r>
    </w:p>
    <w:p>
      <w:pPr>
        <w:snapToGrid w:val="0"/>
        <w:spacing w:line="460" w:lineRule="exact"/>
        <w:ind w:firstLine="562" w:firstLineChars="200"/>
        <w:rPr>
          <w:rFonts w:ascii="宋体" w:hAnsi="宋体"/>
          <w:b/>
          <w:sz w:val="28"/>
          <w:szCs w:val="28"/>
        </w:rPr>
      </w:pPr>
      <w:r>
        <w:rPr>
          <w:rFonts w:hint="eastAsia" w:ascii="宋体" w:hAnsi="宋体"/>
          <w:b/>
          <w:sz w:val="28"/>
          <w:szCs w:val="28"/>
        </w:rPr>
        <w:t>（七）采购过程中的</w:t>
      </w:r>
      <w:r>
        <w:rPr>
          <w:rFonts w:hint="eastAsia" w:hAnsi="宋体"/>
          <w:b/>
          <w:bCs/>
          <w:sz w:val="28"/>
          <w:szCs w:val="28"/>
        </w:rPr>
        <w:t>异常情况及处理措施</w:t>
      </w:r>
    </w:p>
    <w:p>
      <w:pPr>
        <w:pStyle w:val="22"/>
        <w:adjustRightInd w:val="0"/>
        <w:snapToGrid w:val="0"/>
        <w:spacing w:before="156" w:after="156" w:line="500" w:lineRule="exact"/>
        <w:ind w:firstLine="565" w:firstLineChars="201"/>
        <w:rPr>
          <w:rFonts w:hAnsi="宋体"/>
          <w:b/>
          <w:bCs/>
          <w:sz w:val="28"/>
          <w:szCs w:val="28"/>
        </w:rPr>
      </w:pPr>
      <w:r>
        <w:rPr>
          <w:rFonts w:hint="eastAsia" w:hAnsi="宋体"/>
          <w:b/>
          <w:bCs/>
          <w:sz w:val="28"/>
          <w:szCs w:val="28"/>
        </w:rPr>
        <w:t>采购过程中出现以下情形，导致电子交易平台无法正常运行，或者无法保证电子交易的公平、公正和安全时，采购方可中止电子交易活动：</w:t>
      </w:r>
    </w:p>
    <w:p>
      <w:pPr>
        <w:spacing w:line="440" w:lineRule="exact"/>
        <w:ind w:firstLine="562" w:firstLineChars="200"/>
        <w:rPr>
          <w:rFonts w:ascii="宋体" w:hAnsi="宋体"/>
          <w:b/>
          <w:bCs/>
          <w:sz w:val="28"/>
          <w:szCs w:val="28"/>
        </w:rPr>
      </w:pPr>
      <w:r>
        <w:rPr>
          <w:rFonts w:hint="eastAsia" w:ascii="宋体" w:hAnsi="宋体"/>
          <w:b/>
          <w:bCs/>
          <w:sz w:val="28"/>
          <w:szCs w:val="28"/>
        </w:rPr>
        <w:t>1.电子交易平台发生故障而无法登录访问的；</w:t>
      </w:r>
    </w:p>
    <w:p>
      <w:pPr>
        <w:spacing w:line="440" w:lineRule="exact"/>
        <w:ind w:firstLine="562" w:firstLineChars="200"/>
        <w:rPr>
          <w:rFonts w:ascii="宋体" w:hAnsi="宋体"/>
          <w:b/>
          <w:bCs/>
          <w:sz w:val="28"/>
          <w:szCs w:val="28"/>
        </w:rPr>
      </w:pPr>
      <w:r>
        <w:rPr>
          <w:rFonts w:hint="eastAsia" w:ascii="宋体" w:hAnsi="宋体"/>
          <w:b/>
          <w:bCs/>
          <w:sz w:val="28"/>
          <w:szCs w:val="28"/>
        </w:rPr>
        <w:t>2.电子交易平台应用或数据库出现错误，不能进行正常操作的；</w:t>
      </w:r>
    </w:p>
    <w:p>
      <w:pPr>
        <w:spacing w:line="440" w:lineRule="exact"/>
        <w:ind w:firstLine="562" w:firstLineChars="200"/>
        <w:rPr>
          <w:rFonts w:ascii="宋体" w:hAnsi="宋体"/>
          <w:b/>
          <w:bCs/>
          <w:sz w:val="28"/>
          <w:szCs w:val="28"/>
        </w:rPr>
      </w:pPr>
      <w:r>
        <w:rPr>
          <w:rFonts w:hint="eastAsia" w:ascii="宋体" w:hAnsi="宋体"/>
          <w:b/>
          <w:bCs/>
          <w:sz w:val="28"/>
          <w:szCs w:val="28"/>
        </w:rPr>
        <w:t>3.电子交易平台发现严重安全漏洞，有潜在泄密危险的；</w:t>
      </w:r>
    </w:p>
    <w:p>
      <w:pPr>
        <w:spacing w:line="440" w:lineRule="exact"/>
        <w:ind w:firstLine="562" w:firstLineChars="200"/>
        <w:rPr>
          <w:rFonts w:ascii="宋体" w:hAnsi="宋体"/>
          <w:b/>
          <w:bCs/>
          <w:sz w:val="28"/>
          <w:szCs w:val="28"/>
        </w:rPr>
      </w:pPr>
      <w:r>
        <w:rPr>
          <w:rFonts w:hint="eastAsia" w:ascii="宋体" w:hAnsi="宋体"/>
          <w:b/>
          <w:bCs/>
          <w:sz w:val="28"/>
          <w:szCs w:val="28"/>
        </w:rPr>
        <w:t>4.病毒发作导致不能进行正常操作的；</w:t>
      </w:r>
    </w:p>
    <w:p>
      <w:pPr>
        <w:spacing w:line="440" w:lineRule="exact"/>
        <w:ind w:firstLine="562" w:firstLineChars="200"/>
        <w:rPr>
          <w:rFonts w:ascii="宋体" w:hAnsi="宋体"/>
          <w:b/>
          <w:bCs/>
          <w:sz w:val="28"/>
          <w:szCs w:val="28"/>
        </w:rPr>
      </w:pPr>
      <w:r>
        <w:rPr>
          <w:rFonts w:hint="eastAsia" w:ascii="宋体" w:hAnsi="宋体"/>
          <w:b/>
          <w:bCs/>
          <w:sz w:val="28"/>
          <w:szCs w:val="28"/>
        </w:rPr>
        <w:t>5.其他无法保证电子交易的公平、公正和安全的情况。</w:t>
      </w:r>
    </w:p>
    <w:p>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采购方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pPr>
        <w:pStyle w:val="22"/>
        <w:snapToGrid w:val="0"/>
        <w:spacing w:beforeLines="0" w:afterLines="0" w:line="460" w:lineRule="exact"/>
        <w:ind w:firstLine="602" w:firstLineChars="200"/>
        <w:rPr>
          <w:rFonts w:ascii="仿宋" w:hAnsi="仿宋" w:eastAsia="仿宋"/>
          <w:b/>
          <w:sz w:val="30"/>
          <w:szCs w:val="30"/>
        </w:rPr>
      </w:pPr>
    </w:p>
    <w:p>
      <w:pPr>
        <w:pStyle w:val="22"/>
        <w:snapToGrid w:val="0"/>
        <w:spacing w:beforeLines="0" w:afterLines="0" w:line="460" w:lineRule="exact"/>
        <w:jc w:val="center"/>
        <w:rPr>
          <w:rFonts w:ascii="仿宋" w:hAnsi="仿宋" w:eastAsia="仿宋"/>
          <w:b/>
          <w:sz w:val="30"/>
          <w:szCs w:val="30"/>
        </w:rPr>
      </w:pPr>
      <w:r>
        <w:rPr>
          <w:rFonts w:hint="eastAsia" w:ascii="仿宋" w:hAnsi="仿宋" w:eastAsia="仿宋"/>
          <w:b/>
          <w:sz w:val="30"/>
          <w:szCs w:val="30"/>
        </w:rPr>
        <w:t>三、组织单一来源采购程序</w:t>
      </w:r>
    </w:p>
    <w:p>
      <w:pPr>
        <w:pStyle w:val="22"/>
        <w:snapToGrid w:val="0"/>
        <w:spacing w:beforeLines="0" w:afterLines="0" w:line="460" w:lineRule="exact"/>
        <w:ind w:firstLine="602" w:firstLineChars="200"/>
        <w:rPr>
          <w:rFonts w:ascii="仿宋" w:hAnsi="仿宋" w:eastAsia="仿宋"/>
          <w:b/>
          <w:sz w:val="30"/>
          <w:szCs w:val="30"/>
        </w:rPr>
      </w:pPr>
      <w:r>
        <w:rPr>
          <w:rFonts w:hint="eastAsia" w:ascii="仿宋" w:hAnsi="仿宋" w:eastAsia="仿宋"/>
          <w:b/>
          <w:sz w:val="30"/>
          <w:szCs w:val="30"/>
        </w:rPr>
        <w:t>（一）组建协商小组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协商小组成员由采购中心组织具有相关经验的专业人员【或委托省财政厅采监处按《中华人民共和国政府采购法》相关要求，从政府采购评审专家库内相关专业的专家名单中随机抽取的专家成员组成】。协商小组成员为</w:t>
      </w:r>
      <w:r>
        <w:rPr>
          <w:rFonts w:ascii="仿宋" w:hAnsi="仿宋" w:eastAsia="仿宋"/>
          <w:sz w:val="30"/>
          <w:szCs w:val="30"/>
        </w:rPr>
        <w:t>3</w:t>
      </w:r>
      <w:r>
        <w:rPr>
          <w:rFonts w:hint="eastAsia" w:ascii="仿宋" w:hAnsi="仿宋" w:eastAsia="仿宋"/>
          <w:sz w:val="30"/>
          <w:szCs w:val="30"/>
        </w:rPr>
        <w:t>人（含）以上组成。</w:t>
      </w:r>
    </w:p>
    <w:p>
      <w:pPr>
        <w:pStyle w:val="22"/>
        <w:snapToGrid w:val="0"/>
        <w:spacing w:before="156" w:after="156" w:line="460" w:lineRule="exact"/>
        <w:ind w:firstLine="551" w:firstLineChars="196"/>
        <w:rPr>
          <w:rFonts w:ascii="仿宋" w:hAnsi="仿宋" w:eastAsia="仿宋"/>
          <w:b/>
          <w:color w:val="FF0000"/>
          <w:sz w:val="28"/>
          <w:szCs w:val="28"/>
        </w:rPr>
      </w:pPr>
      <w:r>
        <w:rPr>
          <w:rFonts w:hint="eastAsia" w:ascii="仿宋" w:hAnsi="仿宋" w:eastAsia="仿宋"/>
          <w:b/>
          <w:color w:val="FF0000"/>
          <w:sz w:val="28"/>
          <w:szCs w:val="28"/>
        </w:rPr>
        <w:t>（二）组织开标</w:t>
      </w:r>
    </w:p>
    <w:p>
      <w:pPr>
        <w:pStyle w:val="22"/>
        <w:snapToGrid w:val="0"/>
        <w:spacing w:before="156" w:after="156" w:line="460" w:lineRule="exact"/>
        <w:ind w:firstLine="560" w:firstLineChars="200"/>
        <w:rPr>
          <w:rFonts w:hAnsi="宋体"/>
          <w:bCs/>
          <w:color w:val="FF0000"/>
          <w:sz w:val="28"/>
          <w:szCs w:val="28"/>
        </w:rPr>
      </w:pPr>
      <w:r>
        <w:rPr>
          <w:rFonts w:hint="eastAsia" w:hAnsi="宋体"/>
          <w:bCs/>
          <w:color w:val="FF0000"/>
          <w:sz w:val="28"/>
          <w:szCs w:val="28"/>
        </w:rPr>
        <w:t>采购方将按照单一来源采购文件规定的时间、地点和程序组织开标，各响应方授权代表及相关人员</w:t>
      </w:r>
      <w:r>
        <w:rPr>
          <w:rFonts w:hint="eastAsia" w:hAnsi="宋体"/>
          <w:b/>
          <w:bCs/>
          <w:color w:val="FF0000"/>
          <w:sz w:val="28"/>
          <w:szCs w:val="28"/>
        </w:rPr>
        <w:t>均应当准时在线参加</w:t>
      </w:r>
      <w:r>
        <w:rPr>
          <w:rFonts w:hint="eastAsia" w:hAnsi="宋体"/>
          <w:bCs/>
          <w:color w:val="FF0000"/>
          <w:sz w:val="28"/>
          <w:szCs w:val="28"/>
        </w:rPr>
        <w:t>，无关人员不得进入开标现场。响应方</w:t>
      </w:r>
      <w:r>
        <w:rPr>
          <w:rFonts w:hint="eastAsia" w:hAnsi="宋体"/>
          <w:b/>
          <w:bCs/>
          <w:color w:val="FF0000"/>
          <w:sz w:val="28"/>
          <w:szCs w:val="28"/>
        </w:rPr>
        <w:t>如未准时在线参加的</w:t>
      </w:r>
      <w:r>
        <w:rPr>
          <w:rFonts w:hint="eastAsia" w:hAnsi="宋体"/>
          <w:bCs/>
          <w:color w:val="FF0000"/>
          <w:sz w:val="28"/>
          <w:szCs w:val="28"/>
        </w:rPr>
        <w:t>，事后不得对采购相关人员、开标过程和开标结果提出异议。</w:t>
      </w:r>
    </w:p>
    <w:p>
      <w:pPr>
        <w:pStyle w:val="22"/>
        <w:snapToGrid w:val="0"/>
        <w:spacing w:before="156" w:after="156" w:line="460" w:lineRule="exact"/>
        <w:ind w:firstLine="562" w:firstLineChars="200"/>
        <w:rPr>
          <w:rFonts w:hAnsi="宋体"/>
          <w:b/>
          <w:bCs/>
          <w:color w:val="FF0000"/>
          <w:sz w:val="28"/>
          <w:szCs w:val="28"/>
        </w:rPr>
      </w:pPr>
      <w:r>
        <w:rPr>
          <w:rFonts w:hint="eastAsia" w:hAnsi="宋体"/>
          <w:b/>
          <w:bCs/>
          <w:color w:val="FF0000"/>
          <w:sz w:val="28"/>
          <w:szCs w:val="28"/>
        </w:rPr>
        <w:t>1. 落实工作场地、设施，检查录音录像采集设备运行情况，验证电子交易平台是否能正常登录。</w:t>
      </w:r>
    </w:p>
    <w:p>
      <w:pPr>
        <w:pStyle w:val="22"/>
        <w:snapToGrid w:val="0"/>
        <w:spacing w:before="156" w:after="156" w:line="460" w:lineRule="exact"/>
        <w:ind w:firstLine="562" w:firstLineChars="200"/>
        <w:rPr>
          <w:rFonts w:hAnsi="宋体"/>
          <w:b/>
          <w:bCs/>
          <w:color w:val="FF0000"/>
          <w:sz w:val="28"/>
          <w:szCs w:val="28"/>
        </w:rPr>
      </w:pPr>
      <w:r>
        <w:rPr>
          <w:rFonts w:hint="eastAsia" w:hAnsi="宋体"/>
          <w:b/>
          <w:bCs/>
          <w:color w:val="FF0000"/>
          <w:sz w:val="28"/>
          <w:szCs w:val="28"/>
        </w:rPr>
        <w:t>2. 协商由采购方主持，主持人介绍开标现场的人员情况，宣读递交响应文件的响应方名单、开标纪律、应当回避的情形等注意事项。</w:t>
      </w:r>
    </w:p>
    <w:p>
      <w:pPr>
        <w:spacing w:line="440" w:lineRule="exact"/>
        <w:ind w:firstLine="562" w:firstLineChars="200"/>
        <w:rPr>
          <w:rFonts w:ascii="宋体" w:hAnsi="宋体"/>
          <w:b/>
          <w:bCs/>
          <w:color w:val="FF0000"/>
          <w:sz w:val="28"/>
          <w:szCs w:val="28"/>
        </w:rPr>
      </w:pPr>
      <w:r>
        <w:rPr>
          <w:rFonts w:hint="eastAsia" w:hAnsi="宋体"/>
          <w:b/>
          <w:bCs/>
          <w:color w:val="FF0000"/>
          <w:sz w:val="28"/>
          <w:szCs w:val="28"/>
        </w:rPr>
        <w:t>3.</w:t>
      </w:r>
      <w:r>
        <w:rPr>
          <w:rFonts w:hint="eastAsia" w:ascii="宋体" w:hAnsi="宋体"/>
          <w:b/>
          <w:bCs/>
          <w:color w:val="FF0000"/>
          <w:sz w:val="28"/>
          <w:szCs w:val="28"/>
        </w:rPr>
        <w:t>投标截止时，电子交易平台自动提取所有电子响应文件。采购方点击[开始解密]按钮后，响应方可以在线解密，解密时限为30分钟。</w:t>
      </w:r>
    </w:p>
    <w:p>
      <w:pPr>
        <w:spacing w:line="440" w:lineRule="exact"/>
        <w:ind w:firstLine="562" w:firstLineChars="200"/>
        <w:rPr>
          <w:rFonts w:ascii="宋体" w:hAnsi="宋体"/>
          <w:b/>
          <w:bCs/>
          <w:color w:val="FF0000"/>
          <w:sz w:val="28"/>
          <w:szCs w:val="28"/>
        </w:rPr>
      </w:pPr>
      <w:r>
        <w:rPr>
          <w:rFonts w:hint="eastAsia" w:ascii="宋体" w:hAnsi="宋体"/>
          <w:b/>
          <w:bCs/>
          <w:color w:val="FF0000"/>
          <w:sz w:val="28"/>
          <w:szCs w:val="28"/>
        </w:rPr>
        <w:t>4.响应方应当在解密时限内完成解密，如所有响应方的电子投标文件都已经解密完成的，则电子交易平台自动结束解密。如有任一响应方未解密，电子交易平台会在解密时限截止时自动结束解密。</w:t>
      </w:r>
    </w:p>
    <w:p>
      <w:pPr>
        <w:spacing w:line="440" w:lineRule="exact"/>
        <w:ind w:firstLine="562" w:firstLineChars="200"/>
        <w:rPr>
          <w:rFonts w:ascii="宋体" w:hAnsi="宋体"/>
          <w:b/>
          <w:bCs/>
          <w:color w:val="FF0000"/>
          <w:sz w:val="28"/>
          <w:szCs w:val="28"/>
        </w:rPr>
      </w:pPr>
      <w:r>
        <w:rPr>
          <w:rFonts w:hint="eastAsia" w:ascii="宋体" w:hAnsi="宋体"/>
          <w:b/>
          <w:bCs/>
          <w:color w:val="FF0000"/>
          <w:sz w:val="28"/>
          <w:szCs w:val="28"/>
        </w:rPr>
        <w:t>解密时限内未完成解密且按规定提供了备份投标文件的，采购方将拆封其备份投标文件，并导入电子交易平台。</w:t>
      </w:r>
    </w:p>
    <w:p>
      <w:pPr>
        <w:spacing w:line="440" w:lineRule="exact"/>
        <w:ind w:firstLine="562" w:firstLineChars="200"/>
        <w:rPr>
          <w:rFonts w:ascii="宋体" w:hAnsi="宋体"/>
          <w:b/>
          <w:bCs/>
          <w:color w:val="FF0000"/>
          <w:sz w:val="28"/>
          <w:szCs w:val="28"/>
        </w:rPr>
      </w:pPr>
      <w:r>
        <w:rPr>
          <w:rFonts w:hint="eastAsia" w:ascii="宋体" w:hAnsi="宋体"/>
          <w:b/>
          <w:bCs/>
          <w:color w:val="FF0000"/>
          <w:sz w:val="28"/>
          <w:szCs w:val="28"/>
        </w:rPr>
        <w:t>5.协商小组在商务和技术协商结束后，主持人通过电子交易平台宣告商务和技术协商无效响应方名称及理由，有效响应方的商务和技术得分情况。</w:t>
      </w:r>
    </w:p>
    <w:p>
      <w:pPr>
        <w:spacing w:line="440" w:lineRule="exact"/>
        <w:ind w:firstLine="562" w:firstLineChars="200"/>
        <w:rPr>
          <w:rFonts w:ascii="宋体" w:hAnsi="宋体"/>
          <w:b/>
          <w:bCs/>
          <w:color w:val="FF0000"/>
          <w:sz w:val="28"/>
          <w:szCs w:val="28"/>
        </w:rPr>
      </w:pPr>
      <w:r>
        <w:rPr>
          <w:rFonts w:hint="eastAsia" w:ascii="宋体" w:hAnsi="宋体"/>
          <w:b/>
          <w:bCs/>
          <w:color w:val="FF0000"/>
          <w:sz w:val="28"/>
          <w:szCs w:val="28"/>
        </w:rPr>
        <w:t>6.采购方在电子交易平台开启响应方的报价文件信息，响应方对报价信息进行确认。响应方对报价信息不予确认的不影响后续协商过程。</w:t>
      </w:r>
    </w:p>
    <w:p>
      <w:pPr>
        <w:pStyle w:val="22"/>
        <w:snapToGrid w:val="0"/>
        <w:spacing w:before="156" w:after="156" w:line="460" w:lineRule="exact"/>
        <w:ind w:firstLine="551" w:firstLineChars="196"/>
        <w:rPr>
          <w:rFonts w:hAnsi="宋体"/>
          <w:b/>
          <w:bCs/>
          <w:color w:val="FF0000"/>
          <w:sz w:val="28"/>
          <w:szCs w:val="28"/>
        </w:rPr>
      </w:pPr>
      <w:r>
        <w:rPr>
          <w:rFonts w:hint="eastAsia" w:hAnsi="宋体"/>
          <w:b/>
          <w:bCs/>
          <w:color w:val="FF0000"/>
          <w:sz w:val="28"/>
          <w:szCs w:val="28"/>
        </w:rPr>
        <w:t>7.协商小组经商议认为需要响应方作出必要澄清或说明的，应当通过电子交易平台交换数据电文。协商小组给予响应方提交澄清或说明的时间为半小时，响应方已经明确表示澄清或说明完毕的除外。</w:t>
      </w:r>
    </w:p>
    <w:p>
      <w:pPr>
        <w:spacing w:line="440" w:lineRule="exact"/>
        <w:ind w:firstLine="562" w:firstLineChars="200"/>
        <w:rPr>
          <w:rFonts w:ascii="宋体" w:hAnsi="宋体"/>
          <w:b/>
          <w:bCs/>
          <w:color w:val="FF0000"/>
          <w:sz w:val="28"/>
          <w:szCs w:val="28"/>
        </w:rPr>
      </w:pPr>
      <w:r>
        <w:rPr>
          <w:rFonts w:hint="eastAsia" w:ascii="宋体" w:hAnsi="宋体"/>
          <w:b/>
          <w:bCs/>
          <w:color w:val="FF0000"/>
          <w:sz w:val="28"/>
          <w:szCs w:val="28"/>
        </w:rPr>
        <w:t>8.在电子交易平台上公布协商结果。</w:t>
      </w:r>
    </w:p>
    <w:p>
      <w:pPr>
        <w:spacing w:line="440" w:lineRule="exact"/>
        <w:ind w:firstLine="562" w:firstLineChars="200"/>
        <w:rPr>
          <w:rFonts w:ascii="仿宋" w:hAnsi="仿宋" w:eastAsia="仿宋"/>
          <w:b/>
          <w:bCs/>
          <w:color w:val="FF0000"/>
          <w:sz w:val="28"/>
          <w:szCs w:val="28"/>
        </w:rPr>
      </w:pPr>
      <w:r>
        <w:rPr>
          <w:rFonts w:hint="eastAsia" w:ascii="宋体" w:hAnsi="宋体"/>
          <w:b/>
          <w:bCs/>
          <w:color w:val="FF0000"/>
          <w:sz w:val="28"/>
          <w:szCs w:val="28"/>
        </w:rPr>
        <w:t>特别说明：政采云公司如对电子化开标及协商程序有调整的，按调整后的程序操作。</w:t>
      </w:r>
    </w:p>
    <w:p>
      <w:pPr>
        <w:pStyle w:val="22"/>
        <w:snapToGrid w:val="0"/>
        <w:spacing w:beforeLines="0" w:afterLines="0" w:line="460" w:lineRule="exact"/>
        <w:ind w:firstLine="590" w:firstLineChars="196"/>
        <w:rPr>
          <w:rFonts w:ascii="仿宋" w:hAnsi="仿宋" w:eastAsia="仿宋"/>
          <w:b/>
          <w:color w:val="000000"/>
          <w:sz w:val="30"/>
          <w:szCs w:val="30"/>
        </w:rPr>
      </w:pPr>
    </w:p>
    <w:p>
      <w:pPr>
        <w:pStyle w:val="22"/>
        <w:snapToGrid w:val="0"/>
        <w:spacing w:beforeLines="0" w:afterLines="0" w:line="460" w:lineRule="exact"/>
        <w:ind w:firstLine="602" w:firstLineChars="200"/>
        <w:rPr>
          <w:rFonts w:ascii="仿宋" w:hAnsi="仿宋" w:eastAsia="仿宋"/>
          <w:b/>
          <w:color w:val="000000"/>
          <w:sz w:val="30"/>
          <w:szCs w:val="30"/>
        </w:rPr>
      </w:pPr>
      <w:r>
        <w:rPr>
          <w:rFonts w:hint="eastAsia" w:ascii="仿宋" w:hAnsi="仿宋" w:eastAsia="仿宋"/>
          <w:b/>
          <w:color w:val="000000"/>
          <w:sz w:val="30"/>
          <w:szCs w:val="30"/>
        </w:rPr>
        <w:t>（三）组织协商程序</w:t>
      </w:r>
    </w:p>
    <w:p>
      <w:pPr>
        <w:pStyle w:val="22"/>
        <w:snapToGrid w:val="0"/>
        <w:spacing w:beforeLines="0" w:afterLines="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浙江省政府采购中心将按照单一来源采购文件规定的时间、地点和程序组织协商，各协商小组成员及相关人员应参加采购活动并接受核验、签到，无关人员不得进入协商现场。</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1</w:t>
      </w:r>
      <w:r>
        <w:rPr>
          <w:rFonts w:hint="eastAsia" w:ascii="仿宋" w:hAnsi="仿宋" w:eastAsia="仿宋"/>
          <w:bCs/>
          <w:color w:val="000000"/>
          <w:sz w:val="30"/>
          <w:szCs w:val="30"/>
        </w:rPr>
        <w:t>、核验出席采购活动现场的各成员和相关监督人员身份，并要求其分别登记、签到，按规定统一收缴、保存其通讯工具，无关人员一律拒绝其进入采购现场。</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、介绍现场的人员情况，宣布工作纪律，告知协商小组人员应当回避情形；组织推选协商小组组长。</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3</w:t>
      </w:r>
      <w:r>
        <w:rPr>
          <w:rFonts w:hint="eastAsia" w:ascii="仿宋" w:hAnsi="仿宋" w:eastAsia="仿宋"/>
          <w:bCs/>
          <w:color w:val="000000"/>
          <w:sz w:val="30"/>
          <w:szCs w:val="30"/>
        </w:rPr>
        <w:t>、宣读提交单一来源响应文件的响应方名单，组织协商小组各位成员签订《政府采购评审人员廉洁自律承诺书》。</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4</w:t>
      </w:r>
      <w:r>
        <w:rPr>
          <w:rFonts w:hint="eastAsia" w:ascii="仿宋" w:hAnsi="仿宋" w:eastAsia="仿宋"/>
          <w:bCs/>
          <w:color w:val="000000"/>
          <w:sz w:val="30"/>
          <w:szCs w:val="30"/>
        </w:rPr>
        <w:t>、根据需要简要介绍单一来源采购文件（含补充文件）制定情况、按书面陈述项目基本情况及协商工作需注意事项等，让协商小组尽快知悉和了解所采购项目的采购需求、协商依据、工作程序等；提醒协商小组对采购项目应确定协商方法和轮次；</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5</w:t>
      </w:r>
      <w:r>
        <w:rPr>
          <w:rFonts w:hint="eastAsia" w:ascii="仿宋" w:hAnsi="仿宋" w:eastAsia="仿宋"/>
          <w:bCs/>
          <w:color w:val="000000"/>
          <w:sz w:val="30"/>
          <w:szCs w:val="30"/>
        </w:rPr>
        <w:t>、做好采购现场相关记录，协助协商小组组长做好协商报告起草、有关内容电脑文字录入等工作，并要求协商小组各成员签字确认。</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6</w:t>
      </w:r>
      <w:r>
        <w:rPr>
          <w:rFonts w:hint="eastAsia" w:ascii="仿宋" w:hAnsi="仿宋" w:eastAsia="仿宋"/>
          <w:bCs/>
          <w:color w:val="000000"/>
          <w:sz w:val="30"/>
          <w:szCs w:val="30"/>
        </w:rPr>
        <w:t>、采购结束后，浙江省政府采购中心应对协商小组各成员的专业水平、职业道德、遵纪守法等情况进行评价；同时按规定向协商人员发放费用，并交还协商人员及其他现场相关人员的通讯工具。</w:t>
      </w:r>
    </w:p>
    <w:p>
      <w:pPr>
        <w:pStyle w:val="22"/>
        <w:snapToGrid w:val="0"/>
        <w:spacing w:beforeLines="0" w:afterLines="0" w:line="460" w:lineRule="exact"/>
        <w:ind w:firstLine="602" w:firstLineChars="200"/>
        <w:rPr>
          <w:rFonts w:ascii="仿宋" w:hAnsi="仿宋" w:eastAsia="仿宋"/>
          <w:b/>
          <w:color w:val="000000"/>
          <w:sz w:val="30"/>
          <w:szCs w:val="30"/>
        </w:rPr>
      </w:pPr>
      <w:r>
        <w:rPr>
          <w:rFonts w:hint="eastAsia" w:ascii="仿宋" w:hAnsi="仿宋" w:eastAsia="仿宋"/>
          <w:b/>
          <w:color w:val="000000"/>
          <w:sz w:val="30"/>
          <w:szCs w:val="30"/>
        </w:rPr>
        <w:t>（四）协商小组协商程序</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1</w:t>
      </w:r>
      <w:r>
        <w:rPr>
          <w:rFonts w:hint="eastAsia" w:ascii="仿宋" w:hAnsi="仿宋" w:eastAsia="仿宋"/>
          <w:bCs/>
          <w:color w:val="000000"/>
          <w:sz w:val="30"/>
          <w:szCs w:val="30"/>
        </w:rPr>
        <w:t>、在协商人员中推选协商小组组长。</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协商小组组长召集成员认真阅读单一来源采购文件以及相关材料，熟悉采购项目的基本概况，采购项目的质量要求、数量、主要技术标准或服务需求，采购合同主要条款，单一来源响应文件无效情形、协商依据、协商标准等。</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3</w:t>
      </w:r>
      <w:r>
        <w:rPr>
          <w:rFonts w:hint="eastAsia" w:ascii="仿宋" w:hAnsi="仿宋" w:eastAsia="仿宋"/>
          <w:bCs/>
          <w:color w:val="000000"/>
          <w:sz w:val="30"/>
          <w:szCs w:val="30"/>
        </w:rPr>
        <w:t>、协商小组组长召集成员讨论确定协商方法和协商轮次。</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4</w:t>
      </w:r>
      <w:r>
        <w:rPr>
          <w:rFonts w:hint="eastAsia" w:ascii="仿宋" w:hAnsi="仿宋" w:eastAsia="仿宋"/>
          <w:bCs/>
          <w:color w:val="000000"/>
          <w:sz w:val="30"/>
          <w:szCs w:val="30"/>
        </w:rPr>
        <w:t>、协商小组对单一来源响应文件的有效性、完整性和响应程度进行审查，确定是否作出实质性响应。</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5</w:t>
      </w:r>
      <w:r>
        <w:rPr>
          <w:rFonts w:hint="eastAsia" w:ascii="仿宋" w:hAnsi="仿宋" w:eastAsia="仿宋"/>
          <w:bCs/>
          <w:color w:val="000000"/>
          <w:sz w:val="30"/>
          <w:szCs w:val="30"/>
        </w:rPr>
        <w:t>、协商小组对单一来源响应文件非实质性内容有疑议或异议，或者审查发现明显的文字或计算错误等，及时向协商小组组长提出。经协商小组商议认为需要响应方作出必要澄清或说明的，应通知该响应方以书面形式作出澄清或说明。书面通知及澄清说明文件应作为政府采购项目档案归档留存。</w:t>
      </w:r>
    </w:p>
    <w:p>
      <w:pPr>
        <w:spacing w:line="460" w:lineRule="exact"/>
        <w:ind w:firstLine="438" w:firstLineChars="146"/>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、协商小组与响应方就项目技术需求、服务、价格构成、供货、付款方式等要素进行协商，并要求其在规定时间内提交书面最终报价。</w:t>
      </w:r>
    </w:p>
    <w:p>
      <w:pPr>
        <w:spacing w:line="460" w:lineRule="exact"/>
        <w:ind w:firstLine="438" w:firstLineChars="146"/>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、协商小组对最终报价的合理性进行审核，并根据单一来源文件规定确定成交响应方。</w:t>
      </w:r>
    </w:p>
    <w:p>
      <w:pPr>
        <w:spacing w:before="156" w:beforeLines="50" w:after="156" w:afterLines="50" w:line="460" w:lineRule="exact"/>
        <w:ind w:firstLine="588" w:firstLineChars="196"/>
        <w:rPr>
          <w:rFonts w:ascii="仿宋" w:hAnsi="仿宋" w:eastAsia="仿宋"/>
          <w:b/>
          <w:bCs/>
          <w:sz w:val="30"/>
          <w:szCs w:val="30"/>
        </w:rPr>
      </w:pPr>
      <w:r>
        <w:rPr>
          <w:rFonts w:ascii="仿宋" w:hAnsi="仿宋" w:eastAsia="仿宋"/>
          <w:sz w:val="30"/>
          <w:szCs w:val="30"/>
        </w:rPr>
        <w:t>8</w:t>
      </w:r>
      <w:r>
        <w:rPr>
          <w:rFonts w:hint="eastAsia" w:ascii="仿宋" w:hAnsi="仿宋" w:eastAsia="仿宋"/>
          <w:sz w:val="30"/>
          <w:szCs w:val="30"/>
        </w:rPr>
        <w:t>、起草协商报告，所有协商小组成员须在报告上签字确认。</w:t>
      </w:r>
    </w:p>
    <w:p>
      <w:pPr>
        <w:pStyle w:val="22"/>
        <w:snapToGrid w:val="0"/>
        <w:spacing w:beforeLines="0" w:afterLines="0" w:line="460" w:lineRule="exact"/>
        <w:ind w:firstLine="602" w:firstLineChars="200"/>
        <w:rPr>
          <w:rFonts w:ascii="仿宋" w:hAnsi="仿宋" w:eastAsia="仿宋"/>
          <w:b/>
          <w:sz w:val="30"/>
          <w:szCs w:val="30"/>
        </w:rPr>
      </w:pPr>
      <w:r>
        <w:rPr>
          <w:rFonts w:hint="eastAsia" w:ascii="仿宋" w:hAnsi="仿宋" w:eastAsia="仿宋"/>
          <w:b/>
          <w:sz w:val="30"/>
          <w:szCs w:val="30"/>
        </w:rPr>
        <w:t>（</w:t>
      </w:r>
      <w:r>
        <w:rPr>
          <w:rFonts w:hint="eastAsia" w:ascii="仿宋" w:hAnsi="仿宋" w:eastAsia="仿宋"/>
          <w:b/>
          <w:sz w:val="30"/>
          <w:szCs w:val="30"/>
          <w:lang w:val="en-US" w:eastAsia="zh-CN"/>
        </w:rPr>
        <w:t>五</w:t>
      </w:r>
      <w:r>
        <w:rPr>
          <w:rFonts w:hint="eastAsia" w:ascii="仿宋" w:hAnsi="仿宋" w:eastAsia="仿宋"/>
          <w:b/>
          <w:sz w:val="30"/>
          <w:szCs w:val="30"/>
        </w:rPr>
        <w:t>）采购原则</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协商小组必须公平、公正、客观，不带任何倾向性和启发性；不得向外界透露任何与协商有关的内容，任何单位和个人不得干扰、影响协商的正常进行，协商小组及有关工作人员不得私下与响应方接触。</w:t>
      </w:r>
    </w:p>
    <w:p>
      <w:pPr>
        <w:snapToGrid w:val="0"/>
        <w:spacing w:line="460" w:lineRule="exact"/>
        <w:ind w:firstLine="738" w:firstLineChars="246"/>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、协商人员因回避、临时缺席或健康原因等特殊情况不能继续参加采购工作的，应按规定更换协商人员</w:t>
      </w:r>
      <w:r>
        <w:rPr>
          <w:rFonts w:ascii="仿宋" w:hAnsi="仿宋" w:eastAsia="仿宋"/>
          <w:sz w:val="30"/>
          <w:szCs w:val="30"/>
        </w:rPr>
        <w:t>,</w:t>
      </w:r>
      <w:r>
        <w:rPr>
          <w:rFonts w:hint="eastAsia" w:ascii="仿宋" w:hAnsi="仿宋" w:eastAsia="仿宋"/>
          <w:sz w:val="30"/>
          <w:szCs w:val="30"/>
        </w:rPr>
        <w:t>被更换的协商人员之前所作出的协商意见不再予以采纳，由更换后的协商人员重新进行协商。无法及时更换成员的，要立即停止采购工作、封存采购资料，并告知响应方重新采购的时间和地点。</w:t>
      </w:r>
    </w:p>
    <w:p>
      <w:pPr>
        <w:snapToGrid w:val="0"/>
        <w:spacing w:line="460" w:lineRule="exact"/>
        <w:ind w:firstLine="738" w:firstLineChars="246"/>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、项目由协商小组根据质量和服务均能满足采购文件实质性响应要求且最后报价合理的原则确定成交响应方。</w:t>
      </w:r>
    </w:p>
    <w:p>
      <w:pPr>
        <w:snapToGrid w:val="0"/>
        <w:spacing w:line="460" w:lineRule="exact"/>
        <w:ind w:firstLine="588" w:firstLineChars="196"/>
        <w:jc w:val="left"/>
        <w:rPr>
          <w:rFonts w:ascii="仿宋" w:hAnsi="仿宋" w:eastAsia="仿宋"/>
          <w:sz w:val="30"/>
          <w:szCs w:val="30"/>
        </w:rPr>
      </w:pPr>
      <w:r>
        <w:rPr>
          <w:rFonts w:ascii="仿宋" w:hAnsi="仿宋" w:eastAsia="仿宋"/>
          <w:sz w:val="30"/>
          <w:szCs w:val="30"/>
        </w:rPr>
        <w:t xml:space="preserve"> 3</w:t>
      </w:r>
      <w:r>
        <w:rPr>
          <w:rFonts w:hint="eastAsia" w:ascii="仿宋" w:hAnsi="仿宋" w:eastAsia="仿宋"/>
          <w:sz w:val="30"/>
          <w:szCs w:val="30"/>
        </w:rPr>
        <w:t>、采购结果由采购人代表签名确认。采购人若现场未签字确认且在规定时间内不提出异议的，视为默认。</w:t>
      </w:r>
    </w:p>
    <w:p>
      <w:pPr>
        <w:snapToGrid w:val="0"/>
        <w:spacing w:line="460" w:lineRule="exact"/>
        <w:ind w:firstLine="588" w:firstLineChars="196"/>
        <w:jc w:val="left"/>
        <w:rPr>
          <w:rFonts w:ascii="仿宋" w:hAnsi="仿宋" w:eastAsia="仿宋"/>
          <w:sz w:val="30"/>
          <w:szCs w:val="30"/>
        </w:rPr>
      </w:pPr>
      <w:r>
        <w:rPr>
          <w:rFonts w:ascii="仿宋" w:hAnsi="仿宋" w:eastAsia="仿宋"/>
          <w:sz w:val="30"/>
          <w:szCs w:val="30"/>
        </w:rPr>
        <w:t xml:space="preserve"> 4</w:t>
      </w:r>
      <w:r>
        <w:rPr>
          <w:rFonts w:hint="eastAsia" w:ascii="仿宋" w:hAnsi="仿宋" w:eastAsia="仿宋"/>
          <w:sz w:val="30"/>
          <w:szCs w:val="30"/>
        </w:rPr>
        <w:t>、协商情况记录应当由采购全体人员签字认可。对记录有异议的采购人员，应当签署不同意见并说明理由。采购人员拒绝在记录上签字又不书面说明其不同意见和理由的，视为同意。</w:t>
      </w:r>
    </w:p>
    <w:p>
      <w:pPr>
        <w:snapToGrid w:val="0"/>
        <w:spacing w:line="460" w:lineRule="exact"/>
        <w:ind w:firstLine="588" w:firstLineChars="196"/>
        <w:jc w:val="left"/>
        <w:rPr>
          <w:rFonts w:ascii="仿宋" w:hAnsi="仿宋" w:eastAsia="仿宋"/>
          <w:sz w:val="30"/>
          <w:szCs w:val="30"/>
        </w:rPr>
      </w:pPr>
      <w:r>
        <w:rPr>
          <w:rFonts w:ascii="仿宋" w:hAnsi="仿宋" w:eastAsia="仿宋"/>
          <w:sz w:val="30"/>
          <w:szCs w:val="30"/>
        </w:rPr>
        <w:t xml:space="preserve"> 5</w:t>
      </w:r>
      <w:r>
        <w:rPr>
          <w:rFonts w:hint="eastAsia" w:ascii="仿宋" w:hAnsi="仿宋" w:eastAsia="仿宋"/>
          <w:sz w:val="30"/>
          <w:szCs w:val="30"/>
        </w:rPr>
        <w:t>、采购结果经采购人确认后，采购中心将于</w:t>
      </w:r>
      <w:r>
        <w:rPr>
          <w:rFonts w:ascii="仿宋" w:hAnsi="仿宋" w:eastAsia="仿宋"/>
          <w:sz w:val="30"/>
          <w:szCs w:val="30"/>
        </w:rPr>
        <w:t>2</w:t>
      </w:r>
      <w:r>
        <w:rPr>
          <w:rFonts w:hint="eastAsia" w:ascii="仿宋" w:hAnsi="仿宋" w:eastAsia="仿宋"/>
          <w:sz w:val="30"/>
          <w:szCs w:val="30"/>
        </w:rPr>
        <w:t>个工作日内在浙江省政府采购网上公告成交结果，并向成交响应方发出成交通知书。</w:t>
      </w:r>
    </w:p>
    <w:p>
      <w:pPr>
        <w:pStyle w:val="22"/>
        <w:snapToGrid w:val="0"/>
        <w:spacing w:beforeLines="0" w:afterLines="0" w:line="460" w:lineRule="exact"/>
        <w:jc w:val="center"/>
        <w:outlineLvl w:val="1"/>
        <w:rPr>
          <w:rFonts w:ascii="仿宋" w:hAnsi="仿宋" w:eastAsia="仿宋"/>
          <w:b/>
          <w:sz w:val="30"/>
          <w:szCs w:val="30"/>
        </w:rPr>
      </w:pPr>
      <w:r>
        <w:rPr>
          <w:rFonts w:hint="eastAsia" w:ascii="仿宋" w:hAnsi="仿宋" w:eastAsia="仿宋"/>
          <w:b/>
          <w:sz w:val="30"/>
          <w:szCs w:val="30"/>
        </w:rPr>
        <w:t>四、合同授予</w:t>
      </w:r>
    </w:p>
    <w:p>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pPr>
        <w:snapToGrid w:val="0"/>
        <w:spacing w:line="460" w:lineRule="exact"/>
        <w:ind w:firstLine="588" w:firstLineChars="196"/>
        <w:jc w:val="left"/>
        <w:rPr>
          <w:rFonts w:ascii="仿宋" w:hAnsi="仿宋" w:eastAsia="仿宋"/>
          <w:color w:val="FF0000"/>
          <w:sz w:val="30"/>
          <w:szCs w:val="30"/>
        </w:rPr>
      </w:pPr>
      <w:r>
        <w:rPr>
          <w:rFonts w:ascii="仿宋" w:hAnsi="仿宋" w:eastAsia="仿宋"/>
          <w:sz w:val="30"/>
          <w:szCs w:val="30"/>
        </w:rPr>
        <w:t>1.</w:t>
      </w:r>
      <w:r>
        <w:rPr>
          <w:rFonts w:hint="eastAsia" w:ascii="仿宋" w:hAnsi="仿宋" w:eastAsia="仿宋"/>
          <w:sz w:val="30"/>
          <w:szCs w:val="30"/>
        </w:rPr>
        <w:t>采购人与成交响应方应当在《成交通知书》发出之日起</w:t>
      </w:r>
      <w:r>
        <w:rPr>
          <w:rFonts w:ascii="仿宋" w:hAnsi="仿宋" w:eastAsia="仿宋"/>
          <w:sz w:val="30"/>
          <w:szCs w:val="30"/>
        </w:rPr>
        <w:t>30</w:t>
      </w:r>
      <w:r>
        <w:rPr>
          <w:rFonts w:hint="eastAsia" w:ascii="仿宋" w:hAnsi="仿宋" w:eastAsia="仿宋"/>
          <w:sz w:val="30"/>
          <w:szCs w:val="30"/>
        </w:rPr>
        <w:t>日内尽快签订政府采购合同</w:t>
      </w:r>
      <w:r>
        <w:rPr>
          <w:rFonts w:hint="eastAsia" w:ascii="仿宋" w:hAnsi="仿宋" w:eastAsia="仿宋"/>
          <w:color w:val="FF0000"/>
          <w:sz w:val="30"/>
          <w:szCs w:val="30"/>
        </w:rPr>
        <w:t>。</w:t>
      </w:r>
    </w:p>
    <w:p>
      <w:pPr>
        <w:snapToGrid w:val="0"/>
        <w:spacing w:line="460" w:lineRule="exact"/>
        <w:ind w:firstLine="588" w:firstLineChars="196"/>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成交响应方拖延、拒签合同的</w:t>
      </w:r>
      <w:r>
        <w:rPr>
          <w:rFonts w:ascii="仿宋" w:hAnsi="仿宋" w:eastAsia="仿宋"/>
          <w:sz w:val="30"/>
          <w:szCs w:val="30"/>
        </w:rPr>
        <w:t>,</w:t>
      </w:r>
      <w:r>
        <w:rPr>
          <w:rFonts w:hint="eastAsia" w:ascii="仿宋" w:hAnsi="仿宋" w:eastAsia="仿宋"/>
          <w:sz w:val="30"/>
          <w:szCs w:val="30"/>
        </w:rPr>
        <w:t>将被扣罚单一来源采购保证金并取消成交资格。</w:t>
      </w:r>
    </w:p>
    <w:p>
      <w:pPr>
        <w:pStyle w:val="22"/>
        <w:snapToGrid w:val="0"/>
        <w:spacing w:beforeLines="0" w:afterLines="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pPr>
        <w:pStyle w:val="22"/>
        <w:spacing w:before="156" w:after="156"/>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响应方提交履约保证金的，响应方应当以支票、汇票、本票或者金融机构、担保机构出具的保函等非现金形式提交。履约保证金的数额不得超过政府采购合同金额的</w:t>
      </w:r>
      <w:r>
        <w:rPr>
          <w:rFonts w:hint="eastAsia" w:ascii="仿宋" w:hAnsi="仿宋" w:eastAsia="仿宋"/>
          <w:sz w:val="30"/>
          <w:szCs w:val="30"/>
          <w:lang w:val="en-US" w:eastAsia="zh-CN"/>
        </w:rPr>
        <w:t>2.5</w:t>
      </w:r>
      <w:r>
        <w:rPr>
          <w:rFonts w:hint="eastAsia" w:ascii="仿宋" w:hAnsi="仿宋" w:eastAsia="仿宋"/>
          <w:sz w:val="30"/>
          <w:szCs w:val="30"/>
        </w:rPr>
        <w:t>%。</w:t>
      </w:r>
    </w:p>
    <w:p>
      <w:pPr>
        <w:pStyle w:val="22"/>
        <w:snapToGrid w:val="0"/>
        <w:spacing w:beforeLines="0" w:afterLines="0"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pPr>
        <w:pStyle w:val="22"/>
        <w:snapToGrid w:val="0"/>
        <w:spacing w:beforeLines="0" w:afterLines="0" w:line="460" w:lineRule="exact"/>
        <w:jc w:val="center"/>
        <w:rPr>
          <w:rFonts w:ascii="仿宋" w:hAnsi="仿宋" w:eastAsia="仿宋"/>
          <w:b/>
          <w:sz w:val="30"/>
          <w:szCs w:val="30"/>
        </w:rPr>
      </w:pPr>
      <w:r>
        <w:rPr>
          <w:rFonts w:hint="eastAsia" w:ascii="仿宋" w:hAnsi="仿宋" w:eastAsia="仿宋"/>
          <w:b/>
          <w:sz w:val="30"/>
          <w:szCs w:val="30"/>
        </w:rPr>
        <w:t>五、货款的结算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货款由采购人自行支付。若资金在采购人处的，由采购人直接支付；若资金在核算中心的，由采购人向核算中心发起支付令，由核算中心把货款打入成交商账户。</w:t>
      </w:r>
    </w:p>
    <w:p>
      <w:pPr>
        <w:pStyle w:val="40"/>
      </w:pPr>
      <w:r>
        <w:br w:type="page"/>
      </w:r>
      <w:bookmarkStart w:id="30" w:name="_Toc510136960"/>
      <w:r>
        <w:rPr>
          <w:rFonts w:hint="eastAsia"/>
        </w:rPr>
        <w:t>第三章采购内容</w:t>
      </w:r>
      <w:bookmarkEnd w:id="30"/>
    </w:p>
    <w:p>
      <w:pPr>
        <w:snapToGrid w:val="0"/>
        <w:spacing w:before="156" w:beforeLines="50" w:after="156" w:afterLines="50"/>
        <w:ind w:left="238"/>
        <w:jc w:val="center"/>
        <w:rPr>
          <w:rFonts w:ascii="仿宋" w:hAnsi="仿宋" w:eastAsia="仿宋"/>
          <w:b/>
          <w:spacing w:val="40"/>
          <w:kern w:val="0"/>
          <w:sz w:val="30"/>
          <w:szCs w:val="30"/>
        </w:rPr>
      </w:pP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根据浙财采监字</w:t>
      </w:r>
      <w:r>
        <w:rPr>
          <w:rFonts w:ascii="仿宋" w:hAnsi="仿宋" w:eastAsia="仿宋"/>
          <w:b/>
          <w:sz w:val="30"/>
          <w:szCs w:val="30"/>
        </w:rPr>
        <w:t>[2007]2</w:t>
      </w:r>
      <w:r>
        <w:rPr>
          <w:rFonts w:hint="eastAsia" w:ascii="仿宋" w:hAnsi="仿宋" w:eastAsia="仿宋"/>
          <w:b/>
          <w:sz w:val="30"/>
          <w:szCs w:val="30"/>
        </w:rPr>
        <w:t>号文件规定：除采购文件明确的品牌外，欢迎其他能满足本项目技术需求且性能与所明确品牌相当的产品参加。</w:t>
      </w:r>
    </w:p>
    <w:p>
      <w:pPr>
        <w:snapToGrid w:val="0"/>
        <w:spacing w:line="460" w:lineRule="exact"/>
        <w:rPr>
          <w:rFonts w:ascii="仿宋" w:hAnsi="仿宋" w:eastAsia="仿宋"/>
          <w:b/>
          <w:kern w:val="0"/>
          <w:sz w:val="30"/>
          <w:szCs w:val="30"/>
        </w:rPr>
      </w:pPr>
      <w:bookmarkStart w:id="31" w:name="jsxq_xq_1"/>
      <w:bookmarkEnd w:id="31"/>
      <w:bookmarkStart w:id="32" w:name="技术需求"/>
      <w:bookmarkEnd w:id="32"/>
      <w:bookmarkStart w:id="33" w:name="_Toc510136961"/>
      <w:bookmarkStart w:id="34" w:name="_Toc451268224"/>
    </w:p>
    <w:p>
      <w:pPr>
        <w:pStyle w:val="2"/>
      </w:pPr>
    </w:p>
    <w:p>
      <w:pPr>
        <w:jc w:val="center"/>
        <w:rPr>
          <w:b/>
          <w:sz w:val="32"/>
          <w:szCs w:val="32"/>
        </w:rPr>
      </w:pPr>
      <w:bookmarkStart w:id="35" w:name="PO_15526_PM048"/>
      <w:bookmarkStart w:id="36" w:name="_Toc439237130"/>
      <w:r>
        <w:rPr>
          <w:rFonts w:hint="eastAsia" w:ascii="仿宋" w:hAnsi="仿宋" w:eastAsia="仿宋"/>
          <w:b/>
          <w:color w:val="000000"/>
          <w:sz w:val="30"/>
          <w:szCs w:val="30"/>
          <w:lang w:eastAsia="zh-CN"/>
        </w:rPr>
        <w:t xml:space="preserve"> </w:t>
      </w:r>
      <w:bookmarkEnd w:id="35"/>
      <w:bookmarkStart w:id="37" w:name="PO_TDCUS_ITEM_P_REQ_TITLE_1"/>
      <w:r>
        <w:rPr>
          <w:rFonts w:hint="eastAsia" w:ascii="仿宋" w:hAnsi="仿宋" w:eastAsia="仿宋"/>
          <w:b/>
          <w:color w:val="000000"/>
          <w:sz w:val="32"/>
          <w:szCs w:val="32"/>
          <w:lang w:eastAsia="zh-CN"/>
        </w:rPr>
        <w:t>标项1:</w:t>
      </w:r>
      <w:bookmarkEnd w:id="37"/>
      <w:bookmarkStart w:id="38" w:name="PO_TDCUS_ITEM_P_REQ_FILE_1_1"/>
      <w:r>
        <w:rPr>
          <w:rFonts w:hint="eastAsia" w:ascii="仿宋" w:hAnsi="仿宋" w:eastAsia="仿宋"/>
          <w:b/>
          <w:color w:val="000000"/>
          <w:sz w:val="32"/>
          <w:szCs w:val="32"/>
          <w:lang w:eastAsia="zh-CN"/>
        </w:rPr>
        <w:t>浙江科技学院小和山校区2022年后勤物业服务项目</w:t>
      </w:r>
    </w:p>
    <w:p>
      <w:pPr>
        <w:rPr>
          <w:sz w:val="32"/>
          <w:szCs w:val="32"/>
        </w:rPr>
      </w:pPr>
    </w:p>
    <w:p>
      <w:pPr>
        <w:pStyle w:val="161"/>
        <w:numPr>
          <w:ilvl w:val="0"/>
          <w:numId w:val="5"/>
        </w:numPr>
        <w:spacing w:line="360" w:lineRule="auto"/>
        <w:ind w:left="0" w:firstLine="0" w:firstLineChars="0"/>
        <w:rPr>
          <w:b/>
          <w:sz w:val="24"/>
          <w:szCs w:val="24"/>
        </w:rPr>
      </w:pPr>
      <w:r>
        <w:rPr>
          <w:rFonts w:hint="eastAsia"/>
          <w:b/>
          <w:sz w:val="24"/>
          <w:szCs w:val="24"/>
        </w:rPr>
        <w:t>校园室外环卫服务采购需求</w:t>
      </w:r>
    </w:p>
    <w:p>
      <w:pPr>
        <w:pStyle w:val="161"/>
        <w:numPr>
          <w:ilvl w:val="0"/>
          <w:numId w:val="6"/>
        </w:numPr>
        <w:spacing w:line="360" w:lineRule="auto"/>
        <w:ind w:left="0" w:firstLine="0" w:firstLineChars="0"/>
        <w:outlineLvl w:val="0"/>
        <w:rPr>
          <w:rFonts w:eastAsiaTheme="minorHAnsi"/>
          <w:sz w:val="24"/>
          <w:szCs w:val="24"/>
        </w:rPr>
      </w:pPr>
      <w:r>
        <w:rPr>
          <w:rFonts w:hint="eastAsia" w:eastAsiaTheme="minorHAnsi"/>
          <w:sz w:val="24"/>
          <w:szCs w:val="24"/>
        </w:rPr>
        <w:t>服务范围：</w:t>
      </w:r>
    </w:p>
    <w:p>
      <w:pPr>
        <w:pStyle w:val="161"/>
        <w:numPr>
          <w:ilvl w:val="0"/>
          <w:numId w:val="0"/>
        </w:numPr>
        <w:spacing w:line="360" w:lineRule="auto"/>
        <w:rPr>
          <w:rFonts w:hint="eastAsia" w:eastAsiaTheme="minorEastAsia"/>
          <w:color w:val="FF0000"/>
          <w:sz w:val="24"/>
          <w:szCs w:val="24"/>
          <w:lang w:eastAsia="zh-CN"/>
        </w:rPr>
      </w:pPr>
      <w:r>
        <w:rPr>
          <w:rFonts w:hint="eastAsia" w:ascii="宋体" w:hAnsi="宋体"/>
          <w:sz w:val="24"/>
          <w:szCs w:val="24"/>
          <w:lang w:val="en-US" w:eastAsia="zh-CN"/>
        </w:rPr>
        <w:t>1.</w:t>
      </w:r>
      <w:r>
        <w:rPr>
          <w:rFonts w:hint="eastAsia" w:ascii="宋体" w:hAnsi="宋体"/>
          <w:sz w:val="24"/>
          <w:szCs w:val="24"/>
        </w:rPr>
        <w:t>各楼宇的所有室外场地、校园道路路面及广场的清扫，下水道、窨井的疏通，河道水面与人工景观水池（道）的保洁。</w:t>
      </w:r>
      <w:r>
        <w:rPr>
          <w:rFonts w:hint="eastAsia" w:ascii="宋体" w:hAnsi="宋体"/>
          <w:color w:val="auto"/>
          <w:sz w:val="24"/>
          <w:szCs w:val="24"/>
        </w:rPr>
        <w:t>不包括</w:t>
      </w:r>
      <w:r>
        <w:rPr>
          <w:rFonts w:hint="eastAsia" w:ascii="宋体" w:hAnsi="宋体"/>
          <w:color w:val="auto"/>
          <w:sz w:val="24"/>
          <w:szCs w:val="24"/>
          <w:lang w:val="en-US" w:eastAsia="zh-CN"/>
        </w:rPr>
        <w:t>浙师大印象物业服务区域</w:t>
      </w:r>
      <w:r>
        <w:rPr>
          <w:rFonts w:hint="eastAsia" w:ascii="宋体" w:hAnsi="宋体"/>
          <w:color w:val="auto"/>
          <w:sz w:val="24"/>
          <w:szCs w:val="24"/>
        </w:rPr>
        <w:t>：</w:t>
      </w:r>
      <w:r>
        <w:rPr>
          <w:rFonts w:hint="eastAsia" w:ascii="宋体" w:hAnsi="宋体" w:cs="宋体"/>
          <w:color w:val="auto"/>
          <w:sz w:val="24"/>
          <w:szCs w:val="24"/>
        </w:rPr>
        <w:t>习德园（C1、C2）、计算机楼、金工实习基地周边道路及垃圾房，以及西蜜湖北侧的所有外围</w:t>
      </w:r>
      <w:r>
        <w:rPr>
          <w:rFonts w:hint="eastAsia" w:ascii="宋体" w:hAnsi="宋体" w:cs="宋体"/>
          <w:color w:val="auto"/>
          <w:sz w:val="24"/>
          <w:szCs w:val="24"/>
          <w:lang w:eastAsia="zh-CN"/>
        </w:rPr>
        <w:t>。</w:t>
      </w:r>
    </w:p>
    <w:p>
      <w:pPr>
        <w:pStyle w:val="161"/>
        <w:numPr>
          <w:ilvl w:val="0"/>
          <w:numId w:val="0"/>
        </w:numPr>
        <w:spacing w:line="360" w:lineRule="auto"/>
        <w:ind w:leftChars="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全校园林绿化地块、指示牌、路灯、垃圾箱等公共环境和设施的保洁。</w:t>
      </w:r>
    </w:p>
    <w:p>
      <w:pPr>
        <w:pStyle w:val="161"/>
        <w:numPr>
          <w:ilvl w:val="0"/>
          <w:numId w:val="0"/>
        </w:numPr>
        <w:spacing w:line="360" w:lineRule="auto"/>
        <w:ind w:leftChars="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全校垃圾收集。</w:t>
      </w:r>
    </w:p>
    <w:p>
      <w:pPr>
        <w:pStyle w:val="161"/>
        <w:numPr>
          <w:ilvl w:val="0"/>
          <w:numId w:val="0"/>
        </w:numPr>
        <w:spacing w:line="360" w:lineRule="auto"/>
        <w:ind w:leftChars="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全校公共场所室内外乱贴乱画、非法广告等的清除。</w:t>
      </w:r>
    </w:p>
    <w:p>
      <w:pPr>
        <w:pStyle w:val="161"/>
        <w:numPr>
          <w:ilvl w:val="0"/>
          <w:numId w:val="0"/>
        </w:numPr>
        <w:spacing w:line="360" w:lineRule="auto"/>
        <w:ind w:leftChars="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校园环卫面积约</w:t>
      </w:r>
      <w:r>
        <w:rPr>
          <w:rFonts w:hint="eastAsia" w:ascii="宋体" w:hAnsi="宋体"/>
          <w:sz w:val="24"/>
          <w:szCs w:val="24"/>
          <w:highlight w:val="none"/>
          <w:lang w:val="en-US" w:eastAsia="zh-CN"/>
        </w:rPr>
        <w:t>102954</w:t>
      </w:r>
      <w:r>
        <w:rPr>
          <w:rFonts w:hint="eastAsia" w:ascii="宋体" w:hAnsi="宋体"/>
          <w:sz w:val="24"/>
          <w:szCs w:val="24"/>
        </w:rPr>
        <w:t>平米，以学校实际核定为准。</w:t>
      </w:r>
    </w:p>
    <w:p>
      <w:pPr>
        <w:pStyle w:val="161"/>
        <w:numPr>
          <w:ilvl w:val="0"/>
          <w:numId w:val="6"/>
        </w:numPr>
        <w:spacing w:line="360" w:lineRule="auto"/>
        <w:ind w:left="0" w:firstLine="0" w:firstLineChars="0"/>
        <w:rPr>
          <w:rFonts w:eastAsiaTheme="minorHAnsi"/>
          <w:sz w:val="24"/>
          <w:szCs w:val="24"/>
        </w:rPr>
      </w:pPr>
      <w:r>
        <w:rPr>
          <w:rFonts w:hint="eastAsia" w:eastAsiaTheme="minorHAnsi"/>
          <w:sz w:val="24"/>
          <w:szCs w:val="24"/>
        </w:rPr>
        <w:t>服务要求:</w:t>
      </w:r>
    </w:p>
    <w:p>
      <w:pPr>
        <w:pStyle w:val="161"/>
        <w:numPr>
          <w:ilvl w:val="0"/>
          <w:numId w:val="7"/>
        </w:numPr>
        <w:spacing w:line="360" w:lineRule="auto"/>
        <w:ind w:firstLineChars="0"/>
        <w:rPr>
          <w:rFonts w:ascii="宋体" w:hAnsi="宋体"/>
          <w:sz w:val="24"/>
          <w:szCs w:val="24"/>
        </w:rPr>
      </w:pPr>
      <w:r>
        <w:rPr>
          <w:rFonts w:hint="eastAsia" w:ascii="宋体" w:hAnsi="宋体"/>
          <w:sz w:val="24"/>
          <w:szCs w:val="24"/>
        </w:rPr>
        <w:t>服务范围内的区域清扫工作一天至少二次，要分片负责、责任到人，按照文明校园评估标准做好日常保洁工作。</w:t>
      </w:r>
    </w:p>
    <w:p>
      <w:pPr>
        <w:pStyle w:val="161"/>
        <w:numPr>
          <w:ilvl w:val="0"/>
          <w:numId w:val="7"/>
        </w:numPr>
        <w:spacing w:line="360" w:lineRule="auto"/>
        <w:ind w:firstLineChars="0"/>
        <w:rPr>
          <w:rFonts w:ascii="宋体" w:hAnsi="宋体"/>
          <w:sz w:val="24"/>
          <w:szCs w:val="24"/>
        </w:rPr>
      </w:pPr>
      <w:r>
        <w:rPr>
          <w:rFonts w:hint="eastAsia" w:ascii="宋体" w:hAnsi="宋体"/>
          <w:color w:val="auto"/>
          <w:sz w:val="24"/>
          <w:szCs w:val="24"/>
          <w:lang w:val="en-US" w:eastAsia="zh-CN"/>
        </w:rPr>
        <w:t>督促留下环卫部门及时清运</w:t>
      </w:r>
      <w:r>
        <w:rPr>
          <w:rFonts w:hint="eastAsia" w:ascii="宋体" w:hAnsi="宋体"/>
          <w:color w:val="auto"/>
          <w:sz w:val="24"/>
          <w:szCs w:val="24"/>
        </w:rPr>
        <w:t>生活垃圾</w:t>
      </w:r>
      <w:r>
        <w:rPr>
          <w:rFonts w:hint="eastAsia" w:ascii="宋体" w:hAnsi="宋体"/>
          <w:sz w:val="24"/>
          <w:szCs w:val="24"/>
        </w:rPr>
        <w:t>，做到日产日清，保持垃圾箱周围清洁，无露天垃圾。</w:t>
      </w:r>
    </w:p>
    <w:p>
      <w:pPr>
        <w:pStyle w:val="161"/>
        <w:numPr>
          <w:ilvl w:val="0"/>
          <w:numId w:val="7"/>
        </w:numPr>
        <w:spacing w:line="360" w:lineRule="auto"/>
        <w:ind w:firstLineChars="0"/>
        <w:rPr>
          <w:rFonts w:ascii="宋体" w:hAnsi="宋体"/>
          <w:sz w:val="24"/>
          <w:szCs w:val="24"/>
        </w:rPr>
      </w:pPr>
      <w:r>
        <w:rPr>
          <w:rFonts w:hint="eastAsia" w:ascii="宋体" w:hAnsi="宋体"/>
          <w:sz w:val="24"/>
          <w:szCs w:val="24"/>
        </w:rPr>
        <w:t>定期清理雨篷上的杂物及窨井内的沉淀物，疏通下水（包括各楼房顶或屋面的下水沟）与污水等管道，保证畅通。发现化粪池的污水溢出或管道堵塞，及时与当地环卫部门联系，尽快疏通和清运。</w:t>
      </w:r>
    </w:p>
    <w:p>
      <w:pPr>
        <w:pStyle w:val="161"/>
        <w:numPr>
          <w:ilvl w:val="0"/>
          <w:numId w:val="7"/>
        </w:numPr>
        <w:spacing w:line="360" w:lineRule="auto"/>
        <w:ind w:firstLineChars="0"/>
        <w:rPr>
          <w:rFonts w:ascii="宋体" w:hAnsi="宋体"/>
          <w:sz w:val="24"/>
          <w:szCs w:val="24"/>
        </w:rPr>
      </w:pPr>
      <w:r>
        <w:rPr>
          <w:rFonts w:hint="eastAsia" w:ascii="宋体" w:hAnsi="宋体"/>
          <w:sz w:val="24"/>
          <w:szCs w:val="24"/>
        </w:rPr>
        <w:t>配合校爱卫会完成爱国卫生运动有关工作，实施全校性灭“四害</w:t>
      </w:r>
      <w:r>
        <w:rPr>
          <w:rFonts w:ascii="宋体" w:hAnsi="宋体"/>
          <w:sz w:val="24"/>
          <w:szCs w:val="24"/>
        </w:rPr>
        <w:t>”</w:t>
      </w:r>
      <w:r>
        <w:rPr>
          <w:rFonts w:hint="eastAsia" w:ascii="宋体" w:hAnsi="宋体"/>
          <w:sz w:val="24"/>
          <w:szCs w:val="24"/>
        </w:rPr>
        <w:t>工作。</w:t>
      </w:r>
    </w:p>
    <w:p>
      <w:pPr>
        <w:pStyle w:val="161"/>
        <w:numPr>
          <w:ilvl w:val="0"/>
          <w:numId w:val="7"/>
        </w:numPr>
        <w:spacing w:line="360" w:lineRule="auto"/>
        <w:ind w:firstLineChars="0"/>
        <w:rPr>
          <w:rFonts w:ascii="宋体" w:hAnsi="宋体"/>
          <w:sz w:val="24"/>
        </w:rPr>
      </w:pPr>
      <w:r>
        <w:rPr>
          <w:rFonts w:hint="eastAsia" w:ascii="宋体" w:hAnsi="宋体"/>
          <w:sz w:val="24"/>
          <w:szCs w:val="24"/>
        </w:rPr>
        <w:t>配合学校做好垃圾分类工作。</w:t>
      </w:r>
    </w:p>
    <w:p>
      <w:pPr>
        <w:pStyle w:val="161"/>
        <w:numPr>
          <w:ilvl w:val="0"/>
          <w:numId w:val="7"/>
        </w:numPr>
        <w:spacing w:line="360" w:lineRule="auto"/>
        <w:ind w:left="420" w:leftChars="0" w:hanging="420" w:firstLineChars="0"/>
        <w:rPr>
          <w:rFonts w:ascii="宋体" w:hAnsi="宋体"/>
          <w:color w:val="auto"/>
          <w:sz w:val="24"/>
        </w:rPr>
      </w:pPr>
      <w:r>
        <w:rPr>
          <w:rFonts w:hint="eastAsia" w:ascii="宋体" w:hAnsi="宋体"/>
          <w:sz w:val="24"/>
          <w:szCs w:val="24"/>
        </w:rPr>
        <w:t>具体区域为浙江科技学院范围内，</w:t>
      </w:r>
      <w:r>
        <w:rPr>
          <w:rFonts w:hint="eastAsia" w:ascii="宋体" w:hAnsi="宋体"/>
          <w:color w:val="auto"/>
          <w:sz w:val="24"/>
          <w:szCs w:val="24"/>
          <w:highlight w:val="none"/>
        </w:rPr>
        <w:t>面积为学校核定面积</w:t>
      </w:r>
      <w:r>
        <w:rPr>
          <w:rFonts w:hint="eastAsia" w:ascii="宋体" w:hAnsi="宋体"/>
          <w:color w:val="auto"/>
          <w:sz w:val="24"/>
          <w:szCs w:val="24"/>
        </w:rPr>
        <w:t>约</w:t>
      </w:r>
      <w:r>
        <w:rPr>
          <w:rFonts w:hint="eastAsia" w:ascii="宋体" w:hAnsi="宋体"/>
          <w:color w:val="auto"/>
          <w:sz w:val="24"/>
          <w:szCs w:val="24"/>
          <w:highlight w:val="none"/>
          <w:lang w:val="en-US" w:eastAsia="zh-CN"/>
        </w:rPr>
        <w:t>102954</w:t>
      </w:r>
      <w:r>
        <w:rPr>
          <w:rFonts w:hint="eastAsia" w:ascii="宋体" w:hAnsi="宋体"/>
          <w:color w:val="auto"/>
          <w:sz w:val="24"/>
          <w:szCs w:val="24"/>
        </w:rPr>
        <w:t>平米，以学校实际核定为准。</w:t>
      </w:r>
    </w:p>
    <w:p>
      <w:pPr>
        <w:pStyle w:val="161"/>
        <w:numPr>
          <w:ilvl w:val="0"/>
          <w:numId w:val="7"/>
        </w:numPr>
        <w:spacing w:line="360" w:lineRule="auto"/>
        <w:ind w:firstLineChars="0"/>
        <w:rPr>
          <w:rFonts w:ascii="宋体" w:hAnsi="宋体"/>
          <w:sz w:val="24"/>
        </w:rPr>
      </w:pPr>
      <w:r>
        <w:rPr>
          <w:rFonts w:hint="eastAsia" w:ascii="宋体" w:hAnsi="宋体"/>
          <w:sz w:val="24"/>
        </w:rPr>
        <w:t>需要人员：管理人员不少于3人，一线工人不少于21人。</w:t>
      </w:r>
    </w:p>
    <w:p>
      <w:pPr>
        <w:pStyle w:val="161"/>
        <w:spacing w:line="360" w:lineRule="auto"/>
        <w:ind w:left="420" w:firstLine="0" w:firstLineChars="0"/>
        <w:rPr>
          <w:rFonts w:ascii="宋体" w:hAnsi="宋体"/>
          <w:sz w:val="24"/>
        </w:rPr>
      </w:pPr>
    </w:p>
    <w:p>
      <w:pPr>
        <w:pStyle w:val="161"/>
        <w:spacing w:line="360" w:lineRule="auto"/>
        <w:ind w:left="420" w:firstLine="0" w:firstLineChars="0"/>
        <w:rPr>
          <w:rFonts w:ascii="宋体" w:hAnsi="宋体"/>
          <w:sz w:val="24"/>
        </w:rPr>
      </w:pPr>
    </w:p>
    <w:p>
      <w:pPr>
        <w:pStyle w:val="161"/>
        <w:numPr>
          <w:ilvl w:val="0"/>
          <w:numId w:val="5"/>
        </w:numPr>
        <w:spacing w:line="360" w:lineRule="auto"/>
        <w:ind w:left="0" w:firstLine="0" w:firstLineChars="0"/>
        <w:rPr>
          <w:rFonts w:ascii="宋体" w:hAnsi="宋体"/>
          <w:b/>
          <w:sz w:val="24"/>
        </w:rPr>
      </w:pPr>
      <w:r>
        <w:rPr>
          <w:rFonts w:hint="eastAsia" w:ascii="宋体" w:hAnsi="宋体"/>
          <w:b/>
          <w:sz w:val="24"/>
        </w:rPr>
        <w:t>校园室内物业服务采购需求</w:t>
      </w:r>
    </w:p>
    <w:p>
      <w:pPr>
        <w:pStyle w:val="161"/>
        <w:numPr>
          <w:ilvl w:val="0"/>
          <w:numId w:val="8"/>
        </w:numPr>
        <w:spacing w:line="360" w:lineRule="auto"/>
        <w:ind w:firstLineChars="0"/>
        <w:rPr>
          <w:rFonts w:eastAsiaTheme="minorHAnsi"/>
          <w:sz w:val="24"/>
        </w:rPr>
      </w:pPr>
      <w:r>
        <w:rPr>
          <w:rFonts w:hint="eastAsia" w:eastAsiaTheme="minorHAnsi"/>
          <w:sz w:val="24"/>
        </w:rPr>
        <w:t>服务范围：</w:t>
      </w:r>
    </w:p>
    <w:p>
      <w:pPr>
        <w:pStyle w:val="161"/>
        <w:numPr>
          <w:ilvl w:val="0"/>
          <w:numId w:val="9"/>
        </w:numPr>
        <w:spacing w:line="360" w:lineRule="auto"/>
        <w:ind w:left="426" w:hanging="426" w:firstLineChars="0"/>
        <w:rPr>
          <w:rFonts w:ascii="宋体" w:hAnsi="宋体"/>
          <w:sz w:val="24"/>
        </w:rPr>
      </w:pPr>
      <w:r>
        <w:rPr>
          <w:rFonts w:hint="eastAsia" w:ascii="宋体" w:hAnsi="宋体"/>
          <w:sz w:val="24"/>
        </w:rPr>
        <w:t>校园内各类房屋建筑及附属建筑物、构筑物（学生公寓及其附属建筑除外）的室内公共部位的卫生保洁，包括屋顶、室内外墙面、门窗、地面、楼梯、走廊、门厅（含门厅外玻璃天棚）、卫生间、公共会议室（接待室）及地毯等，以及室内清卫垃圾外运。</w:t>
      </w:r>
      <w:r>
        <w:rPr>
          <w:rFonts w:hint="eastAsia" w:ascii="宋体" w:hAnsi="宋体"/>
          <w:color w:val="auto"/>
          <w:sz w:val="24"/>
          <w:szCs w:val="24"/>
        </w:rPr>
        <w:t>不包括</w:t>
      </w:r>
      <w:r>
        <w:rPr>
          <w:rFonts w:hint="eastAsia" w:ascii="宋体" w:hAnsi="宋体"/>
          <w:color w:val="auto"/>
          <w:sz w:val="24"/>
          <w:szCs w:val="24"/>
          <w:lang w:val="en-US" w:eastAsia="zh-CN"/>
        </w:rPr>
        <w:t>浙师大印象物业服务区域</w:t>
      </w:r>
      <w:r>
        <w:rPr>
          <w:rFonts w:hint="eastAsia" w:ascii="宋体" w:hAnsi="宋体"/>
          <w:color w:val="auto"/>
          <w:sz w:val="24"/>
          <w:szCs w:val="24"/>
        </w:rPr>
        <w:t>：</w:t>
      </w:r>
      <w:r>
        <w:rPr>
          <w:rFonts w:hint="eastAsia" w:ascii="宋体" w:hAnsi="宋体" w:cs="宋体"/>
          <w:color w:val="auto"/>
          <w:sz w:val="24"/>
          <w:szCs w:val="24"/>
        </w:rPr>
        <w:t>习德园（C1、C2）、计算机楼、实验大楼、重点实验室、精艺园（B区）、闻理园（A区）。</w:t>
      </w:r>
      <w:r>
        <w:rPr>
          <w:rFonts w:hint="eastAsia" w:ascii="宋体" w:hAnsi="宋体"/>
          <w:sz w:val="24"/>
        </w:rPr>
        <w:t>教室、图书信息大楼及其他楼宇的室内公共场所（含卫生间）的室内配套设施设备、家具的日常管理，保洁服务。包括电梯、电铃、课桌椅、黑板、讲台、窗帘、门牌、各类锁具、各类指示牌等。</w:t>
      </w:r>
    </w:p>
    <w:p>
      <w:pPr>
        <w:pStyle w:val="161"/>
        <w:numPr>
          <w:ilvl w:val="0"/>
          <w:numId w:val="9"/>
        </w:numPr>
        <w:spacing w:line="360" w:lineRule="auto"/>
        <w:ind w:left="426" w:hanging="426" w:firstLineChars="0"/>
        <w:rPr>
          <w:rFonts w:ascii="宋体" w:hAnsi="宋体"/>
          <w:sz w:val="24"/>
        </w:rPr>
      </w:pPr>
      <w:r>
        <w:rPr>
          <w:rFonts w:hint="eastAsia" w:ascii="宋体" w:hAnsi="宋体"/>
          <w:sz w:val="24"/>
        </w:rPr>
        <w:t>教学楼内教室的粉笔及黑板擦的配送，教师休息室的保洁，纯净水供应等。</w:t>
      </w:r>
    </w:p>
    <w:p>
      <w:pPr>
        <w:pStyle w:val="161"/>
        <w:numPr>
          <w:ilvl w:val="0"/>
          <w:numId w:val="9"/>
        </w:numPr>
        <w:spacing w:line="360" w:lineRule="auto"/>
        <w:ind w:left="426" w:hanging="426" w:firstLineChars="0"/>
        <w:rPr>
          <w:rFonts w:ascii="宋体" w:hAnsi="宋体"/>
          <w:sz w:val="24"/>
        </w:rPr>
      </w:pPr>
      <w:r>
        <w:rPr>
          <w:rFonts w:hint="eastAsia" w:ascii="宋体" w:hAnsi="宋体"/>
          <w:sz w:val="24"/>
        </w:rPr>
        <w:t>学校高配房、水泵房的管理与维护以及水箱的清洗等。</w:t>
      </w:r>
    </w:p>
    <w:p>
      <w:pPr>
        <w:pStyle w:val="161"/>
        <w:numPr>
          <w:ilvl w:val="0"/>
          <w:numId w:val="9"/>
        </w:numPr>
        <w:spacing w:line="360" w:lineRule="auto"/>
        <w:ind w:left="426" w:hanging="426" w:firstLineChars="0"/>
        <w:rPr>
          <w:rFonts w:ascii="宋体" w:hAnsi="宋体"/>
          <w:sz w:val="24"/>
        </w:rPr>
      </w:pPr>
      <w:r>
        <w:rPr>
          <w:rFonts w:hint="eastAsia" w:ascii="宋体" w:hAnsi="宋体"/>
          <w:sz w:val="24"/>
        </w:rPr>
        <w:t>房屋公共设施（含水电）的报修。</w:t>
      </w:r>
    </w:p>
    <w:p>
      <w:pPr>
        <w:pStyle w:val="161"/>
        <w:numPr>
          <w:ilvl w:val="0"/>
          <w:numId w:val="9"/>
        </w:numPr>
        <w:spacing w:line="360" w:lineRule="auto"/>
        <w:ind w:left="426" w:hanging="426" w:firstLineChars="0"/>
        <w:rPr>
          <w:rFonts w:ascii="宋体" w:hAnsi="宋体"/>
          <w:sz w:val="24"/>
        </w:rPr>
      </w:pPr>
      <w:r>
        <w:rPr>
          <w:rFonts w:hint="eastAsia" w:ascii="宋体" w:hAnsi="宋体"/>
          <w:sz w:val="24"/>
        </w:rPr>
        <w:t>学校干部值班室的管理。</w:t>
      </w:r>
    </w:p>
    <w:p>
      <w:pPr>
        <w:pStyle w:val="161"/>
        <w:numPr>
          <w:ilvl w:val="0"/>
          <w:numId w:val="9"/>
        </w:numPr>
        <w:spacing w:line="360" w:lineRule="auto"/>
        <w:ind w:left="426" w:hanging="426" w:firstLineChars="0"/>
        <w:rPr>
          <w:rFonts w:ascii="宋体" w:hAnsi="宋体"/>
          <w:sz w:val="24"/>
        </w:rPr>
      </w:pPr>
      <w:r>
        <w:rPr>
          <w:rFonts w:hint="eastAsia" w:ascii="宋体" w:hAnsi="宋体"/>
          <w:sz w:val="24"/>
        </w:rPr>
        <w:t>提供校级会议会场服务（包括学生活动中心）。会场服务包括：会议前的布置（含清卫、铺地毯、搭主席台、搬桌椅、摆放盆景等），以及会议期间音响设备的操控，会议结束后场地的原样恢复。</w:t>
      </w:r>
    </w:p>
    <w:p>
      <w:pPr>
        <w:pStyle w:val="161"/>
        <w:numPr>
          <w:ilvl w:val="0"/>
          <w:numId w:val="9"/>
        </w:numPr>
        <w:spacing w:line="360" w:lineRule="auto"/>
        <w:ind w:left="426" w:hanging="426" w:firstLineChars="0"/>
        <w:rPr>
          <w:rFonts w:ascii="宋体" w:hAnsi="宋体"/>
          <w:sz w:val="24"/>
        </w:rPr>
      </w:pPr>
      <w:r>
        <w:rPr>
          <w:rFonts w:hint="eastAsia" w:ascii="宋体" w:hAnsi="宋体"/>
          <w:sz w:val="24"/>
        </w:rPr>
        <w:t>做好校园内邮寄服务。</w:t>
      </w:r>
    </w:p>
    <w:p>
      <w:pPr>
        <w:pStyle w:val="161"/>
        <w:numPr>
          <w:ilvl w:val="0"/>
          <w:numId w:val="9"/>
        </w:numPr>
        <w:tabs>
          <w:tab w:val="left" w:pos="360"/>
        </w:tabs>
        <w:spacing w:line="360" w:lineRule="auto"/>
        <w:ind w:left="426" w:hanging="426" w:firstLineChars="0"/>
        <w:rPr>
          <w:rFonts w:ascii="宋体" w:hAnsi="宋体"/>
          <w:sz w:val="24"/>
        </w:rPr>
      </w:pPr>
      <w:r>
        <w:rPr>
          <w:rFonts w:hint="eastAsia" w:ascii="宋体" w:hAnsi="宋体"/>
          <w:sz w:val="24"/>
        </w:rPr>
        <w:tab/>
      </w:r>
      <w:r>
        <w:rPr>
          <w:rFonts w:hint="eastAsia" w:ascii="宋体" w:hAnsi="宋体"/>
          <w:sz w:val="24"/>
        </w:rPr>
        <w:t>在职责范围内，做好卫生所、食堂的有关工作，提供相关保障服务。</w:t>
      </w:r>
    </w:p>
    <w:p>
      <w:pPr>
        <w:numPr>
          <w:ilvl w:val="0"/>
          <w:numId w:val="9"/>
        </w:numPr>
        <w:spacing w:line="360" w:lineRule="auto"/>
        <w:ind w:left="426" w:hanging="426"/>
        <w:rPr>
          <w:rFonts w:ascii="宋体" w:hAnsi="宋体"/>
          <w:sz w:val="24"/>
          <w:szCs w:val="24"/>
        </w:rPr>
      </w:pPr>
      <w:r>
        <w:rPr>
          <w:rFonts w:hint="eastAsia" w:ascii="宋体" w:hAnsi="宋体"/>
          <w:sz w:val="24"/>
          <w:szCs w:val="24"/>
        </w:rPr>
        <w:t>两校区学生搬迁及</w:t>
      </w:r>
      <w:r>
        <w:rPr>
          <w:rFonts w:hint="eastAsia" w:ascii="宋体" w:hAnsi="宋体"/>
          <w:color w:val="auto"/>
          <w:sz w:val="24"/>
          <w:szCs w:val="24"/>
        </w:rPr>
        <w:t>小和山校区内的小型搬运工作</w:t>
      </w:r>
      <w:r>
        <w:rPr>
          <w:rFonts w:hint="eastAsia" w:ascii="宋体" w:hAnsi="宋体"/>
          <w:sz w:val="24"/>
          <w:szCs w:val="24"/>
        </w:rPr>
        <w:t>。</w:t>
      </w:r>
    </w:p>
    <w:p>
      <w:pPr>
        <w:pStyle w:val="161"/>
        <w:numPr>
          <w:ilvl w:val="0"/>
          <w:numId w:val="8"/>
        </w:numPr>
        <w:spacing w:line="360" w:lineRule="auto"/>
        <w:ind w:left="0" w:firstLine="0" w:firstLineChars="0"/>
        <w:rPr>
          <w:rFonts w:eastAsiaTheme="minorHAnsi"/>
          <w:sz w:val="24"/>
        </w:rPr>
      </w:pPr>
      <w:r>
        <w:rPr>
          <w:rFonts w:hint="eastAsia" w:eastAsiaTheme="minorHAnsi"/>
          <w:sz w:val="24"/>
        </w:rPr>
        <w:t>服务要求：</w:t>
      </w:r>
    </w:p>
    <w:p>
      <w:pPr>
        <w:pStyle w:val="161"/>
        <w:numPr>
          <w:ilvl w:val="1"/>
          <w:numId w:val="10"/>
        </w:numPr>
        <w:spacing w:line="360" w:lineRule="auto"/>
        <w:ind w:left="426" w:hanging="426" w:firstLineChars="0"/>
        <w:rPr>
          <w:rFonts w:ascii="宋体" w:hAnsi="宋体"/>
          <w:sz w:val="24"/>
        </w:rPr>
      </w:pPr>
      <w:r>
        <w:rPr>
          <w:rFonts w:hint="eastAsia" w:ascii="宋体" w:hAnsi="宋体"/>
          <w:sz w:val="24"/>
        </w:rPr>
        <w:t>做好校园内各楼宇室内的保洁工作，达到室内“六面光”，室外整洁美观。</w:t>
      </w:r>
    </w:p>
    <w:p>
      <w:pPr>
        <w:pStyle w:val="161"/>
        <w:numPr>
          <w:ilvl w:val="1"/>
          <w:numId w:val="10"/>
        </w:numPr>
        <w:spacing w:line="360" w:lineRule="auto"/>
        <w:ind w:left="426" w:hanging="426" w:firstLineChars="0"/>
        <w:rPr>
          <w:rFonts w:ascii="宋体" w:hAnsi="宋体"/>
          <w:sz w:val="24"/>
        </w:rPr>
      </w:pPr>
      <w:r>
        <w:rPr>
          <w:rFonts w:hint="eastAsia" w:ascii="宋体" w:hAnsi="宋体"/>
          <w:sz w:val="24"/>
        </w:rPr>
        <w:t>教室内应配置足够的粉笔和黑板擦等用品，满足教师上课需求。</w:t>
      </w:r>
    </w:p>
    <w:p>
      <w:pPr>
        <w:pStyle w:val="161"/>
        <w:numPr>
          <w:ilvl w:val="1"/>
          <w:numId w:val="10"/>
        </w:numPr>
        <w:spacing w:line="360" w:lineRule="auto"/>
        <w:ind w:left="426" w:hanging="426" w:firstLineChars="0"/>
        <w:rPr>
          <w:rFonts w:ascii="宋体" w:hAnsi="宋体"/>
          <w:sz w:val="24"/>
        </w:rPr>
      </w:pPr>
      <w:r>
        <w:rPr>
          <w:rFonts w:hint="eastAsia" w:ascii="宋体" w:hAnsi="宋体"/>
          <w:sz w:val="24"/>
        </w:rPr>
        <w:t>教室里的课桌椅不得随意搬动，维持现有配置状况。搞好课桌椅、黑板的维护保养工作，发现损坏，及时报修。</w:t>
      </w:r>
    </w:p>
    <w:p>
      <w:pPr>
        <w:pStyle w:val="161"/>
        <w:numPr>
          <w:ilvl w:val="1"/>
          <w:numId w:val="10"/>
        </w:numPr>
        <w:spacing w:line="360" w:lineRule="auto"/>
        <w:ind w:left="426" w:hanging="426" w:firstLineChars="0"/>
        <w:rPr>
          <w:rFonts w:ascii="宋体" w:hAnsi="宋体"/>
          <w:sz w:val="24"/>
        </w:rPr>
      </w:pPr>
      <w:r>
        <w:rPr>
          <w:rFonts w:hint="eastAsia" w:ascii="宋体" w:hAnsi="宋体"/>
          <w:sz w:val="24"/>
        </w:rPr>
        <w:t>教师休息室应清洁整齐，确保饮用水的正常供应，满足老师们上课的需求。</w:t>
      </w:r>
    </w:p>
    <w:p>
      <w:pPr>
        <w:pStyle w:val="161"/>
        <w:numPr>
          <w:ilvl w:val="1"/>
          <w:numId w:val="10"/>
        </w:numPr>
        <w:spacing w:line="360" w:lineRule="auto"/>
        <w:ind w:left="426" w:hanging="426" w:firstLineChars="0"/>
        <w:rPr>
          <w:rFonts w:ascii="宋体" w:hAnsi="宋体"/>
          <w:sz w:val="24"/>
        </w:rPr>
      </w:pPr>
      <w:r>
        <w:rPr>
          <w:rFonts w:hint="eastAsia" w:ascii="宋体" w:hAnsi="宋体"/>
          <w:sz w:val="24"/>
        </w:rPr>
        <w:t>做好楼宇内公共设施设备（电梯、中央空调、供水供电等）的管理服务，发现故障及时报修，并妥善处置。</w:t>
      </w:r>
    </w:p>
    <w:p>
      <w:pPr>
        <w:pStyle w:val="161"/>
        <w:numPr>
          <w:ilvl w:val="1"/>
          <w:numId w:val="10"/>
        </w:numPr>
        <w:spacing w:line="360" w:lineRule="auto"/>
        <w:ind w:left="426" w:hanging="426" w:firstLineChars="0"/>
        <w:rPr>
          <w:rFonts w:ascii="宋体" w:hAnsi="宋体"/>
          <w:sz w:val="24"/>
        </w:rPr>
      </w:pPr>
      <w:r>
        <w:rPr>
          <w:rFonts w:hint="eastAsia" w:ascii="宋体" w:hAnsi="宋体"/>
          <w:sz w:val="24"/>
        </w:rPr>
        <w:t>做好校级会议的布置和清卫保洁服务工作。</w:t>
      </w:r>
    </w:p>
    <w:p>
      <w:pPr>
        <w:pStyle w:val="161"/>
        <w:numPr>
          <w:ilvl w:val="1"/>
          <w:numId w:val="10"/>
        </w:numPr>
        <w:spacing w:line="360" w:lineRule="auto"/>
        <w:ind w:left="426" w:hanging="426" w:firstLineChars="0"/>
        <w:rPr>
          <w:rFonts w:ascii="宋体" w:hAnsi="宋体"/>
          <w:sz w:val="24"/>
        </w:rPr>
      </w:pPr>
      <w:r>
        <w:rPr>
          <w:rFonts w:hint="eastAsia" w:ascii="宋体" w:hAnsi="宋体"/>
          <w:sz w:val="24"/>
        </w:rPr>
        <w:t>协助学校职能部门做好楼宇整体安全保卫工作。</w:t>
      </w:r>
    </w:p>
    <w:p>
      <w:pPr>
        <w:pStyle w:val="161"/>
        <w:numPr>
          <w:ilvl w:val="1"/>
          <w:numId w:val="10"/>
        </w:numPr>
        <w:spacing w:line="360" w:lineRule="auto"/>
        <w:ind w:left="426" w:hanging="426" w:firstLineChars="0"/>
        <w:rPr>
          <w:rFonts w:ascii="宋体" w:hAnsi="宋体"/>
          <w:sz w:val="24"/>
        </w:rPr>
      </w:pPr>
      <w:r>
        <w:rPr>
          <w:rFonts w:hint="eastAsia" w:ascii="宋体" w:hAnsi="宋体"/>
          <w:sz w:val="24"/>
        </w:rPr>
        <w:t>做好校内供水供电的日常管理工作，配合甲方做好节电节水工作。</w:t>
      </w:r>
    </w:p>
    <w:p>
      <w:pPr>
        <w:pStyle w:val="161"/>
        <w:numPr>
          <w:ilvl w:val="1"/>
          <w:numId w:val="10"/>
        </w:numPr>
        <w:spacing w:line="360" w:lineRule="auto"/>
        <w:ind w:left="426" w:hanging="426" w:firstLineChars="0"/>
        <w:rPr>
          <w:rFonts w:ascii="宋体" w:hAnsi="宋体"/>
          <w:sz w:val="24"/>
        </w:rPr>
      </w:pPr>
      <w:r>
        <w:rPr>
          <w:rFonts w:hint="eastAsia" w:ascii="宋体" w:hAnsi="宋体"/>
          <w:sz w:val="24"/>
        </w:rPr>
        <w:t>学校电梯、中央空调及高配房等重要设施设备的日常管理人员必须持证上岗。</w:t>
      </w:r>
    </w:p>
    <w:p>
      <w:pPr>
        <w:pStyle w:val="161"/>
        <w:numPr>
          <w:ilvl w:val="1"/>
          <w:numId w:val="10"/>
        </w:numPr>
        <w:spacing w:line="360" w:lineRule="auto"/>
        <w:ind w:left="426" w:hanging="426" w:firstLineChars="0"/>
        <w:rPr>
          <w:rFonts w:ascii="宋体" w:hAnsi="宋体"/>
          <w:sz w:val="24"/>
        </w:rPr>
      </w:pPr>
      <w:r>
        <w:rPr>
          <w:rFonts w:hint="eastAsia" w:ascii="宋体" w:hAnsi="宋体"/>
          <w:sz w:val="24"/>
        </w:rPr>
        <w:t>设立收发室，</w:t>
      </w:r>
      <w:r>
        <w:rPr>
          <w:rFonts w:hint="eastAsia"/>
          <w:snapToGrid w:val="0"/>
          <w:sz w:val="24"/>
        </w:rPr>
        <w:t>提供报纸、信件收发；公函代寄；EMS代寄代收业务。</w:t>
      </w:r>
    </w:p>
    <w:p>
      <w:pPr>
        <w:pStyle w:val="161"/>
        <w:numPr>
          <w:ilvl w:val="1"/>
          <w:numId w:val="10"/>
        </w:numPr>
        <w:spacing w:line="360" w:lineRule="auto"/>
        <w:ind w:left="426" w:hanging="426" w:firstLineChars="0"/>
        <w:rPr>
          <w:rFonts w:ascii="宋体" w:hAnsi="宋体"/>
          <w:sz w:val="24"/>
        </w:rPr>
      </w:pPr>
      <w:r>
        <w:rPr>
          <w:rFonts w:hint="eastAsia" w:ascii="宋体" w:hAnsi="宋体"/>
          <w:sz w:val="24"/>
        </w:rPr>
        <w:t>保障学校卫生所、食堂正常开展医疗与食堂服务。</w:t>
      </w:r>
    </w:p>
    <w:p>
      <w:pPr>
        <w:pStyle w:val="161"/>
        <w:numPr>
          <w:ilvl w:val="1"/>
          <w:numId w:val="10"/>
        </w:numPr>
        <w:spacing w:line="360" w:lineRule="auto"/>
        <w:ind w:left="426" w:hanging="426" w:firstLineChars="0"/>
        <w:rPr>
          <w:rFonts w:ascii="宋体" w:hAnsi="宋体"/>
          <w:sz w:val="24"/>
        </w:rPr>
      </w:pPr>
      <w:r>
        <w:rPr>
          <w:rFonts w:hint="eastAsia" w:ascii="宋体" w:hAnsi="宋体"/>
          <w:sz w:val="24"/>
        </w:rPr>
        <w:t>需要人员：管理人员不少于6人，一线工人不少于38人。另外，多媒体教室管理、校园通讯及邮政、水电管理、特种设备管理人员不少于33人。</w:t>
      </w:r>
    </w:p>
    <w:p>
      <w:pPr>
        <w:pStyle w:val="161"/>
        <w:numPr>
          <w:ilvl w:val="1"/>
          <w:numId w:val="10"/>
        </w:numPr>
        <w:spacing w:line="360" w:lineRule="auto"/>
        <w:ind w:left="426" w:hanging="426" w:firstLineChars="0"/>
        <w:rPr>
          <w:rFonts w:ascii="宋体" w:hAnsi="宋体"/>
          <w:sz w:val="24"/>
        </w:rPr>
      </w:pPr>
      <w:r>
        <w:rPr>
          <w:rFonts w:hint="eastAsia" w:ascii="宋体" w:hAnsi="宋体"/>
          <w:sz w:val="24"/>
        </w:rPr>
        <w:t>室内管理具体区域见表：</w:t>
      </w:r>
    </w:p>
    <w:tbl>
      <w:tblPr>
        <w:tblStyle w:val="43"/>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9"/>
        <w:gridCol w:w="2515"/>
        <w:gridCol w:w="3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65" w:type="dxa"/>
            <w:gridSpan w:val="3"/>
            <w:shd w:val="clear" w:color="auto" w:fill="A4A4A4"/>
            <w:vAlign w:val="center"/>
          </w:tcPr>
          <w:p>
            <w:pPr>
              <w:spacing w:line="300" w:lineRule="atLeast"/>
              <w:jc w:val="center"/>
              <w:rPr>
                <w:rFonts w:eastAsia="宋体"/>
                <w:b/>
                <w:bCs/>
                <w:sz w:val="24"/>
                <w:szCs w:val="24"/>
              </w:rPr>
            </w:pPr>
            <w:r>
              <w:rPr>
                <w:rFonts w:hint="eastAsia"/>
                <w:b/>
                <w:bCs/>
                <w:sz w:val="24"/>
                <w:szCs w:val="24"/>
              </w:rPr>
              <w:t>小和山校区物业管理建筑面积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969" w:type="dxa"/>
            <w:vAlign w:val="center"/>
          </w:tcPr>
          <w:p>
            <w:pPr>
              <w:spacing w:line="360" w:lineRule="auto"/>
              <w:jc w:val="center"/>
              <w:rPr>
                <w:b/>
                <w:bCs/>
                <w:sz w:val="24"/>
                <w:szCs w:val="24"/>
              </w:rPr>
            </w:pPr>
            <w:r>
              <w:rPr>
                <w:rFonts w:hint="eastAsia"/>
                <w:b/>
                <w:bCs/>
                <w:sz w:val="24"/>
                <w:szCs w:val="24"/>
              </w:rPr>
              <w:t>建筑物名称</w:t>
            </w:r>
          </w:p>
        </w:tc>
        <w:tc>
          <w:tcPr>
            <w:tcW w:w="2515" w:type="dxa"/>
            <w:vAlign w:val="center"/>
          </w:tcPr>
          <w:p>
            <w:pPr>
              <w:spacing w:line="360" w:lineRule="auto"/>
              <w:jc w:val="center"/>
              <w:rPr>
                <w:b/>
                <w:bCs/>
                <w:sz w:val="24"/>
                <w:szCs w:val="24"/>
              </w:rPr>
            </w:pPr>
            <w:r>
              <w:rPr>
                <w:rFonts w:hint="eastAsia"/>
                <w:b/>
                <w:bCs/>
                <w:sz w:val="24"/>
                <w:szCs w:val="24"/>
              </w:rPr>
              <w:t>建筑面积</w:t>
            </w:r>
            <w:r>
              <w:rPr>
                <w:rFonts w:hint="eastAsia"/>
                <w:b/>
                <w:bCs/>
                <w:szCs w:val="21"/>
              </w:rPr>
              <w:t>（平方米）</w:t>
            </w:r>
          </w:p>
        </w:tc>
        <w:tc>
          <w:tcPr>
            <w:tcW w:w="3581" w:type="dxa"/>
            <w:vAlign w:val="center"/>
          </w:tcPr>
          <w:p>
            <w:pPr>
              <w:spacing w:line="360" w:lineRule="auto"/>
              <w:jc w:val="center"/>
              <w:rPr>
                <w:b/>
                <w:bCs/>
                <w:sz w:val="24"/>
                <w:szCs w:val="24"/>
              </w:rPr>
            </w:pPr>
            <w:r>
              <w:rPr>
                <w:rFonts w:hint="eastAsia"/>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69" w:type="dxa"/>
            <w:vAlign w:val="center"/>
          </w:tcPr>
          <w:p>
            <w:pPr>
              <w:spacing w:line="360" w:lineRule="auto"/>
              <w:jc w:val="center"/>
              <w:rPr>
                <w:sz w:val="24"/>
                <w:szCs w:val="24"/>
                <w:highlight w:val="yellow"/>
              </w:rPr>
            </w:pPr>
            <w:r>
              <w:rPr>
                <w:rFonts w:hint="eastAsia"/>
                <w:sz w:val="24"/>
                <w:szCs w:val="24"/>
              </w:rPr>
              <w:t>行政楼</w:t>
            </w:r>
          </w:p>
        </w:tc>
        <w:tc>
          <w:tcPr>
            <w:tcW w:w="2515" w:type="dxa"/>
            <w:vAlign w:val="center"/>
          </w:tcPr>
          <w:p>
            <w:pPr>
              <w:spacing w:line="360" w:lineRule="auto"/>
              <w:jc w:val="center"/>
              <w:rPr>
                <w:sz w:val="24"/>
                <w:szCs w:val="24"/>
              </w:rPr>
            </w:pPr>
            <w:r>
              <w:rPr>
                <w:rFonts w:hint="eastAsia"/>
                <w:sz w:val="24"/>
                <w:szCs w:val="24"/>
              </w:rPr>
              <w:t>8382</w:t>
            </w:r>
          </w:p>
        </w:tc>
        <w:tc>
          <w:tcPr>
            <w:tcW w:w="3581" w:type="dxa"/>
            <w:vAlign w:val="center"/>
          </w:tcPr>
          <w:p>
            <w:pPr>
              <w:spacing w:line="360" w:lineRule="auto"/>
              <w:jc w:val="center"/>
              <w:rPr>
                <w:szCs w:val="21"/>
              </w:rPr>
            </w:pPr>
            <w:r>
              <w:rPr>
                <w:rFonts w:hint="eastAsia"/>
                <w:szCs w:val="21"/>
              </w:rPr>
              <w:t>包括会议室及领导办公室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69" w:type="dxa"/>
            <w:tcBorders>
              <w:bottom w:val="single" w:color="auto" w:sz="4" w:space="0"/>
            </w:tcBorders>
            <w:vAlign w:val="center"/>
          </w:tcPr>
          <w:p>
            <w:pPr>
              <w:spacing w:line="360" w:lineRule="auto"/>
              <w:jc w:val="center"/>
              <w:rPr>
                <w:sz w:val="24"/>
                <w:szCs w:val="24"/>
                <w:highlight w:val="yellow"/>
              </w:rPr>
            </w:pPr>
            <w:r>
              <w:rPr>
                <w:rFonts w:hint="eastAsia"/>
                <w:sz w:val="24"/>
                <w:szCs w:val="24"/>
              </w:rPr>
              <w:t>图书信息大楼</w:t>
            </w:r>
          </w:p>
        </w:tc>
        <w:tc>
          <w:tcPr>
            <w:tcW w:w="2515" w:type="dxa"/>
            <w:tcBorders>
              <w:bottom w:val="single" w:color="auto" w:sz="4" w:space="0"/>
            </w:tcBorders>
            <w:vAlign w:val="center"/>
          </w:tcPr>
          <w:p>
            <w:pPr>
              <w:spacing w:line="360" w:lineRule="auto"/>
              <w:jc w:val="center"/>
              <w:rPr>
                <w:sz w:val="24"/>
                <w:szCs w:val="24"/>
              </w:rPr>
            </w:pPr>
            <w:r>
              <w:rPr>
                <w:rFonts w:hint="eastAsia"/>
                <w:sz w:val="24"/>
                <w:szCs w:val="24"/>
              </w:rPr>
              <w:t>38915</w:t>
            </w:r>
          </w:p>
        </w:tc>
        <w:tc>
          <w:tcPr>
            <w:tcW w:w="3581" w:type="dxa"/>
            <w:tcBorders>
              <w:bottom w:val="single" w:color="auto" w:sz="4" w:space="0"/>
            </w:tcBorders>
            <w:vAlign w:val="center"/>
          </w:tcPr>
          <w:p>
            <w:pPr>
              <w:spacing w:line="360" w:lineRule="auto"/>
              <w:jc w:val="center"/>
              <w:rPr>
                <w:szCs w:val="21"/>
              </w:rPr>
            </w:pPr>
            <w:r>
              <w:rPr>
                <w:rFonts w:hint="eastAsia"/>
                <w:szCs w:val="21"/>
              </w:rPr>
              <w:t>减各部门办公用房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69" w:type="dxa"/>
            <w:tcBorders>
              <w:top w:val="single" w:color="auto" w:sz="4" w:space="0"/>
            </w:tcBorders>
            <w:vAlign w:val="center"/>
          </w:tcPr>
          <w:p>
            <w:pPr>
              <w:spacing w:line="360" w:lineRule="auto"/>
              <w:jc w:val="center"/>
              <w:rPr>
                <w:sz w:val="24"/>
                <w:szCs w:val="24"/>
                <w:highlight w:val="yellow"/>
              </w:rPr>
            </w:pPr>
            <w:r>
              <w:rPr>
                <w:rFonts w:hint="eastAsia"/>
                <w:sz w:val="24"/>
                <w:szCs w:val="24"/>
              </w:rPr>
              <w:t>学生创业广场</w:t>
            </w:r>
          </w:p>
        </w:tc>
        <w:tc>
          <w:tcPr>
            <w:tcW w:w="2515" w:type="dxa"/>
            <w:tcBorders>
              <w:top w:val="single" w:color="auto" w:sz="4" w:space="0"/>
            </w:tcBorders>
            <w:vAlign w:val="center"/>
          </w:tcPr>
          <w:p>
            <w:pPr>
              <w:spacing w:line="360" w:lineRule="auto"/>
              <w:jc w:val="center"/>
              <w:rPr>
                <w:sz w:val="24"/>
                <w:szCs w:val="24"/>
              </w:rPr>
            </w:pPr>
            <w:r>
              <w:rPr>
                <w:rFonts w:hint="eastAsia"/>
                <w:sz w:val="24"/>
                <w:szCs w:val="24"/>
              </w:rPr>
              <w:t>600</w:t>
            </w:r>
          </w:p>
        </w:tc>
        <w:tc>
          <w:tcPr>
            <w:tcW w:w="3581" w:type="dxa"/>
            <w:tcBorders>
              <w:bottom w:val="single" w:color="auto" w:sz="4" w:space="0"/>
            </w:tcBorders>
            <w:vAlign w:val="center"/>
          </w:tcPr>
          <w:p>
            <w:pPr>
              <w:spacing w:line="360" w:lineRule="auto"/>
              <w:jc w:val="center"/>
              <w:rPr>
                <w:szCs w:val="21"/>
              </w:rPr>
            </w:pPr>
            <w:r>
              <w:rPr>
                <w:rFonts w:hint="eastAsia"/>
                <w:szCs w:val="21"/>
              </w:rPr>
              <w:t>从2014年1月开始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69" w:type="dxa"/>
            <w:tcBorders>
              <w:top w:val="single" w:color="auto" w:sz="4" w:space="0"/>
            </w:tcBorders>
            <w:vAlign w:val="center"/>
          </w:tcPr>
          <w:p>
            <w:pPr>
              <w:spacing w:line="360" w:lineRule="auto"/>
              <w:jc w:val="center"/>
              <w:rPr>
                <w:sz w:val="24"/>
                <w:szCs w:val="24"/>
                <w:highlight w:val="yellow"/>
              </w:rPr>
            </w:pPr>
            <w:r>
              <w:rPr>
                <w:rFonts w:hint="eastAsia"/>
                <w:sz w:val="24"/>
                <w:szCs w:val="24"/>
              </w:rPr>
              <w:t>精艺园（B2）</w:t>
            </w:r>
          </w:p>
        </w:tc>
        <w:tc>
          <w:tcPr>
            <w:tcW w:w="2515" w:type="dxa"/>
            <w:tcBorders>
              <w:top w:val="single" w:color="auto" w:sz="4" w:space="0"/>
            </w:tcBorders>
            <w:vAlign w:val="center"/>
          </w:tcPr>
          <w:p>
            <w:pPr>
              <w:spacing w:line="360" w:lineRule="auto"/>
              <w:jc w:val="center"/>
              <w:rPr>
                <w:sz w:val="24"/>
                <w:szCs w:val="24"/>
              </w:rPr>
            </w:pPr>
            <w:r>
              <w:rPr>
                <w:rFonts w:hint="eastAsia"/>
                <w:sz w:val="24"/>
                <w:szCs w:val="24"/>
              </w:rPr>
              <w:t>900</w:t>
            </w:r>
          </w:p>
        </w:tc>
        <w:tc>
          <w:tcPr>
            <w:tcW w:w="3581" w:type="dxa"/>
            <w:tcBorders>
              <w:top w:val="single" w:color="auto" w:sz="4" w:space="0"/>
            </w:tcBorders>
            <w:vAlign w:val="center"/>
          </w:tcPr>
          <w:p>
            <w:pPr>
              <w:spacing w:line="360" w:lineRule="auto"/>
              <w:jc w:val="center"/>
              <w:rPr>
                <w:szCs w:val="21"/>
              </w:rPr>
            </w:pPr>
            <w:r>
              <w:rPr>
                <w:rFonts w:hint="eastAsia"/>
                <w:szCs w:val="21"/>
              </w:rPr>
              <w:t>体育部学生体育训练场馆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69" w:type="dxa"/>
            <w:vAlign w:val="center"/>
          </w:tcPr>
          <w:p>
            <w:pPr>
              <w:spacing w:line="360" w:lineRule="auto"/>
              <w:jc w:val="center"/>
              <w:rPr>
                <w:sz w:val="24"/>
                <w:szCs w:val="24"/>
              </w:rPr>
            </w:pPr>
            <w:r>
              <w:rPr>
                <w:rFonts w:hint="eastAsia"/>
                <w:sz w:val="24"/>
                <w:szCs w:val="24"/>
              </w:rPr>
              <w:t>舞蹈场地（西和食堂四楼）</w:t>
            </w:r>
          </w:p>
        </w:tc>
        <w:tc>
          <w:tcPr>
            <w:tcW w:w="2515" w:type="dxa"/>
            <w:tcBorders>
              <w:top w:val="single" w:color="auto" w:sz="4" w:space="0"/>
            </w:tcBorders>
            <w:vAlign w:val="center"/>
          </w:tcPr>
          <w:p>
            <w:pPr>
              <w:spacing w:line="360" w:lineRule="auto"/>
              <w:jc w:val="center"/>
              <w:rPr>
                <w:sz w:val="24"/>
                <w:szCs w:val="24"/>
              </w:rPr>
            </w:pPr>
            <w:r>
              <w:rPr>
                <w:rFonts w:hint="eastAsia"/>
                <w:sz w:val="24"/>
                <w:szCs w:val="24"/>
              </w:rPr>
              <w:t>2560</w:t>
            </w:r>
          </w:p>
        </w:tc>
        <w:tc>
          <w:tcPr>
            <w:tcW w:w="3581" w:type="dxa"/>
            <w:tcBorders>
              <w:top w:val="single" w:color="auto" w:sz="4" w:space="0"/>
            </w:tcBorders>
            <w:vAlign w:val="center"/>
          </w:tcPr>
          <w:p>
            <w:pPr>
              <w:spacing w:line="360" w:lineRule="auto"/>
              <w:jc w:val="center"/>
              <w:rPr>
                <w:szCs w:val="21"/>
              </w:rPr>
            </w:pPr>
            <w:r>
              <w:rPr>
                <w:rFonts w:hint="eastAsia"/>
                <w:szCs w:val="21"/>
              </w:rPr>
              <w:t>从2012年1月开始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69" w:type="dxa"/>
            <w:vAlign w:val="center"/>
          </w:tcPr>
          <w:p>
            <w:pPr>
              <w:spacing w:line="360" w:lineRule="auto"/>
              <w:jc w:val="center"/>
              <w:rPr>
                <w:sz w:val="24"/>
                <w:szCs w:val="24"/>
              </w:rPr>
            </w:pPr>
            <w:r>
              <w:rPr>
                <w:rFonts w:hint="eastAsia"/>
                <w:sz w:val="24"/>
                <w:szCs w:val="24"/>
              </w:rPr>
              <w:t>体育馆</w:t>
            </w:r>
          </w:p>
        </w:tc>
        <w:tc>
          <w:tcPr>
            <w:tcW w:w="2515" w:type="dxa"/>
            <w:tcBorders>
              <w:top w:val="single" w:color="auto" w:sz="4" w:space="0"/>
            </w:tcBorders>
            <w:vAlign w:val="center"/>
          </w:tcPr>
          <w:p>
            <w:pPr>
              <w:spacing w:line="360" w:lineRule="auto"/>
              <w:jc w:val="center"/>
              <w:rPr>
                <w:sz w:val="24"/>
                <w:szCs w:val="24"/>
              </w:rPr>
            </w:pPr>
            <w:r>
              <w:rPr>
                <w:rFonts w:hint="eastAsia"/>
                <w:sz w:val="24"/>
                <w:szCs w:val="24"/>
              </w:rPr>
              <w:t>9700</w:t>
            </w:r>
          </w:p>
        </w:tc>
        <w:tc>
          <w:tcPr>
            <w:tcW w:w="3581" w:type="dxa"/>
            <w:tcBorders>
              <w:top w:val="single" w:color="auto" w:sz="4" w:space="0"/>
            </w:tcBorders>
            <w:vAlign w:val="center"/>
          </w:tcPr>
          <w:p>
            <w:pPr>
              <w:spacing w:line="360" w:lineRule="auto"/>
              <w:jc w:val="center"/>
              <w:rPr>
                <w:szCs w:val="21"/>
              </w:rPr>
            </w:pPr>
            <w:r>
              <w:rPr>
                <w:rFonts w:hint="eastAsia"/>
                <w:szCs w:val="21"/>
              </w:rPr>
              <w:t>2015年10月开始计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69" w:type="dxa"/>
            <w:vAlign w:val="center"/>
          </w:tcPr>
          <w:p>
            <w:pPr>
              <w:spacing w:line="360" w:lineRule="auto"/>
              <w:jc w:val="center"/>
              <w:rPr>
                <w:sz w:val="24"/>
                <w:szCs w:val="24"/>
              </w:rPr>
            </w:pPr>
            <w:r>
              <w:rPr>
                <w:rFonts w:hint="eastAsia"/>
                <w:sz w:val="24"/>
                <w:szCs w:val="24"/>
              </w:rPr>
              <w:t>田径场</w:t>
            </w:r>
          </w:p>
        </w:tc>
        <w:tc>
          <w:tcPr>
            <w:tcW w:w="2515" w:type="dxa"/>
            <w:tcBorders>
              <w:top w:val="single" w:color="auto" w:sz="4" w:space="0"/>
              <w:bottom w:val="single" w:color="auto" w:sz="4" w:space="0"/>
            </w:tcBorders>
            <w:vAlign w:val="center"/>
          </w:tcPr>
          <w:p>
            <w:pPr>
              <w:spacing w:line="360" w:lineRule="auto"/>
              <w:jc w:val="center"/>
              <w:rPr>
                <w:sz w:val="24"/>
                <w:szCs w:val="24"/>
              </w:rPr>
            </w:pPr>
            <w:r>
              <w:rPr>
                <w:rFonts w:hint="eastAsia"/>
                <w:sz w:val="24"/>
                <w:szCs w:val="24"/>
              </w:rPr>
              <w:t>774.38</w:t>
            </w:r>
          </w:p>
        </w:tc>
        <w:tc>
          <w:tcPr>
            <w:tcW w:w="3581" w:type="dxa"/>
            <w:tcBorders>
              <w:top w:val="single" w:color="auto" w:sz="4" w:space="0"/>
              <w:bottom w:val="single" w:color="auto" w:sz="4" w:space="0"/>
            </w:tcBorders>
            <w:vAlign w:val="center"/>
          </w:tcPr>
          <w:p>
            <w:pPr>
              <w:spacing w:line="360" w:lineRule="auto"/>
              <w:jc w:val="center"/>
              <w:rPr>
                <w:szCs w:val="21"/>
              </w:rPr>
            </w:pPr>
            <w:r>
              <w:rPr>
                <w:rFonts w:hint="eastAsia"/>
                <w:szCs w:val="21"/>
              </w:rPr>
              <w:t>2018年新增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69" w:type="dxa"/>
            <w:vAlign w:val="center"/>
          </w:tcPr>
          <w:p>
            <w:pPr>
              <w:spacing w:line="360" w:lineRule="auto"/>
              <w:jc w:val="center"/>
              <w:rPr>
                <w:sz w:val="24"/>
                <w:szCs w:val="24"/>
              </w:rPr>
            </w:pPr>
            <w:r>
              <w:rPr>
                <w:rFonts w:hint="eastAsia"/>
                <w:sz w:val="24"/>
                <w:szCs w:val="24"/>
              </w:rPr>
              <w:t>B1305多媒体教室</w:t>
            </w:r>
          </w:p>
        </w:tc>
        <w:tc>
          <w:tcPr>
            <w:tcW w:w="2515" w:type="dxa"/>
            <w:tcBorders>
              <w:top w:val="single" w:color="auto" w:sz="4" w:space="0"/>
              <w:bottom w:val="single" w:color="auto" w:sz="4" w:space="0"/>
            </w:tcBorders>
            <w:vAlign w:val="center"/>
          </w:tcPr>
          <w:p>
            <w:pPr>
              <w:spacing w:line="360" w:lineRule="auto"/>
              <w:jc w:val="center"/>
              <w:rPr>
                <w:sz w:val="24"/>
                <w:szCs w:val="24"/>
              </w:rPr>
            </w:pPr>
            <w:r>
              <w:rPr>
                <w:rFonts w:hint="eastAsia"/>
                <w:sz w:val="24"/>
                <w:szCs w:val="24"/>
              </w:rPr>
              <w:t>66.59</w:t>
            </w:r>
          </w:p>
        </w:tc>
        <w:tc>
          <w:tcPr>
            <w:tcW w:w="3581" w:type="dxa"/>
            <w:tcBorders>
              <w:top w:val="single" w:color="auto" w:sz="4" w:space="0"/>
              <w:bottom w:val="single" w:color="auto" w:sz="4" w:space="0"/>
            </w:tcBorders>
            <w:vAlign w:val="center"/>
          </w:tcPr>
          <w:p>
            <w:pPr>
              <w:spacing w:line="360" w:lineRule="auto"/>
              <w:jc w:val="center"/>
              <w:rPr>
                <w:szCs w:val="21"/>
              </w:rPr>
            </w:pPr>
            <w:r>
              <w:rPr>
                <w:rFonts w:hint="eastAsia"/>
                <w:szCs w:val="21"/>
              </w:rPr>
              <w:t>2018年新增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69" w:type="dxa"/>
            <w:vAlign w:val="center"/>
          </w:tcPr>
          <w:p>
            <w:pPr>
              <w:spacing w:line="360" w:lineRule="auto"/>
              <w:jc w:val="center"/>
              <w:rPr>
                <w:sz w:val="24"/>
                <w:szCs w:val="24"/>
              </w:rPr>
            </w:pPr>
            <w:r>
              <w:rPr>
                <w:rFonts w:hint="eastAsia"/>
                <w:sz w:val="24"/>
                <w:szCs w:val="24"/>
              </w:rPr>
              <w:t>图西306多媒体教室</w:t>
            </w:r>
          </w:p>
        </w:tc>
        <w:tc>
          <w:tcPr>
            <w:tcW w:w="2515" w:type="dxa"/>
            <w:tcBorders>
              <w:top w:val="single" w:color="auto" w:sz="4" w:space="0"/>
              <w:bottom w:val="single" w:color="auto" w:sz="4" w:space="0"/>
            </w:tcBorders>
            <w:vAlign w:val="center"/>
          </w:tcPr>
          <w:p>
            <w:pPr>
              <w:spacing w:line="360" w:lineRule="auto"/>
              <w:jc w:val="center"/>
              <w:rPr>
                <w:sz w:val="24"/>
                <w:szCs w:val="24"/>
              </w:rPr>
            </w:pPr>
            <w:r>
              <w:rPr>
                <w:rFonts w:hint="eastAsia"/>
                <w:sz w:val="24"/>
                <w:szCs w:val="24"/>
              </w:rPr>
              <w:t>229.53</w:t>
            </w:r>
          </w:p>
        </w:tc>
        <w:tc>
          <w:tcPr>
            <w:tcW w:w="3581" w:type="dxa"/>
            <w:tcBorders>
              <w:top w:val="single" w:color="auto" w:sz="4" w:space="0"/>
              <w:bottom w:val="single" w:color="auto" w:sz="4" w:space="0"/>
            </w:tcBorders>
            <w:vAlign w:val="center"/>
          </w:tcPr>
          <w:p>
            <w:pPr>
              <w:spacing w:line="360" w:lineRule="auto"/>
              <w:jc w:val="center"/>
              <w:rPr>
                <w:szCs w:val="21"/>
              </w:rPr>
            </w:pPr>
            <w:r>
              <w:rPr>
                <w:rFonts w:hint="eastAsia"/>
                <w:szCs w:val="21"/>
              </w:rPr>
              <w:t>2018年新增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69" w:type="dxa"/>
            <w:vAlign w:val="center"/>
          </w:tcPr>
          <w:p>
            <w:pPr>
              <w:spacing w:line="360" w:lineRule="auto"/>
              <w:jc w:val="center"/>
              <w:rPr>
                <w:sz w:val="24"/>
                <w:szCs w:val="24"/>
              </w:rPr>
            </w:pPr>
            <w:r>
              <w:rPr>
                <w:rFonts w:hint="eastAsia"/>
                <w:sz w:val="24"/>
                <w:szCs w:val="24"/>
              </w:rPr>
              <w:t>图西106多媒体教室</w:t>
            </w:r>
          </w:p>
        </w:tc>
        <w:tc>
          <w:tcPr>
            <w:tcW w:w="2515" w:type="dxa"/>
            <w:tcBorders>
              <w:top w:val="single" w:color="auto" w:sz="4" w:space="0"/>
              <w:bottom w:val="single" w:color="auto" w:sz="4" w:space="0"/>
            </w:tcBorders>
            <w:vAlign w:val="center"/>
          </w:tcPr>
          <w:p>
            <w:pPr>
              <w:spacing w:line="360" w:lineRule="auto"/>
              <w:jc w:val="center"/>
              <w:rPr>
                <w:sz w:val="24"/>
                <w:szCs w:val="24"/>
              </w:rPr>
            </w:pPr>
            <w:r>
              <w:rPr>
                <w:rFonts w:hint="eastAsia"/>
                <w:sz w:val="24"/>
                <w:szCs w:val="24"/>
              </w:rPr>
              <w:t>248.2</w:t>
            </w:r>
          </w:p>
        </w:tc>
        <w:tc>
          <w:tcPr>
            <w:tcW w:w="3581" w:type="dxa"/>
            <w:tcBorders>
              <w:top w:val="single" w:color="auto" w:sz="4" w:space="0"/>
              <w:bottom w:val="single" w:color="auto" w:sz="4" w:space="0"/>
            </w:tcBorders>
            <w:vAlign w:val="center"/>
          </w:tcPr>
          <w:p>
            <w:pPr>
              <w:spacing w:line="360" w:lineRule="auto"/>
              <w:jc w:val="center"/>
              <w:rPr>
                <w:szCs w:val="21"/>
              </w:rPr>
            </w:pPr>
            <w:r>
              <w:rPr>
                <w:rFonts w:hint="eastAsia"/>
                <w:szCs w:val="21"/>
              </w:rPr>
              <w:t>2018年新增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69" w:type="dxa"/>
            <w:tcBorders>
              <w:bottom w:val="single" w:color="auto" w:sz="4" w:space="0"/>
            </w:tcBorders>
            <w:vAlign w:val="center"/>
          </w:tcPr>
          <w:p>
            <w:pPr>
              <w:spacing w:line="360" w:lineRule="auto"/>
              <w:jc w:val="center"/>
              <w:rPr>
                <w:sz w:val="24"/>
                <w:szCs w:val="24"/>
              </w:rPr>
            </w:pPr>
            <w:r>
              <w:rPr>
                <w:rFonts w:hint="eastAsia"/>
                <w:sz w:val="24"/>
                <w:szCs w:val="24"/>
              </w:rPr>
              <w:t>水晶剧场</w:t>
            </w:r>
          </w:p>
        </w:tc>
        <w:tc>
          <w:tcPr>
            <w:tcW w:w="2515" w:type="dxa"/>
            <w:tcBorders>
              <w:top w:val="single" w:color="auto" w:sz="4" w:space="0"/>
              <w:bottom w:val="single" w:color="auto" w:sz="4" w:space="0"/>
            </w:tcBorders>
            <w:vAlign w:val="center"/>
          </w:tcPr>
          <w:p>
            <w:pPr>
              <w:spacing w:line="360" w:lineRule="auto"/>
              <w:jc w:val="center"/>
              <w:rPr>
                <w:sz w:val="24"/>
                <w:szCs w:val="24"/>
              </w:rPr>
            </w:pPr>
            <w:r>
              <w:rPr>
                <w:rFonts w:hint="eastAsia"/>
                <w:sz w:val="24"/>
                <w:szCs w:val="24"/>
              </w:rPr>
              <w:t>6810</w:t>
            </w:r>
          </w:p>
        </w:tc>
        <w:tc>
          <w:tcPr>
            <w:tcW w:w="3581" w:type="dxa"/>
            <w:tcBorders>
              <w:top w:val="single" w:color="auto" w:sz="4" w:space="0"/>
              <w:bottom w:val="single" w:color="auto" w:sz="4" w:space="0"/>
            </w:tcBorders>
            <w:vAlign w:val="center"/>
          </w:tcPr>
          <w:p>
            <w:pPr>
              <w:spacing w:line="360" w:lineRule="auto"/>
              <w:jc w:val="center"/>
              <w:rPr>
                <w:szCs w:val="21"/>
              </w:rPr>
            </w:pPr>
            <w:r>
              <w:rPr>
                <w:rFonts w:hint="eastAsia"/>
                <w:szCs w:val="21"/>
              </w:rPr>
              <w:t>2018年11月后勤接管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69" w:type="dxa"/>
            <w:vAlign w:val="center"/>
          </w:tcPr>
          <w:p>
            <w:pPr>
              <w:spacing w:line="360" w:lineRule="auto"/>
              <w:jc w:val="center"/>
              <w:rPr>
                <w:sz w:val="24"/>
                <w:szCs w:val="24"/>
              </w:rPr>
            </w:pPr>
            <w:r>
              <w:rPr>
                <w:rFonts w:hint="eastAsia"/>
                <w:b/>
                <w:bCs/>
                <w:sz w:val="24"/>
                <w:szCs w:val="24"/>
              </w:rPr>
              <w:t>面积合计</w:t>
            </w:r>
          </w:p>
        </w:tc>
        <w:tc>
          <w:tcPr>
            <w:tcW w:w="2515" w:type="dxa"/>
            <w:tcBorders>
              <w:top w:val="single" w:color="auto" w:sz="4" w:space="0"/>
              <w:bottom w:val="single" w:color="auto" w:sz="4" w:space="0"/>
            </w:tcBorders>
            <w:vAlign w:val="center"/>
          </w:tcPr>
          <w:p>
            <w:pPr>
              <w:spacing w:line="360" w:lineRule="auto"/>
              <w:jc w:val="center"/>
              <w:rPr>
                <w:sz w:val="24"/>
                <w:szCs w:val="24"/>
              </w:rPr>
            </w:pPr>
            <w:r>
              <w:rPr>
                <w:rFonts w:hint="eastAsia"/>
                <w:b/>
                <w:bCs/>
                <w:color w:val="auto"/>
                <w:sz w:val="24"/>
                <w:szCs w:val="24"/>
                <w:lang w:val="en-US" w:eastAsia="zh-CN"/>
              </w:rPr>
              <w:t>69185.7</w:t>
            </w:r>
          </w:p>
        </w:tc>
        <w:tc>
          <w:tcPr>
            <w:tcW w:w="3581" w:type="dxa"/>
            <w:tcBorders>
              <w:top w:val="single" w:color="auto" w:sz="4" w:space="0"/>
              <w:bottom w:val="single" w:color="auto" w:sz="4" w:space="0"/>
            </w:tcBorders>
            <w:vAlign w:val="center"/>
          </w:tcPr>
          <w:p>
            <w:pPr>
              <w:spacing w:line="360" w:lineRule="auto"/>
              <w:jc w:val="center"/>
              <w:rPr>
                <w:szCs w:val="21"/>
              </w:rPr>
            </w:pPr>
          </w:p>
        </w:tc>
      </w:tr>
    </w:tbl>
    <w:p>
      <w:pPr>
        <w:pStyle w:val="161"/>
        <w:spacing w:line="360" w:lineRule="auto"/>
        <w:ind w:firstLine="0" w:firstLineChars="0"/>
        <w:rPr>
          <w:rFonts w:ascii="宋体" w:hAnsi="宋体"/>
          <w:sz w:val="24"/>
        </w:rPr>
      </w:pPr>
      <w:r>
        <w:rPr>
          <w:rFonts w:hint="eastAsia" w:ascii="宋体" w:hAnsi="宋体"/>
          <w:sz w:val="24"/>
        </w:rPr>
        <w:t>（（</w:t>
      </w:r>
      <w:r>
        <w:rPr>
          <w:rFonts w:hint="eastAsia" w:ascii="宋体" w:hAnsi="宋体"/>
          <w:sz w:val="24"/>
          <w:lang w:val="en-US" w:eastAsia="zh-CN"/>
        </w:rPr>
        <w:t>该数据仅做参考，</w:t>
      </w:r>
      <w:r>
        <w:rPr>
          <w:rFonts w:hint="eastAsia" w:ascii="宋体" w:hAnsi="宋体"/>
          <w:sz w:val="24"/>
        </w:rPr>
        <w:t>以学校实际指定区域为准）</w:t>
      </w:r>
    </w:p>
    <w:p>
      <w:pPr>
        <w:pStyle w:val="161"/>
        <w:spacing w:line="360" w:lineRule="auto"/>
        <w:ind w:firstLine="0" w:firstLineChars="0"/>
        <w:rPr>
          <w:rFonts w:ascii="宋体" w:hAnsi="宋体"/>
          <w:sz w:val="24"/>
        </w:rPr>
      </w:pPr>
    </w:p>
    <w:p>
      <w:pPr>
        <w:pStyle w:val="161"/>
        <w:numPr>
          <w:ilvl w:val="0"/>
          <w:numId w:val="5"/>
        </w:numPr>
        <w:spacing w:line="360" w:lineRule="auto"/>
        <w:ind w:firstLineChars="0"/>
        <w:rPr>
          <w:rFonts w:ascii="宋体" w:hAnsi="宋体"/>
          <w:b/>
          <w:sz w:val="24"/>
        </w:rPr>
      </w:pPr>
      <w:r>
        <w:rPr>
          <w:rFonts w:hint="eastAsia" w:ascii="宋体" w:hAnsi="宋体"/>
          <w:b/>
          <w:sz w:val="24"/>
        </w:rPr>
        <w:t>各类零星维修（维护）服务采购需求</w:t>
      </w:r>
    </w:p>
    <w:p>
      <w:pPr>
        <w:pStyle w:val="161"/>
        <w:numPr>
          <w:ilvl w:val="0"/>
          <w:numId w:val="11"/>
        </w:numPr>
        <w:spacing w:line="360" w:lineRule="auto"/>
        <w:ind w:firstLineChars="0"/>
        <w:rPr>
          <w:rFonts w:eastAsiaTheme="minorHAnsi"/>
          <w:sz w:val="24"/>
        </w:rPr>
      </w:pPr>
      <w:r>
        <w:rPr>
          <w:rFonts w:hint="eastAsia" w:eastAsiaTheme="minorHAnsi"/>
          <w:sz w:val="24"/>
        </w:rPr>
        <w:t>服务范围：</w:t>
      </w:r>
    </w:p>
    <w:p>
      <w:pPr>
        <w:pStyle w:val="161"/>
        <w:numPr>
          <w:ilvl w:val="0"/>
          <w:numId w:val="12"/>
        </w:numPr>
        <w:spacing w:line="360" w:lineRule="auto"/>
        <w:ind w:left="426" w:hanging="426" w:firstLineChars="0"/>
        <w:rPr>
          <w:rFonts w:ascii="宋体" w:hAnsi="宋体"/>
          <w:sz w:val="24"/>
        </w:rPr>
      </w:pPr>
      <w:r>
        <w:rPr>
          <w:rFonts w:hint="eastAsia" w:ascii="宋体" w:hAnsi="宋体"/>
          <w:sz w:val="24"/>
        </w:rPr>
        <w:t>该项服务专指所有涉及学校房屋非结构性类的，单项维修材料费不超过1000元的零星维修（维护）。</w:t>
      </w:r>
    </w:p>
    <w:p>
      <w:pPr>
        <w:pStyle w:val="161"/>
        <w:numPr>
          <w:ilvl w:val="0"/>
          <w:numId w:val="12"/>
        </w:numPr>
        <w:spacing w:line="360" w:lineRule="auto"/>
        <w:ind w:left="426" w:hanging="426" w:firstLineChars="0"/>
        <w:rPr>
          <w:rFonts w:ascii="宋体" w:hAnsi="宋体"/>
          <w:sz w:val="24"/>
        </w:rPr>
      </w:pPr>
      <w:r>
        <w:rPr>
          <w:rFonts w:hint="eastAsia" w:ascii="宋体" w:hAnsi="宋体"/>
          <w:sz w:val="24"/>
        </w:rPr>
        <w:t>各类房屋内的相关配套基础设施（如水、电、门窗、排污等）等的日常维修（维护），以及公共用房内电扇的维修（维护）、中央空调、电梯的维护和管理。</w:t>
      </w:r>
    </w:p>
    <w:p>
      <w:pPr>
        <w:pStyle w:val="161"/>
        <w:numPr>
          <w:ilvl w:val="0"/>
          <w:numId w:val="12"/>
        </w:numPr>
        <w:spacing w:line="360" w:lineRule="auto"/>
        <w:ind w:left="426" w:hanging="426" w:firstLineChars="0"/>
        <w:rPr>
          <w:rFonts w:ascii="宋体" w:hAnsi="宋体"/>
          <w:sz w:val="24"/>
        </w:rPr>
      </w:pPr>
      <w:r>
        <w:rPr>
          <w:rFonts w:hint="eastAsia" w:ascii="宋体" w:hAnsi="宋体"/>
          <w:sz w:val="24"/>
        </w:rPr>
        <w:t>行政楼办公家具（含公共会议室内家具）、图书信息大楼、教学楼内的各类公共教学家具、黑板、木制讲台（地台）等修理（维护）。</w:t>
      </w:r>
    </w:p>
    <w:p>
      <w:pPr>
        <w:pStyle w:val="161"/>
        <w:numPr>
          <w:ilvl w:val="0"/>
          <w:numId w:val="12"/>
        </w:numPr>
        <w:spacing w:line="360" w:lineRule="auto"/>
        <w:ind w:left="426" w:hanging="426" w:firstLineChars="0"/>
        <w:rPr>
          <w:rFonts w:ascii="宋体" w:hAnsi="宋体"/>
          <w:sz w:val="24"/>
        </w:rPr>
      </w:pPr>
      <w:r>
        <w:rPr>
          <w:rFonts w:hint="eastAsia" w:ascii="宋体" w:hAnsi="宋体"/>
          <w:sz w:val="24"/>
        </w:rPr>
        <w:t>学校道路的维修（维护）及室外水、电、弱电（互联网线除外）等设施、设备的维修（维护）。</w:t>
      </w:r>
    </w:p>
    <w:p>
      <w:pPr>
        <w:pStyle w:val="161"/>
        <w:numPr>
          <w:ilvl w:val="0"/>
          <w:numId w:val="12"/>
        </w:numPr>
        <w:spacing w:line="360" w:lineRule="auto"/>
        <w:ind w:left="426" w:hanging="426" w:firstLineChars="0"/>
        <w:rPr>
          <w:rFonts w:ascii="宋体" w:hAnsi="宋体"/>
          <w:sz w:val="24"/>
        </w:rPr>
      </w:pPr>
      <w:r>
        <w:rPr>
          <w:rFonts w:hint="eastAsia" w:ascii="宋体" w:hAnsi="宋体"/>
          <w:sz w:val="24"/>
        </w:rPr>
        <w:t>校园内所有固定电话移机、固定电话号码申报等工作。</w:t>
      </w:r>
    </w:p>
    <w:p>
      <w:pPr>
        <w:pStyle w:val="161"/>
        <w:numPr>
          <w:ilvl w:val="0"/>
          <w:numId w:val="12"/>
        </w:numPr>
        <w:spacing w:line="360" w:lineRule="auto"/>
        <w:ind w:left="426" w:hanging="426" w:firstLineChars="0"/>
        <w:rPr>
          <w:rFonts w:ascii="宋体" w:hAnsi="宋体"/>
          <w:sz w:val="24"/>
        </w:rPr>
      </w:pPr>
      <w:r>
        <w:rPr>
          <w:rFonts w:hint="eastAsia" w:ascii="宋体" w:hAnsi="宋体"/>
          <w:sz w:val="24"/>
        </w:rPr>
        <w:t>向学校食堂、卫生所提供维修、维护服务。</w:t>
      </w:r>
    </w:p>
    <w:p>
      <w:pPr>
        <w:pStyle w:val="161"/>
        <w:numPr>
          <w:ilvl w:val="0"/>
          <w:numId w:val="12"/>
        </w:numPr>
        <w:spacing w:line="360" w:lineRule="auto"/>
        <w:ind w:left="426" w:hanging="426" w:firstLineChars="0"/>
        <w:rPr>
          <w:rFonts w:ascii="宋体" w:hAnsi="宋体"/>
          <w:sz w:val="24"/>
        </w:rPr>
      </w:pPr>
      <w:r>
        <w:rPr>
          <w:rFonts w:hint="eastAsia" w:ascii="宋体" w:hAnsi="宋体"/>
          <w:sz w:val="24"/>
        </w:rPr>
        <w:t>校园零星维修面积折合约261733平米，</w:t>
      </w:r>
      <w:r>
        <w:rPr>
          <w:rFonts w:hint="eastAsia" w:ascii="宋体" w:hAnsi="宋体"/>
          <w:sz w:val="24"/>
          <w:szCs w:val="24"/>
        </w:rPr>
        <w:t>以学校实际核定为准</w:t>
      </w:r>
      <w:r>
        <w:rPr>
          <w:rFonts w:hint="eastAsia" w:ascii="宋体" w:hAnsi="宋体"/>
          <w:sz w:val="24"/>
        </w:rPr>
        <w:t>。</w:t>
      </w:r>
    </w:p>
    <w:p>
      <w:pPr>
        <w:pStyle w:val="161"/>
        <w:numPr>
          <w:ilvl w:val="0"/>
          <w:numId w:val="11"/>
        </w:numPr>
        <w:spacing w:line="360" w:lineRule="auto"/>
        <w:ind w:firstLineChars="0"/>
        <w:rPr>
          <w:rFonts w:eastAsiaTheme="minorHAnsi"/>
          <w:sz w:val="24"/>
        </w:rPr>
      </w:pPr>
      <w:r>
        <w:rPr>
          <w:rFonts w:hint="eastAsia" w:eastAsiaTheme="minorHAnsi"/>
          <w:sz w:val="24"/>
        </w:rPr>
        <w:t>服务要求：</w:t>
      </w:r>
    </w:p>
    <w:p>
      <w:pPr>
        <w:pStyle w:val="161"/>
        <w:numPr>
          <w:ilvl w:val="0"/>
          <w:numId w:val="13"/>
        </w:numPr>
        <w:spacing w:line="360" w:lineRule="auto"/>
        <w:ind w:firstLineChars="0"/>
        <w:rPr>
          <w:rFonts w:ascii="宋体" w:hAnsi="宋体"/>
          <w:sz w:val="24"/>
        </w:rPr>
      </w:pPr>
      <w:r>
        <w:rPr>
          <w:rFonts w:hint="eastAsia" w:ascii="宋体" w:hAnsi="宋体"/>
          <w:sz w:val="24"/>
        </w:rPr>
        <w:t>水电急修全年、全天有人值班，建立日夜值班制度。</w:t>
      </w:r>
    </w:p>
    <w:p>
      <w:pPr>
        <w:pStyle w:val="161"/>
        <w:numPr>
          <w:ilvl w:val="0"/>
          <w:numId w:val="13"/>
        </w:numPr>
        <w:spacing w:line="360" w:lineRule="auto"/>
        <w:ind w:firstLineChars="0"/>
        <w:rPr>
          <w:rFonts w:ascii="宋体" w:hAnsi="宋体"/>
          <w:sz w:val="24"/>
        </w:rPr>
      </w:pPr>
      <w:r>
        <w:rPr>
          <w:rFonts w:hint="eastAsia" w:ascii="宋体" w:hAnsi="宋体"/>
          <w:sz w:val="24"/>
        </w:rPr>
        <w:t>设立的报修地点与保修电话，必须设置明显的标志，通告所有师生。接到电话或书面报修，必有应答，态度和善，语言亲切，记录完整，件件落实。</w:t>
      </w:r>
    </w:p>
    <w:p>
      <w:pPr>
        <w:pStyle w:val="161"/>
        <w:numPr>
          <w:ilvl w:val="0"/>
          <w:numId w:val="13"/>
        </w:numPr>
        <w:spacing w:line="360" w:lineRule="auto"/>
        <w:ind w:firstLineChars="0"/>
        <w:rPr>
          <w:rFonts w:ascii="宋体" w:hAnsi="宋体"/>
          <w:sz w:val="24"/>
        </w:rPr>
      </w:pPr>
      <w:r>
        <w:rPr>
          <w:rFonts w:hint="eastAsia" w:ascii="宋体" w:hAnsi="宋体"/>
          <w:sz w:val="24"/>
        </w:rPr>
        <w:t>急修任务当天完成，零修任务两天内完工（或者在与用户商定的日期内按时完成）。上门维修时，维修人员要热情、文明施工，修理结束由用户验收签字。</w:t>
      </w:r>
    </w:p>
    <w:p>
      <w:pPr>
        <w:numPr>
          <w:ilvl w:val="0"/>
          <w:numId w:val="13"/>
        </w:numPr>
        <w:spacing w:line="360" w:lineRule="auto"/>
        <w:rPr>
          <w:rFonts w:ascii="宋体" w:hAnsi="宋体"/>
          <w:sz w:val="24"/>
        </w:rPr>
      </w:pPr>
      <w:r>
        <w:rPr>
          <w:rFonts w:hint="eastAsia" w:ascii="宋体" w:hAnsi="宋体"/>
          <w:sz w:val="24"/>
        </w:rPr>
        <w:t>房屋、课桌椅、黑板、门窗、锁具、教室灯具、水龙头、路灯等设施完好率保证在95%以上，零星维修的返修率控制在5%以内。</w:t>
      </w:r>
    </w:p>
    <w:p>
      <w:pPr>
        <w:numPr>
          <w:ilvl w:val="0"/>
          <w:numId w:val="13"/>
        </w:numPr>
        <w:spacing w:line="360" w:lineRule="auto"/>
        <w:rPr>
          <w:rFonts w:ascii="宋体" w:hAnsi="宋体"/>
          <w:sz w:val="24"/>
        </w:rPr>
      </w:pPr>
      <w:r>
        <w:rPr>
          <w:rFonts w:hint="eastAsia" w:ascii="宋体" w:hAnsi="宋体"/>
          <w:sz w:val="24"/>
        </w:rPr>
        <w:t>每次开学前，均集中对教学区域进行一次维修（维护），包括对全部课桌椅及水、电、灯、门、窗等，确保开学后正常教学得以进行。</w:t>
      </w:r>
    </w:p>
    <w:p>
      <w:pPr>
        <w:numPr>
          <w:ilvl w:val="0"/>
          <w:numId w:val="13"/>
        </w:numPr>
        <w:spacing w:line="360" w:lineRule="auto"/>
        <w:rPr>
          <w:sz w:val="24"/>
        </w:rPr>
      </w:pPr>
      <w:r>
        <w:rPr>
          <w:rFonts w:hint="eastAsia"/>
          <w:sz w:val="24"/>
        </w:rPr>
        <w:t>通过维修使维修对象恢复原有功能及相应外观，在保证能正常使用的前提下，尽量保证维修对象结构完整。</w:t>
      </w:r>
    </w:p>
    <w:p>
      <w:pPr>
        <w:numPr>
          <w:ilvl w:val="0"/>
          <w:numId w:val="13"/>
        </w:numPr>
        <w:spacing w:line="360" w:lineRule="auto"/>
        <w:rPr>
          <w:rFonts w:ascii="宋体" w:hAnsi="宋体"/>
          <w:sz w:val="24"/>
        </w:rPr>
      </w:pPr>
      <w:r>
        <w:rPr>
          <w:rFonts w:hint="eastAsia" w:ascii="宋体" w:hAnsi="宋体"/>
          <w:sz w:val="24"/>
        </w:rPr>
        <w:t>对于维修造价高于1</w:t>
      </w:r>
      <w:r>
        <w:rPr>
          <w:rFonts w:ascii="宋体" w:hAnsi="宋体"/>
          <w:sz w:val="24"/>
        </w:rPr>
        <w:t>000</w:t>
      </w:r>
      <w:r>
        <w:rPr>
          <w:rFonts w:hint="eastAsia" w:ascii="宋体" w:hAnsi="宋体"/>
          <w:sz w:val="24"/>
        </w:rPr>
        <w:t>元的，要及时向</w:t>
      </w:r>
      <w:r>
        <w:rPr>
          <w:rFonts w:hint="eastAsia" w:ascii="宋体" w:hAnsi="宋体"/>
          <w:sz w:val="24"/>
          <w:lang w:val="en-US" w:eastAsia="zh-CN"/>
        </w:rPr>
        <w:t>后勤服务中心</w:t>
      </w:r>
      <w:r>
        <w:rPr>
          <w:rFonts w:hint="eastAsia" w:ascii="宋体" w:hAnsi="宋体"/>
          <w:sz w:val="24"/>
        </w:rPr>
        <w:t>报告，并配合其做好项目报批、项目实施、项目验收等工作。</w:t>
      </w:r>
    </w:p>
    <w:p>
      <w:pPr>
        <w:pStyle w:val="161"/>
        <w:numPr>
          <w:ilvl w:val="0"/>
          <w:numId w:val="13"/>
        </w:numPr>
        <w:spacing w:line="360" w:lineRule="auto"/>
        <w:ind w:firstLineChars="0"/>
        <w:rPr>
          <w:rFonts w:ascii="宋体" w:hAnsi="宋体"/>
          <w:sz w:val="24"/>
        </w:rPr>
      </w:pPr>
      <w:r>
        <w:rPr>
          <w:rFonts w:hint="eastAsia" w:ascii="宋体" w:hAnsi="宋体"/>
          <w:sz w:val="24"/>
        </w:rPr>
        <w:t>在日常巡查中发现有涉及房屋结构安全问题的，要及时报告</w:t>
      </w:r>
      <w:r>
        <w:rPr>
          <w:rFonts w:hint="eastAsia" w:ascii="宋体" w:hAnsi="宋体"/>
          <w:sz w:val="24"/>
          <w:lang w:val="en-US" w:eastAsia="zh-CN"/>
        </w:rPr>
        <w:t>后勤服务中心</w:t>
      </w:r>
      <w:r>
        <w:rPr>
          <w:rFonts w:hint="eastAsia" w:ascii="宋体" w:hAnsi="宋体"/>
          <w:sz w:val="24"/>
        </w:rPr>
        <w:t>，杜绝重大事故的发生。</w:t>
      </w:r>
    </w:p>
    <w:p>
      <w:pPr>
        <w:pStyle w:val="161"/>
        <w:numPr>
          <w:ilvl w:val="0"/>
          <w:numId w:val="13"/>
        </w:numPr>
        <w:spacing w:line="360" w:lineRule="auto"/>
        <w:ind w:firstLineChars="0"/>
        <w:rPr>
          <w:rFonts w:ascii="宋体" w:hAnsi="宋体"/>
          <w:sz w:val="24"/>
        </w:rPr>
      </w:pPr>
      <w:r>
        <w:rPr>
          <w:rFonts w:hint="eastAsia" w:ascii="宋体" w:hAnsi="宋体"/>
          <w:sz w:val="24"/>
        </w:rPr>
        <w:t>需要人员：管理人员不少于4人，一线工人不少于31人。</w:t>
      </w:r>
    </w:p>
    <w:tbl>
      <w:tblPr>
        <w:tblStyle w:val="43"/>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162"/>
        <w:gridCol w:w="2354"/>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820" w:type="dxa"/>
            <w:gridSpan w:val="4"/>
            <w:shd w:val="clear" w:color="auto" w:fill="A4A4A4"/>
          </w:tcPr>
          <w:p>
            <w:pPr>
              <w:spacing w:line="360" w:lineRule="atLeast"/>
              <w:jc w:val="center"/>
              <w:rPr>
                <w:rFonts w:ascii="宋体" w:hAnsi="宋体" w:eastAsia="宋体"/>
                <w:b/>
                <w:bCs/>
                <w:sz w:val="24"/>
              </w:rPr>
            </w:pPr>
            <w:r>
              <w:rPr>
                <w:rFonts w:hint="eastAsia" w:ascii="宋体" w:hAnsi="宋体"/>
                <w:b/>
                <w:bCs/>
                <w:sz w:val="24"/>
              </w:rPr>
              <w:t>小和山校区房屋维修（维护）建筑面积（室内）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8" w:type="dxa"/>
          </w:tcPr>
          <w:p>
            <w:pPr>
              <w:spacing w:line="360" w:lineRule="atLeast"/>
              <w:jc w:val="center"/>
              <w:rPr>
                <w:rFonts w:ascii="宋体" w:hAnsi="宋体"/>
                <w:b/>
                <w:bCs/>
                <w:sz w:val="24"/>
                <w:szCs w:val="24"/>
              </w:rPr>
            </w:pPr>
            <w:r>
              <w:rPr>
                <w:rFonts w:hint="eastAsia" w:ascii="宋体" w:hAnsi="宋体"/>
                <w:b/>
                <w:bCs/>
                <w:sz w:val="24"/>
                <w:szCs w:val="24"/>
              </w:rPr>
              <w:t>序号</w:t>
            </w:r>
          </w:p>
        </w:tc>
        <w:tc>
          <w:tcPr>
            <w:tcW w:w="3162" w:type="dxa"/>
          </w:tcPr>
          <w:p>
            <w:pPr>
              <w:spacing w:line="360" w:lineRule="atLeast"/>
              <w:jc w:val="center"/>
              <w:rPr>
                <w:rFonts w:ascii="宋体" w:hAnsi="宋体"/>
                <w:b/>
                <w:bCs/>
                <w:sz w:val="24"/>
                <w:szCs w:val="24"/>
              </w:rPr>
            </w:pPr>
            <w:r>
              <w:rPr>
                <w:rFonts w:hint="eastAsia" w:ascii="宋体" w:hAnsi="宋体"/>
                <w:b/>
                <w:bCs/>
                <w:sz w:val="24"/>
              </w:rPr>
              <w:t>建筑物名称</w:t>
            </w:r>
          </w:p>
        </w:tc>
        <w:tc>
          <w:tcPr>
            <w:tcW w:w="2354" w:type="dxa"/>
          </w:tcPr>
          <w:p>
            <w:pPr>
              <w:spacing w:line="360" w:lineRule="atLeast"/>
              <w:jc w:val="center"/>
              <w:rPr>
                <w:rFonts w:ascii="宋体" w:hAnsi="宋体"/>
                <w:b/>
                <w:bCs/>
                <w:sz w:val="24"/>
                <w:szCs w:val="24"/>
              </w:rPr>
            </w:pPr>
            <w:r>
              <w:rPr>
                <w:rFonts w:hint="eastAsia" w:ascii="宋体" w:hAnsi="宋体"/>
                <w:b/>
                <w:bCs/>
                <w:sz w:val="24"/>
              </w:rPr>
              <w:t>面积</w:t>
            </w:r>
            <w:r>
              <w:rPr>
                <w:rFonts w:hint="eastAsia" w:ascii="宋体" w:hAnsi="宋体"/>
                <w:b/>
                <w:bCs/>
                <w:szCs w:val="21"/>
              </w:rPr>
              <w:t>（平方米）</w:t>
            </w:r>
          </w:p>
        </w:tc>
        <w:tc>
          <w:tcPr>
            <w:tcW w:w="2606" w:type="dxa"/>
          </w:tcPr>
          <w:p>
            <w:pPr>
              <w:spacing w:line="360" w:lineRule="atLeast"/>
              <w:jc w:val="center"/>
              <w:rPr>
                <w:rFonts w:ascii="宋体" w:hAnsi="宋体"/>
                <w:b/>
                <w:bCs/>
                <w:sz w:val="24"/>
                <w:szCs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698" w:type="dxa"/>
          </w:tcPr>
          <w:p>
            <w:pPr>
              <w:spacing w:line="360" w:lineRule="atLeast"/>
              <w:jc w:val="center"/>
              <w:rPr>
                <w:rFonts w:ascii="宋体" w:hAnsi="宋体" w:eastAsia="宋体"/>
                <w:sz w:val="24"/>
              </w:rPr>
            </w:pPr>
            <w:r>
              <w:rPr>
                <w:rFonts w:hint="eastAsia" w:ascii="宋体" w:hAnsi="宋体"/>
                <w:sz w:val="24"/>
              </w:rPr>
              <w:t>1</w:t>
            </w:r>
          </w:p>
        </w:tc>
        <w:tc>
          <w:tcPr>
            <w:tcW w:w="3162" w:type="dxa"/>
          </w:tcPr>
          <w:p>
            <w:pPr>
              <w:spacing w:line="360" w:lineRule="atLeast"/>
              <w:jc w:val="center"/>
              <w:rPr>
                <w:rFonts w:ascii="宋体" w:hAnsi="宋体"/>
                <w:sz w:val="24"/>
                <w:szCs w:val="24"/>
              </w:rPr>
            </w:pPr>
            <w:r>
              <w:rPr>
                <w:rFonts w:hint="eastAsia" w:ascii="宋体" w:hAnsi="宋体"/>
                <w:sz w:val="24"/>
              </w:rPr>
              <w:t>闻理园(A教学区)</w:t>
            </w:r>
          </w:p>
        </w:tc>
        <w:tc>
          <w:tcPr>
            <w:tcW w:w="2354" w:type="dxa"/>
          </w:tcPr>
          <w:p>
            <w:pPr>
              <w:spacing w:line="360" w:lineRule="atLeast"/>
              <w:jc w:val="center"/>
              <w:rPr>
                <w:rFonts w:ascii="宋体" w:hAnsi="宋体"/>
                <w:sz w:val="24"/>
              </w:rPr>
            </w:pPr>
            <w:r>
              <w:rPr>
                <w:rFonts w:hint="eastAsia" w:ascii="宋体" w:hAnsi="宋体"/>
                <w:sz w:val="24"/>
              </w:rPr>
              <w:t>48633</w:t>
            </w:r>
          </w:p>
        </w:tc>
        <w:tc>
          <w:tcPr>
            <w:tcW w:w="2606" w:type="dxa"/>
          </w:tcPr>
          <w:p>
            <w:pPr>
              <w:spacing w:line="3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8" w:type="dxa"/>
          </w:tcPr>
          <w:p>
            <w:pPr>
              <w:spacing w:line="360" w:lineRule="atLeast"/>
              <w:jc w:val="center"/>
              <w:rPr>
                <w:rFonts w:ascii="宋体" w:hAnsi="宋体" w:eastAsia="宋体"/>
                <w:sz w:val="24"/>
              </w:rPr>
            </w:pPr>
            <w:r>
              <w:rPr>
                <w:rFonts w:hint="eastAsia" w:ascii="宋体" w:hAnsi="宋体"/>
                <w:sz w:val="24"/>
              </w:rPr>
              <w:t>2</w:t>
            </w:r>
          </w:p>
        </w:tc>
        <w:tc>
          <w:tcPr>
            <w:tcW w:w="3162" w:type="dxa"/>
          </w:tcPr>
          <w:p>
            <w:pPr>
              <w:spacing w:line="360" w:lineRule="atLeast"/>
              <w:jc w:val="center"/>
              <w:rPr>
                <w:rFonts w:ascii="宋体" w:hAnsi="宋体"/>
                <w:sz w:val="24"/>
                <w:szCs w:val="24"/>
              </w:rPr>
            </w:pPr>
            <w:r>
              <w:rPr>
                <w:rFonts w:hint="eastAsia" w:ascii="宋体" w:hAnsi="宋体"/>
                <w:sz w:val="24"/>
              </w:rPr>
              <w:t>精艺园(B教学区)</w:t>
            </w:r>
          </w:p>
        </w:tc>
        <w:tc>
          <w:tcPr>
            <w:tcW w:w="2354" w:type="dxa"/>
          </w:tcPr>
          <w:p>
            <w:pPr>
              <w:spacing w:line="360" w:lineRule="atLeast"/>
              <w:jc w:val="center"/>
              <w:rPr>
                <w:rFonts w:ascii="宋体" w:hAnsi="宋体"/>
                <w:sz w:val="24"/>
              </w:rPr>
            </w:pPr>
            <w:r>
              <w:rPr>
                <w:rFonts w:hint="eastAsia" w:ascii="宋体" w:hAnsi="宋体"/>
                <w:sz w:val="24"/>
              </w:rPr>
              <w:t>30898</w:t>
            </w:r>
          </w:p>
        </w:tc>
        <w:tc>
          <w:tcPr>
            <w:tcW w:w="2606" w:type="dxa"/>
          </w:tcPr>
          <w:p>
            <w:pPr>
              <w:spacing w:line="3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8" w:type="dxa"/>
          </w:tcPr>
          <w:p>
            <w:pPr>
              <w:spacing w:line="360" w:lineRule="atLeast"/>
              <w:jc w:val="center"/>
              <w:rPr>
                <w:rFonts w:ascii="宋体" w:hAnsi="宋体" w:eastAsia="宋体"/>
                <w:sz w:val="24"/>
              </w:rPr>
            </w:pPr>
            <w:r>
              <w:rPr>
                <w:rFonts w:hint="eastAsia" w:ascii="宋体" w:hAnsi="宋体"/>
                <w:sz w:val="24"/>
              </w:rPr>
              <w:t>3</w:t>
            </w:r>
          </w:p>
        </w:tc>
        <w:tc>
          <w:tcPr>
            <w:tcW w:w="3162" w:type="dxa"/>
          </w:tcPr>
          <w:p>
            <w:pPr>
              <w:spacing w:line="360" w:lineRule="atLeast"/>
              <w:jc w:val="center"/>
              <w:rPr>
                <w:rFonts w:ascii="宋体" w:hAnsi="宋体"/>
                <w:sz w:val="24"/>
                <w:szCs w:val="24"/>
              </w:rPr>
            </w:pPr>
            <w:r>
              <w:rPr>
                <w:rFonts w:hint="eastAsia" w:ascii="宋体" w:hAnsi="宋体"/>
                <w:sz w:val="24"/>
              </w:rPr>
              <w:t>习德园C1</w:t>
            </w:r>
          </w:p>
        </w:tc>
        <w:tc>
          <w:tcPr>
            <w:tcW w:w="2354" w:type="dxa"/>
          </w:tcPr>
          <w:p>
            <w:pPr>
              <w:spacing w:line="360" w:lineRule="atLeast"/>
              <w:jc w:val="center"/>
              <w:rPr>
                <w:rFonts w:ascii="宋体" w:hAnsi="宋体"/>
                <w:sz w:val="24"/>
              </w:rPr>
            </w:pPr>
            <w:r>
              <w:rPr>
                <w:rFonts w:hint="eastAsia" w:ascii="宋体" w:hAnsi="宋体"/>
                <w:sz w:val="24"/>
              </w:rPr>
              <w:t>7000</w:t>
            </w:r>
          </w:p>
        </w:tc>
        <w:tc>
          <w:tcPr>
            <w:tcW w:w="2606" w:type="dxa"/>
          </w:tcPr>
          <w:p>
            <w:pPr>
              <w:spacing w:line="3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8" w:type="dxa"/>
          </w:tcPr>
          <w:p>
            <w:pPr>
              <w:spacing w:line="360" w:lineRule="atLeast"/>
              <w:jc w:val="center"/>
              <w:rPr>
                <w:rFonts w:ascii="宋体" w:hAnsi="宋体" w:eastAsia="宋体"/>
                <w:sz w:val="24"/>
              </w:rPr>
            </w:pPr>
            <w:r>
              <w:rPr>
                <w:rFonts w:hint="eastAsia" w:ascii="宋体" w:hAnsi="宋体"/>
                <w:sz w:val="24"/>
              </w:rPr>
              <w:t>4</w:t>
            </w:r>
          </w:p>
        </w:tc>
        <w:tc>
          <w:tcPr>
            <w:tcW w:w="3162" w:type="dxa"/>
          </w:tcPr>
          <w:p>
            <w:pPr>
              <w:spacing w:line="360" w:lineRule="atLeast"/>
              <w:jc w:val="center"/>
              <w:rPr>
                <w:rFonts w:ascii="宋体" w:hAnsi="宋体"/>
                <w:sz w:val="24"/>
                <w:szCs w:val="24"/>
              </w:rPr>
            </w:pPr>
            <w:r>
              <w:rPr>
                <w:rFonts w:hint="eastAsia" w:ascii="宋体" w:hAnsi="宋体"/>
                <w:sz w:val="24"/>
              </w:rPr>
              <w:t>习德园(C2教学区)</w:t>
            </w:r>
          </w:p>
        </w:tc>
        <w:tc>
          <w:tcPr>
            <w:tcW w:w="2354" w:type="dxa"/>
          </w:tcPr>
          <w:p>
            <w:pPr>
              <w:spacing w:line="360" w:lineRule="atLeast"/>
              <w:jc w:val="center"/>
              <w:rPr>
                <w:rFonts w:ascii="宋体" w:hAnsi="宋体"/>
                <w:sz w:val="24"/>
              </w:rPr>
            </w:pPr>
            <w:r>
              <w:rPr>
                <w:rFonts w:hint="eastAsia" w:ascii="宋体" w:hAnsi="宋体"/>
                <w:sz w:val="24"/>
              </w:rPr>
              <w:t>29089</w:t>
            </w:r>
          </w:p>
        </w:tc>
        <w:tc>
          <w:tcPr>
            <w:tcW w:w="2606" w:type="dxa"/>
          </w:tcPr>
          <w:p>
            <w:pPr>
              <w:spacing w:line="3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8" w:type="dxa"/>
          </w:tcPr>
          <w:p>
            <w:pPr>
              <w:spacing w:line="360" w:lineRule="atLeast"/>
              <w:jc w:val="center"/>
              <w:rPr>
                <w:rFonts w:ascii="宋体" w:hAnsi="宋体" w:eastAsia="宋体"/>
                <w:sz w:val="24"/>
              </w:rPr>
            </w:pPr>
            <w:r>
              <w:rPr>
                <w:rFonts w:hint="eastAsia" w:ascii="宋体" w:hAnsi="宋体"/>
                <w:sz w:val="24"/>
              </w:rPr>
              <w:t>5</w:t>
            </w:r>
          </w:p>
        </w:tc>
        <w:tc>
          <w:tcPr>
            <w:tcW w:w="3162" w:type="dxa"/>
          </w:tcPr>
          <w:p>
            <w:pPr>
              <w:spacing w:line="360" w:lineRule="atLeast"/>
              <w:jc w:val="center"/>
              <w:rPr>
                <w:rFonts w:ascii="宋体" w:hAnsi="宋体"/>
                <w:sz w:val="24"/>
                <w:szCs w:val="24"/>
              </w:rPr>
            </w:pPr>
            <w:r>
              <w:rPr>
                <w:rFonts w:hint="eastAsia" w:ascii="宋体" w:hAnsi="宋体"/>
                <w:sz w:val="24"/>
              </w:rPr>
              <w:t>习德园（计算机B楼）</w:t>
            </w:r>
          </w:p>
        </w:tc>
        <w:tc>
          <w:tcPr>
            <w:tcW w:w="2354" w:type="dxa"/>
          </w:tcPr>
          <w:p>
            <w:pPr>
              <w:spacing w:line="360" w:lineRule="atLeast"/>
              <w:jc w:val="center"/>
              <w:rPr>
                <w:rFonts w:ascii="宋体" w:hAnsi="宋体"/>
                <w:sz w:val="24"/>
              </w:rPr>
            </w:pPr>
            <w:r>
              <w:rPr>
                <w:rFonts w:hint="eastAsia" w:ascii="宋体" w:hAnsi="宋体"/>
                <w:sz w:val="24"/>
              </w:rPr>
              <w:t>19825</w:t>
            </w:r>
          </w:p>
        </w:tc>
        <w:tc>
          <w:tcPr>
            <w:tcW w:w="2606" w:type="dxa"/>
          </w:tcPr>
          <w:p>
            <w:pPr>
              <w:spacing w:line="3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8" w:type="dxa"/>
          </w:tcPr>
          <w:p>
            <w:pPr>
              <w:spacing w:line="360" w:lineRule="atLeast"/>
              <w:jc w:val="center"/>
              <w:rPr>
                <w:rFonts w:ascii="宋体" w:hAnsi="宋体" w:eastAsia="宋体"/>
                <w:sz w:val="24"/>
              </w:rPr>
            </w:pPr>
            <w:r>
              <w:rPr>
                <w:rFonts w:hint="eastAsia" w:ascii="宋体" w:hAnsi="宋体"/>
                <w:sz w:val="24"/>
              </w:rPr>
              <w:t>6</w:t>
            </w:r>
          </w:p>
        </w:tc>
        <w:tc>
          <w:tcPr>
            <w:tcW w:w="3162" w:type="dxa"/>
          </w:tcPr>
          <w:p>
            <w:pPr>
              <w:spacing w:line="360" w:lineRule="atLeast"/>
              <w:jc w:val="center"/>
              <w:rPr>
                <w:rFonts w:ascii="宋体" w:hAnsi="宋体"/>
                <w:sz w:val="24"/>
                <w:szCs w:val="24"/>
              </w:rPr>
            </w:pPr>
            <w:r>
              <w:rPr>
                <w:rFonts w:hint="eastAsia" w:ascii="宋体" w:hAnsi="宋体"/>
                <w:sz w:val="24"/>
              </w:rPr>
              <w:t>实验大楼</w:t>
            </w:r>
          </w:p>
        </w:tc>
        <w:tc>
          <w:tcPr>
            <w:tcW w:w="2354" w:type="dxa"/>
          </w:tcPr>
          <w:p>
            <w:pPr>
              <w:spacing w:line="360" w:lineRule="atLeast"/>
              <w:jc w:val="center"/>
              <w:rPr>
                <w:rFonts w:ascii="宋体" w:hAnsi="宋体"/>
                <w:sz w:val="24"/>
              </w:rPr>
            </w:pPr>
            <w:r>
              <w:rPr>
                <w:rFonts w:hint="eastAsia" w:ascii="宋体" w:hAnsi="宋体"/>
                <w:sz w:val="24"/>
              </w:rPr>
              <w:t>29708</w:t>
            </w:r>
          </w:p>
        </w:tc>
        <w:tc>
          <w:tcPr>
            <w:tcW w:w="2606" w:type="dxa"/>
          </w:tcPr>
          <w:p>
            <w:pPr>
              <w:spacing w:line="3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8" w:type="dxa"/>
          </w:tcPr>
          <w:p>
            <w:pPr>
              <w:spacing w:line="360" w:lineRule="atLeast"/>
              <w:jc w:val="center"/>
              <w:rPr>
                <w:rFonts w:ascii="宋体" w:hAnsi="宋体" w:eastAsia="宋体"/>
                <w:sz w:val="24"/>
              </w:rPr>
            </w:pPr>
            <w:r>
              <w:rPr>
                <w:rFonts w:hint="eastAsia" w:ascii="宋体" w:hAnsi="宋体"/>
                <w:sz w:val="24"/>
              </w:rPr>
              <w:t>7</w:t>
            </w:r>
          </w:p>
        </w:tc>
        <w:tc>
          <w:tcPr>
            <w:tcW w:w="3162" w:type="dxa"/>
          </w:tcPr>
          <w:p>
            <w:pPr>
              <w:spacing w:line="360" w:lineRule="atLeast"/>
              <w:jc w:val="center"/>
              <w:rPr>
                <w:rFonts w:ascii="宋体" w:hAnsi="宋体"/>
                <w:sz w:val="24"/>
                <w:szCs w:val="24"/>
              </w:rPr>
            </w:pPr>
            <w:r>
              <w:rPr>
                <w:rFonts w:hint="eastAsia" w:ascii="宋体" w:hAnsi="宋体"/>
                <w:sz w:val="24"/>
              </w:rPr>
              <w:t>校行政楼</w:t>
            </w:r>
          </w:p>
        </w:tc>
        <w:tc>
          <w:tcPr>
            <w:tcW w:w="2354" w:type="dxa"/>
          </w:tcPr>
          <w:p>
            <w:pPr>
              <w:spacing w:line="360" w:lineRule="atLeast"/>
              <w:jc w:val="center"/>
              <w:rPr>
                <w:rFonts w:ascii="宋体" w:hAnsi="宋体"/>
                <w:sz w:val="24"/>
              </w:rPr>
            </w:pPr>
            <w:r>
              <w:rPr>
                <w:rFonts w:hint="eastAsia" w:ascii="宋体" w:hAnsi="宋体"/>
                <w:sz w:val="24"/>
              </w:rPr>
              <w:t>9744</w:t>
            </w:r>
          </w:p>
        </w:tc>
        <w:tc>
          <w:tcPr>
            <w:tcW w:w="2606" w:type="dxa"/>
          </w:tcPr>
          <w:p>
            <w:pPr>
              <w:spacing w:line="3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8" w:type="dxa"/>
          </w:tcPr>
          <w:p>
            <w:pPr>
              <w:spacing w:line="360" w:lineRule="atLeast"/>
              <w:jc w:val="center"/>
              <w:rPr>
                <w:rFonts w:ascii="宋体" w:hAnsi="宋体" w:eastAsia="宋体"/>
                <w:sz w:val="24"/>
              </w:rPr>
            </w:pPr>
            <w:r>
              <w:rPr>
                <w:rFonts w:hint="eastAsia" w:ascii="宋体" w:hAnsi="宋体"/>
                <w:sz w:val="24"/>
              </w:rPr>
              <w:t>8</w:t>
            </w:r>
          </w:p>
        </w:tc>
        <w:tc>
          <w:tcPr>
            <w:tcW w:w="3162" w:type="dxa"/>
          </w:tcPr>
          <w:p>
            <w:pPr>
              <w:spacing w:line="360" w:lineRule="atLeast"/>
              <w:jc w:val="center"/>
              <w:rPr>
                <w:rFonts w:ascii="宋体" w:hAnsi="宋体"/>
                <w:sz w:val="24"/>
                <w:szCs w:val="24"/>
              </w:rPr>
            </w:pPr>
            <w:r>
              <w:rPr>
                <w:rFonts w:hint="eastAsia" w:ascii="宋体" w:hAnsi="宋体"/>
                <w:sz w:val="24"/>
              </w:rPr>
              <w:t>工程实践中心</w:t>
            </w:r>
          </w:p>
        </w:tc>
        <w:tc>
          <w:tcPr>
            <w:tcW w:w="2354" w:type="dxa"/>
          </w:tcPr>
          <w:p>
            <w:pPr>
              <w:spacing w:line="360" w:lineRule="atLeast"/>
              <w:jc w:val="center"/>
              <w:rPr>
                <w:rFonts w:ascii="宋体" w:hAnsi="宋体"/>
                <w:sz w:val="24"/>
              </w:rPr>
            </w:pPr>
            <w:r>
              <w:rPr>
                <w:rFonts w:hint="eastAsia" w:ascii="宋体" w:hAnsi="宋体"/>
                <w:sz w:val="24"/>
              </w:rPr>
              <w:t>1280</w:t>
            </w:r>
          </w:p>
        </w:tc>
        <w:tc>
          <w:tcPr>
            <w:tcW w:w="2606" w:type="dxa"/>
          </w:tcPr>
          <w:p>
            <w:pPr>
              <w:spacing w:line="3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8" w:type="dxa"/>
          </w:tcPr>
          <w:p>
            <w:pPr>
              <w:spacing w:line="360" w:lineRule="atLeast"/>
              <w:jc w:val="center"/>
              <w:rPr>
                <w:rFonts w:ascii="宋体" w:hAnsi="宋体" w:eastAsia="宋体"/>
                <w:sz w:val="24"/>
              </w:rPr>
            </w:pPr>
            <w:r>
              <w:rPr>
                <w:rFonts w:hint="eastAsia" w:ascii="宋体" w:hAnsi="宋体"/>
                <w:sz w:val="24"/>
              </w:rPr>
              <w:t>9</w:t>
            </w:r>
          </w:p>
        </w:tc>
        <w:tc>
          <w:tcPr>
            <w:tcW w:w="3162" w:type="dxa"/>
          </w:tcPr>
          <w:p>
            <w:pPr>
              <w:spacing w:line="360" w:lineRule="atLeast"/>
              <w:jc w:val="center"/>
              <w:rPr>
                <w:rFonts w:ascii="宋体" w:hAnsi="宋体"/>
                <w:sz w:val="24"/>
                <w:szCs w:val="24"/>
              </w:rPr>
            </w:pPr>
            <w:r>
              <w:rPr>
                <w:rFonts w:hint="eastAsia" w:ascii="宋体" w:hAnsi="宋体"/>
                <w:sz w:val="24"/>
              </w:rPr>
              <w:t>图书信息大楼</w:t>
            </w:r>
          </w:p>
        </w:tc>
        <w:tc>
          <w:tcPr>
            <w:tcW w:w="2354" w:type="dxa"/>
          </w:tcPr>
          <w:p>
            <w:pPr>
              <w:spacing w:line="360" w:lineRule="atLeast"/>
              <w:jc w:val="center"/>
              <w:rPr>
                <w:rFonts w:ascii="宋体" w:hAnsi="宋体"/>
                <w:sz w:val="24"/>
              </w:rPr>
            </w:pPr>
            <w:r>
              <w:rPr>
                <w:rFonts w:hint="eastAsia" w:ascii="宋体" w:hAnsi="宋体"/>
                <w:sz w:val="24"/>
              </w:rPr>
              <w:t>43598</w:t>
            </w:r>
          </w:p>
        </w:tc>
        <w:tc>
          <w:tcPr>
            <w:tcW w:w="2606" w:type="dxa"/>
          </w:tcPr>
          <w:p>
            <w:pPr>
              <w:spacing w:line="3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698" w:type="dxa"/>
          </w:tcPr>
          <w:p>
            <w:pPr>
              <w:spacing w:line="360" w:lineRule="atLeast"/>
              <w:jc w:val="center"/>
              <w:rPr>
                <w:rFonts w:ascii="宋体" w:hAnsi="宋体" w:eastAsia="宋体"/>
                <w:sz w:val="24"/>
              </w:rPr>
            </w:pPr>
            <w:r>
              <w:rPr>
                <w:rFonts w:hint="eastAsia" w:ascii="宋体" w:hAnsi="宋体"/>
                <w:sz w:val="24"/>
              </w:rPr>
              <w:t>10</w:t>
            </w:r>
          </w:p>
        </w:tc>
        <w:tc>
          <w:tcPr>
            <w:tcW w:w="3162" w:type="dxa"/>
          </w:tcPr>
          <w:p>
            <w:pPr>
              <w:spacing w:line="360" w:lineRule="atLeast"/>
              <w:jc w:val="center"/>
              <w:rPr>
                <w:rFonts w:ascii="宋体" w:hAnsi="宋体"/>
                <w:sz w:val="24"/>
                <w:szCs w:val="24"/>
              </w:rPr>
            </w:pPr>
            <w:r>
              <w:rPr>
                <w:rFonts w:hint="eastAsia" w:ascii="宋体" w:hAnsi="宋体"/>
                <w:sz w:val="24"/>
              </w:rPr>
              <w:t>田径场</w:t>
            </w:r>
          </w:p>
        </w:tc>
        <w:tc>
          <w:tcPr>
            <w:tcW w:w="2354" w:type="dxa"/>
          </w:tcPr>
          <w:p>
            <w:pPr>
              <w:spacing w:line="360" w:lineRule="atLeast"/>
              <w:jc w:val="center"/>
              <w:rPr>
                <w:rFonts w:ascii="宋体" w:hAnsi="宋体"/>
                <w:sz w:val="24"/>
              </w:rPr>
            </w:pPr>
            <w:r>
              <w:rPr>
                <w:rFonts w:hint="eastAsia" w:ascii="宋体" w:hAnsi="宋体"/>
                <w:sz w:val="24"/>
              </w:rPr>
              <w:t>5335</w:t>
            </w:r>
          </w:p>
        </w:tc>
        <w:tc>
          <w:tcPr>
            <w:tcW w:w="2606" w:type="dxa"/>
          </w:tcPr>
          <w:p>
            <w:pPr>
              <w:spacing w:line="3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8" w:type="dxa"/>
          </w:tcPr>
          <w:p>
            <w:pPr>
              <w:spacing w:line="360" w:lineRule="atLeast"/>
              <w:jc w:val="center"/>
              <w:rPr>
                <w:rFonts w:ascii="宋体" w:hAnsi="宋体" w:eastAsia="宋体"/>
                <w:sz w:val="24"/>
              </w:rPr>
            </w:pPr>
            <w:r>
              <w:rPr>
                <w:rFonts w:hint="eastAsia" w:ascii="宋体" w:hAnsi="宋体"/>
                <w:sz w:val="24"/>
              </w:rPr>
              <w:t>11</w:t>
            </w:r>
          </w:p>
        </w:tc>
        <w:tc>
          <w:tcPr>
            <w:tcW w:w="3162" w:type="dxa"/>
          </w:tcPr>
          <w:p>
            <w:pPr>
              <w:spacing w:line="360" w:lineRule="atLeast"/>
              <w:jc w:val="center"/>
              <w:rPr>
                <w:rFonts w:ascii="宋体" w:hAnsi="宋体"/>
                <w:sz w:val="24"/>
                <w:szCs w:val="24"/>
              </w:rPr>
            </w:pPr>
            <w:r>
              <w:rPr>
                <w:rFonts w:hint="eastAsia" w:ascii="宋体" w:hAnsi="宋体"/>
                <w:sz w:val="24"/>
              </w:rPr>
              <w:t>机械学院实验室</w:t>
            </w:r>
          </w:p>
        </w:tc>
        <w:tc>
          <w:tcPr>
            <w:tcW w:w="2354" w:type="dxa"/>
          </w:tcPr>
          <w:p>
            <w:pPr>
              <w:spacing w:line="360" w:lineRule="atLeast"/>
              <w:jc w:val="center"/>
              <w:rPr>
                <w:rFonts w:ascii="宋体" w:hAnsi="宋体"/>
                <w:sz w:val="24"/>
              </w:rPr>
            </w:pPr>
            <w:r>
              <w:rPr>
                <w:rFonts w:hint="eastAsia" w:ascii="宋体" w:hAnsi="宋体"/>
                <w:sz w:val="24"/>
              </w:rPr>
              <w:t>600</w:t>
            </w:r>
          </w:p>
        </w:tc>
        <w:tc>
          <w:tcPr>
            <w:tcW w:w="2606" w:type="dxa"/>
          </w:tcPr>
          <w:p>
            <w:pPr>
              <w:spacing w:line="360" w:lineRule="atLeast"/>
              <w:jc w:val="center"/>
              <w:rPr>
                <w:rFonts w:ascii="宋体" w:hAnsi="宋体"/>
                <w:sz w:val="24"/>
              </w:rPr>
            </w:pPr>
            <w:r>
              <w:rPr>
                <w:rFonts w:hint="eastAsia" w:ascii="宋体" w:hAnsi="宋体"/>
                <w:sz w:val="24"/>
              </w:rPr>
              <w:t>原卫生所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8" w:type="dxa"/>
          </w:tcPr>
          <w:p>
            <w:pPr>
              <w:spacing w:line="360" w:lineRule="atLeast"/>
              <w:jc w:val="center"/>
              <w:rPr>
                <w:rFonts w:ascii="宋体" w:hAnsi="宋体" w:eastAsia="宋体"/>
                <w:sz w:val="24"/>
              </w:rPr>
            </w:pPr>
            <w:r>
              <w:rPr>
                <w:rFonts w:hint="eastAsia" w:ascii="宋体" w:hAnsi="宋体"/>
                <w:sz w:val="24"/>
              </w:rPr>
              <w:t>12</w:t>
            </w:r>
          </w:p>
        </w:tc>
        <w:tc>
          <w:tcPr>
            <w:tcW w:w="3162" w:type="dxa"/>
          </w:tcPr>
          <w:p>
            <w:pPr>
              <w:spacing w:line="360" w:lineRule="atLeast"/>
              <w:jc w:val="center"/>
              <w:rPr>
                <w:rFonts w:ascii="宋体" w:hAnsi="宋体"/>
                <w:sz w:val="24"/>
                <w:szCs w:val="24"/>
              </w:rPr>
            </w:pPr>
            <w:r>
              <w:rPr>
                <w:rFonts w:hint="eastAsia" w:ascii="宋体" w:hAnsi="宋体"/>
                <w:sz w:val="24"/>
              </w:rPr>
              <w:t>生化学院重点实验室</w:t>
            </w:r>
          </w:p>
        </w:tc>
        <w:tc>
          <w:tcPr>
            <w:tcW w:w="2354" w:type="dxa"/>
          </w:tcPr>
          <w:p>
            <w:pPr>
              <w:spacing w:line="360" w:lineRule="atLeast"/>
              <w:jc w:val="center"/>
              <w:rPr>
                <w:rFonts w:ascii="宋体" w:hAnsi="宋体"/>
                <w:sz w:val="24"/>
              </w:rPr>
            </w:pPr>
            <w:r>
              <w:rPr>
                <w:rFonts w:hint="eastAsia" w:ascii="宋体" w:hAnsi="宋体"/>
                <w:sz w:val="24"/>
              </w:rPr>
              <w:t>800</w:t>
            </w:r>
          </w:p>
        </w:tc>
        <w:tc>
          <w:tcPr>
            <w:tcW w:w="2606" w:type="dxa"/>
          </w:tcPr>
          <w:p>
            <w:pPr>
              <w:spacing w:line="3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8" w:type="dxa"/>
          </w:tcPr>
          <w:p>
            <w:pPr>
              <w:spacing w:line="360" w:lineRule="atLeast"/>
              <w:jc w:val="center"/>
              <w:rPr>
                <w:rFonts w:ascii="宋体" w:hAnsi="宋体" w:eastAsia="宋体"/>
                <w:sz w:val="24"/>
              </w:rPr>
            </w:pPr>
            <w:r>
              <w:rPr>
                <w:rFonts w:hint="eastAsia" w:ascii="宋体" w:hAnsi="宋体"/>
                <w:sz w:val="24"/>
              </w:rPr>
              <w:t>13</w:t>
            </w:r>
          </w:p>
        </w:tc>
        <w:tc>
          <w:tcPr>
            <w:tcW w:w="3162" w:type="dxa"/>
          </w:tcPr>
          <w:p>
            <w:pPr>
              <w:spacing w:line="360" w:lineRule="atLeast"/>
              <w:jc w:val="center"/>
              <w:rPr>
                <w:rFonts w:ascii="宋体" w:hAnsi="宋体"/>
                <w:sz w:val="24"/>
                <w:szCs w:val="24"/>
              </w:rPr>
            </w:pPr>
            <w:r>
              <w:rPr>
                <w:rFonts w:hint="eastAsia" w:ascii="宋体" w:hAnsi="宋体"/>
                <w:sz w:val="24"/>
              </w:rPr>
              <w:t>西和食堂四楼学生活动室</w:t>
            </w:r>
          </w:p>
        </w:tc>
        <w:tc>
          <w:tcPr>
            <w:tcW w:w="2354" w:type="dxa"/>
          </w:tcPr>
          <w:p>
            <w:pPr>
              <w:spacing w:line="360" w:lineRule="atLeast"/>
              <w:jc w:val="center"/>
              <w:rPr>
                <w:rFonts w:ascii="宋体" w:hAnsi="宋体"/>
                <w:sz w:val="24"/>
              </w:rPr>
            </w:pPr>
            <w:r>
              <w:rPr>
                <w:rFonts w:hint="eastAsia" w:ascii="宋体" w:hAnsi="宋体"/>
                <w:sz w:val="24"/>
              </w:rPr>
              <w:t>2100</w:t>
            </w:r>
          </w:p>
        </w:tc>
        <w:tc>
          <w:tcPr>
            <w:tcW w:w="2606" w:type="dxa"/>
          </w:tcPr>
          <w:p>
            <w:pPr>
              <w:spacing w:line="3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8" w:type="dxa"/>
          </w:tcPr>
          <w:p>
            <w:pPr>
              <w:spacing w:line="360" w:lineRule="atLeast"/>
              <w:jc w:val="center"/>
              <w:rPr>
                <w:rFonts w:ascii="宋体" w:hAnsi="宋体" w:eastAsia="宋体"/>
                <w:sz w:val="24"/>
              </w:rPr>
            </w:pPr>
            <w:r>
              <w:rPr>
                <w:rFonts w:hint="eastAsia" w:ascii="宋体" w:hAnsi="宋体"/>
                <w:sz w:val="24"/>
              </w:rPr>
              <w:t>14</w:t>
            </w:r>
          </w:p>
        </w:tc>
        <w:tc>
          <w:tcPr>
            <w:tcW w:w="3162" w:type="dxa"/>
          </w:tcPr>
          <w:p>
            <w:pPr>
              <w:spacing w:line="360" w:lineRule="atLeast"/>
              <w:jc w:val="center"/>
              <w:rPr>
                <w:rFonts w:ascii="宋体" w:hAnsi="宋体"/>
                <w:sz w:val="24"/>
                <w:szCs w:val="24"/>
              </w:rPr>
            </w:pPr>
            <w:r>
              <w:rPr>
                <w:rFonts w:hint="eastAsia" w:ascii="宋体" w:hAnsi="宋体"/>
                <w:sz w:val="24"/>
              </w:rPr>
              <w:t>体育馆</w:t>
            </w:r>
          </w:p>
        </w:tc>
        <w:tc>
          <w:tcPr>
            <w:tcW w:w="2354" w:type="dxa"/>
          </w:tcPr>
          <w:p>
            <w:pPr>
              <w:spacing w:line="360" w:lineRule="atLeast"/>
              <w:jc w:val="center"/>
              <w:rPr>
                <w:rFonts w:ascii="宋体" w:hAnsi="宋体"/>
                <w:sz w:val="24"/>
              </w:rPr>
            </w:pPr>
            <w:r>
              <w:rPr>
                <w:rFonts w:hint="eastAsia" w:ascii="宋体" w:hAnsi="宋体"/>
                <w:sz w:val="24"/>
              </w:rPr>
              <w:t>9700</w:t>
            </w:r>
          </w:p>
        </w:tc>
        <w:tc>
          <w:tcPr>
            <w:tcW w:w="2606" w:type="dxa"/>
          </w:tcPr>
          <w:p>
            <w:pPr>
              <w:spacing w:line="360" w:lineRule="atLeast"/>
              <w:jc w:val="center"/>
              <w:rPr>
                <w:rFonts w:ascii="宋体" w:hAnsi="宋体"/>
                <w:sz w:val="24"/>
              </w:rPr>
            </w:pPr>
            <w:r>
              <w:rPr>
                <w:rFonts w:hint="eastAsia" w:ascii="宋体" w:hAnsi="宋体"/>
                <w:sz w:val="24"/>
              </w:rPr>
              <w:t>2015年11月年新增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60" w:type="dxa"/>
            <w:gridSpan w:val="2"/>
          </w:tcPr>
          <w:p>
            <w:pPr>
              <w:spacing w:line="360" w:lineRule="atLeast"/>
              <w:jc w:val="center"/>
              <w:rPr>
                <w:rFonts w:ascii="宋体" w:hAnsi="宋体"/>
                <w:sz w:val="24"/>
                <w:szCs w:val="24"/>
              </w:rPr>
            </w:pPr>
            <w:r>
              <w:rPr>
                <w:rFonts w:hint="eastAsia" w:ascii="宋体" w:hAnsi="宋体"/>
                <w:sz w:val="24"/>
              </w:rPr>
              <w:t>小计</w:t>
            </w:r>
          </w:p>
        </w:tc>
        <w:tc>
          <w:tcPr>
            <w:tcW w:w="4960" w:type="dxa"/>
            <w:gridSpan w:val="2"/>
          </w:tcPr>
          <w:p>
            <w:pPr>
              <w:spacing w:line="360" w:lineRule="atLeast"/>
              <w:jc w:val="center"/>
              <w:rPr>
                <w:rFonts w:ascii="宋体" w:hAnsi="宋体"/>
                <w:sz w:val="24"/>
              </w:rPr>
            </w:pPr>
            <w:r>
              <w:rPr>
                <w:rFonts w:hint="eastAsia" w:ascii="宋体" w:hAnsi="宋体"/>
                <w:sz w:val="24"/>
              </w:rPr>
              <w:t>238310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820" w:type="dxa"/>
            <w:gridSpan w:val="4"/>
            <w:shd w:val="clear" w:color="auto" w:fill="A4A4A4"/>
          </w:tcPr>
          <w:p>
            <w:pPr>
              <w:spacing w:line="360" w:lineRule="atLeast"/>
              <w:jc w:val="center"/>
              <w:rPr>
                <w:rFonts w:ascii="宋体" w:hAnsi="宋体" w:eastAsia="宋体"/>
                <w:b/>
                <w:bCs/>
                <w:sz w:val="24"/>
              </w:rPr>
            </w:pPr>
            <w:r>
              <w:rPr>
                <w:rFonts w:hint="eastAsia" w:ascii="宋体" w:hAnsi="宋体"/>
                <w:b/>
                <w:bCs/>
                <w:sz w:val="24"/>
              </w:rPr>
              <w:t>小和山校区房屋维修（维护）建筑面积（室外）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8" w:type="dxa"/>
          </w:tcPr>
          <w:p>
            <w:pPr>
              <w:spacing w:line="360" w:lineRule="atLeast"/>
              <w:jc w:val="center"/>
              <w:rPr>
                <w:rFonts w:ascii="宋体" w:hAnsi="宋体"/>
                <w:b/>
                <w:bCs/>
                <w:sz w:val="24"/>
                <w:szCs w:val="24"/>
              </w:rPr>
            </w:pPr>
            <w:r>
              <w:rPr>
                <w:rFonts w:hint="eastAsia" w:ascii="宋体" w:hAnsi="宋体"/>
                <w:b/>
                <w:bCs/>
                <w:sz w:val="24"/>
                <w:szCs w:val="24"/>
              </w:rPr>
              <w:t>序号</w:t>
            </w:r>
          </w:p>
        </w:tc>
        <w:tc>
          <w:tcPr>
            <w:tcW w:w="3162" w:type="dxa"/>
          </w:tcPr>
          <w:p>
            <w:pPr>
              <w:spacing w:line="360" w:lineRule="atLeast"/>
              <w:jc w:val="center"/>
              <w:rPr>
                <w:rFonts w:ascii="宋体" w:hAnsi="宋体"/>
                <w:b/>
                <w:bCs/>
                <w:sz w:val="24"/>
                <w:szCs w:val="24"/>
              </w:rPr>
            </w:pPr>
            <w:r>
              <w:rPr>
                <w:rFonts w:hint="eastAsia" w:ascii="宋体" w:hAnsi="宋体"/>
                <w:b/>
                <w:bCs/>
                <w:sz w:val="24"/>
              </w:rPr>
              <w:t>建筑物名称</w:t>
            </w:r>
          </w:p>
        </w:tc>
        <w:tc>
          <w:tcPr>
            <w:tcW w:w="2354" w:type="dxa"/>
          </w:tcPr>
          <w:p>
            <w:pPr>
              <w:spacing w:line="360" w:lineRule="atLeast"/>
              <w:jc w:val="center"/>
              <w:rPr>
                <w:rFonts w:ascii="宋体" w:hAnsi="宋体"/>
                <w:b/>
                <w:bCs/>
                <w:sz w:val="24"/>
                <w:szCs w:val="24"/>
              </w:rPr>
            </w:pPr>
            <w:r>
              <w:rPr>
                <w:rFonts w:hint="eastAsia" w:ascii="宋体" w:hAnsi="宋体"/>
                <w:b/>
                <w:bCs/>
                <w:sz w:val="24"/>
              </w:rPr>
              <w:t>面积</w:t>
            </w:r>
            <w:r>
              <w:rPr>
                <w:rFonts w:hint="eastAsia" w:ascii="宋体" w:hAnsi="宋体"/>
                <w:b/>
                <w:bCs/>
                <w:szCs w:val="21"/>
              </w:rPr>
              <w:t>（平方米）</w:t>
            </w:r>
          </w:p>
        </w:tc>
        <w:tc>
          <w:tcPr>
            <w:tcW w:w="2606" w:type="dxa"/>
          </w:tcPr>
          <w:p>
            <w:pPr>
              <w:spacing w:line="360" w:lineRule="atLeast"/>
              <w:jc w:val="center"/>
              <w:rPr>
                <w:rFonts w:ascii="宋体" w:hAnsi="宋体"/>
                <w:b/>
                <w:bCs/>
                <w:sz w:val="24"/>
                <w:szCs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8" w:type="dxa"/>
          </w:tcPr>
          <w:p>
            <w:pPr>
              <w:spacing w:line="360" w:lineRule="atLeast"/>
              <w:jc w:val="center"/>
              <w:rPr>
                <w:rFonts w:ascii="宋体" w:hAnsi="宋体" w:eastAsia="宋体"/>
                <w:sz w:val="24"/>
              </w:rPr>
            </w:pPr>
            <w:r>
              <w:rPr>
                <w:rFonts w:hint="eastAsia" w:ascii="宋体" w:hAnsi="宋体"/>
                <w:sz w:val="24"/>
              </w:rPr>
              <w:t>1</w:t>
            </w:r>
          </w:p>
        </w:tc>
        <w:tc>
          <w:tcPr>
            <w:tcW w:w="3162" w:type="dxa"/>
          </w:tcPr>
          <w:p>
            <w:pPr>
              <w:spacing w:line="360" w:lineRule="atLeast"/>
              <w:jc w:val="center"/>
              <w:rPr>
                <w:rFonts w:ascii="宋体" w:hAnsi="宋体" w:eastAsia="宋体"/>
                <w:sz w:val="24"/>
              </w:rPr>
            </w:pPr>
            <w:r>
              <w:rPr>
                <w:rFonts w:hint="eastAsia" w:ascii="宋体" w:hAnsi="宋体"/>
                <w:sz w:val="24"/>
              </w:rPr>
              <w:t>室外道路、广场</w:t>
            </w:r>
          </w:p>
        </w:tc>
        <w:tc>
          <w:tcPr>
            <w:tcW w:w="2354" w:type="dxa"/>
          </w:tcPr>
          <w:p>
            <w:pPr>
              <w:spacing w:line="360" w:lineRule="atLeast"/>
              <w:jc w:val="center"/>
              <w:rPr>
                <w:rFonts w:ascii="宋体" w:hAnsi="宋体" w:eastAsia="宋体"/>
                <w:sz w:val="24"/>
              </w:rPr>
            </w:pPr>
            <w:r>
              <w:rPr>
                <w:rFonts w:hint="eastAsia" w:ascii="宋体" w:hAnsi="宋体"/>
                <w:sz w:val="24"/>
              </w:rPr>
              <w:t>117113</w:t>
            </w:r>
          </w:p>
        </w:tc>
        <w:tc>
          <w:tcPr>
            <w:tcW w:w="2606" w:type="dxa"/>
          </w:tcPr>
          <w:p>
            <w:pPr>
              <w:spacing w:line="3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60" w:type="dxa"/>
            <w:gridSpan w:val="2"/>
          </w:tcPr>
          <w:p>
            <w:pPr>
              <w:spacing w:line="360" w:lineRule="atLeast"/>
              <w:jc w:val="center"/>
              <w:rPr>
                <w:rFonts w:ascii="宋体" w:hAnsi="宋体" w:eastAsia="宋体"/>
                <w:sz w:val="24"/>
              </w:rPr>
            </w:pPr>
            <w:r>
              <w:rPr>
                <w:rFonts w:hint="eastAsia" w:ascii="宋体" w:hAnsi="宋体"/>
                <w:sz w:val="24"/>
              </w:rPr>
              <w:t>小计（20%折算）</w:t>
            </w:r>
          </w:p>
        </w:tc>
        <w:tc>
          <w:tcPr>
            <w:tcW w:w="4960" w:type="dxa"/>
            <w:gridSpan w:val="2"/>
          </w:tcPr>
          <w:p>
            <w:pPr>
              <w:spacing w:line="360" w:lineRule="atLeast"/>
              <w:jc w:val="center"/>
              <w:rPr>
                <w:rFonts w:ascii="宋体" w:hAnsi="宋体" w:eastAsia="宋体"/>
                <w:sz w:val="24"/>
              </w:rPr>
            </w:pPr>
            <w:r>
              <w:rPr>
                <w:rFonts w:hint="eastAsia" w:ascii="宋体" w:hAnsi="宋体"/>
                <w:sz w:val="24"/>
              </w:rPr>
              <w:t>23423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60" w:type="dxa"/>
            <w:gridSpan w:val="2"/>
          </w:tcPr>
          <w:p>
            <w:pPr>
              <w:spacing w:line="360" w:lineRule="atLeast"/>
              <w:jc w:val="center"/>
              <w:rPr>
                <w:rFonts w:ascii="宋体" w:hAnsi="宋体" w:eastAsia="宋体"/>
                <w:sz w:val="24"/>
              </w:rPr>
            </w:pPr>
            <w:r>
              <w:rPr>
                <w:rFonts w:hint="eastAsia" w:ascii="宋体" w:hAnsi="宋体"/>
                <w:b/>
                <w:bCs/>
                <w:sz w:val="24"/>
              </w:rPr>
              <w:t>面积合计</w:t>
            </w:r>
          </w:p>
        </w:tc>
        <w:tc>
          <w:tcPr>
            <w:tcW w:w="4960" w:type="dxa"/>
            <w:gridSpan w:val="2"/>
          </w:tcPr>
          <w:p>
            <w:pPr>
              <w:spacing w:line="360" w:lineRule="atLeast"/>
              <w:jc w:val="center"/>
              <w:rPr>
                <w:rFonts w:ascii="宋体" w:hAnsi="宋体"/>
                <w:sz w:val="24"/>
              </w:rPr>
            </w:pPr>
            <w:r>
              <w:rPr>
                <w:rFonts w:hint="eastAsia"/>
                <w:sz w:val="24"/>
              </w:rPr>
              <w:t>261733</w:t>
            </w:r>
          </w:p>
        </w:tc>
      </w:tr>
    </w:tbl>
    <w:p>
      <w:pPr>
        <w:pStyle w:val="161"/>
        <w:spacing w:line="360" w:lineRule="auto"/>
        <w:ind w:firstLine="0" w:firstLineChars="0"/>
        <w:rPr>
          <w:rFonts w:ascii="宋体" w:hAnsi="宋体"/>
          <w:sz w:val="24"/>
        </w:rPr>
      </w:pPr>
      <w:r>
        <w:rPr>
          <w:rFonts w:hint="eastAsia" w:ascii="宋体" w:hAnsi="宋体"/>
          <w:sz w:val="24"/>
        </w:rPr>
        <w:t xml:space="preserve">     （</w:t>
      </w:r>
      <w:r>
        <w:rPr>
          <w:rFonts w:hint="eastAsia" w:ascii="宋体" w:hAnsi="宋体"/>
          <w:sz w:val="24"/>
          <w:lang w:val="en-US" w:eastAsia="zh-CN"/>
        </w:rPr>
        <w:t>该数据仅做参考，</w:t>
      </w:r>
      <w:r>
        <w:rPr>
          <w:rFonts w:hint="eastAsia" w:ascii="宋体" w:hAnsi="宋体"/>
          <w:sz w:val="24"/>
        </w:rPr>
        <w:t>以学校实际指定区域为准）</w:t>
      </w:r>
    </w:p>
    <w:p>
      <w:pPr>
        <w:pStyle w:val="161"/>
        <w:spacing w:line="360" w:lineRule="auto"/>
        <w:ind w:left="420" w:firstLine="0" w:firstLineChars="0"/>
        <w:rPr>
          <w:rFonts w:ascii="宋体" w:hAnsi="宋体"/>
          <w:sz w:val="24"/>
        </w:rPr>
      </w:pPr>
    </w:p>
    <w:p>
      <w:pPr>
        <w:pStyle w:val="161"/>
        <w:numPr>
          <w:ilvl w:val="0"/>
          <w:numId w:val="5"/>
        </w:numPr>
        <w:spacing w:line="360" w:lineRule="auto"/>
        <w:ind w:firstLineChars="0"/>
        <w:outlineLvl w:val="0"/>
        <w:rPr>
          <w:rFonts w:ascii="宋体" w:hAnsi="宋体"/>
          <w:b/>
          <w:sz w:val="24"/>
        </w:rPr>
      </w:pPr>
      <w:r>
        <w:rPr>
          <w:rFonts w:hint="eastAsia" w:ascii="宋体" w:hAnsi="宋体"/>
          <w:b/>
          <w:sz w:val="24"/>
        </w:rPr>
        <w:t>宿舍管理服务采购需求</w:t>
      </w:r>
    </w:p>
    <w:p>
      <w:pPr>
        <w:pStyle w:val="161"/>
        <w:numPr>
          <w:ilvl w:val="0"/>
          <w:numId w:val="14"/>
        </w:numPr>
        <w:spacing w:line="360" w:lineRule="auto"/>
        <w:ind w:firstLineChars="0"/>
        <w:rPr>
          <w:rFonts w:eastAsiaTheme="minorHAnsi"/>
          <w:sz w:val="24"/>
        </w:rPr>
      </w:pPr>
      <w:r>
        <w:rPr>
          <w:rFonts w:hint="eastAsia" w:eastAsiaTheme="minorHAnsi"/>
          <w:sz w:val="24"/>
        </w:rPr>
        <w:t>服务范围：</w:t>
      </w:r>
    </w:p>
    <w:p>
      <w:pPr>
        <w:pStyle w:val="161"/>
        <w:numPr>
          <w:ilvl w:val="0"/>
          <w:numId w:val="15"/>
        </w:numPr>
        <w:spacing w:line="360" w:lineRule="auto"/>
        <w:ind w:firstLineChars="0"/>
        <w:rPr>
          <w:rFonts w:eastAsiaTheme="minorHAnsi"/>
          <w:sz w:val="24"/>
        </w:rPr>
      </w:pPr>
      <w:r>
        <w:rPr>
          <w:rFonts w:hint="eastAsia"/>
          <w:sz w:val="24"/>
        </w:rPr>
        <w:t>全校各类学生的寝室安排与调配工作，管理学生宿舍楼内的公共设施，并做好各类零星维修工作，使之处于完好状态。</w:t>
      </w:r>
    </w:p>
    <w:p>
      <w:pPr>
        <w:pStyle w:val="161"/>
        <w:numPr>
          <w:ilvl w:val="0"/>
          <w:numId w:val="15"/>
        </w:numPr>
        <w:spacing w:line="360" w:lineRule="auto"/>
        <w:ind w:firstLineChars="0"/>
        <w:rPr>
          <w:sz w:val="24"/>
        </w:rPr>
      </w:pPr>
      <w:r>
        <w:rPr>
          <w:rFonts w:hint="eastAsia"/>
          <w:sz w:val="24"/>
        </w:rPr>
        <w:t>宿舍楼内公共部位的保洁及其周边的环卫。</w:t>
      </w:r>
    </w:p>
    <w:p>
      <w:pPr>
        <w:pStyle w:val="161"/>
        <w:numPr>
          <w:ilvl w:val="0"/>
          <w:numId w:val="15"/>
        </w:numPr>
        <w:spacing w:line="360" w:lineRule="auto"/>
        <w:ind w:firstLineChars="0"/>
        <w:rPr>
          <w:sz w:val="24"/>
        </w:rPr>
      </w:pPr>
      <w:r>
        <w:rPr>
          <w:rFonts w:hint="eastAsia"/>
          <w:sz w:val="24"/>
        </w:rPr>
        <w:t>严格执行学校有关规章制度，维持公共秩序，承担门卫值班任务。协助学校相关职能部门做好宿舍区域内的安全保卫工作。</w:t>
      </w:r>
    </w:p>
    <w:p>
      <w:pPr>
        <w:pStyle w:val="161"/>
        <w:numPr>
          <w:ilvl w:val="0"/>
          <w:numId w:val="15"/>
        </w:numPr>
        <w:spacing w:line="360" w:lineRule="auto"/>
        <w:ind w:firstLineChars="0"/>
        <w:rPr>
          <w:sz w:val="24"/>
        </w:rPr>
      </w:pPr>
      <w:r>
        <w:rPr>
          <w:rFonts w:hint="eastAsia"/>
          <w:sz w:val="24"/>
        </w:rPr>
        <w:t>建立和健全学生宿舍内部管理制度，开展公寓文化建设，加强公寓数字信息化建设与管理，提高公寓文化品位。</w:t>
      </w:r>
    </w:p>
    <w:p>
      <w:pPr>
        <w:pStyle w:val="161"/>
        <w:numPr>
          <w:ilvl w:val="0"/>
          <w:numId w:val="15"/>
        </w:numPr>
        <w:spacing w:line="360" w:lineRule="auto"/>
        <w:ind w:firstLineChars="0"/>
        <w:rPr>
          <w:sz w:val="24"/>
        </w:rPr>
      </w:pPr>
      <w:r>
        <w:rPr>
          <w:rFonts w:hint="eastAsia"/>
          <w:sz w:val="24"/>
        </w:rPr>
        <w:t>节水节电，爱护公物，培养学生的文明行为，创造优雅的住宿环境。</w:t>
      </w:r>
    </w:p>
    <w:p>
      <w:pPr>
        <w:pStyle w:val="161"/>
        <w:numPr>
          <w:ilvl w:val="0"/>
          <w:numId w:val="15"/>
        </w:numPr>
        <w:spacing w:line="360" w:lineRule="auto"/>
        <w:ind w:firstLineChars="0"/>
        <w:rPr>
          <w:sz w:val="24"/>
        </w:rPr>
      </w:pPr>
      <w:r>
        <w:rPr>
          <w:rFonts w:hint="eastAsia"/>
          <w:sz w:val="24"/>
        </w:rPr>
        <w:t>协助做好学生宿舍住宿费的收缴工作。</w:t>
      </w:r>
    </w:p>
    <w:p>
      <w:pPr>
        <w:pStyle w:val="161"/>
        <w:numPr>
          <w:ilvl w:val="0"/>
          <w:numId w:val="15"/>
        </w:numPr>
        <w:spacing w:line="360" w:lineRule="auto"/>
        <w:ind w:firstLineChars="0"/>
        <w:rPr>
          <w:snapToGrid w:val="0"/>
          <w:sz w:val="24"/>
        </w:rPr>
      </w:pPr>
      <w:r>
        <w:rPr>
          <w:rFonts w:hint="eastAsia"/>
          <w:sz w:val="24"/>
          <w:lang w:val="en-US" w:eastAsia="zh-CN"/>
        </w:rPr>
        <w:t>做好</w:t>
      </w:r>
      <w:r>
        <w:rPr>
          <w:rFonts w:hint="eastAsia"/>
          <w:sz w:val="24"/>
        </w:rPr>
        <w:t>教职工单身公寓（位于西和公寓15号楼）的公共部位（包括楼道、洗衣房、厨房等）的清卫工作。</w:t>
      </w:r>
    </w:p>
    <w:p>
      <w:pPr>
        <w:pStyle w:val="161"/>
        <w:numPr>
          <w:ilvl w:val="0"/>
          <w:numId w:val="15"/>
        </w:numPr>
        <w:spacing w:line="360" w:lineRule="auto"/>
        <w:ind w:firstLineChars="0"/>
        <w:rPr>
          <w:snapToGrid w:val="0"/>
          <w:sz w:val="24"/>
        </w:rPr>
      </w:pPr>
      <w:r>
        <w:rPr>
          <w:rFonts w:hint="eastAsia"/>
          <w:sz w:val="24"/>
        </w:rPr>
        <w:t>小和山校区公寓，公寓数</w:t>
      </w:r>
      <w:r>
        <w:rPr>
          <w:rFonts w:hint="eastAsia" w:ascii="宋体" w:hAnsi="宋体"/>
          <w:sz w:val="24"/>
          <w:szCs w:val="24"/>
        </w:rPr>
        <w:t>以学校实际核定为准</w:t>
      </w:r>
      <w:r>
        <w:rPr>
          <w:rFonts w:hint="eastAsia" w:ascii="宋体" w:hAnsi="宋体"/>
          <w:sz w:val="24"/>
        </w:rPr>
        <w:t>。</w:t>
      </w:r>
    </w:p>
    <w:p>
      <w:pPr>
        <w:numPr>
          <w:ilvl w:val="0"/>
          <w:numId w:val="16"/>
        </w:numPr>
        <w:spacing w:line="360" w:lineRule="auto"/>
        <w:rPr>
          <w:snapToGrid w:val="0"/>
          <w:sz w:val="24"/>
        </w:rPr>
      </w:pPr>
      <w:r>
        <w:rPr>
          <w:rFonts w:hint="eastAsia"/>
          <w:snapToGrid w:val="0"/>
          <w:sz w:val="24"/>
        </w:rPr>
        <w:t>服务要求：</w:t>
      </w:r>
    </w:p>
    <w:p>
      <w:pPr>
        <w:numPr>
          <w:ilvl w:val="0"/>
          <w:numId w:val="17"/>
        </w:numPr>
        <w:spacing w:line="360" w:lineRule="auto"/>
        <w:rPr>
          <w:sz w:val="24"/>
        </w:rPr>
      </w:pPr>
      <w:r>
        <w:rPr>
          <w:rFonts w:hint="eastAsia"/>
          <w:sz w:val="24"/>
        </w:rPr>
        <w:t xml:space="preserve"> 做好学生宿舍内寝室家具和公共设施设备的保管和日常维护工作，未经甲方同意，不得擅自将学生寝室内的家具等设施设备挪作它用。</w:t>
      </w:r>
    </w:p>
    <w:p>
      <w:pPr>
        <w:spacing w:line="360" w:lineRule="auto"/>
        <w:rPr>
          <w:sz w:val="24"/>
        </w:rPr>
      </w:pPr>
      <w:r>
        <w:rPr>
          <w:rFonts w:hint="eastAsia"/>
          <w:sz w:val="24"/>
        </w:rPr>
        <w:t>2.  学生宿舍楼设值班室，实行门卫昼夜值班。每天对楼内公共走廊、楼梯、门厅、门窗、厕所、盥洗间进行打扫，做到无明显灰尘，无蜘蛛网，无垃圾杂物，无积水。</w:t>
      </w:r>
    </w:p>
    <w:p>
      <w:pPr>
        <w:spacing w:line="360" w:lineRule="auto"/>
        <w:rPr>
          <w:sz w:val="24"/>
        </w:rPr>
      </w:pPr>
      <w:r>
        <w:rPr>
          <w:rFonts w:hint="eastAsia"/>
          <w:sz w:val="24"/>
        </w:rPr>
        <w:t>3.  保持学生宿舍完好，及时做好宿舍楼宇及室内设施、设备的零星维修工作（完好率参照室内协议执行）。引导学生树立节约水电的意识，做好节水节电工作。</w:t>
      </w:r>
    </w:p>
    <w:p>
      <w:pPr>
        <w:spacing w:line="360" w:lineRule="auto"/>
        <w:rPr>
          <w:rFonts w:ascii="宋体" w:hAnsi="宋体"/>
          <w:sz w:val="24"/>
        </w:rPr>
      </w:pPr>
      <w:r>
        <w:rPr>
          <w:rFonts w:hint="eastAsia" w:ascii="宋体" w:hAnsi="宋体"/>
          <w:sz w:val="24"/>
        </w:rPr>
        <w:t>4.  配合学校相关部门和学生辅导员做好学生的思想教育工作，为思想政治工作进学生宿舍提供方便。</w:t>
      </w:r>
    </w:p>
    <w:p>
      <w:pPr>
        <w:spacing w:line="360" w:lineRule="auto"/>
        <w:rPr>
          <w:sz w:val="24"/>
        </w:rPr>
      </w:pPr>
      <w:r>
        <w:rPr>
          <w:rFonts w:hint="eastAsia"/>
          <w:sz w:val="24"/>
        </w:rPr>
        <w:t>5.  以管理育人、服务育人为原则，要求配备具有一定素质的宿舍管理人员。宿管人员工作态度要端正，对待学生讲究方式方法，言传身教，促进学生综合素质的提高。</w:t>
      </w:r>
    </w:p>
    <w:p>
      <w:pPr>
        <w:spacing w:line="360" w:lineRule="auto"/>
        <w:rPr>
          <w:sz w:val="24"/>
        </w:rPr>
      </w:pPr>
      <w:r>
        <w:rPr>
          <w:sz w:val="24"/>
        </w:rPr>
        <w:t>6</w:t>
      </w:r>
      <w:r>
        <w:rPr>
          <w:rFonts w:hint="eastAsia"/>
          <w:sz w:val="24"/>
        </w:rPr>
        <w:t>.  及时向学校有关部门提供反映学生宿舍情况的各种书面资料，及时向学校有关部门和二级学院反映学生宿舍发生的事情并协助处理。</w:t>
      </w:r>
    </w:p>
    <w:p>
      <w:pPr>
        <w:spacing w:line="360" w:lineRule="auto"/>
        <w:rPr>
          <w:sz w:val="24"/>
        </w:rPr>
      </w:pPr>
      <w:r>
        <w:rPr>
          <w:rFonts w:hint="eastAsia"/>
          <w:sz w:val="24"/>
        </w:rPr>
        <w:t>7.  未经学校职能部门同意，学生宿舍内原则上禁止外来人员居住（学校后勤服务人员除外）。</w:t>
      </w:r>
    </w:p>
    <w:p>
      <w:pPr>
        <w:spacing w:line="360" w:lineRule="auto"/>
        <w:rPr>
          <w:sz w:val="24"/>
        </w:rPr>
      </w:pPr>
      <w:r>
        <w:rPr>
          <w:rFonts w:hint="eastAsia"/>
          <w:sz w:val="24"/>
        </w:rPr>
        <w:t>8.  具体区域为浙江科技学院小和山小区西和、东和学生公寓（合计23幢，含教师单身公寓）</w:t>
      </w:r>
    </w:p>
    <w:p>
      <w:pPr>
        <w:spacing w:line="360" w:lineRule="auto"/>
        <w:rPr>
          <w:sz w:val="24"/>
        </w:rPr>
      </w:pPr>
      <w:r>
        <w:rPr>
          <w:rFonts w:hint="eastAsia"/>
          <w:sz w:val="24"/>
        </w:rPr>
        <w:t>9. 需要人员：管理人员不少于8人，一线工人不少于74人。</w:t>
      </w:r>
    </w:p>
    <w:p>
      <w:pPr>
        <w:numPr>
          <w:ilvl w:val="0"/>
          <w:numId w:val="18"/>
        </w:numPr>
        <w:tabs>
          <w:tab w:val="center" w:pos="4153"/>
        </w:tabs>
        <w:spacing w:line="360" w:lineRule="auto"/>
        <w:outlineLvl w:val="0"/>
        <w:rPr>
          <w:snapToGrid w:val="0"/>
          <w:sz w:val="24"/>
        </w:rPr>
      </w:pPr>
      <w:r>
        <w:rPr>
          <w:rFonts w:hint="eastAsia"/>
          <w:b/>
          <w:snapToGrid w:val="0"/>
          <w:sz w:val="24"/>
        </w:rPr>
        <w:t xml:space="preserve"> 服务期限： </w:t>
      </w:r>
      <w:r>
        <w:rPr>
          <w:rFonts w:hint="eastAsia"/>
          <w:snapToGrid w:val="0"/>
          <w:sz w:val="24"/>
        </w:rPr>
        <w:t>1年</w:t>
      </w:r>
    </w:p>
    <w:p>
      <w:pPr>
        <w:numPr>
          <w:ilvl w:val="0"/>
          <w:numId w:val="18"/>
        </w:numPr>
        <w:tabs>
          <w:tab w:val="center" w:pos="4153"/>
        </w:tabs>
        <w:spacing w:line="360" w:lineRule="auto"/>
        <w:outlineLvl w:val="0"/>
        <w:rPr>
          <w:snapToGrid w:val="0"/>
          <w:sz w:val="24"/>
        </w:rPr>
      </w:pPr>
      <w:r>
        <w:rPr>
          <w:rFonts w:hint="eastAsia"/>
          <w:b/>
          <w:snapToGrid w:val="0"/>
          <w:sz w:val="24"/>
        </w:rPr>
        <w:t xml:space="preserve"> </w:t>
      </w:r>
      <w:r>
        <w:rPr>
          <w:b/>
          <w:snapToGrid w:val="0"/>
          <w:sz w:val="24"/>
        </w:rPr>
        <w:t>履约保证金：</w:t>
      </w:r>
      <w:r>
        <w:rPr>
          <w:rFonts w:hint="eastAsia"/>
          <w:snapToGrid w:val="0"/>
          <w:sz w:val="24"/>
          <w:lang w:val="en-US" w:eastAsia="zh-CN"/>
        </w:rPr>
        <w:t>合同金额的2.5%</w:t>
      </w:r>
      <w:r>
        <w:rPr>
          <w:rFonts w:hint="eastAsia"/>
          <w:snapToGrid w:val="0"/>
          <w:sz w:val="24"/>
        </w:rPr>
        <w:t>。合同签订后支付，合同执行完毕通过考核后全额退回。合同考核办法另行制定。</w:t>
      </w:r>
    </w:p>
    <w:p>
      <w:pPr>
        <w:numPr>
          <w:ilvl w:val="0"/>
          <w:numId w:val="18"/>
        </w:numPr>
        <w:tabs>
          <w:tab w:val="center" w:pos="4153"/>
        </w:tabs>
        <w:spacing w:line="360" w:lineRule="auto"/>
        <w:rPr>
          <w:rFonts w:ascii="宋体" w:hAnsi="宋体"/>
          <w:sz w:val="24"/>
        </w:rPr>
      </w:pPr>
      <w:r>
        <w:rPr>
          <w:rFonts w:hint="eastAsia"/>
          <w:b/>
          <w:snapToGrid w:val="0"/>
          <w:sz w:val="24"/>
        </w:rPr>
        <w:t xml:space="preserve"> 付款方式： </w:t>
      </w:r>
      <w:r>
        <w:rPr>
          <w:rFonts w:hint="eastAsia"/>
          <w:bCs/>
          <w:snapToGrid w:val="0"/>
          <w:sz w:val="24"/>
        </w:rPr>
        <w:t>按</w:t>
      </w:r>
      <w:r>
        <w:rPr>
          <w:rFonts w:hint="eastAsia"/>
          <w:snapToGrid w:val="0"/>
          <w:sz w:val="24"/>
        </w:rPr>
        <w:t>季度支付，季度初支付本季度服务费。合同签订后即支付一、二季度服务费，七月份支付第三季度服务费，十月份支付第四季度服务费。</w:t>
      </w:r>
    </w:p>
    <w:bookmarkEnd w:id="38"/>
    <w:p>
      <w:pPr>
        <w:spacing w:line="360" w:lineRule="auto"/>
        <w:rPr>
          <w:rFonts w:hint="eastAsia" w:ascii="仿宋" w:hAnsi="仿宋" w:eastAsia="宋体"/>
          <w:b/>
          <w:bCs/>
          <w:color w:val="000000"/>
          <w:szCs w:val="32"/>
          <w:lang w:eastAsia="zh-CN"/>
        </w:rPr>
      </w:pPr>
    </w:p>
    <w:p>
      <w:pPr>
        <w:pStyle w:val="2"/>
        <w:rPr>
          <w:rFonts w:hint="eastAsia" w:ascii="仿宋" w:hAnsi="仿宋" w:eastAsia="宋体"/>
          <w:b/>
          <w:bCs/>
          <w:color w:val="000000"/>
          <w:szCs w:val="32"/>
          <w:lang w:eastAsia="zh-CN"/>
        </w:rPr>
      </w:pPr>
    </w:p>
    <w:p>
      <w:pPr>
        <w:rPr>
          <w:rFonts w:hint="eastAsia"/>
          <w:lang w:eastAsia="zh-CN"/>
        </w:rPr>
      </w:pPr>
    </w:p>
    <w:p>
      <w:pPr>
        <w:spacing w:line="360" w:lineRule="auto"/>
        <w:ind w:firstLine="320" w:firstLineChars="200"/>
        <w:contextualSpacing/>
        <w:rPr>
          <w:rFonts w:ascii="仿宋" w:hAnsi="仿宋"/>
          <w:color w:val="000000"/>
          <w:sz w:val="16"/>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bookmarkEnd w:id="36"/>
    <w:p>
      <w:pPr>
        <w:spacing w:line="360" w:lineRule="auto"/>
        <w:rPr>
          <w:rFonts w:ascii="仿宋" w:hAnsi="仿宋" w:eastAsia="仿宋"/>
          <w:b/>
          <w:bCs/>
          <w:sz w:val="28"/>
          <w:szCs w:val="28"/>
        </w:rPr>
      </w:pPr>
      <w:bookmarkStart w:id="39" w:name="_Toc14173978"/>
      <w:bookmarkStart w:id="40" w:name="_Toc14173977"/>
      <w:r>
        <w:rPr>
          <w:rFonts w:hint="eastAsia" w:ascii="仿宋" w:hAnsi="仿宋" w:eastAsia="仿宋"/>
          <w:b/>
          <w:bCs/>
          <w:sz w:val="28"/>
          <w:szCs w:val="28"/>
        </w:rPr>
        <w:t>商务要求表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266"/>
        <w:gridCol w:w="6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32" w:type="dxa"/>
            <w:gridSpan w:val="2"/>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590" w:type="dxa"/>
            <w:noWrap w:val="0"/>
            <w:vAlign w:val="center"/>
          </w:tcPr>
          <w:p>
            <w:pPr>
              <w:rPr>
                <w:rFonts w:hint="eastAsia" w:ascii="仿宋" w:hAnsi="仿宋" w:eastAsia="仿宋"/>
                <w:sz w:val="28"/>
                <w:szCs w:val="28"/>
              </w:rPr>
            </w:pPr>
            <w:r>
              <w:rPr>
                <w:rFonts w:hint="eastAsia" w:ascii="仿宋" w:hAnsi="仿宋" w:eastAsia="仿宋"/>
                <w:sz w:val="28"/>
                <w:szCs w:val="28"/>
              </w:rPr>
              <w:t>项目工期</w:t>
            </w:r>
            <w:r>
              <w:rPr>
                <w:rFonts w:hint="eastAsia" w:ascii="仿宋" w:hAnsi="仿宋" w:eastAsia="仿宋"/>
                <w:sz w:val="28"/>
                <w:szCs w:val="28"/>
                <w:lang w:val="en-US" w:eastAsia="zh-CN"/>
              </w:rPr>
              <w:t>2022</w:t>
            </w:r>
            <w:r>
              <w:rPr>
                <w:rFonts w:hint="eastAsia" w:ascii="仿宋" w:hAnsi="仿宋" w:eastAsia="仿宋"/>
                <w:sz w:val="28"/>
                <w:szCs w:val="28"/>
              </w:rPr>
              <w:t>年；地点：浙江科技学院小和山校区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32" w:type="dxa"/>
            <w:gridSpan w:val="2"/>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590" w:type="dxa"/>
            <w:noWrap w:val="0"/>
            <w:vAlign w:val="center"/>
          </w:tcPr>
          <w:p>
            <w:pPr>
              <w:rPr>
                <w:rFonts w:hint="eastAsia" w:ascii="仿宋" w:hAnsi="仿宋" w:eastAsia="仿宋"/>
                <w:sz w:val="28"/>
                <w:szCs w:val="28"/>
              </w:rPr>
            </w:pPr>
            <w:r>
              <w:rPr>
                <w:rFonts w:hint="eastAsia" w:ascii="仿宋" w:hAnsi="仿宋" w:eastAsia="仿宋"/>
                <w:sz w:val="28"/>
                <w:szCs w:val="28"/>
              </w:rPr>
              <w:t>付款方式：</w:t>
            </w:r>
            <w:r>
              <w:rPr>
                <w:rFonts w:ascii="仿宋" w:hAnsi="仿宋" w:eastAsia="仿宋"/>
                <w:sz w:val="28"/>
                <w:szCs w:val="28"/>
              </w:rPr>
              <w:t xml:space="preserve"> </w:t>
            </w:r>
            <w:r>
              <w:rPr>
                <w:rFonts w:hint="eastAsia" w:ascii="仿宋" w:hAnsi="仿宋" w:eastAsia="仿宋"/>
                <w:sz w:val="28"/>
                <w:szCs w:val="28"/>
              </w:rPr>
              <w:t>按季度支付，季度初支付本季度服务费。合同签订后即支付一、二季度服务费，七月份支付第三季度服务费，十月份支付第四季度服务费。</w:t>
            </w:r>
          </w:p>
          <w:p>
            <w:pPr>
              <w:rPr>
                <w:rFonts w:ascii="仿宋" w:hAnsi="仿宋" w:eastAsia="仿宋"/>
                <w:sz w:val="28"/>
                <w:szCs w:val="28"/>
              </w:rPr>
            </w:pPr>
            <w:r>
              <w:rPr>
                <w:rFonts w:hint="eastAsia" w:ascii="仿宋" w:hAnsi="仿宋" w:eastAsia="仿宋"/>
                <w:sz w:val="28"/>
                <w:szCs w:val="28"/>
              </w:rPr>
              <w:t>履约保证金：</w:t>
            </w:r>
            <w:r>
              <w:rPr>
                <w:rFonts w:hint="eastAsia" w:ascii="仿宋" w:hAnsi="仿宋" w:eastAsia="仿宋"/>
                <w:sz w:val="28"/>
                <w:szCs w:val="28"/>
                <w:lang w:val="en-US" w:eastAsia="zh-CN"/>
              </w:rPr>
              <w:t>合同金额的2.5%</w:t>
            </w:r>
            <w:r>
              <w:rPr>
                <w:rFonts w:hint="eastAsia" w:ascii="仿宋" w:hAnsi="仿宋" w:eastAsia="仿宋"/>
                <w:sz w:val="28"/>
                <w:szCs w:val="28"/>
              </w:rPr>
              <w:t>。合同签订后支付，合同执行完毕通过考核后全额退回。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32" w:type="dxa"/>
            <w:gridSpan w:val="2"/>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590" w:type="dxa"/>
            <w:noWrap w:val="0"/>
            <w:vAlign w:val="center"/>
          </w:tcPr>
          <w:p>
            <w:pPr>
              <w:rPr>
                <w:rFonts w:ascii="仿宋" w:hAnsi="仿宋" w:eastAsia="仿宋"/>
                <w:sz w:val="28"/>
                <w:szCs w:val="28"/>
              </w:rPr>
            </w:pPr>
            <w:r>
              <w:rPr>
                <w:rFonts w:hint="eastAsia" w:ascii="仿宋" w:hAnsi="仿宋" w:eastAsia="仿宋"/>
                <w:sz w:val="28"/>
                <w:szCs w:val="28"/>
              </w:rPr>
              <w:t>无特别说明，按“第五章</w:t>
            </w:r>
            <w:r>
              <w:rPr>
                <w:rFonts w:ascii="仿宋" w:hAnsi="仿宋" w:eastAsia="仿宋"/>
                <w:sz w:val="28"/>
                <w:szCs w:val="28"/>
              </w:rPr>
              <w:t xml:space="preserve">  </w:t>
            </w:r>
            <w:r>
              <w:rPr>
                <w:rFonts w:hint="eastAsia" w:ascii="仿宋" w:hAnsi="仿宋" w:eastAsia="仿宋"/>
                <w:sz w:val="28"/>
                <w:szCs w:val="28"/>
              </w:rPr>
              <w:t>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66" w:type="dxa"/>
            <w:vMerge w:val="restart"/>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266" w:type="dxa"/>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590" w:type="dxa"/>
            <w:noWrap w:val="0"/>
            <w:vAlign w:val="center"/>
          </w:tcPr>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167"/>
              <w:gridCol w:w="792"/>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2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序号</w:t>
                  </w:r>
                </w:p>
              </w:tc>
              <w:tc>
                <w:tcPr>
                  <w:tcW w:w="91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项目</w:t>
                  </w:r>
                </w:p>
              </w:tc>
              <w:tc>
                <w:tcPr>
                  <w:tcW w:w="622"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指标</w:t>
                  </w:r>
                </w:p>
              </w:tc>
              <w:tc>
                <w:tcPr>
                  <w:tcW w:w="3034"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1</w:t>
                  </w:r>
                </w:p>
              </w:tc>
              <w:tc>
                <w:tcPr>
                  <w:tcW w:w="91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房屋完好率</w:t>
                  </w:r>
                </w:p>
              </w:tc>
              <w:tc>
                <w:tcPr>
                  <w:tcW w:w="622"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98％</w:t>
                  </w:r>
                </w:p>
              </w:tc>
              <w:tc>
                <w:tcPr>
                  <w:tcW w:w="3034"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房屋外观无破坏立面，无改变使用功能、无乱搭建、公用设施及通道无随意占用、外观整洁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2</w:t>
                  </w:r>
                </w:p>
              </w:tc>
              <w:tc>
                <w:tcPr>
                  <w:tcW w:w="91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道路完好率</w:t>
                  </w:r>
                </w:p>
              </w:tc>
              <w:tc>
                <w:tcPr>
                  <w:tcW w:w="622"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95％</w:t>
                  </w:r>
                </w:p>
              </w:tc>
              <w:tc>
                <w:tcPr>
                  <w:tcW w:w="3034"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道路畅通无损坏、路面平坦整洁、排水畅通，无随意占道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3</w:t>
                  </w:r>
                </w:p>
              </w:tc>
              <w:tc>
                <w:tcPr>
                  <w:tcW w:w="91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化粪池、雨水井、污水井完好率</w:t>
                  </w:r>
                </w:p>
              </w:tc>
              <w:tc>
                <w:tcPr>
                  <w:tcW w:w="622"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100％</w:t>
                  </w:r>
                </w:p>
              </w:tc>
              <w:tc>
                <w:tcPr>
                  <w:tcW w:w="3034"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定期疏通、清理、井盖齐全完好、保证排放通畅、无堵塞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4</w:t>
                  </w:r>
                </w:p>
              </w:tc>
              <w:tc>
                <w:tcPr>
                  <w:tcW w:w="91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排水管、明暗沟完好率</w:t>
                  </w:r>
                </w:p>
              </w:tc>
              <w:tc>
                <w:tcPr>
                  <w:tcW w:w="622"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98％</w:t>
                  </w:r>
                </w:p>
              </w:tc>
              <w:tc>
                <w:tcPr>
                  <w:tcW w:w="3034"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排水通畅、堵塞、无积水、无塌陷、无残缺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5</w:t>
                  </w:r>
                </w:p>
              </w:tc>
              <w:tc>
                <w:tcPr>
                  <w:tcW w:w="91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照明灯完好率</w:t>
                  </w:r>
                </w:p>
              </w:tc>
              <w:tc>
                <w:tcPr>
                  <w:tcW w:w="622"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98％</w:t>
                  </w:r>
                </w:p>
              </w:tc>
              <w:tc>
                <w:tcPr>
                  <w:tcW w:w="3034"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照明灯完好无损，夜间正常使用，定期检查、维护、保养，保持洁净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6</w:t>
                  </w:r>
                </w:p>
              </w:tc>
              <w:tc>
                <w:tcPr>
                  <w:tcW w:w="91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停车场设施完好率</w:t>
                  </w:r>
                </w:p>
              </w:tc>
              <w:tc>
                <w:tcPr>
                  <w:tcW w:w="622"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98％</w:t>
                  </w:r>
                </w:p>
              </w:tc>
              <w:tc>
                <w:tcPr>
                  <w:tcW w:w="3034"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场内整洁，设施完好无损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7</w:t>
                  </w:r>
                </w:p>
              </w:tc>
              <w:tc>
                <w:tcPr>
                  <w:tcW w:w="91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机电设备设施完好率</w:t>
                  </w:r>
                </w:p>
              </w:tc>
              <w:tc>
                <w:tcPr>
                  <w:tcW w:w="622"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98％</w:t>
                  </w:r>
                </w:p>
              </w:tc>
              <w:tc>
                <w:tcPr>
                  <w:tcW w:w="3034"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定期检查维护，确保系统设备完好无损，杜绝由于管理操作不善造成的设备事故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8</w:t>
                  </w:r>
                </w:p>
              </w:tc>
              <w:tc>
                <w:tcPr>
                  <w:tcW w:w="91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消防设备设施完好率</w:t>
                  </w:r>
                </w:p>
              </w:tc>
              <w:tc>
                <w:tcPr>
                  <w:tcW w:w="622"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99％</w:t>
                  </w:r>
                </w:p>
              </w:tc>
              <w:tc>
                <w:tcPr>
                  <w:tcW w:w="3034"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定期检查维护，确保系统设备始终处于完好状态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9</w:t>
                  </w:r>
                </w:p>
              </w:tc>
              <w:tc>
                <w:tcPr>
                  <w:tcW w:w="91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维修保养兑现率</w:t>
                  </w:r>
                </w:p>
              </w:tc>
              <w:tc>
                <w:tcPr>
                  <w:tcW w:w="622"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100％</w:t>
                  </w:r>
                </w:p>
              </w:tc>
              <w:tc>
                <w:tcPr>
                  <w:tcW w:w="3034"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提前制订维修保养计划，合理调整人员安排，分工负责，保证落实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10</w:t>
                  </w:r>
                </w:p>
              </w:tc>
              <w:tc>
                <w:tcPr>
                  <w:tcW w:w="91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零修、急修及时率</w:t>
                  </w:r>
                </w:p>
              </w:tc>
              <w:tc>
                <w:tcPr>
                  <w:tcW w:w="622"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98％</w:t>
                  </w:r>
                </w:p>
              </w:tc>
              <w:tc>
                <w:tcPr>
                  <w:tcW w:w="3034"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接到维修单在承诺时间内到达现场，零修、急修及时完成，小修不过夜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11</w:t>
                  </w:r>
                </w:p>
              </w:tc>
              <w:tc>
                <w:tcPr>
                  <w:tcW w:w="91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维修保养质量合格率</w:t>
                  </w:r>
                </w:p>
              </w:tc>
              <w:tc>
                <w:tcPr>
                  <w:tcW w:w="622"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100％</w:t>
                  </w:r>
                </w:p>
              </w:tc>
              <w:tc>
                <w:tcPr>
                  <w:tcW w:w="3034"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分项检查、结合部位严格把关，按照工序一步到位，杜绝返工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12</w:t>
                  </w:r>
                </w:p>
              </w:tc>
              <w:tc>
                <w:tcPr>
                  <w:tcW w:w="91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维修保养和运行记录准确率</w:t>
                  </w:r>
                </w:p>
              </w:tc>
              <w:tc>
                <w:tcPr>
                  <w:tcW w:w="622"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100％</w:t>
                  </w:r>
                </w:p>
              </w:tc>
              <w:tc>
                <w:tcPr>
                  <w:tcW w:w="3034"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明确岗位责任，加强复核，定期抽查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13</w:t>
                  </w:r>
                </w:p>
              </w:tc>
              <w:tc>
                <w:tcPr>
                  <w:tcW w:w="91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安全管理到位率</w:t>
                  </w:r>
                </w:p>
              </w:tc>
              <w:tc>
                <w:tcPr>
                  <w:tcW w:w="622"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99％</w:t>
                  </w:r>
                </w:p>
              </w:tc>
              <w:tc>
                <w:tcPr>
                  <w:tcW w:w="3034"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岗位设置严密，明确责任区域和相互支援，增加巡查密度。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14</w:t>
                  </w:r>
                </w:p>
              </w:tc>
              <w:tc>
                <w:tcPr>
                  <w:tcW w:w="91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清洁、保洁完好率</w:t>
                  </w:r>
                </w:p>
              </w:tc>
              <w:tc>
                <w:tcPr>
                  <w:tcW w:w="622"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99％</w:t>
                  </w:r>
                </w:p>
              </w:tc>
              <w:tc>
                <w:tcPr>
                  <w:tcW w:w="3034"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区内实行卫生责任区包干，全天12小时保洁制，楼梯周清扫擦拭六次，清洗一次，垃圾日产日清，卫生设施齐全、完好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15</w:t>
                  </w:r>
                </w:p>
              </w:tc>
              <w:tc>
                <w:tcPr>
                  <w:tcW w:w="91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业主投诉处理率</w:t>
                  </w:r>
                </w:p>
              </w:tc>
              <w:tc>
                <w:tcPr>
                  <w:tcW w:w="622"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100％</w:t>
                  </w:r>
                </w:p>
              </w:tc>
              <w:tc>
                <w:tcPr>
                  <w:tcW w:w="3034"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有效投诉在第一时间内解决，无效投诉及时给予回复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16</w:t>
                  </w:r>
                </w:p>
              </w:tc>
              <w:tc>
                <w:tcPr>
                  <w:tcW w:w="91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员工违章发生率与处理率</w:t>
                  </w:r>
                </w:p>
              </w:tc>
              <w:tc>
                <w:tcPr>
                  <w:tcW w:w="622"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≤1％</w:t>
                  </w:r>
                </w:p>
              </w:tc>
              <w:tc>
                <w:tcPr>
                  <w:tcW w:w="3034"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加强教育，严格管理，及时发现，及时处理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17</w:t>
                  </w:r>
                </w:p>
              </w:tc>
              <w:tc>
                <w:tcPr>
                  <w:tcW w:w="917"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业主及物业使用人对物业管理综合满意率</w:t>
                  </w:r>
                </w:p>
              </w:tc>
              <w:tc>
                <w:tcPr>
                  <w:tcW w:w="622"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95％</w:t>
                  </w:r>
                </w:p>
              </w:tc>
              <w:tc>
                <w:tcPr>
                  <w:tcW w:w="3034" w:type="pct"/>
                  <w:noWrap w:val="0"/>
                  <w:vAlign w:val="center"/>
                </w:tcPr>
                <w:p>
                  <w:pPr>
                    <w:spacing w:line="360" w:lineRule="auto"/>
                    <w:jc w:val="center"/>
                    <w:rPr>
                      <w:rFonts w:hint="eastAsia" w:ascii="仿宋" w:hAnsi="仿宋" w:eastAsia="仿宋" w:cs="仿宋_GB2312"/>
                      <w:sz w:val="28"/>
                      <w:szCs w:val="24"/>
                    </w:rPr>
                  </w:pPr>
                  <w:r>
                    <w:rPr>
                      <w:rFonts w:hint="eastAsia" w:ascii="仿宋" w:hAnsi="仿宋" w:eastAsia="仿宋" w:cs="仿宋_GB2312"/>
                      <w:sz w:val="28"/>
                      <w:szCs w:val="24"/>
                    </w:rPr>
                    <w:t>教育员工视业主及物业使用人为衣食父母，尽其才、尽全力为业主排优解难</w:t>
                  </w:r>
                </w:p>
              </w:tc>
            </w:tr>
          </w:tbl>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66" w:type="dxa"/>
            <w:vMerge w:val="continue"/>
            <w:noWrap w:val="0"/>
            <w:vAlign w:val="center"/>
          </w:tcPr>
          <w:p>
            <w:pPr>
              <w:snapToGrid w:val="0"/>
              <w:ind w:firstLine="560"/>
              <w:jc w:val="left"/>
              <w:rPr>
                <w:rFonts w:ascii="仿宋" w:hAnsi="仿宋" w:eastAsia="仿宋" w:cs="仿宋_GB2312"/>
                <w:b/>
                <w:sz w:val="28"/>
                <w:szCs w:val="28"/>
              </w:rPr>
            </w:pPr>
          </w:p>
        </w:tc>
        <w:tc>
          <w:tcPr>
            <w:tcW w:w="1266" w:type="dxa"/>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590" w:type="dxa"/>
            <w:noWrap w:val="0"/>
            <w:vAlign w:val="center"/>
          </w:tcPr>
          <w:p>
            <w:pPr>
              <w:ind w:firstLine="560" w:firstLineChars="200"/>
              <w:rPr>
                <w:rFonts w:ascii="仿宋" w:hAnsi="仿宋" w:eastAsia="仿宋" w:cs="仿宋_GB2312"/>
                <w:sz w:val="28"/>
                <w:szCs w:val="28"/>
              </w:rPr>
            </w:pPr>
            <w:r>
              <w:rPr>
                <w:rFonts w:hint="eastAsia" w:ascii="仿宋" w:hAnsi="仿宋" w:eastAsia="仿宋" w:cs="仿宋_GB2312"/>
                <w:sz w:val="28"/>
                <w:szCs w:val="28"/>
              </w:rPr>
              <w:t>一、目的</w:t>
            </w:r>
            <w:r>
              <w:rPr>
                <w:rFonts w:ascii="仿宋" w:hAnsi="仿宋" w:eastAsia="仿宋" w:cs="仿宋_GB2312"/>
                <w:sz w:val="28"/>
                <w:szCs w:val="28"/>
              </w:rPr>
              <w:t xml:space="preserve"> </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为提高公司各类人员职业素质，不断提升员工的业务知识与技能，以提高公司整体工作质量及绩效，增强公司竞争力，促进公司可持续发展。</w:t>
            </w:r>
            <w:r>
              <w:rPr>
                <w:rFonts w:ascii="仿宋" w:hAnsi="仿宋" w:eastAsia="仿宋" w:cs="仿宋_GB2312"/>
                <w:sz w:val="28"/>
                <w:szCs w:val="28"/>
              </w:rPr>
              <w:t xml:space="preserve"> </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二、适用范围</w:t>
            </w:r>
            <w:r>
              <w:rPr>
                <w:rFonts w:ascii="仿宋" w:hAnsi="仿宋" w:eastAsia="仿宋" w:cs="仿宋_GB2312"/>
                <w:sz w:val="28"/>
                <w:szCs w:val="28"/>
              </w:rPr>
              <w:t xml:space="preserve"> </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凡本公司所属员工在职教育培训及其有关事项均依本办法办理。</w:t>
            </w:r>
            <w:r>
              <w:rPr>
                <w:rFonts w:ascii="仿宋" w:hAnsi="仿宋" w:eastAsia="仿宋" w:cs="仿宋_GB2312"/>
                <w:sz w:val="28"/>
                <w:szCs w:val="28"/>
              </w:rPr>
              <w:t xml:space="preserve"> </w:t>
            </w:r>
          </w:p>
          <w:p>
            <w:pPr>
              <w:numPr>
                <w:ilvl w:val="0"/>
                <w:numId w:val="19"/>
              </w:numPr>
              <w:ind w:firstLine="560" w:firstLineChars="200"/>
              <w:rPr>
                <w:rFonts w:ascii="仿宋" w:hAnsi="仿宋" w:eastAsia="仿宋" w:cs="仿宋_GB2312"/>
                <w:sz w:val="28"/>
                <w:szCs w:val="28"/>
              </w:rPr>
            </w:pPr>
            <w:r>
              <w:rPr>
                <w:rFonts w:hint="eastAsia" w:ascii="仿宋" w:hAnsi="仿宋" w:eastAsia="仿宋" w:cs="仿宋_GB2312"/>
                <w:sz w:val="28"/>
                <w:szCs w:val="28"/>
              </w:rPr>
              <w:t>工作权责划分</w:t>
            </w:r>
            <w:r>
              <w:rPr>
                <w:rFonts w:ascii="仿宋" w:hAnsi="仿宋" w:eastAsia="仿宋" w:cs="仿宋_GB2312"/>
                <w:sz w:val="28"/>
                <w:szCs w:val="28"/>
              </w:rPr>
              <w:t xml:space="preserve"> </w:t>
            </w:r>
          </w:p>
          <w:p>
            <w:pPr>
              <w:numPr>
                <w:ilvl w:val="0"/>
                <w:numId w:val="20"/>
              </w:numPr>
              <w:ind w:firstLine="560" w:firstLineChars="200"/>
              <w:rPr>
                <w:rFonts w:ascii="仿宋" w:hAnsi="仿宋" w:eastAsia="仿宋" w:cs="仿宋_GB2312"/>
                <w:sz w:val="28"/>
                <w:szCs w:val="28"/>
              </w:rPr>
            </w:pPr>
            <w:r>
              <w:rPr>
                <w:rFonts w:hint="eastAsia" w:ascii="仿宋" w:hAnsi="仿宋" w:eastAsia="仿宋" w:cs="仿宋_GB2312"/>
                <w:sz w:val="28"/>
                <w:szCs w:val="28"/>
              </w:rPr>
              <w:t>公司人力资源部：</w:t>
            </w:r>
          </w:p>
          <w:p>
            <w:pPr>
              <w:ind w:firstLine="560" w:firstLineChars="200"/>
              <w:rPr>
                <w:rFonts w:ascii="仿宋" w:hAnsi="仿宋" w:eastAsia="仿宋" w:cs="仿宋_GB2312"/>
                <w:sz w:val="28"/>
                <w:szCs w:val="28"/>
              </w:rPr>
            </w:pPr>
            <w:r>
              <w:rPr>
                <w:rFonts w:ascii="仿宋" w:hAnsi="仿宋" w:eastAsia="仿宋" w:cs="仿宋_GB2312"/>
                <w:sz w:val="28"/>
                <w:szCs w:val="28"/>
              </w:rPr>
              <w:t xml:space="preserve">    </w:t>
            </w:r>
            <w:r>
              <w:rPr>
                <w:rFonts w:hint="eastAsia" w:ascii="仿宋" w:hAnsi="仿宋" w:eastAsia="仿宋" w:cs="仿宋_GB2312"/>
                <w:sz w:val="28"/>
                <w:szCs w:val="28"/>
              </w:rPr>
              <w:t>（</w:t>
            </w:r>
            <w:r>
              <w:rPr>
                <w:rFonts w:ascii="仿宋" w:hAnsi="仿宋" w:eastAsia="仿宋" w:cs="仿宋_GB2312"/>
                <w:sz w:val="28"/>
                <w:szCs w:val="28"/>
              </w:rPr>
              <w:t>1</w:t>
            </w:r>
            <w:r>
              <w:rPr>
                <w:rFonts w:hint="eastAsia" w:ascii="仿宋" w:hAnsi="仿宋" w:eastAsia="仿宋" w:cs="仿宋_GB2312"/>
                <w:sz w:val="28"/>
                <w:szCs w:val="28"/>
              </w:rPr>
              <w:t>）组织起草、制定及修改公司有关培训制度、政策、管理办法等公司文件；</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2</w:t>
            </w:r>
            <w:r>
              <w:rPr>
                <w:rFonts w:hint="eastAsia" w:ascii="仿宋" w:hAnsi="仿宋" w:eastAsia="仿宋" w:cs="仿宋_GB2312"/>
                <w:sz w:val="28"/>
                <w:szCs w:val="28"/>
              </w:rPr>
              <w:t>）拟订公司年度培训计划，组织实施公司共同性培训；</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3</w:t>
            </w:r>
            <w:r>
              <w:rPr>
                <w:rFonts w:hint="eastAsia" w:ascii="仿宋" w:hAnsi="仿宋" w:eastAsia="仿宋" w:cs="仿宋_GB2312"/>
                <w:sz w:val="28"/>
                <w:szCs w:val="28"/>
              </w:rPr>
              <w:t>）审议部门培训计划，督导、考核部门培训实施情况；</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4</w:t>
            </w:r>
            <w:r>
              <w:rPr>
                <w:rFonts w:hint="eastAsia" w:ascii="仿宋" w:hAnsi="仿宋" w:eastAsia="仿宋" w:cs="仿宋_GB2312"/>
                <w:sz w:val="28"/>
                <w:szCs w:val="28"/>
              </w:rPr>
              <w:t>）初核及办理公司外派培训人员，外派培训形成的书籍、资料与书面报告的管理；</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5</w:t>
            </w:r>
            <w:r>
              <w:rPr>
                <w:rFonts w:hint="eastAsia" w:ascii="仿宋" w:hAnsi="仿宋" w:eastAsia="仿宋" w:cs="仿宋_GB2312"/>
                <w:sz w:val="28"/>
                <w:szCs w:val="28"/>
              </w:rPr>
              <w:t>）其他有关人才培养及发展计划的研拟与执行；</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6</w:t>
            </w:r>
            <w:r>
              <w:rPr>
                <w:rFonts w:hint="eastAsia" w:ascii="仿宋" w:hAnsi="仿宋" w:eastAsia="仿宋" w:cs="仿宋_GB2312"/>
                <w:sz w:val="28"/>
                <w:szCs w:val="28"/>
              </w:rPr>
              <w:t>）培训结果的评估，适合公司特点的培训模式的确定；</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7</w:t>
            </w:r>
            <w:r>
              <w:rPr>
                <w:rFonts w:hint="eastAsia" w:ascii="仿宋" w:hAnsi="仿宋" w:eastAsia="仿宋" w:cs="仿宋_GB2312"/>
                <w:sz w:val="28"/>
                <w:szCs w:val="28"/>
              </w:rPr>
              <w:t>）各项培训费用预算的拟订和初审。</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（二）各部门：</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1</w:t>
            </w:r>
            <w:r>
              <w:rPr>
                <w:rFonts w:hint="eastAsia" w:ascii="仿宋" w:hAnsi="仿宋" w:eastAsia="仿宋" w:cs="仿宋_GB2312"/>
                <w:sz w:val="28"/>
                <w:szCs w:val="28"/>
              </w:rPr>
              <w:t>）拟订本部门全年度培训计划；</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2</w:t>
            </w:r>
            <w:r>
              <w:rPr>
                <w:rFonts w:hint="eastAsia" w:ascii="仿宋" w:hAnsi="仿宋" w:eastAsia="仿宋" w:cs="仿宋_GB2312"/>
                <w:sz w:val="28"/>
                <w:szCs w:val="28"/>
              </w:rPr>
              <w:t>）培训讲师人选的推荐，内部专业培训课程的举办及成果汇报；</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3</w:t>
            </w:r>
            <w:r>
              <w:rPr>
                <w:rFonts w:hint="eastAsia" w:ascii="仿宋" w:hAnsi="仿宋" w:eastAsia="仿宋" w:cs="仿宋_GB2312"/>
                <w:sz w:val="28"/>
                <w:szCs w:val="28"/>
              </w:rPr>
              <w:t>）业务培训教材、培训测试题的编撰与修订；</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4</w:t>
            </w:r>
            <w:r>
              <w:rPr>
                <w:rFonts w:hint="eastAsia" w:ascii="仿宋" w:hAnsi="仿宋" w:eastAsia="仿宋" w:cs="仿宋_GB2312"/>
                <w:sz w:val="28"/>
                <w:szCs w:val="28"/>
              </w:rPr>
              <w:t>）培训结束后对参加培训员工的督导与追踪交流，培训成果的共享和推广。四、培训计划的拟订</w:t>
            </w:r>
            <w:r>
              <w:rPr>
                <w:rFonts w:ascii="仿宋" w:hAnsi="仿宋" w:eastAsia="仿宋" w:cs="仿宋_GB2312"/>
                <w:sz w:val="28"/>
                <w:szCs w:val="28"/>
              </w:rPr>
              <w:t xml:space="preserve"> </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（一）公司人力资源部于每年的</w:t>
            </w:r>
            <w:r>
              <w:rPr>
                <w:rFonts w:ascii="仿宋" w:hAnsi="仿宋" w:eastAsia="仿宋" w:cs="仿宋_GB2312"/>
                <w:sz w:val="28"/>
                <w:szCs w:val="28"/>
              </w:rPr>
              <w:t xml:space="preserve"> 12</w:t>
            </w:r>
            <w:r>
              <w:rPr>
                <w:rFonts w:hint="eastAsia" w:ascii="仿宋" w:hAnsi="仿宋" w:eastAsia="仿宋" w:cs="仿宋_GB2312"/>
                <w:sz w:val="28"/>
                <w:szCs w:val="28"/>
              </w:rPr>
              <w:t>月上旬根据公司发展的需要及公司下一年度工作重点拟订公司一级的培训计划；</w:t>
            </w:r>
            <w:r>
              <w:rPr>
                <w:rFonts w:ascii="仿宋" w:hAnsi="仿宋" w:eastAsia="仿宋" w:cs="仿宋_GB2312"/>
                <w:sz w:val="28"/>
                <w:szCs w:val="28"/>
              </w:rPr>
              <w:t xml:space="preserve"> </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（二）各部门依本部门工作需要，拟订下一年度本部门培训计划，包括拟培训的项目、内容、时间、费用、课时、参加培训人员及培训项目负责人等，报送公司人力资源部审核；</w:t>
            </w:r>
            <w:r>
              <w:rPr>
                <w:rFonts w:ascii="仿宋" w:hAnsi="仿宋" w:eastAsia="仿宋" w:cs="仿宋_GB2312"/>
                <w:sz w:val="28"/>
                <w:szCs w:val="28"/>
              </w:rPr>
              <w:t xml:space="preserve"> </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三）公司人力资源部对各部门申报的培训计划进行调整，并结合公司一级的培训计划，综合编制公司“年度培训计划”经公司经理批准后下发各部门执行；培训计划在执行过程中可按实际情况的变化调整或追加，调整或追加培训计划需经人力资源部审核并报经理审批。</w:t>
            </w:r>
            <w:r>
              <w:rPr>
                <w:rFonts w:ascii="仿宋" w:hAnsi="仿宋" w:eastAsia="仿宋" w:cs="仿宋_GB2312"/>
                <w:sz w:val="28"/>
                <w:szCs w:val="28"/>
              </w:rPr>
              <w:t xml:space="preserve"> </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五、培训的实施</w:t>
            </w:r>
            <w:r>
              <w:rPr>
                <w:rFonts w:ascii="仿宋" w:hAnsi="仿宋" w:eastAsia="仿宋" w:cs="仿宋_GB2312"/>
                <w:sz w:val="28"/>
                <w:szCs w:val="28"/>
              </w:rPr>
              <w:t xml:space="preserve"> </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（一）年度培训计划一经下达除特殊情况经批准可调整外，必须严格执行；</w:t>
            </w:r>
            <w:r>
              <w:rPr>
                <w:rFonts w:ascii="仿宋" w:hAnsi="仿宋" w:eastAsia="仿宋" w:cs="仿宋_GB2312"/>
                <w:sz w:val="28"/>
                <w:szCs w:val="28"/>
              </w:rPr>
              <w:t xml:space="preserve"> </w:t>
            </w:r>
            <w:r>
              <w:rPr>
                <w:rFonts w:hint="eastAsia" w:ascii="仿宋" w:hAnsi="仿宋" w:eastAsia="仿宋" w:cs="仿宋_GB2312"/>
                <w:sz w:val="28"/>
                <w:szCs w:val="28"/>
              </w:rPr>
              <w:t>（二）各项培训的主办部门及培训项目负责人应根据培训计划按期实施并负责该项培训全盘事宜，如培训场地安排、教材分发、教具借调，联系培训讲师及通知接受培训的人员等，并于实际培训的一周前将培训实施计划表报（见附件）公司人力资源部；</w:t>
            </w:r>
            <w:r>
              <w:rPr>
                <w:rFonts w:ascii="仿宋" w:hAnsi="仿宋" w:eastAsia="仿宋" w:cs="仿宋_GB2312"/>
                <w:sz w:val="28"/>
                <w:szCs w:val="28"/>
              </w:rPr>
              <w:t xml:space="preserve"> </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（三）各项培训结束时，应举行测验，由主办部门或培训讲师负责监考，测验题目（分</w:t>
            </w:r>
            <w:r>
              <w:rPr>
                <w:rFonts w:ascii="仿宋" w:hAnsi="仿宋" w:eastAsia="仿宋" w:cs="仿宋_GB2312"/>
                <w:sz w:val="28"/>
                <w:szCs w:val="28"/>
              </w:rPr>
              <w:t xml:space="preserve"> A</w:t>
            </w:r>
            <w:r>
              <w:rPr>
                <w:rFonts w:hint="eastAsia" w:ascii="仿宋" w:hAnsi="仿宋" w:eastAsia="仿宋" w:cs="仿宋_GB2312"/>
                <w:sz w:val="28"/>
                <w:szCs w:val="28"/>
              </w:rPr>
              <w:t>、</w:t>
            </w:r>
            <w:r>
              <w:rPr>
                <w:rFonts w:ascii="仿宋" w:hAnsi="仿宋" w:eastAsia="仿宋" w:cs="仿宋_GB2312"/>
                <w:sz w:val="28"/>
                <w:szCs w:val="28"/>
              </w:rPr>
              <w:t xml:space="preserve">B </w:t>
            </w:r>
            <w:r>
              <w:rPr>
                <w:rFonts w:hint="eastAsia" w:ascii="仿宋" w:hAnsi="仿宋" w:eastAsia="仿宋" w:cs="仿宋_GB2312"/>
                <w:sz w:val="28"/>
                <w:szCs w:val="28"/>
              </w:rPr>
              <w:t>卷）应由培训讲师于开课前由主办部门报人力资源部审核；</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（四）参加培训人员要准时到场听课并在培训考勤表上签到，特殊情况不能参加者应办理请假手续，人力资源部应掌握及检查参加培训人员上课、出勤状况；</w:t>
            </w:r>
            <w:r>
              <w:rPr>
                <w:rFonts w:ascii="仿宋" w:hAnsi="仿宋" w:eastAsia="仿宋" w:cs="仿宋_GB2312"/>
                <w:sz w:val="28"/>
                <w:szCs w:val="28"/>
              </w:rPr>
              <w:t xml:space="preserve"> </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（五）各项培训的测验缺席者，事后一律补考；补考不出席者，一律以零分处理；</w:t>
            </w:r>
            <w:r>
              <w:rPr>
                <w:rFonts w:ascii="仿宋" w:hAnsi="仿宋" w:eastAsia="仿宋" w:cs="仿宋_GB2312"/>
                <w:sz w:val="28"/>
                <w:szCs w:val="28"/>
              </w:rPr>
              <w:t xml:space="preserve"> </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（六）公司人力资源部建立员工培训档案，部门组织的培训在培训结束后一周内将培训教案、培训考勤表、测验及试卷成绩等报送人力资源部存档，以建立完善的培训资料档案；</w:t>
            </w:r>
            <w:r>
              <w:rPr>
                <w:rFonts w:ascii="仿宋" w:hAnsi="仿宋" w:eastAsia="仿宋" w:cs="仿宋_GB2312"/>
                <w:sz w:val="28"/>
                <w:szCs w:val="28"/>
              </w:rPr>
              <w:t xml:space="preserve"> </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（七）公司人力资源部对各部门的培训计划执行情况进行检查，督导各部门按计划完成培训工作，并对培训效果进行评价，通报有关部门参考并予以改进；</w:t>
            </w:r>
            <w:r>
              <w:rPr>
                <w:rFonts w:ascii="仿宋" w:hAnsi="仿宋" w:eastAsia="仿宋" w:cs="仿宋_GB2312"/>
                <w:sz w:val="28"/>
                <w:szCs w:val="28"/>
              </w:rPr>
              <w:t xml:space="preserve"> </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（八）在部门绩效考核指标中设立培训专项，分别就培训计划的实施情况及培训实效进行考评。</w:t>
            </w:r>
            <w:r>
              <w:rPr>
                <w:rFonts w:ascii="仿宋" w:hAnsi="仿宋" w:eastAsia="仿宋" w:cs="仿宋_GB2312"/>
                <w:sz w:val="28"/>
                <w:szCs w:val="28"/>
              </w:rPr>
              <w:t xml:space="preserve"> </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六、培训评估</w:t>
            </w:r>
            <w:r>
              <w:rPr>
                <w:rFonts w:ascii="仿宋" w:hAnsi="仿宋" w:eastAsia="仿宋" w:cs="仿宋_GB2312"/>
                <w:sz w:val="28"/>
                <w:szCs w:val="28"/>
              </w:rPr>
              <w:t xml:space="preserve"> </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（一）每项（期）培训结束时，人力资源部应通过问卷形式对参加培训的员工、部门、培训讲师进行培训情况调查，调查表与测验卷一并收回，汇总后存档，作为以后再举办类似培训的参考；</w:t>
            </w:r>
            <w:r>
              <w:rPr>
                <w:rFonts w:ascii="仿宋" w:hAnsi="仿宋" w:eastAsia="仿宋" w:cs="仿宋_GB2312"/>
                <w:sz w:val="28"/>
                <w:szCs w:val="28"/>
              </w:rPr>
              <w:t xml:space="preserve"> </w:t>
            </w:r>
          </w:p>
          <w:p>
            <w:pPr>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（二）人力资源部负责对各部门培训成效的评估，定期分发“培训成效调查表”，供各层负责人填写后汇总意见，并配合工作绩效考核，分析评估培训之成效，作为再举办培训的参考。</w:t>
            </w:r>
            <w:r>
              <w:rPr>
                <w:rFonts w:ascii="仿宋" w:hAnsi="仿宋" w:eastAsia="仿宋"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66" w:type="dxa"/>
            <w:vMerge w:val="restart"/>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266" w:type="dxa"/>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590" w:type="dxa"/>
            <w:noWrap w:val="0"/>
            <w:vAlign w:val="center"/>
          </w:tcPr>
          <w:p>
            <w:pPr>
              <w:ind w:firstLine="560" w:firstLineChars="200"/>
              <w:rPr>
                <w:rFonts w:ascii="仿宋" w:hAnsi="仿宋" w:eastAsia="仿宋"/>
                <w:sz w:val="28"/>
              </w:rPr>
            </w:pPr>
            <w:r>
              <w:rPr>
                <w:rFonts w:hint="eastAsia" w:ascii="仿宋" w:hAnsi="仿宋" w:eastAsia="仿宋"/>
                <w:sz w:val="28"/>
              </w:rPr>
              <w:t>一直以来浙江科技学院小和山校区这五个方面的物业事实上均由浙江科技学院后勤科源发展有限公司（改革前以后勤服务部名义签署）实施。科源公司多年来为我校提供后勤服务，具有</w:t>
            </w:r>
            <w:r>
              <w:rPr>
                <w:rFonts w:ascii="仿宋" w:hAnsi="仿宋" w:eastAsia="仿宋"/>
                <w:sz w:val="28"/>
              </w:rPr>
              <w:t>20</w:t>
            </w:r>
            <w:r>
              <w:rPr>
                <w:rFonts w:hint="eastAsia" w:ascii="仿宋" w:hAnsi="仿宋" w:eastAsia="仿宋"/>
                <w:sz w:val="28"/>
              </w:rPr>
              <w:t>余年的高校服务经验，对我校校园环境及其设备都非常熟悉，积累了丰富的工作经验，公司的工作成绩也得到了我校广大师生的认可，科源公司正按照社会化改革的方向，坚持以人为本，以改革为动力，以服务为宗旨，以管理为主体，以创新为灵魂，以科学发展为根本的理念，为业主提供优质、周到、温馨、和谐的服务，创建美丽、清洁、安全、环保的生活环境，全力打造科源物业品牌。</w:t>
            </w:r>
          </w:p>
          <w:p>
            <w:pPr>
              <w:ind w:firstLine="560" w:firstLineChars="200"/>
              <w:rPr>
                <w:rFonts w:ascii="仿宋" w:hAnsi="仿宋" w:eastAsia="仿宋"/>
                <w:sz w:val="28"/>
              </w:rPr>
            </w:pPr>
            <w:r>
              <w:rPr>
                <w:rFonts w:hint="eastAsia" w:ascii="仿宋" w:hAnsi="仿宋" w:eastAsia="仿宋"/>
                <w:sz w:val="28"/>
              </w:rPr>
              <w:t>科源公司</w:t>
            </w:r>
            <w:r>
              <w:rPr>
                <w:rFonts w:hint="eastAsia" w:ascii="仿宋" w:hAnsi="仿宋" w:eastAsia="仿宋"/>
                <w:sz w:val="28"/>
                <w:lang w:val="en-US" w:eastAsia="zh-CN"/>
              </w:rPr>
              <w:t>现有职工200余人（其中中级以上人员15人）。</w:t>
            </w:r>
            <w:r>
              <w:rPr>
                <w:rFonts w:hint="eastAsia" w:ascii="仿宋" w:hAnsi="仿宋" w:eastAsia="仿宋"/>
                <w:sz w:val="28"/>
              </w:rPr>
              <w:t>科源公司</w:t>
            </w:r>
            <w:r>
              <w:rPr>
                <w:rFonts w:hint="eastAsia" w:ascii="仿宋" w:hAnsi="仿宋" w:eastAsia="仿宋"/>
                <w:sz w:val="28"/>
                <w:lang w:val="en-US" w:eastAsia="zh-CN"/>
              </w:rPr>
              <w:t>下辖公司办公室、物业部、维修部、公共服务部、公寓中心、采供部、财务部等七部门。科源公司</w:t>
            </w:r>
            <w:r>
              <w:rPr>
                <w:rFonts w:hint="eastAsia" w:ascii="仿宋" w:hAnsi="仿宋" w:eastAsia="仿宋"/>
                <w:sz w:val="28"/>
              </w:rPr>
              <w:t>将充分发挥高品质人力资源管理体系、财务管理体系、品质监督体质量保证体系以及专用物业管理软件体系的重要作用，同时引进先进的管理模式和服务意识，带入到物业服务中，提供细致的环境管理工作，为本项目带来全新的物业服务。</w:t>
            </w:r>
          </w:p>
          <w:p>
            <w:pPr>
              <w:ind w:firstLine="560" w:firstLineChars="200"/>
              <w:rPr>
                <w:rFonts w:ascii="仿宋" w:hAnsi="仿宋" w:eastAsia="仿宋"/>
                <w:sz w:val="28"/>
                <w:szCs w:val="28"/>
              </w:rPr>
            </w:pPr>
            <w:r>
              <w:rPr>
                <w:rFonts w:hint="eastAsia" w:ascii="仿宋" w:hAnsi="仿宋" w:eastAsia="仿宋"/>
                <w:sz w:val="28"/>
              </w:rPr>
              <w:t>我们承诺将充分发挥自身的管理优势、技术优势、资迅优势，本着“业主至上、服务第一”和“以人为本、诚信服务”的宗旨和理念，尽心竭力实现自己对管理物业的管理目标，同样物业、管理状态最佳，同样价格，服务质量最优。通过我们的服务为业主、创造安全、整洁、便利、舒适的工作环境和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666" w:type="dxa"/>
            <w:vMerge w:val="continue"/>
            <w:noWrap w:val="0"/>
            <w:vAlign w:val="center"/>
          </w:tcPr>
          <w:p>
            <w:pPr>
              <w:snapToGrid w:val="0"/>
              <w:jc w:val="left"/>
              <w:rPr>
                <w:rFonts w:ascii="仿宋" w:hAnsi="仿宋" w:eastAsia="仿宋" w:cs="仿宋_GB2312"/>
                <w:b/>
                <w:sz w:val="28"/>
                <w:szCs w:val="28"/>
              </w:rPr>
            </w:pPr>
          </w:p>
        </w:tc>
        <w:tc>
          <w:tcPr>
            <w:tcW w:w="1266" w:type="dxa"/>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590" w:type="dxa"/>
            <w:noWrap w:val="0"/>
            <w:vAlign w:val="center"/>
          </w:tcPr>
          <w:p>
            <w:pPr>
              <w:rPr>
                <w:rFonts w:hint="eastAsia" w:ascii="仿宋" w:hAnsi="仿宋" w:eastAsia="仿宋"/>
                <w:sz w:val="28"/>
                <w:szCs w:val="28"/>
              </w:rPr>
            </w:pPr>
            <w:r>
              <w:rPr>
                <w:rFonts w:hint="eastAsia" w:ascii="仿宋" w:hAnsi="仿宋" w:eastAsia="仿宋"/>
                <w:sz w:val="28"/>
                <w:szCs w:val="28"/>
                <w:lang w:val="en-US" w:eastAsia="zh-CN"/>
              </w:rPr>
              <w:t>科源公司自成立以来即为浙江科技学院提供物业服务，2020年起浙江科技学院由省采购中心通过单一来源方式采购科源公司物业服务。</w:t>
            </w:r>
          </w:p>
        </w:tc>
      </w:tr>
    </w:tbl>
    <w:p>
      <w:pPr>
        <w:spacing w:line="360" w:lineRule="auto"/>
        <w:outlineLvl w:val="1"/>
        <w:rPr>
          <w:rFonts w:ascii="宋体" w:cs="仿宋_GB2312"/>
          <w:b/>
          <w:sz w:val="24"/>
          <w:szCs w:val="24"/>
        </w:rPr>
      </w:pPr>
    </w:p>
    <w:p>
      <w:pPr>
        <w:spacing w:line="360" w:lineRule="auto"/>
        <w:outlineLvl w:val="1"/>
        <w:rPr>
          <w:rFonts w:ascii="宋体" w:cs="仿宋_GB2312"/>
          <w:b/>
          <w:sz w:val="24"/>
          <w:szCs w:val="24"/>
        </w:rPr>
      </w:pPr>
    </w:p>
    <w:bookmarkEnd w:id="39"/>
    <w:bookmarkEnd w:id="40"/>
    <w:p>
      <w:pPr>
        <w:pStyle w:val="40"/>
      </w:pPr>
    </w:p>
    <w:p/>
    <w:p/>
    <w:p/>
    <w:p/>
    <w:p/>
    <w:p/>
    <w:p/>
    <w:p/>
    <w:p/>
    <w:p/>
    <w:p/>
    <w:p/>
    <w:p/>
    <w:p/>
    <w:p/>
    <w:p/>
    <w:p/>
    <w:p/>
    <w:p/>
    <w:p/>
    <w:p/>
    <w:p>
      <w:pPr>
        <w:pStyle w:val="40"/>
      </w:pPr>
    </w:p>
    <w:p>
      <w:pPr>
        <w:pStyle w:val="40"/>
        <w:jc w:val="both"/>
      </w:pPr>
    </w:p>
    <w:p/>
    <w:p>
      <w:pPr>
        <w:pStyle w:val="40"/>
        <w:jc w:val="both"/>
        <w:rPr>
          <w:rFonts w:hint="eastAsia"/>
        </w:rPr>
      </w:pPr>
    </w:p>
    <w:p>
      <w:pPr>
        <w:rPr>
          <w:rFonts w:hint="eastAsia"/>
        </w:rPr>
      </w:pPr>
    </w:p>
    <w:p>
      <w:pPr>
        <w:pStyle w:val="2"/>
        <w:rPr>
          <w:rFonts w:hint="eastAsia"/>
        </w:rPr>
      </w:pPr>
    </w:p>
    <w:p>
      <w:pPr>
        <w:pStyle w:val="40"/>
        <w:jc w:val="both"/>
        <w:rPr>
          <w:rFonts w:hint="eastAsia"/>
        </w:rPr>
      </w:pPr>
    </w:p>
    <w:p>
      <w:pPr>
        <w:pStyle w:val="40"/>
        <w:jc w:val="center"/>
      </w:pPr>
      <w:r>
        <w:rPr>
          <w:rFonts w:hint="eastAsia"/>
        </w:rPr>
        <w:t>第四章</w:t>
      </w:r>
      <w:r>
        <w:rPr>
          <w:rFonts w:hint="eastAsia"/>
          <w:lang w:val="en-US" w:eastAsia="zh-CN"/>
        </w:rPr>
        <w:t xml:space="preserve"> </w:t>
      </w:r>
      <w:r>
        <w:rPr>
          <w:rFonts w:hint="eastAsia"/>
        </w:rPr>
        <w:t>浙江省政府采购合同主要条款指引</w:t>
      </w:r>
      <w:bookmarkEnd w:id="33"/>
      <w:bookmarkEnd w:id="34"/>
    </w:p>
    <w:p>
      <w:pPr>
        <w:snapToGrid w:val="0"/>
        <w:spacing w:before="120" w:beforeLines="50" w:after="120" w:afterLines="50"/>
        <w:jc w:val="center"/>
        <w:rPr>
          <w:rFonts w:ascii="仿宋" w:hAnsi="仿宋" w:eastAsia="仿宋"/>
          <w:b/>
          <w:bCs/>
          <w:sz w:val="36"/>
          <w:szCs w:val="36"/>
        </w:rPr>
      </w:pPr>
    </w:p>
    <w:p>
      <w:pPr>
        <w:pStyle w:val="22"/>
        <w:snapToGrid w:val="0"/>
        <w:spacing w:beforeLines="0" w:afterLines="0" w:line="360" w:lineRule="auto"/>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编号：</w:t>
      </w:r>
      <w:r>
        <w:rPr>
          <w:rFonts w:ascii="仿宋" w:hAnsi="仿宋" w:eastAsia="仿宋"/>
          <w:sz w:val="30"/>
          <w:szCs w:val="30"/>
        </w:rPr>
        <w:t>ZZCG202</w:t>
      </w:r>
      <w:r>
        <w:rPr>
          <w:rFonts w:hint="eastAsia" w:ascii="仿宋" w:hAnsi="仿宋" w:eastAsia="仿宋"/>
          <w:sz w:val="30"/>
          <w:szCs w:val="30"/>
          <w:lang w:val="en-US" w:eastAsia="zh-CN"/>
        </w:rPr>
        <w:t>2</w:t>
      </w:r>
      <w:r>
        <w:rPr>
          <w:rFonts w:hint="eastAsia" w:ascii="仿宋" w:hAnsi="仿宋" w:eastAsia="仿宋"/>
          <w:color w:val="FF0000"/>
          <w:sz w:val="30"/>
          <w:szCs w:val="30"/>
        </w:rPr>
        <w:t>X</w:t>
      </w:r>
      <w:r>
        <w:rPr>
          <w:rFonts w:ascii="仿宋" w:hAnsi="仿宋" w:eastAsia="仿宋"/>
          <w:sz w:val="30"/>
          <w:szCs w:val="30"/>
        </w:rPr>
        <w:t>-</w:t>
      </w:r>
    </w:p>
    <w:p>
      <w:pPr>
        <w:pStyle w:val="22"/>
        <w:snapToGrid w:val="0"/>
        <w:spacing w:beforeLines="0" w:afterLines="0" w:line="360" w:lineRule="auto"/>
        <w:jc w:val="center"/>
        <w:rPr>
          <w:rFonts w:ascii="仿宋" w:hAnsi="仿宋" w:eastAsia="仿宋"/>
          <w:sz w:val="30"/>
          <w:szCs w:val="30"/>
        </w:rPr>
      </w:pPr>
      <w:r>
        <w:rPr>
          <w:rFonts w:hint="eastAsia" w:ascii="仿宋" w:hAnsi="仿宋" w:eastAsia="仿宋"/>
          <w:sz w:val="30"/>
          <w:szCs w:val="30"/>
        </w:rPr>
        <w:t>确认号：</w:t>
      </w:r>
    </w:p>
    <w:p>
      <w:pPr>
        <w:spacing w:line="520" w:lineRule="exact"/>
        <w:ind w:firstLine="281" w:firstLineChars="100"/>
        <w:rPr>
          <w:rFonts w:ascii="仿宋" w:hAnsi="仿宋" w:eastAsia="仿宋"/>
          <w:sz w:val="28"/>
          <w:szCs w:val="30"/>
        </w:rPr>
      </w:pPr>
      <w:r>
        <w:rPr>
          <w:rFonts w:hint="eastAsia" w:ascii="仿宋" w:hAnsi="仿宋" w:eastAsia="仿宋" w:cs="微软雅黑"/>
          <w:b/>
          <w:bCs/>
          <w:sz w:val="28"/>
          <w:szCs w:val="30"/>
        </w:rPr>
        <w:t>甲方</w:t>
      </w:r>
      <w:r>
        <w:rPr>
          <w:rFonts w:hint="eastAsia" w:ascii="仿宋" w:hAnsi="仿宋" w:eastAsia="仿宋"/>
          <w:sz w:val="28"/>
          <w:szCs w:val="30"/>
        </w:rPr>
        <w:t>（</w:t>
      </w:r>
      <w:r>
        <w:rPr>
          <w:rFonts w:hint="eastAsia" w:ascii="仿宋" w:hAnsi="仿宋" w:eastAsia="仿宋" w:cs="微软雅黑"/>
          <w:sz w:val="28"/>
          <w:szCs w:val="30"/>
        </w:rPr>
        <w:t>采购人</w:t>
      </w:r>
      <w:r>
        <w:rPr>
          <w:rFonts w:hint="eastAsia" w:ascii="仿宋" w:hAnsi="仿宋" w:eastAsia="仿宋" w:cs="Malgun Gothic Semilight"/>
          <w:sz w:val="28"/>
          <w:szCs w:val="30"/>
        </w:rPr>
        <w:t>）：</w:t>
      </w:r>
    </w:p>
    <w:p>
      <w:pPr>
        <w:spacing w:line="520" w:lineRule="exact"/>
        <w:ind w:firstLine="281" w:firstLineChars="100"/>
        <w:rPr>
          <w:rFonts w:ascii="仿宋" w:hAnsi="仿宋" w:eastAsia="仿宋"/>
          <w:sz w:val="28"/>
          <w:szCs w:val="30"/>
        </w:rPr>
      </w:pPr>
      <w:r>
        <w:rPr>
          <w:rFonts w:hint="eastAsia" w:ascii="仿宋" w:hAnsi="仿宋" w:eastAsia="仿宋" w:cs="微软雅黑"/>
          <w:b/>
          <w:bCs/>
          <w:sz w:val="28"/>
          <w:szCs w:val="30"/>
        </w:rPr>
        <w:t>乙方</w:t>
      </w:r>
      <w:r>
        <w:rPr>
          <w:rFonts w:hint="eastAsia" w:ascii="仿宋" w:hAnsi="仿宋" w:eastAsia="仿宋"/>
          <w:sz w:val="28"/>
          <w:szCs w:val="30"/>
        </w:rPr>
        <w:t>（</w:t>
      </w:r>
      <w:r>
        <w:rPr>
          <w:rFonts w:hint="eastAsia" w:ascii="仿宋" w:hAnsi="仿宋" w:eastAsia="仿宋" w:cs="微软雅黑"/>
          <w:sz w:val="28"/>
          <w:szCs w:val="30"/>
        </w:rPr>
        <w:t>响应方</w:t>
      </w:r>
      <w:r>
        <w:rPr>
          <w:rFonts w:hint="eastAsia" w:ascii="仿宋" w:hAnsi="仿宋" w:eastAsia="仿宋" w:cs="Malgun Gothic Semilight"/>
          <w:sz w:val="28"/>
          <w:szCs w:val="30"/>
        </w:rPr>
        <w:t>）：</w:t>
      </w:r>
    </w:p>
    <w:p>
      <w:pPr>
        <w:pStyle w:val="22"/>
        <w:adjustRightInd w:val="0"/>
        <w:snapToGrid w:val="0"/>
        <w:spacing w:beforeLines="0" w:afterLines="0" w:line="460" w:lineRule="exact"/>
        <w:ind w:firstLine="554" w:firstLineChars="198"/>
        <w:rPr>
          <w:rFonts w:ascii="仿宋" w:hAnsi="仿宋" w:eastAsia="仿宋"/>
          <w:b/>
          <w:snapToGrid w:val="0"/>
          <w:kern w:val="0"/>
          <w:sz w:val="28"/>
          <w:szCs w:val="30"/>
        </w:rPr>
      </w:pPr>
      <w:r>
        <w:rPr>
          <w:rFonts w:hint="eastAsia" w:ascii="仿宋" w:hAnsi="仿宋" w:eastAsia="仿宋" w:cs="微软雅黑"/>
          <w:snapToGrid w:val="0"/>
          <w:kern w:val="0"/>
          <w:sz w:val="28"/>
          <w:szCs w:val="30"/>
        </w:rPr>
        <w:t>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乙双方根据浙江省政府采购中心关于</w:t>
      </w:r>
      <w:r>
        <w:rPr>
          <w:rFonts w:hint="eastAsia" w:ascii="仿宋" w:hAnsi="仿宋" w:eastAsia="仿宋" w:cs="微软雅黑"/>
          <w:sz w:val="28"/>
          <w:szCs w:val="30"/>
        </w:rPr>
        <w:t>项目编号为</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标项及名称</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项目单一来源采购的结果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签署本合同</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9" w:firstLineChars="213"/>
        <w:rPr>
          <w:rFonts w:ascii="仿宋" w:hAnsi="仿宋" w:eastAsia="仿宋"/>
          <w:b/>
          <w:sz w:val="28"/>
          <w:szCs w:val="30"/>
        </w:rPr>
      </w:pPr>
      <w:r>
        <w:rPr>
          <w:rFonts w:hint="eastAsia" w:ascii="仿宋" w:hAnsi="仿宋" w:eastAsia="仿宋" w:cs="微软雅黑"/>
          <w:b/>
          <w:snapToGrid w:val="0"/>
          <w:kern w:val="0"/>
          <w:sz w:val="28"/>
          <w:szCs w:val="30"/>
        </w:rPr>
        <w:t>一</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项目内容</w:t>
      </w:r>
      <w:r>
        <w:rPr>
          <w:rFonts w:hint="eastAsia" w:ascii="仿宋" w:hAnsi="仿宋" w:eastAsia="仿宋" w:cs="微软雅黑"/>
          <w:b/>
          <w:sz w:val="28"/>
          <w:szCs w:val="30"/>
        </w:rPr>
        <w:t>及合同价格</w:t>
      </w:r>
    </w:p>
    <w:p>
      <w:pPr>
        <w:pStyle w:val="22"/>
        <w:adjustRightInd w:val="0"/>
        <w:snapToGrid w:val="0"/>
        <w:spacing w:beforeLines="0" w:afterLines="0" w:line="460" w:lineRule="exact"/>
        <w:ind w:firstLine="596" w:firstLineChars="213"/>
        <w:jc w:val="right"/>
        <w:rPr>
          <w:rFonts w:ascii="仿宋" w:hAnsi="仿宋" w:eastAsia="仿宋"/>
          <w:sz w:val="28"/>
          <w:szCs w:val="30"/>
        </w:rPr>
      </w:pPr>
      <w:r>
        <w:rPr>
          <w:rFonts w:hint="eastAsia" w:ascii="仿宋" w:hAnsi="仿宋" w:eastAsia="仿宋" w:cs="微软雅黑"/>
          <w:sz w:val="28"/>
          <w:szCs w:val="30"/>
        </w:rPr>
        <w:t>金额单位</w:t>
      </w:r>
      <w:r>
        <w:rPr>
          <w:rFonts w:hint="eastAsia" w:ascii="仿宋" w:hAnsi="仿宋" w:eastAsia="仿宋" w:cs="Malgun Gothic Semilight"/>
          <w:sz w:val="28"/>
          <w:szCs w:val="30"/>
        </w:rPr>
        <w:t>：</w:t>
      </w:r>
      <w:r>
        <w:rPr>
          <w:rFonts w:hint="eastAsia" w:ascii="仿宋" w:hAnsi="仿宋" w:eastAsia="仿宋" w:cs="微软雅黑"/>
          <w:sz w:val="28"/>
          <w:szCs w:val="30"/>
        </w:rPr>
        <w:t>元</w:t>
      </w:r>
    </w:p>
    <w:tbl>
      <w:tblPr>
        <w:tblStyle w:val="43"/>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0"/>
        <w:gridCol w:w="1980"/>
        <w:gridCol w:w="126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vAlign w:val="center"/>
          </w:tcPr>
          <w:p>
            <w:pPr>
              <w:pStyle w:val="22"/>
              <w:snapToGrid w:val="0"/>
              <w:spacing w:beforeLines="0" w:afterLines="0" w:line="460" w:lineRule="exact"/>
              <w:jc w:val="center"/>
              <w:rPr>
                <w:rFonts w:ascii="仿宋" w:hAnsi="仿宋" w:eastAsia="仿宋"/>
                <w:sz w:val="28"/>
                <w:szCs w:val="30"/>
              </w:rPr>
            </w:pPr>
            <w:r>
              <w:rPr>
                <w:rFonts w:hint="eastAsia" w:ascii="仿宋" w:hAnsi="仿宋" w:eastAsia="仿宋" w:cs="微软雅黑"/>
                <w:sz w:val="28"/>
                <w:szCs w:val="30"/>
              </w:rPr>
              <w:t>项目名称</w:t>
            </w:r>
          </w:p>
        </w:tc>
        <w:tc>
          <w:tcPr>
            <w:tcW w:w="1980" w:type="dxa"/>
            <w:vAlign w:val="center"/>
          </w:tcPr>
          <w:p>
            <w:pPr>
              <w:pStyle w:val="22"/>
              <w:snapToGrid w:val="0"/>
              <w:spacing w:beforeLines="0" w:afterLines="0" w:line="460" w:lineRule="exact"/>
              <w:jc w:val="center"/>
              <w:rPr>
                <w:rFonts w:ascii="仿宋" w:hAnsi="仿宋" w:eastAsia="仿宋"/>
                <w:sz w:val="28"/>
                <w:szCs w:val="30"/>
              </w:rPr>
            </w:pPr>
            <w:r>
              <w:rPr>
                <w:rFonts w:hint="eastAsia" w:ascii="仿宋" w:hAnsi="仿宋" w:eastAsia="仿宋" w:cs="微软雅黑"/>
                <w:sz w:val="28"/>
                <w:szCs w:val="30"/>
              </w:rPr>
              <w:t>型号规格</w:t>
            </w:r>
          </w:p>
        </w:tc>
        <w:tc>
          <w:tcPr>
            <w:tcW w:w="1980" w:type="dxa"/>
            <w:vAlign w:val="center"/>
          </w:tcPr>
          <w:p>
            <w:pPr>
              <w:pStyle w:val="22"/>
              <w:snapToGrid w:val="0"/>
              <w:spacing w:beforeLines="0" w:afterLines="0" w:line="460" w:lineRule="exact"/>
              <w:jc w:val="center"/>
              <w:rPr>
                <w:rFonts w:ascii="仿宋" w:hAnsi="仿宋" w:eastAsia="仿宋"/>
                <w:sz w:val="28"/>
                <w:szCs w:val="30"/>
              </w:rPr>
            </w:pPr>
            <w:r>
              <w:rPr>
                <w:rFonts w:hint="eastAsia" w:ascii="仿宋" w:hAnsi="仿宋" w:eastAsia="仿宋" w:cs="微软雅黑"/>
                <w:sz w:val="28"/>
                <w:szCs w:val="30"/>
              </w:rPr>
              <w:t>配置要求</w:t>
            </w:r>
          </w:p>
        </w:tc>
        <w:tc>
          <w:tcPr>
            <w:tcW w:w="1260" w:type="dxa"/>
            <w:vAlign w:val="center"/>
          </w:tcPr>
          <w:p>
            <w:pPr>
              <w:pStyle w:val="22"/>
              <w:snapToGrid w:val="0"/>
              <w:spacing w:beforeLines="0" w:afterLines="0" w:line="460" w:lineRule="exact"/>
              <w:ind w:left="-108"/>
              <w:jc w:val="center"/>
              <w:rPr>
                <w:rFonts w:ascii="仿宋" w:hAnsi="仿宋" w:eastAsia="仿宋"/>
                <w:sz w:val="28"/>
                <w:szCs w:val="30"/>
              </w:rPr>
            </w:pPr>
            <w:r>
              <w:rPr>
                <w:rFonts w:hint="eastAsia" w:ascii="仿宋" w:hAnsi="仿宋" w:eastAsia="仿宋" w:cs="微软雅黑"/>
                <w:sz w:val="28"/>
                <w:szCs w:val="30"/>
              </w:rPr>
              <w:t>数量</w:t>
            </w:r>
          </w:p>
        </w:tc>
        <w:tc>
          <w:tcPr>
            <w:tcW w:w="1572" w:type="dxa"/>
            <w:vAlign w:val="center"/>
          </w:tcPr>
          <w:p>
            <w:pPr>
              <w:pStyle w:val="22"/>
              <w:snapToGrid w:val="0"/>
              <w:spacing w:beforeLines="0" w:afterLines="0" w:line="460" w:lineRule="exact"/>
              <w:ind w:left="-108"/>
              <w:jc w:val="center"/>
              <w:rPr>
                <w:rFonts w:ascii="仿宋" w:hAnsi="仿宋" w:eastAsia="仿宋"/>
                <w:sz w:val="28"/>
                <w:szCs w:val="30"/>
              </w:rPr>
            </w:pPr>
            <w:r>
              <w:rPr>
                <w:rFonts w:hint="eastAsia" w:ascii="仿宋" w:hAnsi="仿宋" w:eastAsia="仿宋" w:cs="微软雅黑"/>
                <w:sz w:val="28"/>
                <w:szCs w:val="30"/>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340" w:type="dxa"/>
          </w:tcPr>
          <w:p>
            <w:pPr>
              <w:spacing w:line="460" w:lineRule="exact"/>
              <w:ind w:firstLine="596" w:firstLineChars="213"/>
              <w:rPr>
                <w:rFonts w:ascii="仿宋" w:hAnsi="仿宋" w:eastAsia="仿宋"/>
                <w:sz w:val="28"/>
                <w:szCs w:val="30"/>
              </w:rPr>
            </w:pPr>
          </w:p>
        </w:tc>
        <w:tc>
          <w:tcPr>
            <w:tcW w:w="1980" w:type="dxa"/>
          </w:tcPr>
          <w:p>
            <w:pPr>
              <w:spacing w:line="460" w:lineRule="exact"/>
              <w:ind w:firstLine="596" w:firstLineChars="213"/>
              <w:rPr>
                <w:rFonts w:ascii="仿宋" w:hAnsi="仿宋" w:eastAsia="仿宋"/>
                <w:sz w:val="28"/>
                <w:szCs w:val="30"/>
              </w:rPr>
            </w:pPr>
          </w:p>
        </w:tc>
        <w:tc>
          <w:tcPr>
            <w:tcW w:w="1980" w:type="dxa"/>
          </w:tcPr>
          <w:p>
            <w:pPr>
              <w:spacing w:line="460" w:lineRule="exact"/>
              <w:ind w:firstLine="596" w:firstLineChars="213"/>
              <w:rPr>
                <w:rFonts w:ascii="仿宋" w:hAnsi="仿宋" w:eastAsia="仿宋"/>
                <w:sz w:val="28"/>
                <w:szCs w:val="30"/>
              </w:rPr>
            </w:pPr>
          </w:p>
        </w:tc>
        <w:tc>
          <w:tcPr>
            <w:tcW w:w="1260" w:type="dxa"/>
          </w:tcPr>
          <w:p>
            <w:pPr>
              <w:spacing w:line="460" w:lineRule="exact"/>
              <w:ind w:firstLine="596" w:firstLineChars="213"/>
              <w:rPr>
                <w:rFonts w:ascii="仿宋" w:hAnsi="仿宋" w:eastAsia="仿宋"/>
                <w:sz w:val="28"/>
                <w:szCs w:val="30"/>
              </w:rPr>
            </w:pPr>
          </w:p>
        </w:tc>
        <w:tc>
          <w:tcPr>
            <w:tcW w:w="1572" w:type="dxa"/>
          </w:tcPr>
          <w:p>
            <w:pPr>
              <w:pStyle w:val="132"/>
              <w:spacing w:after="120" w:line="460" w:lineRule="exact"/>
              <w:ind w:firstLine="596" w:firstLineChars="213"/>
              <w:rPr>
                <w:rFonts w:ascii="仿宋" w:hAnsi="仿宋" w:eastAsia="仿宋"/>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6300" w:type="dxa"/>
            <w:gridSpan w:val="3"/>
          </w:tcPr>
          <w:p>
            <w:pPr>
              <w:pStyle w:val="22"/>
              <w:snapToGrid w:val="0"/>
              <w:spacing w:beforeLines="0" w:afterLines="0" w:line="460" w:lineRule="exact"/>
              <w:ind w:firstLine="596" w:firstLineChars="213"/>
              <w:jc w:val="center"/>
              <w:rPr>
                <w:rFonts w:ascii="仿宋" w:hAnsi="仿宋" w:eastAsia="仿宋"/>
                <w:sz w:val="28"/>
                <w:szCs w:val="30"/>
              </w:rPr>
            </w:pPr>
            <w:r>
              <w:rPr>
                <w:rFonts w:hint="eastAsia" w:ascii="仿宋" w:hAnsi="仿宋" w:eastAsia="仿宋" w:cs="微软雅黑"/>
                <w:sz w:val="28"/>
                <w:szCs w:val="30"/>
              </w:rPr>
              <w:t>合计</w:t>
            </w:r>
          </w:p>
        </w:tc>
        <w:tc>
          <w:tcPr>
            <w:tcW w:w="1260" w:type="dxa"/>
          </w:tcPr>
          <w:p>
            <w:pPr>
              <w:pStyle w:val="22"/>
              <w:snapToGrid w:val="0"/>
              <w:spacing w:beforeLines="0" w:afterLines="0" w:line="460" w:lineRule="exact"/>
              <w:ind w:firstLine="596" w:firstLineChars="213"/>
              <w:jc w:val="center"/>
              <w:rPr>
                <w:rFonts w:ascii="仿宋" w:hAnsi="仿宋" w:eastAsia="仿宋"/>
                <w:sz w:val="28"/>
                <w:szCs w:val="30"/>
              </w:rPr>
            </w:pPr>
          </w:p>
        </w:tc>
        <w:tc>
          <w:tcPr>
            <w:tcW w:w="1572" w:type="dxa"/>
          </w:tcPr>
          <w:p>
            <w:pPr>
              <w:pStyle w:val="132"/>
              <w:spacing w:after="120" w:line="460" w:lineRule="exact"/>
              <w:ind w:firstLine="596" w:firstLineChars="213"/>
              <w:rPr>
                <w:rFonts w:ascii="仿宋" w:hAnsi="仿宋" w:eastAsia="仿宋"/>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Pr>
          <w:p>
            <w:pPr>
              <w:pStyle w:val="22"/>
              <w:snapToGrid w:val="0"/>
              <w:spacing w:beforeLines="0" w:afterLines="0" w:line="460" w:lineRule="exact"/>
              <w:rPr>
                <w:rFonts w:ascii="仿宋" w:hAnsi="仿宋" w:eastAsia="仿宋"/>
                <w:sz w:val="28"/>
                <w:szCs w:val="30"/>
              </w:rPr>
            </w:pPr>
            <w:r>
              <w:rPr>
                <w:rFonts w:hint="eastAsia" w:ascii="仿宋" w:hAnsi="仿宋" w:eastAsia="仿宋" w:cs="微软雅黑"/>
                <w:sz w:val="28"/>
                <w:szCs w:val="30"/>
              </w:rPr>
              <w:t>合同总价大写</w:t>
            </w:r>
            <w:r>
              <w:rPr>
                <w:rFonts w:hint="eastAsia" w:ascii="仿宋" w:hAnsi="仿宋" w:eastAsia="仿宋" w:cs="Malgun Gothic Semilight"/>
                <w:sz w:val="28"/>
                <w:szCs w:val="30"/>
              </w:rPr>
              <w:t>：</w:t>
            </w:r>
            <w:r>
              <w:rPr>
                <w:rFonts w:hint="eastAsia" w:ascii="仿宋" w:hAnsi="仿宋" w:eastAsia="仿宋" w:cs="微软雅黑"/>
                <w:sz w:val="28"/>
                <w:szCs w:val="30"/>
              </w:rPr>
              <w:t>小写</w:t>
            </w:r>
            <w:r>
              <w:rPr>
                <w:rFonts w:hint="eastAsia" w:ascii="仿宋" w:hAnsi="仿宋" w:eastAsia="仿宋" w:cs="Malgun Gothic Semilight"/>
                <w:sz w:val="28"/>
                <w:szCs w:val="30"/>
              </w:rPr>
              <w:t>：￥</w:t>
            </w:r>
          </w:p>
        </w:tc>
      </w:tr>
    </w:tbl>
    <w:p>
      <w:pPr>
        <w:pStyle w:val="22"/>
        <w:snapToGrid w:val="0"/>
        <w:spacing w:beforeLines="0" w:afterLines="0" w:line="460" w:lineRule="exact"/>
        <w:ind w:firstLine="529" w:firstLineChars="189"/>
        <w:rPr>
          <w:rFonts w:ascii="仿宋" w:hAnsi="仿宋" w:eastAsia="仿宋"/>
          <w:sz w:val="28"/>
          <w:szCs w:val="30"/>
        </w:rPr>
      </w:pPr>
      <w:r>
        <w:rPr>
          <w:rFonts w:hint="eastAsia" w:ascii="仿宋" w:hAnsi="仿宋" w:eastAsia="仿宋" w:cs="微软雅黑"/>
          <w:sz w:val="28"/>
          <w:szCs w:val="30"/>
        </w:rPr>
        <w:t>注</w:t>
      </w:r>
      <w:r>
        <w:rPr>
          <w:rFonts w:hint="eastAsia" w:ascii="仿宋" w:hAnsi="仿宋" w:eastAsia="仿宋" w:cs="Malgun Gothic Semilight"/>
          <w:sz w:val="28"/>
          <w:szCs w:val="30"/>
        </w:rPr>
        <w:t>：</w:t>
      </w:r>
      <w:r>
        <w:rPr>
          <w:rFonts w:hint="eastAsia" w:ascii="仿宋" w:hAnsi="仿宋" w:eastAsia="仿宋"/>
          <w:sz w:val="28"/>
          <w:szCs w:val="30"/>
        </w:rPr>
        <w:t>1、</w:t>
      </w:r>
      <w:r>
        <w:rPr>
          <w:rFonts w:hint="eastAsia" w:ascii="仿宋" w:hAnsi="仿宋" w:eastAsia="仿宋" w:cs="微软雅黑"/>
          <w:sz w:val="28"/>
          <w:szCs w:val="30"/>
        </w:rPr>
        <w:t>商品型号</w:t>
      </w:r>
      <w:r>
        <w:rPr>
          <w:rFonts w:hint="eastAsia" w:ascii="仿宋" w:hAnsi="仿宋" w:eastAsia="仿宋" w:cs="Malgun Gothic Semilight"/>
          <w:sz w:val="28"/>
          <w:szCs w:val="30"/>
        </w:rPr>
        <w:t>、</w:t>
      </w:r>
      <w:r>
        <w:rPr>
          <w:rFonts w:hint="eastAsia" w:ascii="仿宋" w:hAnsi="仿宋" w:eastAsia="仿宋" w:cs="微软雅黑"/>
          <w:sz w:val="28"/>
          <w:szCs w:val="30"/>
        </w:rPr>
        <w:t>数量</w:t>
      </w:r>
      <w:r>
        <w:rPr>
          <w:rFonts w:hint="eastAsia" w:ascii="仿宋" w:hAnsi="仿宋" w:eastAsia="仿宋" w:cs="Malgun Gothic Semilight"/>
          <w:sz w:val="28"/>
          <w:szCs w:val="30"/>
        </w:rPr>
        <w:t>、</w:t>
      </w:r>
      <w:r>
        <w:rPr>
          <w:rFonts w:hint="eastAsia" w:ascii="仿宋" w:hAnsi="仿宋" w:eastAsia="仿宋" w:cs="微软雅黑"/>
          <w:sz w:val="28"/>
          <w:szCs w:val="30"/>
        </w:rPr>
        <w:t>配置要求及使用单位地址等详见附件清单</w:t>
      </w:r>
    </w:p>
    <w:p>
      <w:pPr>
        <w:spacing w:line="460" w:lineRule="exact"/>
        <w:ind w:firstLine="529" w:firstLineChars="189"/>
        <w:rPr>
          <w:rFonts w:ascii="仿宋" w:hAnsi="仿宋" w:eastAsia="仿宋"/>
          <w:sz w:val="28"/>
          <w:szCs w:val="30"/>
        </w:rPr>
      </w:pPr>
      <w:r>
        <w:rPr>
          <w:rFonts w:hint="eastAsia" w:ascii="仿宋" w:hAnsi="仿宋" w:eastAsia="仿宋"/>
          <w:sz w:val="28"/>
          <w:szCs w:val="30"/>
        </w:rPr>
        <w:t>　2、</w:t>
      </w:r>
      <w:r>
        <w:rPr>
          <w:rFonts w:hint="eastAsia" w:ascii="仿宋" w:hAnsi="仿宋" w:eastAsia="仿宋" w:cs="微软雅黑"/>
          <w:sz w:val="28"/>
          <w:szCs w:val="30"/>
        </w:rPr>
        <w:t>以上合同总价包含产品到达用户并能正常使用所需的一切费用</w:t>
      </w:r>
      <w:r>
        <w:rPr>
          <w:rFonts w:hint="eastAsia" w:ascii="仿宋" w:hAnsi="仿宋" w:eastAsia="仿宋" w:cs="Malgun Gothic Semilight"/>
          <w:sz w:val="28"/>
          <w:szCs w:val="30"/>
        </w:rPr>
        <w:t>。</w:t>
      </w:r>
    </w:p>
    <w:p>
      <w:pPr>
        <w:pStyle w:val="22"/>
        <w:adjustRightInd w:val="0"/>
        <w:snapToGrid w:val="0"/>
        <w:spacing w:beforeLines="0" w:afterLines="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二</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技术资料</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乙方应按单一来源采购文件规定的时间向甲方提供使用项目的有关技术资料</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没有甲方事先书面同意</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乙方不得将由甲方提供的有关合同或任何合同条文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规格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计划</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图纸</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样品或资料提供给与履行本合同无关的任何其他人</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即使向履行本合同有关的人员提供</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也应注意保密并限于履行合同的必需范围</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三</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知识产权</w:t>
      </w:r>
    </w:p>
    <w:p>
      <w:pPr>
        <w:pStyle w:val="22"/>
        <w:adjustRightInd w:val="0"/>
        <w:snapToGrid w:val="0"/>
        <w:spacing w:beforeLines="0" w:afterLines="0" w:line="460" w:lineRule="exact"/>
        <w:ind w:firstLine="596" w:firstLineChars="213"/>
        <w:rPr>
          <w:rFonts w:ascii="仿宋" w:hAnsi="仿宋" w:eastAsia="仿宋"/>
          <w:bCs/>
          <w:snapToGrid w:val="0"/>
          <w:kern w:val="0"/>
          <w:sz w:val="28"/>
          <w:szCs w:val="30"/>
        </w:rPr>
      </w:pPr>
      <w:r>
        <w:rPr>
          <w:rFonts w:hint="eastAsia" w:ascii="仿宋" w:hAnsi="仿宋" w:eastAsia="仿宋" w:cs="微软雅黑"/>
          <w:snapToGrid w:val="0"/>
          <w:kern w:val="0"/>
          <w:sz w:val="28"/>
          <w:szCs w:val="30"/>
        </w:rPr>
        <w:t>乙方应保证所提供的项目或其任何一部分均不会侵犯任何第三方的知识产权</w:t>
      </w:r>
      <w:r>
        <w:rPr>
          <w:rFonts w:hint="eastAsia" w:ascii="仿宋" w:hAnsi="仿宋" w:eastAsia="仿宋"/>
          <w:bCs/>
          <w:snapToGrid w:val="0"/>
          <w:kern w:val="0"/>
          <w:sz w:val="28"/>
          <w:szCs w:val="30"/>
        </w:rPr>
        <w:t>。</w:t>
      </w:r>
    </w:p>
    <w:p>
      <w:pPr>
        <w:pStyle w:val="22"/>
        <w:adjustRightInd w:val="0"/>
        <w:snapToGrid w:val="0"/>
        <w:spacing w:beforeLines="0" w:afterLines="0" w:line="460" w:lineRule="exact"/>
        <w:ind w:firstLine="557" w:firstLineChars="198"/>
        <w:rPr>
          <w:rFonts w:ascii="仿宋" w:hAnsi="仿宋" w:eastAsia="仿宋"/>
          <w:snapToGrid w:val="0"/>
          <w:kern w:val="0"/>
          <w:sz w:val="28"/>
          <w:szCs w:val="30"/>
          <w:u w:val="single"/>
        </w:rPr>
      </w:pPr>
      <w:r>
        <w:rPr>
          <w:rFonts w:hint="eastAsia" w:ascii="仿宋" w:hAnsi="仿宋" w:eastAsia="仿宋" w:cs="微软雅黑"/>
          <w:b/>
          <w:snapToGrid w:val="0"/>
          <w:kern w:val="0"/>
          <w:sz w:val="28"/>
          <w:szCs w:val="30"/>
        </w:rPr>
        <w:t>四</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产权担保</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u w:val="single"/>
        </w:rPr>
      </w:pPr>
      <w:r>
        <w:rPr>
          <w:rFonts w:hint="eastAsia" w:ascii="仿宋" w:hAnsi="仿宋" w:eastAsia="仿宋" w:cs="微软雅黑"/>
          <w:snapToGrid w:val="0"/>
          <w:kern w:val="0"/>
          <w:sz w:val="28"/>
          <w:szCs w:val="30"/>
        </w:rPr>
        <w:t>乙方保证所交付的项目的所有权完全属于乙方且无任何抵押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查封等产权瑕疵</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五</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转包或分包</w:t>
      </w:r>
    </w:p>
    <w:p>
      <w:pPr>
        <w:adjustRightInd w:val="0"/>
        <w:snapToGrid w:val="0"/>
        <w:spacing w:before="120" w:beforeLines="50" w:after="120" w:afterLines="5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本合同范围的项目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应由乙方直接供应</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不得转让他人供应</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否则</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甲方有权解除合同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没收履约保证金并追究乙方的违约责任</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9" w:firstLineChars="213"/>
        <w:rPr>
          <w:rFonts w:ascii="仿宋" w:hAnsi="仿宋" w:eastAsia="仿宋"/>
          <w:snapToGrid w:val="0"/>
          <w:kern w:val="0"/>
          <w:sz w:val="28"/>
          <w:szCs w:val="30"/>
        </w:rPr>
      </w:pPr>
      <w:r>
        <w:rPr>
          <w:rFonts w:hint="eastAsia" w:ascii="仿宋" w:hAnsi="仿宋" w:eastAsia="仿宋" w:cs="微软雅黑"/>
          <w:b/>
          <w:snapToGrid w:val="0"/>
          <w:kern w:val="0"/>
          <w:sz w:val="28"/>
          <w:szCs w:val="30"/>
        </w:rPr>
        <w:t>六</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质保期和履约保证金</w:t>
      </w:r>
    </w:p>
    <w:p>
      <w:pPr>
        <w:pStyle w:val="22"/>
        <w:adjustRightInd w:val="0"/>
        <w:snapToGrid w:val="0"/>
        <w:spacing w:beforeLines="0" w:afterLines="0" w:line="460" w:lineRule="exact"/>
        <w:ind w:firstLine="560" w:firstLineChars="200"/>
        <w:jc w:val="left"/>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质保期</w:t>
      </w:r>
      <w:bookmarkStart w:id="41" w:name="质保期（年）"/>
      <w:r>
        <w:rPr>
          <w:rFonts w:ascii="仿宋" w:hAnsi="仿宋" w:eastAsia="仿宋"/>
          <w:snapToGrid w:val="0"/>
          <w:kern w:val="0"/>
          <w:sz w:val="28"/>
          <w:szCs w:val="30"/>
          <w:u w:val="single"/>
        </w:rPr>
        <w:t>[</w:t>
      </w:r>
      <w:r>
        <w:rPr>
          <w:rFonts w:hint="eastAsia" w:ascii="仿宋" w:hAnsi="仿宋" w:eastAsia="仿宋" w:cs="微软雅黑"/>
          <w:snapToGrid w:val="0"/>
          <w:kern w:val="0"/>
          <w:sz w:val="28"/>
          <w:szCs w:val="30"/>
          <w:u w:val="single"/>
        </w:rPr>
        <w:t>质保期</w:t>
      </w:r>
      <w:r>
        <w:rPr>
          <w:rFonts w:hint="eastAsia" w:ascii="仿宋" w:hAnsi="仿宋" w:eastAsia="仿宋" w:cs="Malgun Gothic Semilight"/>
          <w:snapToGrid w:val="0"/>
          <w:kern w:val="0"/>
          <w:sz w:val="28"/>
          <w:szCs w:val="30"/>
          <w:u w:val="single"/>
        </w:rPr>
        <w:t>（</w:t>
      </w:r>
      <w:r>
        <w:rPr>
          <w:rFonts w:hint="eastAsia" w:ascii="仿宋" w:hAnsi="仿宋" w:eastAsia="仿宋" w:cs="微软雅黑"/>
          <w:snapToGrid w:val="0"/>
          <w:kern w:val="0"/>
          <w:sz w:val="28"/>
          <w:szCs w:val="30"/>
          <w:u w:val="single"/>
        </w:rPr>
        <w:t>年</w:t>
      </w:r>
      <w:r>
        <w:rPr>
          <w:rFonts w:hint="eastAsia" w:ascii="仿宋" w:hAnsi="仿宋" w:eastAsia="仿宋" w:cs="Malgun Gothic Semilight"/>
          <w:snapToGrid w:val="0"/>
          <w:kern w:val="0"/>
          <w:sz w:val="28"/>
          <w:szCs w:val="30"/>
          <w:u w:val="single"/>
        </w:rPr>
        <w:t>）</w:t>
      </w:r>
      <w:r>
        <w:rPr>
          <w:rFonts w:ascii="仿宋" w:hAnsi="仿宋" w:eastAsia="仿宋"/>
          <w:snapToGrid w:val="0"/>
          <w:kern w:val="0"/>
          <w:sz w:val="28"/>
          <w:szCs w:val="30"/>
          <w:u w:val="single"/>
        </w:rPr>
        <w:t>]</w:t>
      </w:r>
      <w:bookmarkEnd w:id="41"/>
      <w:r>
        <w:rPr>
          <w:rFonts w:hint="eastAsia" w:ascii="仿宋" w:hAnsi="仿宋" w:eastAsia="仿宋" w:cs="微软雅黑"/>
          <w:snapToGrid w:val="0"/>
          <w:kern w:val="0"/>
          <w:sz w:val="28"/>
          <w:szCs w:val="30"/>
        </w:rPr>
        <w:t>年</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自交货验收合格之日起计</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2.</w:t>
      </w:r>
      <w:r>
        <w:rPr>
          <w:rFonts w:hint="eastAsia" w:ascii="仿宋" w:hAnsi="仿宋" w:eastAsia="仿宋" w:cs="微软雅黑"/>
          <w:snapToGrid w:val="0"/>
          <w:kern w:val="0"/>
          <w:sz w:val="28"/>
          <w:szCs w:val="30"/>
        </w:rPr>
        <w:t>履约保证金</w:t>
      </w:r>
      <w:bookmarkStart w:id="42" w:name="质保金（元）"/>
      <w:r>
        <w:rPr>
          <w:rFonts w:ascii="仿宋" w:hAnsi="仿宋" w:eastAsia="仿宋"/>
          <w:snapToGrid w:val="0"/>
          <w:kern w:val="0"/>
          <w:sz w:val="28"/>
          <w:szCs w:val="30"/>
          <w:u w:val="single"/>
        </w:rPr>
        <w:t>[</w:t>
      </w:r>
      <w:r>
        <w:rPr>
          <w:rFonts w:hint="eastAsia" w:ascii="仿宋" w:hAnsi="仿宋" w:eastAsia="仿宋" w:cs="微软雅黑"/>
          <w:snapToGrid w:val="0"/>
          <w:kern w:val="0"/>
          <w:sz w:val="28"/>
          <w:szCs w:val="30"/>
          <w:u w:val="single"/>
        </w:rPr>
        <w:t>质保金</w:t>
      </w:r>
      <w:r>
        <w:rPr>
          <w:rFonts w:hint="eastAsia" w:ascii="仿宋" w:hAnsi="仿宋" w:eastAsia="仿宋" w:cs="Malgun Gothic Semilight"/>
          <w:snapToGrid w:val="0"/>
          <w:kern w:val="0"/>
          <w:sz w:val="28"/>
          <w:szCs w:val="30"/>
          <w:u w:val="single"/>
        </w:rPr>
        <w:t>（</w:t>
      </w:r>
      <w:r>
        <w:rPr>
          <w:rFonts w:hint="eastAsia" w:ascii="仿宋" w:hAnsi="仿宋" w:eastAsia="仿宋" w:cs="微软雅黑"/>
          <w:snapToGrid w:val="0"/>
          <w:kern w:val="0"/>
          <w:sz w:val="28"/>
          <w:szCs w:val="30"/>
          <w:u w:val="single"/>
        </w:rPr>
        <w:t>元</w:t>
      </w:r>
      <w:r>
        <w:rPr>
          <w:rFonts w:hint="eastAsia" w:ascii="仿宋" w:hAnsi="仿宋" w:eastAsia="仿宋" w:cs="Malgun Gothic Semilight"/>
          <w:snapToGrid w:val="0"/>
          <w:kern w:val="0"/>
          <w:sz w:val="28"/>
          <w:szCs w:val="30"/>
          <w:u w:val="single"/>
        </w:rPr>
        <w:t>）</w:t>
      </w:r>
      <w:r>
        <w:rPr>
          <w:rFonts w:ascii="仿宋" w:hAnsi="仿宋" w:eastAsia="仿宋"/>
          <w:snapToGrid w:val="0"/>
          <w:kern w:val="0"/>
          <w:sz w:val="28"/>
          <w:szCs w:val="30"/>
          <w:u w:val="single"/>
        </w:rPr>
        <w:t>]</w:t>
      </w:r>
      <w:bookmarkEnd w:id="42"/>
      <w:r>
        <w:rPr>
          <w:rFonts w:hint="eastAsia" w:ascii="仿宋" w:hAnsi="仿宋" w:eastAsia="仿宋" w:cs="微软雅黑"/>
          <w:snapToGrid w:val="0"/>
          <w:kern w:val="0"/>
          <w:sz w:val="28"/>
          <w:szCs w:val="30"/>
        </w:rPr>
        <w:t>元</w:t>
      </w:r>
      <w:r>
        <w:rPr>
          <w:rFonts w:hint="eastAsia" w:ascii="仿宋" w:hAnsi="仿宋" w:eastAsia="仿宋" w:cs="Malgun Gothic Semilight"/>
          <w:snapToGrid w:val="0"/>
          <w:kern w:val="0"/>
          <w:sz w:val="28"/>
          <w:szCs w:val="30"/>
        </w:rPr>
        <w:t>。</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履约保证金交给采购人处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在合同约定交货验收合格满</w:t>
      </w:r>
      <w:r>
        <w:rPr>
          <w:rFonts w:hint="eastAsia" w:ascii="仿宋" w:hAnsi="仿宋" w:eastAsia="仿宋" w:cs="Malgun Gothic Semilight"/>
          <w:snapToGrid w:val="0"/>
          <w:kern w:val="0"/>
          <w:sz w:val="28"/>
          <w:szCs w:val="30"/>
        </w:rPr>
        <w:t>（</w:t>
      </w:r>
      <w:bookmarkStart w:id="43" w:name="退还时间（月）"/>
      <w:r>
        <w:rPr>
          <w:rFonts w:ascii="仿宋" w:hAnsi="仿宋" w:eastAsia="仿宋"/>
          <w:snapToGrid w:val="0"/>
          <w:kern w:val="0"/>
          <w:sz w:val="28"/>
          <w:szCs w:val="30"/>
        </w:rPr>
        <w:t>[</w:t>
      </w:r>
      <w:r>
        <w:rPr>
          <w:rFonts w:hint="eastAsia" w:ascii="仿宋" w:hAnsi="仿宋" w:eastAsia="仿宋" w:cs="微软雅黑"/>
          <w:snapToGrid w:val="0"/>
          <w:kern w:val="0"/>
          <w:sz w:val="28"/>
          <w:szCs w:val="30"/>
        </w:rPr>
        <w:t>退还时间</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月</w:t>
      </w:r>
      <w:r>
        <w:rPr>
          <w:rFonts w:hint="eastAsia" w:ascii="仿宋" w:hAnsi="仿宋" w:eastAsia="仿宋" w:cs="Malgun Gothic Semilight"/>
          <w:snapToGrid w:val="0"/>
          <w:kern w:val="0"/>
          <w:sz w:val="28"/>
          <w:szCs w:val="30"/>
        </w:rPr>
        <w:t>）</w:t>
      </w:r>
      <w:r>
        <w:rPr>
          <w:rFonts w:ascii="仿宋" w:hAnsi="仿宋" w:eastAsia="仿宋"/>
          <w:snapToGrid w:val="0"/>
          <w:kern w:val="0"/>
          <w:sz w:val="28"/>
          <w:szCs w:val="30"/>
        </w:rPr>
        <w:t>]</w:t>
      </w:r>
      <w:bookmarkEnd w:id="43"/>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个月之日起</w:t>
      </w: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个工作日内无息退还</w:t>
      </w:r>
      <w:r>
        <w:rPr>
          <w:rFonts w:hint="eastAsia" w:ascii="仿宋" w:hAnsi="仿宋" w:eastAsia="仿宋"/>
          <w:snapToGrid w:val="0"/>
          <w:kern w:val="0"/>
          <w:sz w:val="28"/>
          <w:szCs w:val="30"/>
        </w:rPr>
        <w:t>]</w:t>
      </w:r>
    </w:p>
    <w:p>
      <w:pPr>
        <w:pStyle w:val="22"/>
        <w:adjustRightInd w:val="0"/>
        <w:snapToGrid w:val="0"/>
        <w:spacing w:beforeLines="0" w:afterLines="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七</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交货期</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交货方式及交货地点</w:t>
      </w:r>
    </w:p>
    <w:p>
      <w:pPr>
        <w:pStyle w:val="22"/>
        <w:adjustRightInd w:val="0"/>
        <w:snapToGrid w:val="0"/>
        <w:spacing w:beforeLines="0" w:afterLines="0" w:line="460" w:lineRule="exact"/>
        <w:ind w:firstLine="596" w:firstLineChars="213"/>
        <w:rPr>
          <w:rFonts w:ascii="仿宋" w:hAnsi="仿宋" w:eastAsia="仿宋"/>
          <w:bCs/>
          <w:snapToGrid w:val="0"/>
          <w:kern w:val="0"/>
          <w:sz w:val="28"/>
          <w:szCs w:val="30"/>
        </w:rPr>
      </w:pPr>
      <w:r>
        <w:rPr>
          <w:rFonts w:hint="eastAsia" w:ascii="仿宋" w:hAnsi="仿宋" w:eastAsia="仿宋"/>
          <w:bCs/>
          <w:snapToGrid w:val="0"/>
          <w:kern w:val="0"/>
          <w:sz w:val="28"/>
          <w:szCs w:val="30"/>
        </w:rPr>
        <w:t xml:space="preserve">1. </w:t>
      </w:r>
      <w:r>
        <w:rPr>
          <w:rFonts w:hint="eastAsia" w:ascii="仿宋" w:hAnsi="仿宋" w:eastAsia="仿宋" w:cs="微软雅黑"/>
          <w:bCs/>
          <w:snapToGrid w:val="0"/>
          <w:kern w:val="0"/>
          <w:sz w:val="28"/>
          <w:szCs w:val="30"/>
        </w:rPr>
        <w:t>交货期</w:t>
      </w:r>
      <w:r>
        <w:rPr>
          <w:rFonts w:hint="eastAsia" w:ascii="仿宋" w:hAnsi="仿宋" w:eastAsia="仿宋" w:cs="Malgun Gothic Semilight"/>
          <w:bCs/>
          <w:snapToGrid w:val="0"/>
          <w:kern w:val="0"/>
          <w:sz w:val="28"/>
          <w:szCs w:val="30"/>
        </w:rPr>
        <w:t>：</w:t>
      </w:r>
      <w:bookmarkStart w:id="44" w:name="交货期"/>
      <w:r>
        <w:rPr>
          <w:rFonts w:ascii="仿宋" w:hAnsi="仿宋" w:eastAsia="仿宋"/>
          <w:bCs/>
          <w:snapToGrid w:val="0"/>
          <w:kern w:val="0"/>
          <w:sz w:val="28"/>
          <w:szCs w:val="30"/>
        </w:rPr>
        <w:t>[</w:t>
      </w:r>
      <w:r>
        <w:rPr>
          <w:rFonts w:hint="eastAsia" w:ascii="仿宋" w:hAnsi="仿宋" w:eastAsia="仿宋" w:cs="微软雅黑"/>
          <w:bCs/>
          <w:snapToGrid w:val="0"/>
          <w:kern w:val="0"/>
          <w:sz w:val="28"/>
          <w:szCs w:val="30"/>
        </w:rPr>
        <w:t>交货期</w:t>
      </w:r>
      <w:r>
        <w:rPr>
          <w:rFonts w:ascii="仿宋" w:hAnsi="仿宋" w:eastAsia="仿宋"/>
          <w:bCs/>
          <w:snapToGrid w:val="0"/>
          <w:kern w:val="0"/>
          <w:sz w:val="28"/>
          <w:szCs w:val="30"/>
        </w:rPr>
        <w:t>]</w:t>
      </w:r>
      <w:bookmarkEnd w:id="44"/>
    </w:p>
    <w:p>
      <w:pPr>
        <w:pStyle w:val="22"/>
        <w:adjustRightInd w:val="0"/>
        <w:snapToGrid w:val="0"/>
        <w:spacing w:beforeLines="0" w:afterLines="0" w:line="460" w:lineRule="exact"/>
        <w:ind w:firstLine="596" w:firstLineChars="213"/>
        <w:rPr>
          <w:rFonts w:ascii="仿宋" w:hAnsi="仿宋" w:eastAsia="仿宋"/>
          <w:bCs/>
          <w:snapToGrid w:val="0"/>
          <w:kern w:val="0"/>
          <w:sz w:val="28"/>
          <w:szCs w:val="30"/>
        </w:rPr>
      </w:pPr>
      <w:r>
        <w:rPr>
          <w:rFonts w:hint="eastAsia" w:ascii="仿宋" w:hAnsi="仿宋" w:eastAsia="仿宋"/>
          <w:bCs/>
          <w:snapToGrid w:val="0"/>
          <w:kern w:val="0"/>
          <w:sz w:val="28"/>
          <w:szCs w:val="30"/>
        </w:rPr>
        <w:t xml:space="preserve">2. </w:t>
      </w:r>
      <w:r>
        <w:rPr>
          <w:rFonts w:hint="eastAsia" w:ascii="仿宋" w:hAnsi="仿宋" w:eastAsia="仿宋" w:cs="微软雅黑"/>
          <w:bCs/>
          <w:snapToGrid w:val="0"/>
          <w:kern w:val="0"/>
          <w:sz w:val="28"/>
          <w:szCs w:val="30"/>
        </w:rPr>
        <w:t>交货方式</w:t>
      </w:r>
      <w:r>
        <w:rPr>
          <w:rFonts w:hint="eastAsia" w:ascii="仿宋" w:hAnsi="仿宋" w:eastAsia="仿宋" w:cs="Malgun Gothic Semilight"/>
          <w:bCs/>
          <w:snapToGrid w:val="0"/>
          <w:kern w:val="0"/>
          <w:sz w:val="28"/>
          <w:szCs w:val="30"/>
        </w:rPr>
        <w:t>：</w:t>
      </w:r>
      <w:bookmarkStart w:id="45" w:name="交货方式"/>
      <w:r>
        <w:rPr>
          <w:rFonts w:ascii="仿宋" w:hAnsi="仿宋" w:eastAsia="仿宋"/>
          <w:bCs/>
          <w:snapToGrid w:val="0"/>
          <w:kern w:val="0"/>
          <w:sz w:val="28"/>
          <w:szCs w:val="30"/>
        </w:rPr>
        <w:t>[</w:t>
      </w:r>
      <w:r>
        <w:rPr>
          <w:rFonts w:hint="eastAsia" w:ascii="仿宋" w:hAnsi="仿宋" w:eastAsia="仿宋" w:cs="微软雅黑"/>
          <w:bCs/>
          <w:snapToGrid w:val="0"/>
          <w:kern w:val="0"/>
          <w:sz w:val="28"/>
          <w:szCs w:val="30"/>
        </w:rPr>
        <w:t>交货方式</w:t>
      </w:r>
      <w:r>
        <w:rPr>
          <w:rFonts w:ascii="仿宋" w:hAnsi="仿宋" w:eastAsia="仿宋"/>
          <w:bCs/>
          <w:snapToGrid w:val="0"/>
          <w:kern w:val="0"/>
          <w:sz w:val="28"/>
          <w:szCs w:val="30"/>
        </w:rPr>
        <w:t>]</w:t>
      </w:r>
      <w:bookmarkEnd w:id="45"/>
    </w:p>
    <w:p>
      <w:pPr>
        <w:pStyle w:val="22"/>
        <w:adjustRightInd w:val="0"/>
        <w:snapToGrid w:val="0"/>
        <w:spacing w:beforeLines="0" w:afterLines="0" w:line="460" w:lineRule="exact"/>
        <w:ind w:firstLine="596" w:firstLineChars="213"/>
        <w:rPr>
          <w:rFonts w:ascii="仿宋" w:hAnsi="仿宋" w:eastAsia="仿宋"/>
          <w:b/>
          <w:snapToGrid w:val="0"/>
          <w:kern w:val="0"/>
          <w:sz w:val="28"/>
          <w:szCs w:val="30"/>
        </w:rPr>
      </w:pPr>
      <w:r>
        <w:rPr>
          <w:rFonts w:hint="eastAsia" w:ascii="仿宋" w:hAnsi="仿宋" w:eastAsia="仿宋"/>
          <w:bCs/>
          <w:snapToGrid w:val="0"/>
          <w:kern w:val="0"/>
          <w:sz w:val="28"/>
          <w:szCs w:val="30"/>
        </w:rPr>
        <w:t xml:space="preserve">3. </w:t>
      </w:r>
      <w:r>
        <w:rPr>
          <w:rFonts w:hint="eastAsia" w:ascii="仿宋" w:hAnsi="仿宋" w:eastAsia="仿宋" w:cs="微软雅黑"/>
          <w:bCs/>
          <w:snapToGrid w:val="0"/>
          <w:kern w:val="0"/>
          <w:sz w:val="28"/>
          <w:szCs w:val="30"/>
        </w:rPr>
        <w:t>交货地点</w:t>
      </w:r>
      <w:r>
        <w:rPr>
          <w:rFonts w:hint="eastAsia" w:ascii="仿宋" w:hAnsi="仿宋" w:eastAsia="仿宋" w:cs="Malgun Gothic Semilight"/>
          <w:bCs/>
          <w:snapToGrid w:val="0"/>
          <w:kern w:val="0"/>
          <w:sz w:val="28"/>
          <w:szCs w:val="30"/>
        </w:rPr>
        <w:t>：</w:t>
      </w:r>
      <w:bookmarkStart w:id="46" w:name="交货地点"/>
      <w:r>
        <w:rPr>
          <w:rFonts w:ascii="仿宋" w:hAnsi="仿宋" w:eastAsia="仿宋"/>
          <w:bCs/>
          <w:snapToGrid w:val="0"/>
          <w:kern w:val="0"/>
          <w:sz w:val="28"/>
          <w:szCs w:val="30"/>
        </w:rPr>
        <w:t>[</w:t>
      </w:r>
      <w:r>
        <w:rPr>
          <w:rFonts w:hint="eastAsia" w:ascii="仿宋" w:hAnsi="仿宋" w:eastAsia="仿宋" w:cs="微软雅黑"/>
          <w:bCs/>
          <w:snapToGrid w:val="0"/>
          <w:kern w:val="0"/>
          <w:sz w:val="28"/>
          <w:szCs w:val="30"/>
        </w:rPr>
        <w:t>交货地点</w:t>
      </w:r>
      <w:r>
        <w:rPr>
          <w:rFonts w:ascii="仿宋" w:hAnsi="仿宋" w:eastAsia="仿宋"/>
          <w:bCs/>
          <w:snapToGrid w:val="0"/>
          <w:kern w:val="0"/>
          <w:sz w:val="28"/>
          <w:szCs w:val="30"/>
        </w:rPr>
        <w:t>]</w:t>
      </w:r>
      <w:bookmarkEnd w:id="46"/>
    </w:p>
    <w:p>
      <w:pPr>
        <w:pStyle w:val="22"/>
        <w:adjustRightInd w:val="0"/>
        <w:snapToGrid w:val="0"/>
        <w:spacing w:beforeLines="0" w:afterLines="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八</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货款支付</w:t>
      </w:r>
    </w:p>
    <w:p>
      <w:pPr>
        <w:pStyle w:val="22"/>
        <w:adjustRightInd w:val="0"/>
        <w:snapToGrid w:val="0"/>
        <w:spacing w:beforeLines="0" w:afterLines="0" w:line="460" w:lineRule="exact"/>
        <w:ind w:firstLine="596" w:firstLineChars="213"/>
        <w:rPr>
          <w:rFonts w:ascii="仿宋" w:hAnsi="仿宋" w:eastAsia="仿宋"/>
          <w:bCs/>
          <w:snapToGrid w:val="0"/>
          <w:kern w:val="0"/>
          <w:sz w:val="28"/>
          <w:szCs w:val="30"/>
        </w:rPr>
      </w:pPr>
      <w:r>
        <w:rPr>
          <w:rFonts w:hint="eastAsia" w:ascii="仿宋" w:hAnsi="仿宋" w:eastAsia="仿宋" w:cs="微软雅黑"/>
          <w:bCs/>
          <w:snapToGrid w:val="0"/>
          <w:kern w:val="0"/>
          <w:sz w:val="28"/>
          <w:szCs w:val="30"/>
        </w:rPr>
        <w:t>付款方式</w:t>
      </w:r>
      <w:r>
        <w:rPr>
          <w:rFonts w:hint="eastAsia" w:ascii="仿宋" w:hAnsi="仿宋" w:eastAsia="仿宋" w:cs="Malgun Gothic Semilight"/>
          <w:bCs/>
          <w:snapToGrid w:val="0"/>
          <w:kern w:val="0"/>
          <w:sz w:val="28"/>
          <w:szCs w:val="30"/>
        </w:rPr>
        <w:t>：</w:t>
      </w:r>
    </w:p>
    <w:p>
      <w:pPr>
        <w:adjustRightInd w:val="0"/>
        <w:snapToGrid w:val="0"/>
        <w:spacing w:before="120" w:beforeLines="50" w:after="120" w:afterLines="5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九</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税费</w:t>
      </w:r>
    </w:p>
    <w:p>
      <w:pPr>
        <w:adjustRightInd w:val="0"/>
        <w:snapToGrid w:val="0"/>
        <w:spacing w:before="120" w:beforeLines="50" w:after="120" w:afterLines="5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本合同执行中相关的一切税费均由乙方负担</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57" w:firstLineChars="198"/>
        <w:rPr>
          <w:rFonts w:ascii="仿宋" w:hAnsi="仿宋" w:eastAsia="仿宋"/>
          <w:snapToGrid w:val="0"/>
          <w:kern w:val="0"/>
          <w:sz w:val="28"/>
          <w:szCs w:val="30"/>
        </w:rPr>
      </w:pPr>
      <w:r>
        <w:rPr>
          <w:rFonts w:hint="eastAsia" w:ascii="仿宋" w:hAnsi="仿宋" w:eastAsia="仿宋" w:cs="微软雅黑"/>
          <w:b/>
          <w:snapToGrid w:val="0"/>
          <w:kern w:val="0"/>
          <w:sz w:val="28"/>
          <w:szCs w:val="30"/>
        </w:rPr>
        <w:t>十</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质量保证及售后服务</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乙方保证本合同中所供应的商品是最新生产的符合国家技术规格和质量标准的出厂原装合格产品</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如发生所供商品与合同不符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使用方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有权拒收或退货</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由此产生的一切责任和后果由乙方承担</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乙方提供的项目在质保期内因项目本身的质量问题发生故障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乙方应负责免费更换</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对达不到技术要求者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根据实际情况</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经双方协商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可按以下办法处理</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⑴</w:t>
      </w:r>
      <w:r>
        <w:rPr>
          <w:rFonts w:hint="eastAsia" w:ascii="仿宋" w:hAnsi="仿宋" w:eastAsia="仿宋" w:cs="微软雅黑"/>
          <w:snapToGrid w:val="0"/>
          <w:kern w:val="0"/>
          <w:sz w:val="28"/>
          <w:szCs w:val="30"/>
        </w:rPr>
        <w:t>更换</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由乙方承担所发生的全部费用</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⑵</w:t>
      </w:r>
      <w:r>
        <w:rPr>
          <w:rFonts w:hint="eastAsia" w:ascii="仿宋" w:hAnsi="仿宋" w:eastAsia="仿宋" w:cs="微软雅黑"/>
          <w:snapToGrid w:val="0"/>
          <w:kern w:val="0"/>
          <w:sz w:val="28"/>
          <w:szCs w:val="30"/>
        </w:rPr>
        <w:t>贬值处理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由甲乙双方合议定价</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⑶</w:t>
      </w:r>
      <w:r>
        <w:rPr>
          <w:rFonts w:hint="eastAsia" w:ascii="仿宋" w:hAnsi="仿宋" w:eastAsia="仿宋" w:cs="微软雅黑"/>
          <w:snapToGrid w:val="0"/>
          <w:kern w:val="0"/>
          <w:sz w:val="28"/>
          <w:szCs w:val="30"/>
        </w:rPr>
        <w:t>退货处理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乙方应退还甲方支付的合同款</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同时应承担该项目的直接费用</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运输</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保险</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检验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货款利息及银行手续费等</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在质保期内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乙方应对项目出现的质量及安全问题负责处理解决并承担一切费用</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4.</w:t>
      </w:r>
      <w:r>
        <w:rPr>
          <w:rFonts w:hint="eastAsia" w:ascii="仿宋" w:hAnsi="仿宋" w:eastAsia="仿宋" w:cs="微软雅黑"/>
          <w:snapToGrid w:val="0"/>
          <w:kern w:val="0"/>
          <w:sz w:val="28"/>
          <w:szCs w:val="30"/>
        </w:rPr>
        <w:t>上述的项目在质保期内免费保修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因人为因素出现的故障不在免费保修范围内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超过保修期的机器设备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终生维修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维修时只收部件成本费</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十一</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调试和验收</w:t>
      </w:r>
    </w:p>
    <w:p>
      <w:pPr>
        <w:pStyle w:val="22"/>
        <w:adjustRightInd w:val="0"/>
        <w:snapToGrid w:val="0"/>
        <w:spacing w:beforeLines="0" w:afterLines="0" w:line="460" w:lineRule="exact"/>
        <w:ind w:firstLine="596" w:firstLineChars="213"/>
        <w:jc w:val="left"/>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甲方对乙方提交的项目依据单一来源采购文件上的技术规格要求和国家有关质量标准进行现场验收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货到后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甲方需在五个工作日内验收</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乙方交货前应对产品作出全面检查和对验收文件进行整理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并列出清单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作为甲方收货验收和使用的技术条件依据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检验的结果应随项目交甲方</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u w:val="single"/>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甲方对乙方提供的项目在使用前进行调试时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乙方需负责安装并培训甲方的使用操作人员</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并协助甲方一起调试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直到符合技术要求</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甲方才做最终验收</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4. </w:t>
      </w:r>
      <w:r>
        <w:rPr>
          <w:rFonts w:hint="eastAsia" w:ascii="仿宋" w:hAnsi="仿宋" w:eastAsia="仿宋" w:cs="微软雅黑"/>
          <w:snapToGrid w:val="0"/>
          <w:kern w:val="0"/>
          <w:sz w:val="28"/>
          <w:szCs w:val="30"/>
        </w:rPr>
        <w:t>对技术复杂的项目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甲方应请国家认可的专业检测机构参与验收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并由其出具质量检测报告</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5. </w:t>
      </w:r>
      <w:r>
        <w:rPr>
          <w:rFonts w:hint="eastAsia" w:ascii="仿宋" w:hAnsi="仿宋" w:eastAsia="仿宋" w:cs="微软雅黑"/>
          <w:snapToGrid w:val="0"/>
          <w:kern w:val="0"/>
          <w:sz w:val="28"/>
          <w:szCs w:val="30"/>
        </w:rPr>
        <w:t>验收时乙方必须在现场</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验收完毕后作出验收结果报告</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验收费用由乙方负责</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十二</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项目包装</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乙方应在项目发运前对其进行满足运输距离</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防锈和防破损装卸等要求包装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以保证项目安全运达甲方指定地点</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使用说明书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质量检验证明书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随配附件和工具以及清单一并附于项目内</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十三</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违约责任</w:t>
      </w:r>
    </w:p>
    <w:p>
      <w:pPr>
        <w:pStyle w:val="22"/>
        <w:adjustRightInd w:val="0"/>
        <w:snapToGrid w:val="0"/>
        <w:spacing w:beforeLines="0" w:afterLines="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甲方无正当理由拒收项目的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甲方向乙方偿付拒收货款总值的百分之五违约金</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甲方无故逾期验收和办理货款支付手续的</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甲方应按逾期付款总额每日万分之五向乙方支付违约金</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乙方逾期交付项目的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乙方应按逾期交货总额每日千分之六向甲方支付违约金</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由甲方从待付货款中扣除</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逾期超过约定日期</w:t>
      </w:r>
      <w:r>
        <w:rPr>
          <w:rFonts w:hint="eastAsia" w:ascii="仿宋" w:hAnsi="仿宋" w:eastAsia="仿宋"/>
          <w:snapToGrid w:val="0"/>
          <w:kern w:val="0"/>
          <w:sz w:val="28"/>
          <w:szCs w:val="30"/>
        </w:rPr>
        <w:t>10</w:t>
      </w:r>
      <w:r>
        <w:rPr>
          <w:rFonts w:hint="eastAsia" w:ascii="仿宋" w:hAnsi="仿宋" w:eastAsia="仿宋" w:cs="微软雅黑"/>
          <w:snapToGrid w:val="0"/>
          <w:kern w:val="0"/>
          <w:sz w:val="28"/>
          <w:szCs w:val="30"/>
        </w:rPr>
        <w:t>个工作日不能交货的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甲方可解除本合同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乙方因逾期交货或因其他违约行为导致甲方解除合同的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乙方应向甲方支付合同总值</w:t>
      </w: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的违约金</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如造成甲方损失超过违约金的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超出部分由乙方继续承担赔偿责任</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4. </w:t>
      </w:r>
      <w:r>
        <w:rPr>
          <w:rFonts w:hint="eastAsia" w:ascii="仿宋" w:hAnsi="仿宋" w:eastAsia="仿宋" w:cs="微软雅黑"/>
          <w:snapToGrid w:val="0"/>
          <w:kern w:val="0"/>
          <w:sz w:val="28"/>
          <w:szCs w:val="30"/>
        </w:rPr>
        <w:t>乙方所交的项目品种</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型号</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规格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技术参数</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质量不符合合同规定及单一来源采购文件规定标准的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甲方有权拒收该项目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乙方愿意更换项目但逾期交货的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按乙方逾期交货处理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乙方拒绝更换项目的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甲方可单方面解除合同</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十四</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不可抗力事件处理</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在合同有效期内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任何一方因不可抗力事件导致不能履行合同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则合同履行期可延长</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其延长期与不可抗力影响期相同</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不可抗力事件发生后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应立即通知对方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并寄送有关权威机构出具的证明</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不可抗力事件延续</w:t>
      </w:r>
      <w:r>
        <w:rPr>
          <w:rFonts w:hint="eastAsia" w:ascii="仿宋" w:hAnsi="仿宋" w:eastAsia="仿宋"/>
          <w:snapToGrid w:val="0"/>
          <w:kern w:val="0"/>
          <w:sz w:val="28"/>
          <w:szCs w:val="30"/>
        </w:rPr>
        <w:t>120</w:t>
      </w:r>
      <w:r>
        <w:rPr>
          <w:rFonts w:hint="eastAsia" w:ascii="仿宋" w:hAnsi="仿宋" w:eastAsia="仿宋" w:cs="微软雅黑"/>
          <w:snapToGrid w:val="0"/>
          <w:kern w:val="0"/>
          <w:sz w:val="28"/>
          <w:szCs w:val="30"/>
        </w:rPr>
        <w:t>天以上</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双方应通过友好协商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确定是否继续履行合同</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十五</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诉讼</w:t>
      </w:r>
    </w:p>
    <w:p>
      <w:pPr>
        <w:pStyle w:val="22"/>
        <w:adjustRightInd w:val="0"/>
        <w:snapToGrid w:val="0"/>
        <w:spacing w:beforeLines="0" w:afterLines="0" w:line="460" w:lineRule="exact"/>
        <w:ind w:left="2"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双方在执行合同中所发生的一切争议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应通过协商解决</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如协商不成</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可向甲方所在地法院起诉</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十六</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合同生效及其它</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合同经甲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w:t>
      </w:r>
      <w:r>
        <w:rPr>
          <w:rFonts w:hint="eastAsia" w:ascii="仿宋" w:hAnsi="仿宋" w:eastAsia="仿宋" w:cs="Malgun Gothic Semilight"/>
          <w:snapToGrid w:val="0"/>
          <w:kern w:val="0"/>
          <w:sz w:val="28"/>
          <w:szCs w:val="30"/>
        </w:rPr>
        <w:t>双</w:t>
      </w:r>
      <w:r>
        <w:rPr>
          <w:rFonts w:hint="eastAsia" w:ascii="仿宋" w:hAnsi="仿宋" w:eastAsia="仿宋" w:cs="微软雅黑"/>
          <w:snapToGrid w:val="0"/>
          <w:kern w:val="0"/>
          <w:sz w:val="28"/>
          <w:szCs w:val="30"/>
        </w:rPr>
        <w:t>方签名并加盖单位公章后生效</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2.</w:t>
      </w:r>
      <w:r>
        <w:rPr>
          <w:rFonts w:hint="eastAsia" w:ascii="仿宋" w:hAnsi="仿宋" w:eastAsia="仿宋" w:cs="微软雅黑"/>
          <w:snapToGrid w:val="0"/>
          <w:kern w:val="0"/>
          <w:sz w:val="28"/>
          <w:szCs w:val="30"/>
        </w:rPr>
        <w:t>合同执行中涉及采购资金和采购内容修改或补充的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须经财政部门审批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并签书面补充协议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经报政府采购监督管理部门备案后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方可作为主合同不可分割的一部分</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3.</w:t>
      </w:r>
      <w:r>
        <w:rPr>
          <w:rFonts w:hint="eastAsia" w:ascii="仿宋" w:hAnsi="仿宋" w:eastAsia="仿宋" w:cs="微软雅黑"/>
          <w:snapToGrid w:val="0"/>
          <w:kern w:val="0"/>
          <w:sz w:val="28"/>
          <w:szCs w:val="30"/>
        </w:rPr>
        <w:t>单一来源采购文件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单一来源采购响应文件与本合同具有同等法律效力</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4.</w:t>
      </w:r>
      <w:r>
        <w:rPr>
          <w:rFonts w:hint="eastAsia" w:ascii="仿宋" w:hAnsi="仿宋" w:eastAsia="仿宋" w:cs="微软雅黑"/>
          <w:snapToGrid w:val="0"/>
          <w:kern w:val="0"/>
          <w:sz w:val="28"/>
          <w:szCs w:val="30"/>
        </w:rPr>
        <w:t>本合同未尽事宜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遵照</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合同法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有关条文执行</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left="2" w:leftChars="1"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本合同一式四份</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具有同等法律效力</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w:t>
      </w:r>
      <w:r>
        <w:rPr>
          <w:rFonts w:hint="eastAsia" w:ascii="仿宋" w:hAnsi="仿宋" w:eastAsia="仿宋" w:cs="Malgun Gothic Semilight"/>
          <w:snapToGrid w:val="0"/>
          <w:kern w:val="0"/>
          <w:sz w:val="28"/>
          <w:szCs w:val="30"/>
        </w:rPr>
        <w:t>双</w:t>
      </w:r>
      <w:r>
        <w:rPr>
          <w:rFonts w:hint="eastAsia" w:ascii="仿宋" w:hAnsi="仿宋" w:eastAsia="仿宋" w:cs="微软雅黑"/>
          <w:snapToGrid w:val="0"/>
          <w:kern w:val="0"/>
          <w:sz w:val="28"/>
          <w:szCs w:val="30"/>
        </w:rPr>
        <w:t>方各执二份</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left="600" w:firstLine="596" w:firstLineChars="213"/>
        <w:rPr>
          <w:rFonts w:ascii="仿宋" w:hAnsi="仿宋" w:eastAsia="仿宋"/>
          <w:snapToGrid w:val="0"/>
          <w:kern w:val="0"/>
          <w:sz w:val="28"/>
          <w:szCs w:val="30"/>
        </w:rPr>
      </w:pPr>
    </w:p>
    <w:p>
      <w:pPr>
        <w:pStyle w:val="22"/>
        <w:adjustRightInd w:val="0"/>
        <w:snapToGrid w:val="0"/>
        <w:spacing w:beforeLines="0" w:afterLines="0" w:line="460" w:lineRule="exact"/>
        <w:ind w:left="600" w:firstLine="596" w:firstLineChars="213"/>
        <w:rPr>
          <w:rFonts w:ascii="仿宋" w:hAnsi="仿宋" w:eastAsia="仿宋"/>
          <w:snapToGrid w:val="0"/>
          <w:kern w:val="0"/>
          <w:sz w:val="28"/>
          <w:szCs w:val="30"/>
        </w:rPr>
      </w:pPr>
    </w:p>
    <w:p>
      <w:pPr>
        <w:pStyle w:val="22"/>
        <w:adjustRightInd w:val="0"/>
        <w:snapToGrid w:val="0"/>
        <w:spacing w:beforeLines="0" w:afterLines="0" w:line="460" w:lineRule="exact"/>
        <w:ind w:left="600" w:firstLine="596" w:firstLineChars="213"/>
        <w:rPr>
          <w:rFonts w:ascii="仿宋" w:hAnsi="仿宋" w:eastAsia="仿宋"/>
          <w:snapToGrid w:val="0"/>
          <w:kern w:val="0"/>
          <w:sz w:val="28"/>
          <w:szCs w:val="30"/>
        </w:rPr>
      </w:pPr>
    </w:p>
    <w:p>
      <w:pPr>
        <w:pStyle w:val="22"/>
        <w:adjustRightInd w:val="0"/>
        <w:snapToGrid w:val="0"/>
        <w:spacing w:beforeLines="0" w:afterLines="0" w:line="460" w:lineRule="exact"/>
        <w:ind w:left="600" w:firstLine="596" w:firstLineChars="213"/>
        <w:rPr>
          <w:rFonts w:ascii="仿宋" w:hAnsi="仿宋" w:eastAsia="仿宋"/>
          <w:snapToGrid w:val="0"/>
          <w:kern w:val="0"/>
          <w:sz w:val="28"/>
          <w:szCs w:val="30"/>
        </w:rPr>
      </w:pPr>
    </w:p>
    <w:p>
      <w:pPr>
        <w:pStyle w:val="22"/>
        <w:adjustRightInd w:val="0"/>
        <w:snapToGrid w:val="0"/>
        <w:spacing w:beforeLines="0" w:afterLines="0" w:line="460" w:lineRule="exact"/>
        <w:ind w:left="1"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甲方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盖章</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地址</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法定</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授权</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代表人</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签名日期</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年月日</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乙方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盖章</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地址</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开户行</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开户帐号</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法定</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授权</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代表人</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签名日期</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年月日</w:t>
      </w:r>
    </w:p>
    <w:p>
      <w:pPr>
        <w:pStyle w:val="22"/>
        <w:adjustRightInd w:val="0"/>
        <w:snapToGrid w:val="0"/>
        <w:spacing w:beforeLines="0" w:afterLines="0" w:line="460" w:lineRule="exact"/>
        <w:rPr>
          <w:rFonts w:ascii="仿宋" w:hAnsi="仿宋" w:eastAsia="仿宋"/>
          <w:snapToGrid w:val="0"/>
          <w:kern w:val="0"/>
          <w:sz w:val="28"/>
          <w:szCs w:val="30"/>
        </w:rPr>
      </w:pPr>
    </w:p>
    <w:p>
      <w:pPr>
        <w:pStyle w:val="22"/>
        <w:adjustRightInd w:val="0"/>
        <w:snapToGrid w:val="0"/>
        <w:spacing w:beforeLines="0" w:afterLines="0" w:line="460" w:lineRule="exact"/>
        <w:ind w:left="1" w:firstLine="639" w:firstLineChars="213"/>
        <w:rPr>
          <w:rFonts w:ascii="仿宋" w:hAnsi="仿宋" w:eastAsia="仿宋"/>
          <w:snapToGrid w:val="0"/>
          <w:kern w:val="0"/>
          <w:sz w:val="30"/>
          <w:szCs w:val="30"/>
        </w:rPr>
      </w:pPr>
    </w:p>
    <w:p>
      <w:pPr>
        <w:pStyle w:val="40"/>
        <w:rPr>
          <w:snapToGrid w:val="0"/>
        </w:rPr>
      </w:pPr>
      <w:bookmarkStart w:id="47" w:name="_Toc510136962"/>
    </w:p>
    <w:p/>
    <w:p>
      <w:pPr>
        <w:pStyle w:val="40"/>
        <w:rPr>
          <w:snapToGrid w:val="0"/>
        </w:rPr>
      </w:pPr>
    </w:p>
    <w:p>
      <w:pPr>
        <w:pStyle w:val="40"/>
        <w:jc w:val="both"/>
        <w:rPr>
          <w:snapToGrid w:val="0"/>
        </w:rPr>
      </w:pPr>
    </w:p>
    <w:p/>
    <w:p/>
    <w:p/>
    <w:p/>
    <w:p/>
    <w:p/>
    <w:p/>
    <w:p/>
    <w:p/>
    <w:p/>
    <w:p/>
    <w:p>
      <w:pPr>
        <w:pStyle w:val="40"/>
      </w:pPr>
      <w:r>
        <w:rPr>
          <w:rFonts w:hint="eastAsia"/>
          <w:snapToGrid w:val="0"/>
        </w:rPr>
        <w:t>第五章</w:t>
      </w:r>
      <w:r>
        <w:rPr>
          <w:rFonts w:hint="eastAsia"/>
          <w:snapToGrid w:val="0"/>
          <w:lang w:val="en-US" w:eastAsia="zh-CN"/>
        </w:rPr>
        <w:t xml:space="preserve"> </w:t>
      </w:r>
      <w:r>
        <w:rPr>
          <w:rFonts w:hint="eastAsia"/>
        </w:rPr>
        <w:t>单一来源采购响应文件格式附件</w:t>
      </w:r>
      <w:bookmarkEnd w:id="47"/>
      <w:r>
        <w:rPr>
          <w:rFonts w:ascii="仿宋" w:hAnsi="仿宋" w:eastAsia="仿宋"/>
          <w:b w:val="0"/>
          <w:sz w:val="30"/>
          <w:szCs w:val="30"/>
        </w:rPr>
        <w:br w:type="page"/>
      </w: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ind w:right="-108"/>
        <w:jc w:val="center"/>
        <w:rPr>
          <w:rFonts w:ascii="仿宋" w:hAnsi="仿宋" w:eastAsia="仿宋"/>
          <w:sz w:val="36"/>
          <w:szCs w:val="36"/>
        </w:rPr>
      </w:pPr>
      <w:r>
        <w:rPr>
          <w:rFonts w:hint="eastAsia" w:ascii="仿宋" w:hAnsi="仿宋" w:eastAsia="仿宋"/>
          <w:sz w:val="36"/>
          <w:szCs w:val="36"/>
        </w:rPr>
        <w:t>项目编号：</w:t>
      </w:r>
      <w:bookmarkStart w:id="48" w:name="PO_15528_PM001_2"/>
      <w:r>
        <w:rPr>
          <w:rFonts w:hint="eastAsia" w:ascii="仿宋" w:hAnsi="仿宋" w:eastAsia="仿宋"/>
          <w:sz w:val="36"/>
          <w:szCs w:val="36"/>
          <w:lang w:eastAsia="zh-CN"/>
        </w:rPr>
        <w:t>ZZCG2022X-DY-113</w:t>
      </w:r>
      <w:bookmarkEnd w:id="48"/>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15"/>
          <w:szCs w:val="15"/>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0"/>
          <w:szCs w:val="30"/>
        </w:rPr>
      </w:pP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响应方全称：</w:t>
      </w: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地址：</w:t>
      </w: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时间：</w:t>
      </w:r>
    </w:p>
    <w:p>
      <w:pPr>
        <w:ind w:right="-110"/>
        <w:jc w:val="center"/>
        <w:rPr>
          <w:rFonts w:ascii="仿宋" w:hAnsi="仿宋" w:eastAsia="仿宋"/>
          <w:sz w:val="30"/>
          <w:szCs w:val="30"/>
        </w:rPr>
      </w:pPr>
    </w:p>
    <w:p>
      <w:pPr>
        <w:snapToGrid w:val="0"/>
        <w:spacing w:before="50" w:after="50"/>
        <w:ind w:firstLine="301" w:firstLineChars="100"/>
        <w:rPr>
          <w:rFonts w:ascii="仿宋" w:hAnsi="仿宋" w:eastAsia="仿宋"/>
          <w:b/>
          <w:sz w:val="30"/>
          <w:szCs w:val="30"/>
        </w:rPr>
      </w:pPr>
    </w:p>
    <w:p>
      <w:pPr>
        <w:snapToGrid w:val="0"/>
        <w:spacing w:before="50" w:after="50"/>
        <w:ind w:firstLine="301" w:firstLineChars="100"/>
        <w:rPr>
          <w:rFonts w:ascii="仿宋" w:hAnsi="仿宋" w:eastAsia="仿宋"/>
          <w:b/>
          <w:sz w:val="30"/>
          <w:szCs w:val="30"/>
        </w:rPr>
      </w:pPr>
    </w:p>
    <w:p>
      <w:pPr>
        <w:snapToGrid w:val="0"/>
        <w:spacing w:before="50" w:after="50"/>
        <w:ind w:firstLine="301" w:firstLineChars="100"/>
        <w:rPr>
          <w:rFonts w:ascii="仿宋" w:hAnsi="仿宋" w:eastAsia="仿宋"/>
          <w:b/>
          <w:bCs/>
          <w:color w:val="FF0000"/>
          <w:sz w:val="36"/>
          <w:szCs w:val="36"/>
        </w:rPr>
      </w:pPr>
      <w:r>
        <w:rPr>
          <w:rFonts w:ascii="仿宋" w:hAnsi="仿宋" w:eastAsia="仿宋"/>
          <w:b/>
          <w:sz w:val="30"/>
          <w:szCs w:val="30"/>
        </w:rPr>
        <w:t>1</w:t>
      </w:r>
      <w:r>
        <w:rPr>
          <w:rFonts w:hint="eastAsia" w:ascii="仿宋" w:hAnsi="仿宋" w:eastAsia="仿宋"/>
          <w:b/>
          <w:sz w:val="30"/>
          <w:szCs w:val="30"/>
        </w:rPr>
        <w:t>、资质文件目录</w:t>
      </w:r>
    </w:p>
    <w:p>
      <w:pPr>
        <w:snapToGrid w:val="0"/>
        <w:spacing w:line="460" w:lineRule="exact"/>
        <w:ind w:firstLine="588" w:firstLineChars="196"/>
        <w:jc w:val="left"/>
        <w:rPr>
          <w:rFonts w:ascii="仿宋" w:hAnsi="仿宋" w:eastAsia="仿宋"/>
          <w:color w:val="FF0000"/>
          <w:sz w:val="30"/>
          <w:szCs w:val="30"/>
        </w:rPr>
      </w:pPr>
      <w:r>
        <w:rPr>
          <w:rFonts w:hint="eastAsia" w:ascii="宋体" w:hAnsi="宋体" w:cs="宋体"/>
          <w:color w:val="FF0000"/>
          <w:sz w:val="30"/>
          <w:szCs w:val="30"/>
        </w:rPr>
        <w:t>（</w:t>
      </w:r>
      <w:r>
        <w:rPr>
          <w:rFonts w:hint="eastAsia" w:ascii="仿宋" w:hAnsi="仿宋" w:eastAsia="仿宋"/>
          <w:color w:val="FF0000"/>
          <w:sz w:val="30"/>
          <w:szCs w:val="30"/>
        </w:rPr>
        <w:t>1）声明书 (格式见附件1，含重大违法记录声明)；</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（2）法定代表人授权委托书(格式见附件2)；</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（4）联合响应协议书（若需要见附件3）;</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（5）联合响应授权委托书（若需要见附件4）;</w:t>
      </w:r>
    </w:p>
    <w:p>
      <w:pPr>
        <w:snapToGrid w:val="0"/>
        <w:spacing w:line="460" w:lineRule="exact"/>
        <w:ind w:firstLine="600" w:firstLineChars="200"/>
        <w:jc w:val="left"/>
        <w:rPr>
          <w:rFonts w:ascii="仿宋" w:hAnsi="仿宋" w:eastAsia="仿宋"/>
          <w:color w:val="FF0000"/>
          <w:sz w:val="30"/>
          <w:szCs w:val="30"/>
        </w:rPr>
      </w:pPr>
      <w:r>
        <w:rPr>
          <w:rFonts w:hint="eastAsia" w:ascii="仿宋" w:hAnsi="仿宋" w:eastAsia="仿宋"/>
          <w:color w:val="FF0000"/>
          <w:sz w:val="30"/>
          <w:szCs w:val="30"/>
        </w:rPr>
        <w:t>（6）提供采购公告中符合单一来源响应方特定条件要求的有效的其他资质复印件并加盖公司公章及需要说明的资料。</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ind w:right="-108"/>
        <w:jc w:val="center"/>
        <w:rPr>
          <w:rFonts w:ascii="仿宋" w:hAnsi="仿宋" w:eastAsia="仿宋"/>
          <w:sz w:val="36"/>
          <w:szCs w:val="36"/>
        </w:rPr>
      </w:pPr>
      <w:r>
        <w:rPr>
          <w:rFonts w:hint="eastAsia" w:ascii="仿宋" w:hAnsi="仿宋" w:eastAsia="仿宋"/>
          <w:sz w:val="36"/>
          <w:szCs w:val="36"/>
        </w:rPr>
        <w:t>项目编号：</w:t>
      </w:r>
      <w:r>
        <w:rPr>
          <w:rFonts w:ascii="仿宋" w:hAnsi="仿宋" w:eastAsia="仿宋"/>
          <w:sz w:val="36"/>
          <w:szCs w:val="36"/>
        </w:rPr>
        <w:t>[项目采购-项目编号_4]</w:t>
      </w:r>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jc w:val="center"/>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响应方全称（公章）：</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2.技术及商务文件目录：</w:t>
      </w:r>
    </w:p>
    <w:p>
      <w:pPr>
        <w:snapToGrid w:val="0"/>
        <w:spacing w:line="480" w:lineRule="exact"/>
        <w:ind w:firstLine="588" w:firstLineChars="196"/>
        <w:jc w:val="left"/>
        <w:rPr>
          <w:rFonts w:ascii="仿宋" w:hAnsi="仿宋" w:eastAsia="仿宋"/>
          <w:kern w:val="0"/>
          <w:sz w:val="30"/>
          <w:szCs w:val="30"/>
        </w:rPr>
      </w:pPr>
      <w:r>
        <w:rPr>
          <w:rFonts w:hint="eastAsia" w:ascii="仿宋" w:hAnsi="仿宋" w:eastAsia="仿宋"/>
          <w:kern w:val="0"/>
          <w:sz w:val="30"/>
          <w:szCs w:val="30"/>
        </w:rPr>
        <w:t>（1）技术响应表（见附件5）；</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（2）项目总体解决方案（可包含且不限于对项目总体要求的理解、项目总体架构及技术解决方案等）；</w:t>
      </w:r>
    </w:p>
    <w:p>
      <w:pPr>
        <w:snapToGrid w:val="0"/>
        <w:spacing w:line="480" w:lineRule="exact"/>
        <w:ind w:firstLine="588" w:firstLineChars="196"/>
        <w:jc w:val="left"/>
        <w:rPr>
          <w:rFonts w:ascii="仿宋" w:hAnsi="仿宋" w:eastAsia="仿宋"/>
          <w:sz w:val="30"/>
          <w:szCs w:val="30"/>
        </w:rPr>
      </w:pPr>
      <w:r>
        <w:rPr>
          <w:rFonts w:hint="eastAsia" w:ascii="仿宋" w:hAnsi="仿宋" w:eastAsia="仿宋"/>
          <w:sz w:val="30"/>
          <w:szCs w:val="30"/>
        </w:rPr>
        <w:t>（3）项目实施计划（可包含且不限于保证工期的施工组织方案及人力资源安排、项目组人员清单《</w:t>
      </w:r>
      <w:r>
        <w:rPr>
          <w:rFonts w:hint="eastAsia" w:ascii="仿宋" w:hAnsi="仿宋" w:eastAsia="仿宋"/>
          <w:color w:val="FF0000"/>
          <w:kern w:val="0"/>
          <w:sz w:val="30"/>
          <w:szCs w:val="30"/>
        </w:rPr>
        <w:t>项目实施人员一览表</w:t>
      </w:r>
      <w:r>
        <w:rPr>
          <w:rFonts w:hint="eastAsia" w:ascii="仿宋" w:hAnsi="仿宋" w:eastAsia="仿宋"/>
          <w:sz w:val="30"/>
          <w:szCs w:val="30"/>
        </w:rPr>
        <w:t>》（</w:t>
      </w:r>
      <w:r>
        <w:rPr>
          <w:rFonts w:hint="eastAsia" w:ascii="仿宋" w:hAnsi="仿宋" w:eastAsia="仿宋"/>
          <w:color w:val="FF0000"/>
          <w:kern w:val="0"/>
          <w:sz w:val="30"/>
          <w:szCs w:val="30"/>
        </w:rPr>
        <w:t>附件6）</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（4）列入政府采购节能环保清单的证明资料（若有）；</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（5）商务响应表（附件7）；</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（8）响应方履约能力（可包含且不限于技术力量情况、响应方各项能力证书）；</w:t>
      </w:r>
    </w:p>
    <w:p>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（9）案例的业绩证明（响应方同类项目实施情况一览表（附件8）、合同复印件）；</w:t>
      </w:r>
    </w:p>
    <w:p>
      <w:pPr>
        <w:tabs>
          <w:tab w:val="left" w:pos="6540"/>
        </w:tabs>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（10）响应方认为需要的其他文件资料。</w:t>
      </w:r>
      <w:r>
        <w:rPr>
          <w:rFonts w:ascii="仿宋" w:hAnsi="仿宋" w:eastAsia="仿宋"/>
          <w:sz w:val="30"/>
          <w:szCs w:val="30"/>
        </w:rPr>
        <w:tab/>
      </w: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napToGrid w:val="0"/>
        <w:spacing w:before="120" w:beforeLines="50" w:after="50"/>
        <w:rPr>
          <w:rFonts w:ascii="仿宋" w:hAnsi="仿宋" w:eastAsia="仿宋"/>
          <w:b/>
          <w:sz w:val="30"/>
          <w:szCs w:val="30"/>
        </w:rPr>
      </w:pPr>
      <w:r>
        <w:rPr>
          <w:rFonts w:hint="eastAsia" w:ascii="仿宋" w:hAnsi="仿宋" w:eastAsia="仿宋"/>
          <w:b/>
          <w:sz w:val="30"/>
          <w:szCs w:val="30"/>
        </w:rPr>
        <w:t xml:space="preserve">                     </w:t>
      </w: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r>
        <w:rPr>
          <w:rFonts w:ascii="仿宋" w:hAnsi="仿宋" w:eastAsia="仿宋"/>
          <w:sz w:val="36"/>
          <w:szCs w:val="36"/>
        </w:rPr>
        <w:t xml:space="preserve"> </w:t>
      </w:r>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单一来源响应方全称：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pacing w:line="600" w:lineRule="exact"/>
        <w:ind w:right="532"/>
        <w:rPr>
          <w:rFonts w:ascii="仿宋" w:hAnsi="仿宋" w:eastAsia="仿宋"/>
          <w:sz w:val="30"/>
          <w:szCs w:val="30"/>
        </w:rPr>
      </w:pPr>
    </w:p>
    <w:p>
      <w:pPr>
        <w:spacing w:line="600" w:lineRule="exact"/>
        <w:ind w:right="-108" w:firstLine="720" w:firstLineChars="200"/>
        <w:rPr>
          <w:rFonts w:ascii="仿宋" w:hAnsi="仿宋" w:eastAsia="仿宋"/>
          <w:sz w:val="36"/>
          <w:szCs w:val="36"/>
        </w:rPr>
      </w:pPr>
    </w:p>
    <w:p>
      <w:pPr>
        <w:spacing w:line="600" w:lineRule="exact"/>
        <w:ind w:right="532" w:firstLine="600" w:firstLineChars="200"/>
        <w:rPr>
          <w:rFonts w:ascii="仿宋" w:hAnsi="仿宋" w:eastAsia="仿宋"/>
          <w:sz w:val="30"/>
          <w:szCs w:val="30"/>
        </w:rPr>
      </w:pPr>
    </w:p>
    <w:p>
      <w:pPr>
        <w:tabs>
          <w:tab w:val="left" w:pos="6540"/>
        </w:tabs>
        <w:snapToGrid w:val="0"/>
        <w:spacing w:line="460" w:lineRule="exact"/>
        <w:ind w:firstLine="602" w:firstLineChars="200"/>
        <w:jc w:val="left"/>
        <w:rPr>
          <w:rFonts w:ascii="仿宋" w:hAnsi="仿宋" w:eastAsia="仿宋"/>
          <w:b/>
          <w:sz w:val="30"/>
          <w:szCs w:val="30"/>
        </w:rPr>
      </w:pPr>
    </w:p>
    <w:p>
      <w:pPr>
        <w:tabs>
          <w:tab w:val="left" w:pos="6540"/>
        </w:tabs>
        <w:snapToGrid w:val="0"/>
        <w:spacing w:line="460" w:lineRule="exact"/>
        <w:ind w:firstLine="602" w:firstLineChars="200"/>
        <w:jc w:val="left"/>
        <w:rPr>
          <w:rFonts w:ascii="仿宋" w:hAnsi="仿宋" w:eastAsia="仿宋"/>
          <w:b/>
          <w:sz w:val="30"/>
          <w:szCs w:val="30"/>
        </w:rPr>
      </w:pPr>
      <w:r>
        <w:rPr>
          <w:rFonts w:hint="eastAsia" w:ascii="仿宋" w:hAnsi="仿宋" w:eastAsia="仿宋"/>
          <w:b/>
          <w:sz w:val="30"/>
          <w:szCs w:val="30"/>
        </w:rPr>
        <w:t>3、报价文件目录</w:t>
      </w:r>
    </w:p>
    <w:p>
      <w:pPr>
        <w:pStyle w:val="24"/>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（1）投标报价明细表（附件9）；</w:t>
      </w:r>
    </w:p>
    <w:p>
      <w:pPr>
        <w:pStyle w:val="24"/>
        <w:snapToGrid w:val="0"/>
        <w:spacing w:line="460" w:lineRule="exact"/>
        <w:ind w:left="0" w:leftChars="0"/>
        <w:rPr>
          <w:rFonts w:ascii="仿宋" w:hAnsi="仿宋" w:eastAsia="仿宋"/>
          <w:sz w:val="30"/>
          <w:szCs w:val="30"/>
        </w:rPr>
      </w:pPr>
      <w:r>
        <w:rPr>
          <w:rFonts w:hint="eastAsia" w:ascii="仿宋" w:hAnsi="仿宋" w:eastAsia="仿宋"/>
          <w:sz w:val="30"/>
          <w:szCs w:val="30"/>
        </w:rPr>
        <w:t>（2）响应方针对报价需要说明的其他文件和说明（格式自拟）；</w:t>
      </w:r>
    </w:p>
    <w:p>
      <w:pPr>
        <w:pStyle w:val="24"/>
        <w:snapToGrid w:val="0"/>
        <w:spacing w:line="460" w:lineRule="exact"/>
        <w:ind w:left="0" w:leftChars="0"/>
        <w:rPr>
          <w:rFonts w:ascii="仿宋" w:hAnsi="仿宋" w:eastAsia="仿宋"/>
        </w:rPr>
      </w:pPr>
      <w:r>
        <w:rPr>
          <w:rFonts w:hint="eastAsia" w:ascii="仿宋" w:hAnsi="仿宋" w:eastAsia="仿宋"/>
          <w:sz w:val="30"/>
          <w:szCs w:val="30"/>
        </w:rPr>
        <w:t>（3）中小企业声明函（见附件10）；</w:t>
      </w:r>
    </w:p>
    <w:p>
      <w:pPr>
        <w:pStyle w:val="37"/>
        <w:widowControl w:val="0"/>
        <w:spacing w:after="120" w:line="460" w:lineRule="exact"/>
        <w:jc w:val="both"/>
        <w:rPr>
          <w:rFonts w:ascii="仿宋" w:hAnsi="仿宋" w:eastAsia="仿宋"/>
          <w:color w:val="auto"/>
          <w:sz w:val="30"/>
          <w:szCs w:val="30"/>
        </w:rPr>
      </w:pPr>
      <w:r>
        <w:rPr>
          <w:rFonts w:hint="eastAsia" w:ascii="仿宋" w:hAnsi="仿宋" w:eastAsia="仿宋"/>
          <w:color w:val="auto"/>
          <w:sz w:val="30"/>
          <w:szCs w:val="30"/>
        </w:rPr>
        <w:t>（4）残疾人福利企业声明函（见附件11）。</w:t>
      </w:r>
    </w:p>
    <w:p/>
    <w:p>
      <w:pPr>
        <w:ind w:right="-110"/>
        <w:jc w:val="center"/>
        <w:rPr>
          <w:rFonts w:ascii="仿宋" w:hAnsi="仿宋" w:eastAsia="仿宋"/>
          <w:spacing w:val="40"/>
          <w:sz w:val="52"/>
          <w:szCs w:val="52"/>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napToGrid w:val="0"/>
        <w:spacing w:before="120" w:beforeLines="50" w:after="50"/>
        <w:rPr>
          <w:rFonts w:ascii="仿宋" w:hAnsi="仿宋" w:eastAsia="仿宋"/>
          <w:sz w:val="30"/>
          <w:szCs w:val="30"/>
        </w:rPr>
      </w:pPr>
      <w:r>
        <w:rPr>
          <w:rFonts w:hint="eastAsia" w:ascii="仿宋" w:hAnsi="仿宋" w:eastAsia="仿宋"/>
          <w:b/>
          <w:sz w:val="30"/>
          <w:szCs w:val="30"/>
        </w:rPr>
        <w:t xml:space="preserve">      </w:t>
      </w: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p>
    <w:p>
      <w:pPr>
        <w:snapToGrid w:val="0"/>
        <w:spacing w:before="120" w:beforeLines="50" w:after="50" w:line="500" w:lineRule="exact"/>
        <w:jc w:val="center"/>
        <w:rPr>
          <w:rFonts w:ascii="仿宋" w:hAnsi="仿宋" w:eastAsia="仿宋"/>
          <w:b/>
          <w:sz w:val="36"/>
          <w:szCs w:val="36"/>
        </w:rPr>
      </w:pPr>
      <w:r>
        <w:rPr>
          <w:rFonts w:hint="eastAsia" w:ascii="仿宋" w:hAnsi="仿宋" w:eastAsia="仿宋"/>
          <w:b/>
          <w:sz w:val="36"/>
          <w:szCs w:val="36"/>
        </w:rPr>
        <w:t>声明书</w:t>
      </w:r>
    </w:p>
    <w:p>
      <w:pPr>
        <w:snapToGrid w:val="0"/>
        <w:spacing w:before="120" w:beforeLines="50" w:after="50" w:line="44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u w:val="single"/>
        </w:rPr>
        <w:t>（单一来源响应方名称）</w:t>
      </w:r>
      <w:r>
        <w:rPr>
          <w:rFonts w:hint="eastAsia" w:ascii="仿宋" w:hAnsi="仿宋" w:eastAsia="仿宋"/>
          <w:sz w:val="30"/>
          <w:szCs w:val="30"/>
        </w:rPr>
        <w:t>系中华人民共和国合法企业，经营地址。</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（采购项目名称）（编号为[项目采购-项目编号</w:t>
      </w:r>
      <w:r>
        <w:rPr>
          <w:rFonts w:ascii="仿宋" w:hAnsi="仿宋" w:eastAsia="仿宋"/>
          <w:sz w:val="30"/>
          <w:szCs w:val="30"/>
          <w:u w:val="single"/>
        </w:rPr>
        <w:t>]</w:t>
      </w:r>
      <w:r>
        <w:rPr>
          <w:rFonts w:hint="eastAsia" w:ascii="仿宋" w:hAnsi="仿宋" w:eastAsia="仿宋"/>
          <w:sz w:val="30"/>
          <w:szCs w:val="30"/>
          <w:u w:val="single"/>
        </w:rPr>
        <w:t xml:space="preserve">         ）</w:t>
      </w:r>
      <w:r>
        <w:rPr>
          <w:rFonts w:hint="eastAsia" w:ascii="仿宋" w:hAnsi="仿宋" w:eastAsia="仿宋"/>
          <w:sz w:val="30"/>
          <w:szCs w:val="30"/>
        </w:rPr>
        <w:t>的投标，为此，我方就本次投标有关事项郑重声明如下：</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1.我方已详细审查全部采购文件，同意采购文件的各项要求，包括疫情期间采取的各项应急开标措施。</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2.我方向贵方提交的所有响应文件、资料都是准确的和真实的。</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3.若中标，我方将按采购文件规定履行合同责任和义务。</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5.响应文件自开标日起有效期为90天。</w:t>
      </w:r>
    </w:p>
    <w:p>
      <w:pPr>
        <w:snapToGrid w:val="0"/>
        <w:spacing w:line="44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4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  日 期：</w:t>
      </w:r>
    </w:p>
    <w:p>
      <w:pPr>
        <w:snapToGrid w:val="0"/>
        <w:spacing w:before="120" w:beforeLines="50" w:after="50" w:line="440" w:lineRule="exact"/>
        <w:ind w:firstLine="150" w:firstLineChars="50"/>
        <w:rPr>
          <w:rFonts w:ascii="仿宋" w:hAnsi="仿宋" w:eastAsia="仿宋"/>
          <w:sz w:val="30"/>
          <w:szCs w:val="30"/>
        </w:rPr>
      </w:pPr>
      <w:r>
        <w:rPr>
          <w:rFonts w:hint="eastAsia" w:ascii="仿宋" w:hAnsi="仿宋" w:eastAsia="仿宋"/>
          <w:sz w:val="30"/>
          <w:szCs w:val="30"/>
        </w:rPr>
        <w:t>单一来源响应方全称（公章）：</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我（姓名）系（单一来源响应方名称）的法定代表人，现授权委托本单位在职职工 （姓名）为授权代表，以我方的名义参加项目编号：项目名称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单一来源响应方全称（公章）：         日  期：</w:t>
      </w:r>
    </w:p>
    <w:p>
      <w:pPr>
        <w:tabs>
          <w:tab w:val="left" w:pos="606"/>
        </w:tabs>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tabs>
          <w:tab w:val="left" w:pos="606"/>
        </w:tabs>
        <w:rPr>
          <w:rFonts w:ascii="宋体" w:hAnsi="宋体" w:cs="宋体"/>
          <w:spacing w:val="20"/>
          <w:sz w:val="30"/>
          <w:szCs w:val="30"/>
        </w:rPr>
      </w:pPr>
      <w:r>
        <w:rPr>
          <w:rFonts w:hint="eastAsia" w:ascii="宋体" w:hAnsi="宋体" w:cs="宋体"/>
          <w:sz w:val="30"/>
          <w:szCs w:val="30"/>
        </w:rPr>
        <w:t>附件3：</w:t>
      </w:r>
    </w:p>
    <w:p>
      <w:pPr>
        <w:pStyle w:val="11"/>
        <w:overflowPunct w:val="0"/>
        <w:spacing w:line="360" w:lineRule="auto"/>
        <w:ind w:firstLine="0"/>
        <w:jc w:val="center"/>
        <w:rPr>
          <w:rFonts w:ascii="宋体" w:hAnsi="宋体" w:cs="宋体"/>
          <w:b/>
          <w:spacing w:val="40"/>
          <w:kern w:val="0"/>
          <w:sz w:val="30"/>
          <w:szCs w:val="30"/>
        </w:rPr>
      </w:pPr>
      <w:r>
        <w:rPr>
          <w:rFonts w:hint="eastAsia" w:ascii="宋体" w:hAnsi="宋体" w:cs="宋体"/>
          <w:b/>
          <w:spacing w:val="40"/>
          <w:kern w:val="0"/>
          <w:sz w:val="30"/>
          <w:szCs w:val="30"/>
        </w:rPr>
        <w:t>联合响应协议书</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甲方：</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乙方：</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（如果有的话，可按甲、乙、丙、丁…序列增加）</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各方经协商，就响应             组织实施的编号为           号的采购活动联合进行采购之事宜，达成如下协议：</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一、各方一致决定，以           为主办人进行采购，并按照竞争性磋商文件的规定分别提交资格文件。</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二、在本次磋商过程中，主办人的法定代表人或授权代理人根据磋商文件规定及磋商内容而对磋商方和采购人所作的任何合法承诺，包括书面澄清及响应等均对联合响应各方产生约束力。如果成交并签订合同，则联合响应各方将共同履行对磋商方和采购人所负有的全部义务并就采购合同约定的事项对采购人承担连带责任。</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三、联合响应其余各方保证对主办人为响应本次采购而提供的产品和服务提供全部质量保证及售后服务支持。</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四、本次联合响应中，甲方承担的工作和义务为:</w:t>
      </w:r>
    </w:p>
    <w:p>
      <w:pPr>
        <w:pStyle w:val="11"/>
        <w:overflowPunct w:val="0"/>
        <w:spacing w:line="460" w:lineRule="exact"/>
        <w:ind w:firstLine="642" w:firstLineChars="214"/>
        <w:rPr>
          <w:rFonts w:ascii="宋体" w:hAnsi="宋体" w:cs="宋体"/>
          <w:sz w:val="30"/>
          <w:szCs w:val="30"/>
        </w:rPr>
      </w:pP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乙方承担的工作和义务为：</w:t>
      </w:r>
    </w:p>
    <w:p>
      <w:pPr>
        <w:pStyle w:val="11"/>
        <w:overflowPunct w:val="0"/>
        <w:spacing w:line="460" w:lineRule="exact"/>
        <w:ind w:firstLine="642" w:firstLineChars="214"/>
        <w:rPr>
          <w:rFonts w:ascii="宋体" w:hAnsi="宋体" w:cs="宋体"/>
          <w:sz w:val="30"/>
          <w:szCs w:val="30"/>
        </w:rPr>
      </w:pP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五、有关本次联合响应的其他事宜：</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六、本协议提交磋商方后，联合响应各方不得以任何形式对上述实质内容进行修改或撤销。</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七、本协议签约各方各持一份，并作为竞争磋商文件的一部分。</w:t>
      </w:r>
    </w:p>
    <w:tbl>
      <w:tblPr>
        <w:tblStyle w:val="43"/>
        <w:tblW w:w="0" w:type="auto"/>
        <w:jc w:val="center"/>
        <w:tblLayout w:type="fixed"/>
        <w:tblCellMar>
          <w:top w:w="0" w:type="dxa"/>
          <w:left w:w="108" w:type="dxa"/>
          <w:bottom w:w="0" w:type="dxa"/>
          <w:right w:w="108" w:type="dxa"/>
        </w:tblCellMar>
      </w:tblPr>
      <w:tblGrid>
        <w:gridCol w:w="4264"/>
        <w:gridCol w:w="4264"/>
      </w:tblGrid>
      <w:tr>
        <w:trPr>
          <w:jc w:val="center"/>
        </w:trPr>
        <w:tc>
          <w:tcPr>
            <w:tcW w:w="4264" w:type="dxa"/>
          </w:tcPr>
          <w:p>
            <w:pPr>
              <w:pStyle w:val="11"/>
              <w:overflowPunct w:val="0"/>
              <w:spacing w:line="460" w:lineRule="exact"/>
              <w:ind w:firstLine="0"/>
              <w:rPr>
                <w:rFonts w:ascii="宋体" w:hAnsi="宋体" w:cs="宋体"/>
                <w:sz w:val="30"/>
                <w:szCs w:val="30"/>
              </w:rPr>
            </w:pPr>
            <w:r>
              <w:rPr>
                <w:rFonts w:hint="eastAsia" w:ascii="宋体" w:hAnsi="宋体" w:cs="宋体"/>
                <w:sz w:val="30"/>
                <w:szCs w:val="30"/>
              </w:rPr>
              <w:t>甲方单位：       （公章）</w:t>
            </w: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c>
          <w:tcPr>
            <w:tcW w:w="4264" w:type="dxa"/>
          </w:tcPr>
          <w:p>
            <w:pPr>
              <w:pStyle w:val="11"/>
              <w:overflowPunct w:val="0"/>
              <w:spacing w:line="460" w:lineRule="exact"/>
              <w:ind w:firstLine="0"/>
              <w:rPr>
                <w:rFonts w:ascii="宋体" w:hAnsi="宋体" w:cs="宋体"/>
                <w:sz w:val="30"/>
                <w:szCs w:val="30"/>
              </w:rPr>
            </w:pPr>
            <w:r>
              <w:rPr>
                <w:rFonts w:hint="eastAsia" w:ascii="宋体" w:hAnsi="宋体" w:cs="宋体"/>
                <w:sz w:val="30"/>
                <w:szCs w:val="30"/>
              </w:rPr>
              <w:t>乙方单位：       （公章）</w:t>
            </w: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r>
    </w:tbl>
    <w:p>
      <w:pPr>
        <w:pStyle w:val="11"/>
        <w:overflowPunct w:val="0"/>
        <w:spacing w:line="460" w:lineRule="exact"/>
        <w:ind w:firstLine="0"/>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附件4：</w:t>
      </w:r>
    </w:p>
    <w:p>
      <w:pPr>
        <w:pStyle w:val="11"/>
        <w:overflowPunct w:val="0"/>
        <w:spacing w:line="460" w:lineRule="exact"/>
        <w:jc w:val="center"/>
        <w:rPr>
          <w:rFonts w:ascii="宋体" w:hAnsi="宋体" w:cs="宋体"/>
          <w:b/>
          <w:sz w:val="30"/>
          <w:szCs w:val="30"/>
        </w:rPr>
      </w:pPr>
      <w:r>
        <w:rPr>
          <w:rFonts w:hint="eastAsia" w:ascii="宋体" w:hAnsi="宋体" w:cs="宋体"/>
          <w:b/>
          <w:sz w:val="30"/>
          <w:szCs w:val="30"/>
        </w:rPr>
        <w:t>联合响应授权委托书</w:t>
      </w:r>
    </w:p>
    <w:p>
      <w:pPr>
        <w:pStyle w:val="11"/>
        <w:overflowPunct w:val="0"/>
        <w:spacing w:line="460" w:lineRule="exact"/>
        <w:rPr>
          <w:rFonts w:ascii="宋体" w:hAnsi="宋体" w:cs="宋体"/>
          <w:sz w:val="30"/>
          <w:szCs w:val="30"/>
        </w:rPr>
      </w:pPr>
    </w:p>
    <w:p>
      <w:pPr>
        <w:pStyle w:val="11"/>
        <w:overflowPunct w:val="0"/>
        <w:spacing w:line="460" w:lineRule="exact"/>
        <w:rPr>
          <w:rFonts w:ascii="宋体" w:hAnsi="宋体" w:cs="宋体"/>
          <w:sz w:val="30"/>
          <w:szCs w:val="30"/>
        </w:rPr>
      </w:pPr>
      <w:r>
        <w:rPr>
          <w:rFonts w:hint="eastAsia" w:ascii="宋体" w:hAnsi="宋体" w:cs="宋体"/>
          <w:sz w:val="30"/>
          <w:szCs w:val="30"/>
        </w:rPr>
        <w:t xml:space="preserve"> 本授权委托书声明：根据               与         签订的《联合响应协议书》的内容，主办人                 的法定代表人        现授权       为联合响应代理人，代理人在响应、开标、磋商、合同谈判过程中所签署的一切文件和处理与这有关的一切事务， 联合响应各方均予以认可并遵守。</w:t>
      </w:r>
    </w:p>
    <w:p>
      <w:pPr>
        <w:pStyle w:val="11"/>
        <w:overflowPunct w:val="0"/>
        <w:spacing w:line="460" w:lineRule="exact"/>
        <w:rPr>
          <w:rFonts w:ascii="宋体" w:hAnsi="宋体" w:cs="宋体"/>
          <w:sz w:val="30"/>
          <w:szCs w:val="30"/>
        </w:rPr>
      </w:pPr>
      <w:r>
        <w:rPr>
          <w:rFonts w:hint="eastAsia" w:ascii="宋体" w:hAnsi="宋体" w:cs="宋体"/>
          <w:sz w:val="30"/>
          <w:szCs w:val="30"/>
        </w:rPr>
        <w:t xml:space="preserve"> 特此委托。</w:t>
      </w:r>
    </w:p>
    <w:p>
      <w:pPr>
        <w:pStyle w:val="11"/>
        <w:overflowPunct w:val="0"/>
        <w:spacing w:line="460" w:lineRule="exact"/>
        <w:rPr>
          <w:rFonts w:ascii="宋体" w:hAnsi="宋体" w:cs="宋体"/>
          <w:sz w:val="30"/>
          <w:szCs w:val="30"/>
        </w:rPr>
      </w:pPr>
      <w:r>
        <w:rPr>
          <w:rFonts w:hint="eastAsia" w:ascii="宋体" w:hAnsi="宋体" w:cs="宋体"/>
          <w:sz w:val="30"/>
          <w:szCs w:val="30"/>
        </w:rPr>
        <w:t xml:space="preserve">     </w:t>
      </w:r>
    </w:p>
    <w:p>
      <w:pPr>
        <w:pStyle w:val="11"/>
        <w:overflowPunct w:val="0"/>
        <w:spacing w:line="460" w:lineRule="exact"/>
        <w:ind w:firstLine="600" w:firstLineChars="200"/>
        <w:rPr>
          <w:rFonts w:ascii="宋体" w:hAnsi="宋体" w:cs="宋体"/>
          <w:sz w:val="30"/>
          <w:szCs w:val="30"/>
        </w:rPr>
      </w:pPr>
      <w:r>
        <w:rPr>
          <w:rFonts w:hint="eastAsia" w:ascii="宋体" w:hAnsi="宋体" w:cs="宋体"/>
          <w:sz w:val="30"/>
          <w:szCs w:val="30"/>
        </w:rPr>
        <w:t>授权人（签名）：</w:t>
      </w:r>
    </w:p>
    <w:p>
      <w:pPr>
        <w:pStyle w:val="11"/>
        <w:overflowPunct w:val="0"/>
        <w:spacing w:line="460" w:lineRule="exact"/>
        <w:ind w:firstLine="600" w:firstLineChars="200"/>
        <w:rPr>
          <w:rFonts w:ascii="宋体" w:hAnsi="宋体" w:cs="宋体"/>
          <w:sz w:val="30"/>
          <w:szCs w:val="30"/>
        </w:rPr>
      </w:pPr>
    </w:p>
    <w:p>
      <w:pPr>
        <w:pStyle w:val="11"/>
        <w:overflowPunct w:val="0"/>
        <w:spacing w:line="460" w:lineRule="exact"/>
        <w:ind w:left="420" w:leftChars="200" w:firstLine="150" w:firstLineChars="50"/>
        <w:rPr>
          <w:rFonts w:ascii="宋体" w:hAnsi="宋体" w:cs="宋体"/>
          <w:sz w:val="30"/>
          <w:szCs w:val="30"/>
        </w:rPr>
      </w:pPr>
      <w:r>
        <w:rPr>
          <w:rFonts w:hint="eastAsia" w:ascii="宋体" w:hAnsi="宋体" w:cs="宋体"/>
          <w:sz w:val="30"/>
          <w:szCs w:val="30"/>
        </w:rPr>
        <w:t>日期：    年  月  日</w:t>
      </w:r>
    </w:p>
    <w:p>
      <w:pPr>
        <w:pStyle w:val="11"/>
        <w:overflowPunct w:val="0"/>
        <w:spacing w:line="460" w:lineRule="exact"/>
        <w:rPr>
          <w:rFonts w:ascii="宋体" w:hAnsi="宋体" w:cs="宋体"/>
          <w:sz w:val="30"/>
          <w:szCs w:val="30"/>
        </w:rPr>
      </w:pPr>
    </w:p>
    <w:p>
      <w:pPr>
        <w:pStyle w:val="11"/>
        <w:overflowPunct w:val="0"/>
        <w:spacing w:line="460" w:lineRule="exact"/>
        <w:ind w:firstLine="570" w:firstLineChars="190"/>
        <w:rPr>
          <w:rFonts w:ascii="宋体" w:hAnsi="宋体" w:cs="宋体"/>
          <w:sz w:val="30"/>
          <w:szCs w:val="30"/>
        </w:rPr>
      </w:pPr>
      <w:r>
        <w:rPr>
          <w:rFonts w:hint="eastAsia" w:ascii="宋体" w:hAnsi="宋体" w:cs="宋体"/>
          <w:sz w:val="30"/>
          <w:szCs w:val="30"/>
        </w:rPr>
        <w:t>授权代表（签名）；</w:t>
      </w:r>
    </w:p>
    <w:p>
      <w:pPr>
        <w:pStyle w:val="11"/>
        <w:overflowPunct w:val="0"/>
        <w:spacing w:line="460" w:lineRule="exact"/>
        <w:ind w:firstLine="570" w:firstLineChars="190"/>
        <w:rPr>
          <w:rFonts w:ascii="宋体" w:hAnsi="宋体" w:cs="宋体"/>
          <w:sz w:val="30"/>
          <w:szCs w:val="30"/>
        </w:rPr>
      </w:pPr>
    </w:p>
    <w:p>
      <w:pPr>
        <w:pStyle w:val="11"/>
        <w:overflowPunct w:val="0"/>
        <w:spacing w:line="460" w:lineRule="exact"/>
        <w:ind w:firstLine="570" w:firstLineChars="190"/>
        <w:rPr>
          <w:rFonts w:ascii="宋体" w:hAnsi="宋体" w:cs="宋体"/>
          <w:sz w:val="30"/>
          <w:szCs w:val="30"/>
        </w:rPr>
      </w:pPr>
      <w:r>
        <w:rPr>
          <w:rFonts w:hint="eastAsia" w:ascii="宋体" w:hAnsi="宋体" w:cs="宋体"/>
          <w:sz w:val="30"/>
          <w:szCs w:val="30"/>
        </w:rPr>
        <w:t>日期：    年  月  日</w:t>
      </w:r>
    </w:p>
    <w:p>
      <w:pPr>
        <w:tabs>
          <w:tab w:val="left" w:pos="606"/>
        </w:tabs>
        <w:spacing w:line="460" w:lineRule="exact"/>
        <w:rPr>
          <w:rFonts w:ascii="宋体" w:hAnsi="宋体" w:cs="宋体"/>
          <w:spacing w:val="20"/>
          <w:sz w:val="30"/>
          <w:szCs w:val="30"/>
        </w:rPr>
      </w:pPr>
    </w:p>
    <w:p>
      <w:pPr>
        <w:tabs>
          <w:tab w:val="left" w:pos="606"/>
        </w:tabs>
        <w:spacing w:line="460" w:lineRule="exact"/>
        <w:rPr>
          <w:rFonts w:ascii="宋体" w:hAnsi="宋体" w:cs="宋体"/>
          <w:spacing w:val="20"/>
          <w:sz w:val="30"/>
          <w:szCs w:val="30"/>
        </w:rPr>
      </w:pPr>
    </w:p>
    <w:tbl>
      <w:tblPr>
        <w:tblStyle w:val="43"/>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r>
              <w:rPr>
                <w:rFonts w:hint="eastAsia" w:ascii="宋体" w:hAnsi="宋体" w:cs="宋体"/>
                <w:sz w:val="30"/>
                <w:szCs w:val="30"/>
              </w:rPr>
              <w:t>联合体甲方单位：   （公章）</w:t>
            </w: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c>
          <w:tcPr>
            <w:tcW w:w="4264" w:type="dxa"/>
          </w:tcPr>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r>
              <w:rPr>
                <w:rFonts w:hint="eastAsia" w:ascii="宋体" w:hAnsi="宋体" w:cs="宋体"/>
                <w:sz w:val="30"/>
                <w:szCs w:val="30"/>
              </w:rPr>
              <w:t>联合体乙方单位：   （公章）</w:t>
            </w: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r>
    </w:tbl>
    <w:p>
      <w:pPr>
        <w:snapToGrid w:val="0"/>
        <w:spacing w:before="120" w:beforeLines="50" w:after="50" w:line="460" w:lineRule="exact"/>
        <w:ind w:firstLine="6150" w:firstLineChars="2050"/>
        <w:rPr>
          <w:rFonts w:ascii="仿宋" w:hAnsi="仿宋" w:eastAsia="仿宋"/>
          <w:sz w:val="30"/>
          <w:szCs w:val="30"/>
        </w:rPr>
      </w:pPr>
      <w:r>
        <w:rPr>
          <w:rFonts w:hint="eastAsia" w:hAnsi="宋体" w:cs="宋体"/>
          <w:sz w:val="30"/>
          <w:szCs w:val="30"/>
        </w:rPr>
        <w:br w:type="page"/>
      </w:r>
    </w:p>
    <w:p>
      <w:pPr>
        <w:snapToGrid w:val="0"/>
        <w:spacing w:line="460" w:lineRule="exact"/>
        <w:rPr>
          <w:rFonts w:ascii="仿宋" w:hAnsi="仿宋" w:eastAsia="仿宋"/>
          <w:sz w:val="30"/>
          <w:szCs w:val="30"/>
          <w:u w:val="single"/>
        </w:rPr>
      </w:pPr>
    </w:p>
    <w:p>
      <w:pPr>
        <w:snapToGrid w:val="0"/>
        <w:spacing w:before="50" w:after="50"/>
        <w:rPr>
          <w:rFonts w:ascii="仿宋" w:hAnsi="仿宋" w:eastAsia="仿宋"/>
          <w:sz w:val="30"/>
          <w:szCs w:val="30"/>
        </w:rPr>
      </w:pPr>
      <w:r>
        <w:rPr>
          <w:rFonts w:hint="eastAsia" w:ascii="仿宋" w:hAnsi="仿宋" w:eastAsia="仿宋"/>
          <w:sz w:val="30"/>
          <w:szCs w:val="30"/>
        </w:rPr>
        <w:t>附件5：</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2"/>
        <w:snapToGrid w:val="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采购文件要求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2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outlineLvl w:val="0"/>
              <w:rPr>
                <w:rFonts w:ascii="仿宋" w:hAnsi="仿宋" w:eastAsia="仿宋"/>
                <w:sz w:val="30"/>
                <w:szCs w:val="30"/>
              </w:rPr>
            </w:pPr>
          </w:p>
        </w:tc>
      </w:tr>
    </w:tbl>
    <w:p>
      <w:pPr>
        <w:pStyle w:val="15"/>
        <w:rPr>
          <w:rFonts w:ascii="仿宋" w:hAnsi="仿宋" w:eastAsia="仿宋"/>
          <w:spacing w:val="20"/>
          <w:kern w:val="0"/>
          <w:sz w:val="30"/>
          <w:szCs w:val="30"/>
        </w:rPr>
      </w:pPr>
      <w:r>
        <w:rPr>
          <w:rFonts w:hint="eastAsia" w:ascii="仿宋" w:hAnsi="仿宋" w:eastAsia="仿宋"/>
          <w:sz w:val="30"/>
          <w:szCs w:val="30"/>
        </w:rPr>
        <w:t>注：响应方应根据投标设备的性能指标、对照采购文件要求在“偏离情况”栏注明“正偏离”、“负偏离”或“无偏离”。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附件6：</w:t>
      </w:r>
    </w:p>
    <w:p>
      <w:pPr>
        <w:snapToGrid w:val="0"/>
        <w:spacing w:before="120" w:beforeLines="50" w:after="50"/>
        <w:jc w:val="center"/>
        <w:rPr>
          <w:rFonts w:ascii="仿宋" w:hAnsi="仿宋" w:eastAsia="仿宋"/>
          <w:b/>
          <w:sz w:val="36"/>
          <w:szCs w:val="36"/>
        </w:rPr>
      </w:pPr>
      <w:r>
        <w:rPr>
          <w:rFonts w:hint="eastAsia" w:ascii="仿宋" w:hAnsi="仿宋" w:eastAsia="仿宋"/>
          <w:b/>
          <w:sz w:val="36"/>
          <w:szCs w:val="36"/>
        </w:rPr>
        <w:t>项目实施人员（主要从业人员及其技术资格）一览表</w:t>
      </w:r>
    </w:p>
    <w:p>
      <w:pPr>
        <w:snapToGrid w:val="0"/>
        <w:spacing w:before="120" w:beforeLines="50" w:after="50"/>
        <w:jc w:val="center"/>
        <w:rPr>
          <w:rFonts w:ascii="仿宋" w:hAnsi="仿宋" w:eastAsia="仿宋"/>
          <w:b/>
          <w:sz w:val="30"/>
          <w:szCs w:val="30"/>
        </w:rPr>
      </w:pPr>
    </w:p>
    <w:p>
      <w:pPr>
        <w:pStyle w:val="12"/>
        <w:snapToGrid w:val="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3"/>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tcBorders>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tcBorders>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tcBorders>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24"/>
              <w:snapToGrid w:val="0"/>
              <w:spacing w:before="120" w:beforeLines="50" w:after="50" w:line="460" w:lineRule="exact"/>
              <w:ind w:left="5250"/>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tcBorders>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tcBorders>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tcBorders>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tcBorders>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tcBorders>
          </w:tcPr>
          <w:p>
            <w:pPr>
              <w:snapToGrid w:val="0"/>
              <w:spacing w:before="120" w:beforeLines="50" w:after="50" w:line="460" w:lineRule="exact"/>
              <w:rPr>
                <w:rFonts w:ascii="仿宋" w:hAnsi="仿宋" w:eastAsia="仿宋"/>
                <w:b/>
                <w:bCs/>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注：在填写时，响应方可根据本表格式自行划表填写。</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rPr>
      </w:pPr>
      <w:r>
        <w:rPr>
          <w:rFonts w:hint="eastAsia" w:ascii="仿宋" w:hAnsi="仿宋" w:eastAsia="仿宋"/>
          <w:spacing w:val="20"/>
          <w:sz w:val="30"/>
          <w:szCs w:val="30"/>
        </w:rPr>
        <w:t>全权代表签名：</w:t>
      </w:r>
      <w:r>
        <w:rPr>
          <w:rFonts w:hint="eastAsia" w:ascii="仿宋" w:hAnsi="仿宋" w:eastAsia="仿宋"/>
          <w:spacing w:val="20"/>
          <w:sz w:val="30"/>
          <w:szCs w:val="30"/>
          <w:lang w:val="en-US" w:eastAsia="zh-CN"/>
        </w:rPr>
        <w:t xml:space="preserve">           </w:t>
      </w:r>
      <w:r>
        <w:rPr>
          <w:rFonts w:hint="eastAsia" w:ascii="仿宋" w:hAnsi="仿宋" w:eastAsia="仿宋"/>
          <w:spacing w:val="20"/>
          <w:sz w:val="30"/>
          <w:szCs w:val="30"/>
        </w:rPr>
        <w:t>日期：</w:t>
      </w: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t>附件7：</w:t>
      </w:r>
    </w:p>
    <w:p>
      <w:pPr>
        <w:snapToGrid w:val="0"/>
        <w:spacing w:before="50"/>
        <w:jc w:val="center"/>
        <w:rPr>
          <w:rFonts w:ascii="仿宋" w:hAnsi="仿宋" w:eastAsia="仿宋"/>
          <w:b/>
          <w:spacing w:val="40"/>
          <w:kern w:val="0"/>
          <w:sz w:val="36"/>
          <w:szCs w:val="36"/>
        </w:rPr>
      </w:pPr>
      <w:r>
        <w:rPr>
          <w:rFonts w:hint="eastAsia" w:ascii="仿宋" w:hAnsi="仿宋" w:eastAsia="仿宋"/>
          <w:b/>
          <w:spacing w:val="40"/>
          <w:kern w:val="0"/>
          <w:sz w:val="36"/>
          <w:szCs w:val="36"/>
        </w:rPr>
        <w:t>商务响应表</w:t>
      </w:r>
    </w:p>
    <w:p>
      <w:pPr>
        <w:pStyle w:val="12"/>
        <w:snapToGrid w:val="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3260"/>
        <w:gridCol w:w="958"/>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26" w:type="dxa"/>
            <w:tcBorders>
              <w:top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单一来源采购文件要求</w:t>
            </w:r>
          </w:p>
        </w:tc>
        <w:tc>
          <w:tcPr>
            <w:tcW w:w="95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响应方承诺或说明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26" w:type="dxa"/>
            <w:tcBorders>
              <w:top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售后服务保障要求</w:t>
            </w:r>
          </w:p>
        </w:tc>
        <w:tc>
          <w:tcPr>
            <w:tcW w:w="3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26" w:type="dxa"/>
            <w:tcBorders>
              <w:top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服务期</w:t>
            </w:r>
          </w:p>
        </w:tc>
        <w:tc>
          <w:tcPr>
            <w:tcW w:w="3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b/>
                <w:bCs/>
                <w:sz w:val="30"/>
                <w:szCs w:val="30"/>
              </w:rPr>
            </w:pPr>
          </w:p>
        </w:tc>
        <w:tc>
          <w:tcPr>
            <w:tcW w:w="3020" w:type="dxa"/>
            <w:tcBorders>
              <w:top w:val="single" w:color="auto" w:sz="4" w:space="0"/>
              <w:left w:val="single" w:color="auto" w:sz="4" w:space="0"/>
              <w:bottom w:val="single" w:color="auto" w:sz="4" w:space="0"/>
            </w:tcBorders>
          </w:tcPr>
          <w:p>
            <w:pPr>
              <w:snapToGrid w:val="0"/>
              <w:spacing w:before="120" w:beforeLines="50"/>
              <w:ind w:left="43"/>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26" w:type="dxa"/>
            <w:tcBorders>
              <w:top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项目进度要求</w:t>
            </w:r>
          </w:p>
        </w:tc>
        <w:tc>
          <w:tcPr>
            <w:tcW w:w="3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tcBorders>
              <w:top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服务时间</w:t>
            </w:r>
          </w:p>
        </w:tc>
        <w:tc>
          <w:tcPr>
            <w:tcW w:w="3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tcBorders>
              <w:top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服务地点</w:t>
            </w:r>
          </w:p>
        </w:tc>
        <w:tc>
          <w:tcPr>
            <w:tcW w:w="3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全权代表签名：日期：</w:t>
      </w:r>
    </w:p>
    <w:p>
      <w:pPr>
        <w:snapToGrid w:val="0"/>
        <w:spacing w:before="120" w:beforeLines="50"/>
        <w:rPr>
          <w:rFonts w:ascii="仿宋" w:hAnsi="仿宋" w:eastAsia="仿宋"/>
          <w:sz w:val="30"/>
          <w:szCs w:val="30"/>
          <w:u w:val="single"/>
        </w:rPr>
      </w:pPr>
    </w:p>
    <w:p>
      <w:pPr>
        <w:snapToGrid w:val="0"/>
        <w:spacing w:before="120" w:beforeLines="50"/>
        <w:rPr>
          <w:rFonts w:ascii="仿宋" w:hAnsi="仿宋" w:eastAsia="仿宋"/>
          <w:sz w:val="30"/>
          <w:szCs w:val="30"/>
          <w:u w:val="single"/>
        </w:rPr>
      </w:pPr>
    </w:p>
    <w:p>
      <w:pPr>
        <w:snapToGrid w:val="0"/>
        <w:spacing w:before="120" w:beforeLines="50"/>
        <w:rPr>
          <w:rFonts w:ascii="仿宋" w:hAnsi="仿宋" w:eastAsia="仿宋"/>
          <w:sz w:val="30"/>
          <w:szCs w:val="30"/>
          <w:u w:val="single"/>
        </w:rPr>
      </w:pPr>
    </w:p>
    <w:p>
      <w:pPr>
        <w:spacing w:line="440" w:lineRule="exact"/>
        <w:ind w:firstLine="600" w:firstLineChars="200"/>
        <w:rPr>
          <w:rFonts w:ascii="仿宋" w:hAnsi="仿宋" w:eastAsia="仿宋"/>
          <w:sz w:val="30"/>
          <w:szCs w:val="30"/>
        </w:rPr>
      </w:pPr>
    </w:p>
    <w:p>
      <w:pPr>
        <w:pStyle w:val="22"/>
        <w:snapToGrid w:val="0"/>
        <w:spacing w:before="120" w:after="120" w:line="240" w:lineRule="auto"/>
        <w:jc w:val="center"/>
        <w:rPr>
          <w:rFonts w:ascii="仿宋" w:hAnsi="仿宋" w:eastAsia="仿宋"/>
          <w:b/>
          <w:sz w:val="36"/>
          <w:szCs w:val="36"/>
        </w:rPr>
      </w:pPr>
      <w:bookmarkStart w:id="49" w:name="报价明细表1"/>
      <w:bookmarkEnd w:id="49"/>
    </w:p>
    <w:p>
      <w:pPr>
        <w:pStyle w:val="22"/>
        <w:snapToGrid w:val="0"/>
        <w:spacing w:before="120" w:after="120" w:line="240" w:lineRule="auto"/>
        <w:jc w:val="center"/>
        <w:rPr>
          <w:rFonts w:ascii="仿宋" w:hAnsi="仿宋" w:eastAsia="仿宋"/>
          <w:b/>
          <w:sz w:val="36"/>
          <w:szCs w:val="36"/>
        </w:rPr>
      </w:pPr>
    </w:p>
    <w:p>
      <w:pPr>
        <w:pStyle w:val="22"/>
        <w:snapToGrid w:val="0"/>
        <w:spacing w:before="120" w:after="120" w:line="240" w:lineRule="auto"/>
        <w:jc w:val="center"/>
        <w:rPr>
          <w:rFonts w:ascii="仿宋" w:hAnsi="仿宋" w:eastAsia="仿宋"/>
          <w:b/>
          <w:sz w:val="36"/>
          <w:szCs w:val="36"/>
        </w:rPr>
      </w:pPr>
    </w:p>
    <w:p>
      <w:pPr>
        <w:pStyle w:val="22"/>
        <w:snapToGrid w:val="0"/>
        <w:spacing w:before="120" w:after="120" w:line="240" w:lineRule="auto"/>
        <w:jc w:val="center"/>
        <w:rPr>
          <w:rFonts w:ascii="仿宋" w:hAnsi="仿宋" w:eastAsia="仿宋"/>
          <w:b/>
          <w:sz w:val="36"/>
          <w:szCs w:val="36"/>
        </w:rPr>
      </w:pPr>
    </w:p>
    <w:p>
      <w:pPr>
        <w:pStyle w:val="22"/>
        <w:snapToGrid w:val="0"/>
        <w:spacing w:before="120" w:after="120" w:line="240" w:lineRule="auto"/>
        <w:jc w:val="center"/>
        <w:rPr>
          <w:rFonts w:ascii="仿宋" w:hAnsi="仿宋" w:eastAsia="仿宋"/>
          <w:b/>
          <w:sz w:val="36"/>
          <w:szCs w:val="36"/>
        </w:rPr>
      </w:pPr>
    </w:p>
    <w:p>
      <w:pPr>
        <w:snapToGrid w:val="0"/>
        <w:spacing w:before="50" w:after="50" w:line="460" w:lineRule="exact"/>
        <w:rPr>
          <w:rFonts w:ascii="仿宋" w:hAnsi="仿宋" w:eastAsia="仿宋"/>
          <w:spacing w:val="20"/>
          <w:sz w:val="30"/>
          <w:szCs w:val="30"/>
          <w:u w:val="single"/>
        </w:rPr>
      </w:pPr>
    </w:p>
    <w:p>
      <w:pPr>
        <w:snapToGrid w:val="0"/>
        <w:spacing w:before="50" w:after="120" w:afterLines="50" w:line="460" w:lineRule="exact"/>
        <w:jc w:val="left"/>
        <w:rPr>
          <w:rFonts w:ascii="仿宋" w:hAnsi="仿宋" w:eastAsia="仿宋"/>
          <w:sz w:val="30"/>
          <w:szCs w:val="30"/>
        </w:rPr>
      </w:pPr>
    </w:p>
    <w:p>
      <w:pPr>
        <w:pStyle w:val="22"/>
        <w:snapToGrid w:val="0"/>
        <w:spacing w:beforeLines="0" w:afterLines="0" w:line="460" w:lineRule="exac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line="460" w:lineRule="exact"/>
        <w:rPr>
          <w:rFonts w:ascii="仿宋" w:hAnsi="仿宋" w:eastAsia="仿宋"/>
          <w:sz w:val="30"/>
          <w:szCs w:val="30"/>
        </w:rPr>
        <w:sectPr>
          <w:footerReference r:id="rId8" w:type="first"/>
          <w:headerReference r:id="rId5" w:type="default"/>
          <w:footerReference r:id="rId6" w:type="default"/>
          <w:footerReference r:id="rId7" w:type="even"/>
          <w:type w:val="continuous"/>
          <w:pgSz w:w="11906" w:h="16838"/>
          <w:pgMar w:top="1440" w:right="1800" w:bottom="1440" w:left="1800" w:header="851" w:footer="851" w:gutter="0"/>
          <w:cols w:space="720" w:num="1"/>
          <w:docGrid w:linePitch="312" w:charSpace="0"/>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附件8：</w:t>
      </w:r>
    </w:p>
    <w:p>
      <w:pPr>
        <w:pStyle w:val="31"/>
        <w:snapToGrid w:val="0"/>
        <w:ind w:left="723" w:hanging="723"/>
        <w:jc w:val="center"/>
        <w:rPr>
          <w:rFonts w:ascii="仿宋" w:hAnsi="仿宋" w:eastAsia="仿宋"/>
          <w:b/>
          <w:sz w:val="36"/>
          <w:szCs w:val="36"/>
        </w:rPr>
      </w:pPr>
      <w:r>
        <w:rPr>
          <w:rFonts w:hint="eastAsia" w:ascii="仿宋" w:hAnsi="仿宋" w:eastAsia="仿宋"/>
          <w:b/>
          <w:sz w:val="36"/>
          <w:szCs w:val="36"/>
        </w:rPr>
        <w:t>响应方同类项目实施情况一览表</w:t>
      </w:r>
    </w:p>
    <w:p>
      <w:pPr>
        <w:pStyle w:val="12"/>
        <w:snapToGrid w:val="0"/>
        <w:rPr>
          <w:rFonts w:ascii="仿宋" w:hAnsi="仿宋" w:eastAsia="仿宋" w:cs="Times New Roman"/>
          <w:sz w:val="30"/>
          <w:szCs w:val="30"/>
          <w:u w:val="single"/>
        </w:rPr>
      </w:pPr>
      <w:r>
        <w:rPr>
          <w:rFonts w:hint="eastAsia" w:ascii="仿宋" w:hAnsi="仿宋" w:eastAsia="仿宋"/>
          <w:sz w:val="30"/>
          <w:szCs w:val="30"/>
        </w:rPr>
        <w:t>单一来源响应方全称（公章）：</w:t>
      </w:r>
    </w:p>
    <w:tbl>
      <w:tblPr>
        <w:tblStyle w:val="4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tcBorders>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tcBorders>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tcBorders>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tcBorders>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tcBorders>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0"/>
                <w:szCs w:val="30"/>
              </w:rPr>
              <w:t>须提供响应方同类项目合同复印件、用户验收报告。</w:t>
            </w:r>
          </w:p>
        </w:tc>
      </w:tr>
    </w:tbl>
    <w:p>
      <w:pPr>
        <w:pStyle w:val="12"/>
        <w:snapToGrid w:val="0"/>
        <w:spacing w:before="240"/>
        <w:rPr>
          <w:rFonts w:ascii="仿宋" w:hAnsi="仿宋" w:eastAsia="仿宋"/>
          <w:sz w:val="30"/>
          <w:szCs w:val="30"/>
        </w:rPr>
      </w:pPr>
      <w:r>
        <w:rPr>
          <w:rFonts w:hint="eastAsia" w:ascii="仿宋" w:hAnsi="仿宋" w:eastAsia="仿宋"/>
          <w:sz w:val="30"/>
          <w:szCs w:val="30"/>
        </w:rPr>
        <w:t>全权代表签名：</w:t>
      </w:r>
      <w:r>
        <w:rPr>
          <w:rFonts w:hint="eastAsia" w:ascii="仿宋" w:hAnsi="仿宋" w:eastAsia="仿宋"/>
          <w:sz w:val="30"/>
          <w:szCs w:val="30"/>
          <w:u w:val="single"/>
        </w:rPr>
        <w:t>　　　　　</w:t>
      </w:r>
      <w:r>
        <w:rPr>
          <w:rFonts w:hint="eastAsia" w:ascii="仿宋" w:hAnsi="仿宋" w:eastAsia="仿宋"/>
          <w:sz w:val="30"/>
          <w:szCs w:val="30"/>
        </w:rPr>
        <w:t>时间：</w:t>
      </w:r>
    </w:p>
    <w:p>
      <w:pPr>
        <w:snapToGrid w:val="0"/>
        <w:spacing w:before="50" w:after="120" w:afterLines="50"/>
        <w:jc w:val="left"/>
        <w:rPr>
          <w:rFonts w:ascii="仿宋" w:hAnsi="仿宋" w:eastAsia="仿宋"/>
          <w:sz w:val="30"/>
          <w:szCs w:val="30"/>
        </w:rPr>
        <w:sectPr>
          <w:type w:val="continuous"/>
          <w:pgSz w:w="16838" w:h="11906" w:orient="landscape"/>
          <w:pgMar w:top="1440" w:right="1800" w:bottom="1440" w:left="1800" w:header="851" w:footer="851" w:gutter="0"/>
          <w:cols w:space="720" w:num="1"/>
          <w:docGrid w:linePitch="312" w:charSpace="0"/>
        </w:sectPr>
      </w:pPr>
    </w:p>
    <w:p>
      <w:pPr>
        <w:pStyle w:val="22"/>
        <w:snapToGrid w:val="0"/>
        <w:spacing w:before="156" w:after="156" w:line="240" w:lineRule="auto"/>
        <w:jc w:val="left"/>
        <w:rPr>
          <w:rFonts w:ascii="仿宋" w:hAnsi="仿宋" w:eastAsia="仿宋"/>
          <w:sz w:val="30"/>
          <w:szCs w:val="30"/>
        </w:rPr>
      </w:pPr>
      <w:r>
        <w:rPr>
          <w:rFonts w:hint="eastAsia" w:ascii="仿宋" w:hAnsi="仿宋" w:eastAsia="仿宋"/>
          <w:sz w:val="30"/>
          <w:szCs w:val="30"/>
        </w:rPr>
        <w:t>附件9</w:t>
      </w:r>
      <w:r>
        <w:rPr>
          <w:rFonts w:ascii="仿宋" w:hAnsi="仿宋" w:eastAsia="仿宋"/>
          <w:sz w:val="30"/>
          <w:szCs w:val="30"/>
        </w:rPr>
        <w:t>:</w:t>
      </w:r>
    </w:p>
    <w:p>
      <w:pPr>
        <w:pStyle w:val="22"/>
        <w:snapToGrid w:val="0"/>
        <w:spacing w:before="156" w:after="156" w:line="240" w:lineRule="auto"/>
        <w:jc w:val="center"/>
        <w:rPr>
          <w:rFonts w:ascii="仿宋" w:hAnsi="仿宋" w:eastAsia="仿宋"/>
          <w:b/>
          <w:sz w:val="36"/>
          <w:szCs w:val="36"/>
        </w:rPr>
      </w:pPr>
      <w:r>
        <w:rPr>
          <w:rFonts w:hint="eastAsia" w:ascii="仿宋" w:hAnsi="仿宋" w:eastAsia="仿宋"/>
          <w:b/>
          <w:sz w:val="36"/>
          <w:szCs w:val="36"/>
        </w:rPr>
        <w:t>投标报价明细表</w:t>
      </w:r>
    </w:p>
    <w:p>
      <w:pPr>
        <w:snapToGrid w:val="0"/>
        <w:spacing w:line="600" w:lineRule="exact"/>
        <w:rPr>
          <w:rFonts w:ascii="仿宋" w:hAnsi="仿宋" w:eastAsia="仿宋"/>
          <w:sz w:val="30"/>
          <w:szCs w:val="30"/>
        </w:rPr>
      </w:pPr>
      <w:r>
        <w:rPr>
          <w:rFonts w:hint="eastAsia" w:ascii="仿宋" w:hAnsi="仿宋" w:eastAsia="仿宋"/>
          <w:sz w:val="30"/>
          <w:szCs w:val="30"/>
        </w:rPr>
        <w:t>单一来源响应方全称（公章）：</w:t>
      </w:r>
    </w:p>
    <w:p>
      <w:pPr>
        <w:snapToGrid w:val="0"/>
        <w:spacing w:before="156" w:beforeLines="50" w:after="156" w:afterLines="50" w:line="600" w:lineRule="exact"/>
        <w:rPr>
          <w:rFonts w:ascii="仿宋" w:hAnsi="仿宋" w:eastAsia="仿宋"/>
          <w:sz w:val="30"/>
          <w:szCs w:val="30"/>
        </w:rPr>
      </w:pPr>
      <w:r>
        <w:rPr>
          <w:rFonts w:hint="eastAsia" w:ascii="仿宋" w:hAnsi="仿宋" w:eastAsia="仿宋"/>
          <w:sz w:val="30"/>
          <w:szCs w:val="30"/>
        </w:rPr>
        <w:t>采购编号及标项：</w:t>
      </w:r>
    </w:p>
    <w:tbl>
      <w:tblPr>
        <w:tblStyle w:val="43"/>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289"/>
        <w:gridCol w:w="527"/>
        <w:gridCol w:w="465"/>
        <w:gridCol w:w="564"/>
        <w:gridCol w:w="428"/>
        <w:gridCol w:w="529"/>
        <w:gridCol w:w="322"/>
        <w:gridCol w:w="530"/>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gridSpan w:val="3"/>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gridSpan w:val="3"/>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45"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4"/>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gridSpan w:val="4"/>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r>
              <w:rPr>
                <w:rFonts w:hint="eastAsia" w:ascii="仿宋" w:hAnsi="仿宋" w:eastAsia="仿宋"/>
                <w:b/>
                <w:sz w:val="24"/>
                <w:szCs w:val="24"/>
                <w:lang w:val="en-US" w:eastAsia="zh-CN"/>
              </w:rPr>
              <w:t>/人/天</w:t>
            </w:r>
            <w:r>
              <w:rPr>
                <w:rFonts w:hint="eastAsia" w:ascii="仿宋" w:hAnsi="仿宋" w:eastAsia="仿宋"/>
                <w:b/>
                <w:sz w:val="24"/>
                <w:szCs w:val="24"/>
              </w:rPr>
              <w:t>）</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承接方情况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4"/>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gridSpan w:val="4"/>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5"/>
            <w:tcBorders>
              <w:top w:val="single" w:color="auto" w:sz="4" w:space="0"/>
              <w:bottom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gridSpan w:val="3"/>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施工范围</w:t>
            </w:r>
          </w:p>
        </w:tc>
        <w:tc>
          <w:tcPr>
            <w:tcW w:w="992"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施工工期</w:t>
            </w:r>
          </w:p>
        </w:tc>
        <w:tc>
          <w:tcPr>
            <w:tcW w:w="851"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7" w:type="dxa"/>
            <w:gridSpan w:val="3"/>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421"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7" w:type="dxa"/>
            <w:gridSpan w:val="3"/>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gridSpan w:val="2"/>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gridSpan w:val="2"/>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gridSpan w:val="2"/>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421" w:type="dxa"/>
            <w:gridSpan w:val="2"/>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1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tc>
      </w:tr>
    </w:tbl>
    <w:p>
      <w:pPr>
        <w:snapToGrid w:val="0"/>
        <w:spacing w:before="240" w:after="50" w:line="400" w:lineRule="exact"/>
        <w:jc w:val="left"/>
        <w:rPr>
          <w:rFonts w:ascii="仿宋" w:hAnsi="仿宋" w:eastAsia="仿宋"/>
          <w:sz w:val="30"/>
          <w:szCs w:val="30"/>
        </w:rPr>
      </w:pPr>
    </w:p>
    <w:p>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授权代表签名：</w:t>
      </w:r>
      <w:r>
        <w:rPr>
          <w:rFonts w:hint="eastAsia" w:ascii="仿宋" w:hAnsi="仿宋" w:eastAsia="仿宋"/>
          <w:sz w:val="30"/>
          <w:szCs w:val="30"/>
          <w:lang w:val="en-US" w:eastAsia="zh-CN"/>
        </w:rPr>
        <w:t xml:space="preserve">                </w:t>
      </w:r>
      <w:r>
        <w:rPr>
          <w:rFonts w:hint="eastAsia" w:ascii="仿宋" w:hAnsi="仿宋" w:eastAsia="仿宋"/>
          <w:sz w:val="30"/>
          <w:szCs w:val="30"/>
        </w:rPr>
        <w:t>日期：</w:t>
      </w:r>
    </w:p>
    <w:p>
      <w:pPr>
        <w:snapToGrid w:val="0"/>
        <w:spacing w:line="360" w:lineRule="auto"/>
        <w:rPr>
          <w:rFonts w:ascii="仿宋" w:hAnsi="仿宋" w:eastAsia="仿宋"/>
          <w:sz w:val="30"/>
          <w:szCs w:val="30"/>
        </w:rPr>
      </w:pPr>
      <w:r>
        <w:rPr>
          <w:rFonts w:hint="eastAsia" w:ascii="仿宋" w:hAnsi="仿宋" w:eastAsia="仿宋"/>
          <w:sz w:val="30"/>
          <w:szCs w:val="30"/>
        </w:rPr>
        <w:t>附件10：</w:t>
      </w:r>
    </w:p>
    <w:p>
      <w:pPr>
        <w:snapToGrid w:val="0"/>
        <w:spacing w:line="360" w:lineRule="auto"/>
        <w:jc w:val="right"/>
        <w:rPr>
          <w:rFonts w:ascii="仿宋" w:hAnsi="仿宋" w:eastAsia="仿宋"/>
          <w:sz w:val="28"/>
          <w:szCs w:val="28"/>
        </w:rPr>
      </w:pP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 （联合体）参加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1.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 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，从业人员人，营业收入为万元，资产总额为万元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 型企业、微型企业）</w:t>
      </w:r>
      <w:r>
        <w:rPr>
          <w:rFonts w:ascii="仿宋" w:hAnsi="仿宋" w:eastAsia="仿宋"/>
          <w:sz w:val="28"/>
          <w:szCs w:val="28"/>
        </w:rPr>
        <w:t xml:space="preserve">； </w:t>
      </w:r>
    </w:p>
    <w:p>
      <w:pPr>
        <w:snapToGrid w:val="0"/>
        <w:spacing w:line="360" w:lineRule="auto"/>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 xml:space="preserve">采购文件中明确的所属行业） </w:t>
      </w:r>
      <w:r>
        <w:rPr>
          <w:rFonts w:ascii="仿宋" w:hAnsi="仿宋" w:eastAsia="仿宋"/>
          <w:sz w:val="28"/>
          <w:szCs w:val="28"/>
        </w:rPr>
        <w:t>行业；制造商为</w:t>
      </w:r>
      <w:r>
        <w:rPr>
          <w:rFonts w:ascii="仿宋" w:hAnsi="仿宋" w:eastAsia="仿宋"/>
          <w:sz w:val="28"/>
          <w:szCs w:val="28"/>
          <w:u w:val="single"/>
        </w:rPr>
        <w:t>（企业名称）</w:t>
      </w:r>
      <w:r>
        <w:rPr>
          <w:rFonts w:ascii="仿宋" w:hAnsi="仿宋" w:eastAsia="仿宋"/>
          <w:sz w:val="28"/>
          <w:szCs w:val="28"/>
        </w:rPr>
        <w:t>，从业人员人，营业收入为万元，资产总额为万元，属于（中型企业、小型企业、微型企业）；</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 ……</w:t>
      </w:r>
    </w:p>
    <w:p>
      <w:pPr>
        <w:snapToGrid w:val="0"/>
        <w:spacing w:line="360" w:lineRule="auto"/>
        <w:jc w:val="left"/>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本企业对上述声明内容的真实性负责。如有虚假，将依法承担相应责任。</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响应方名称（盖章）： </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pPr>
        <w:pStyle w:val="2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before="50" w:after="50"/>
        <w:jc w:val="center"/>
        <w:rPr>
          <w:rFonts w:ascii="仿宋" w:hAnsi="仿宋" w:eastAsia="仿宋"/>
          <w:b/>
          <w:sz w:val="36"/>
          <w:szCs w:val="36"/>
        </w:rPr>
      </w:pPr>
    </w:p>
    <w:p>
      <w:pPr>
        <w:snapToGrid w:val="0"/>
        <w:spacing w:before="50" w:after="50"/>
        <w:jc w:val="center"/>
        <w:rPr>
          <w:rFonts w:ascii="仿宋" w:hAnsi="仿宋" w:eastAsia="仿宋"/>
          <w:b/>
          <w:sz w:val="36"/>
          <w:szCs w:val="36"/>
        </w:rPr>
      </w:pPr>
    </w:p>
    <w:p>
      <w:pPr>
        <w:snapToGrid w:val="0"/>
        <w:spacing w:before="50" w:after="50"/>
        <w:jc w:val="center"/>
        <w:rPr>
          <w:rFonts w:ascii="仿宋" w:hAnsi="仿宋" w:eastAsia="仿宋"/>
          <w:b/>
          <w:sz w:val="36"/>
          <w:szCs w:val="36"/>
        </w:rPr>
      </w:pPr>
    </w:p>
    <w:p>
      <w:pPr>
        <w:snapToGrid w:val="0"/>
        <w:spacing w:before="50" w:after="50"/>
        <w:jc w:val="center"/>
        <w:rPr>
          <w:rFonts w:ascii="仿宋" w:hAnsi="仿宋" w:eastAsia="仿宋"/>
          <w:b/>
          <w:sz w:val="36"/>
          <w:szCs w:val="36"/>
        </w:rPr>
      </w:pPr>
      <w:r>
        <w:rPr>
          <w:rFonts w:ascii="仿宋" w:hAnsi="仿宋" w:eastAsia="仿宋"/>
          <w:b/>
          <w:sz w:val="36"/>
          <w:szCs w:val="36"/>
        </w:rPr>
        <w:t>中小企业声明函</w:t>
      </w:r>
      <w:r>
        <w:rPr>
          <w:rFonts w:hint="eastAsia" w:ascii="仿宋" w:hAnsi="仿宋" w:eastAsia="仿宋"/>
          <w:b/>
          <w:sz w:val="36"/>
          <w:szCs w:val="36"/>
        </w:rPr>
        <w:t>（工程、服务）</w:t>
      </w:r>
    </w:p>
    <w:p>
      <w:pPr>
        <w:snapToGrid w:val="0"/>
        <w:spacing w:before="50" w:after="50"/>
        <w:jc w:val="center"/>
        <w:rPr>
          <w:rFonts w:ascii="仿宋" w:hAnsi="仿宋" w:eastAsia="仿宋"/>
          <w:b/>
          <w:sz w:val="36"/>
          <w:szCs w:val="36"/>
        </w:rPr>
      </w:pPr>
    </w:p>
    <w:p>
      <w:pPr>
        <w:snapToGrid w:val="0"/>
        <w:spacing w:line="312" w:lineRule="auto"/>
        <w:ind w:firstLine="560" w:firstLineChars="200"/>
        <w:rPr>
          <w:rFonts w:ascii="仿宋" w:hAnsi="仿宋" w:eastAsia="仿宋"/>
          <w:sz w:val="28"/>
          <w:szCs w:val="28"/>
        </w:rPr>
      </w:pPr>
    </w:p>
    <w:p>
      <w:pPr>
        <w:snapToGrid w:val="0"/>
        <w:spacing w:line="312" w:lineRule="auto"/>
        <w:ind w:firstLine="560" w:firstLineChars="200"/>
        <w:rPr>
          <w:rFonts w:ascii="仿宋" w:hAnsi="仿宋" w:eastAsia="仿宋"/>
          <w:sz w:val="28"/>
          <w:szCs w:val="28"/>
        </w:rPr>
      </w:pPr>
      <w:r>
        <w:rPr>
          <w:rFonts w:ascii="仿宋" w:hAnsi="仿宋" w:eastAsia="仿宋"/>
          <w:sz w:val="28"/>
          <w:szCs w:val="28"/>
        </w:rPr>
        <w:t>本公司（联合体）郑重声明，根据《政府采购促进中小 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采购活动，工程的施工单位全部为符合政策要求的中小企业（或者：服务全部由符合政策要求的中小企业承接</w:t>
      </w:r>
      <w:r>
        <w:rPr>
          <w:rFonts w:hint="eastAsia" w:ascii="仿宋" w:hAnsi="仿宋" w:eastAsia="仿宋"/>
          <w:sz w:val="28"/>
          <w:szCs w:val="28"/>
        </w:rPr>
        <w:t>，即提供（货物、服务、工程）的人员为中小企业依照《中华人民共和国劳动合同法》订立劳动合同的从业人员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1.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，从业人员人，营业收入为万元，资产总额为 万元</w:t>
      </w:r>
      <w:r>
        <w:rPr>
          <w:rFonts w:ascii="仿宋" w:hAnsi="仿宋" w:eastAsia="仿宋"/>
          <w:sz w:val="28"/>
          <w:szCs w:val="28"/>
          <w:vertAlign w:val="superscript"/>
        </w:rPr>
        <w:t xml:space="preserve"> 1</w:t>
      </w:r>
      <w:r>
        <w:rPr>
          <w:rFonts w:ascii="仿宋" w:hAnsi="仿宋" w:eastAsia="仿宋"/>
          <w:sz w:val="28"/>
          <w:szCs w:val="28"/>
        </w:rPr>
        <w:t xml:space="preserve">，属于（中型企业、小型企业、微型企业）；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 xml:space="preserve">，从业人员人，营业收入为万元，资产总额为万元，属于（中型企业、小型企业、微型企业）；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响应方</w:t>
      </w:r>
      <w:r>
        <w:rPr>
          <w:rFonts w:ascii="仿宋" w:hAnsi="仿宋" w:eastAsia="仿宋"/>
          <w:sz w:val="28"/>
          <w:szCs w:val="28"/>
        </w:rPr>
        <w:t xml:space="preserve">名称（盖章）： </w:t>
      </w:r>
    </w:p>
    <w:p>
      <w:pPr>
        <w:snapToGrid w:val="0"/>
        <w:spacing w:line="312" w:lineRule="auto"/>
        <w:ind w:firstLine="4620" w:firstLineChars="1650"/>
        <w:rPr>
          <w:rFonts w:ascii="仿宋" w:hAnsi="仿宋" w:eastAsia="仿宋"/>
          <w:sz w:val="28"/>
          <w:szCs w:val="28"/>
        </w:rPr>
      </w:pPr>
      <w:r>
        <w:rPr>
          <w:rFonts w:ascii="仿宋" w:hAnsi="仿宋" w:eastAsia="仿宋"/>
          <w:sz w:val="28"/>
          <w:szCs w:val="28"/>
        </w:rPr>
        <w:t>日 期：</w:t>
      </w:r>
    </w:p>
    <w:p>
      <w:pPr>
        <w:pStyle w:val="2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rPr>
      </w:pPr>
      <w:r>
        <w:rPr>
          <w:rFonts w:hint="eastAsia" w:ascii="仿宋" w:hAnsi="仿宋" w:eastAsia="仿宋"/>
          <w:sz w:val="30"/>
          <w:szCs w:val="30"/>
        </w:rPr>
        <w:t>附件11：</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响应方名称（盖章）：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p/>
    <w:p>
      <w:pPr>
        <w:rPr>
          <w:rFonts w:ascii="仿宋" w:hAnsi="仿宋" w:eastAsia="仿宋"/>
        </w:rPr>
      </w:pPr>
    </w:p>
    <w:p>
      <w:pPr>
        <w:snapToGrid w:val="0"/>
        <w:spacing w:before="156" w:beforeLines="50" w:after="50"/>
        <w:rPr>
          <w:rFonts w:ascii="仿宋" w:hAnsi="仿宋" w:eastAsia="仿宋"/>
          <w:sz w:val="30"/>
          <w:szCs w:val="30"/>
        </w:rPr>
      </w:pPr>
    </w:p>
    <w:p>
      <w:pPr>
        <w:spacing w:line="600" w:lineRule="exact"/>
        <w:ind w:right="532"/>
        <w:rPr>
          <w:rFonts w:ascii="仿宋" w:hAnsi="仿宋" w:eastAsia="仿宋"/>
          <w:sz w:val="30"/>
          <w:szCs w:val="30"/>
        </w:rPr>
      </w:pPr>
    </w:p>
    <w:p/>
    <w:p/>
    <w:p/>
    <w:sectPr>
      <w:headerReference r:id="rId10" w:type="first"/>
      <w:footerReference r:id="rId13" w:type="first"/>
      <w:headerReference r:id="rId9" w:type="default"/>
      <w:footerReference r:id="rId11" w:type="default"/>
      <w:footerReference r:id="rId12"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Univers 57 Condensed">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F NS Tex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仿宋GB2312">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楷体GB2312">
    <w:altName w:val="宋体"/>
    <w:panose1 w:val="00000000000000000000"/>
    <w:charset w:val="86"/>
    <w:family w:val="roman"/>
    <w:pitch w:val="default"/>
    <w:sig w:usb0="00000000" w:usb1="00000000" w:usb2="00000000" w:usb3="00000000" w:csb0="00000000" w:csb1="00000000"/>
  </w:font>
  <w:font w:name="Time">
    <w:altName w:val="微软雅黑"/>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Malgun Gothic Semilight">
    <w:panose1 w:val="020B0502040204020203"/>
    <w:charset w:val="86"/>
    <w:family w:val="swiss"/>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02182"/>
      <w:docPartObj>
        <w:docPartGallery w:val="autotext"/>
      </w:docPartObj>
    </w:sdtPr>
    <w:sdtContent>
      <w:p>
        <w:pPr>
          <w:pStyle w:val="2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7"/>
      <w:ind w:right="720" w:rightChars="343"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42</w:t>
    </w:r>
    <w:r>
      <w:rPr>
        <w:lang w:val="zh-CN"/>
      </w:rPr>
      <w:fldChar w:fldCharType="end"/>
    </w:r>
  </w:p>
  <w:p>
    <w:pPr>
      <w:pStyle w:val="27"/>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t>40</w:t>
    </w:r>
    <w:r>
      <w:rPr>
        <w:rStyle w:val="47"/>
      </w:rPr>
      <w:fldChar w:fldCharType="end"/>
    </w:r>
  </w:p>
  <w:p>
    <w:pPr>
      <w:pStyle w:val="27"/>
      <w:ind w:right="360"/>
    </w:pPr>
    <w:r>
      <w:rPr>
        <w:rStyle w:val="47"/>
      </w:rPr>
      <w:fldChar w:fldCharType="begin"/>
    </w:r>
    <w:r>
      <w:rPr>
        <w:rStyle w:val="47"/>
      </w:rPr>
      <w:instrText xml:space="preserve"> PAGE </w:instrText>
    </w:r>
    <w:r>
      <w:rPr>
        <w:rStyle w:val="47"/>
      </w:rPr>
      <w:fldChar w:fldCharType="separate"/>
    </w:r>
    <w:r>
      <w:rPr>
        <w:rStyle w:val="47"/>
      </w:rPr>
      <w:t>40</w:t>
    </w:r>
    <w:r>
      <w:rPr>
        <w:rStyle w:val="47"/>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46</w:t>
    </w:r>
    <w:r>
      <w:rPr>
        <w:lang w:val="zh-CN"/>
      </w:rPr>
      <w:fldChar w:fldCharType="end"/>
    </w:r>
  </w:p>
  <w:p>
    <w:pPr>
      <w:pStyle w:val="27"/>
      <w:ind w:right="720" w:firstLine="180" w:firstLineChars="10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47"/>
      </w:rPr>
    </w:pPr>
    <w:r>
      <w:rPr>
        <w:rStyle w:val="47"/>
      </w:rPr>
      <w:fldChar w:fldCharType="begin"/>
    </w:r>
    <w:r>
      <w:rPr>
        <w:rStyle w:val="47"/>
      </w:rPr>
      <w:instrText xml:space="preserve">PAGE  </w:instrText>
    </w:r>
    <w:r>
      <w:rPr>
        <w:rStyle w:val="47"/>
      </w:rPr>
      <w:fldChar w:fldCharType="end"/>
    </w:r>
  </w:p>
  <w:p>
    <w:pPr>
      <w:pStyle w:val="2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32</w:t>
    </w:r>
    <w:r>
      <w:rPr>
        <w:lang w:val="zh-CN"/>
      </w:rPr>
      <w:fldChar w:fldCharType="end"/>
    </w:r>
  </w:p>
  <w:p>
    <w:pPr>
      <w:pStyle w:val="27"/>
      <w:tabs>
        <w:tab w:val="left" w:pos="3705"/>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pPr>
  </w:p>
  <w:p>
    <w:pPr>
      <w:pStyle w:val="2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15DAF"/>
    <w:multiLevelType w:val="singleLevel"/>
    <w:tmpl w:val="B8715DAF"/>
    <w:lvl w:ilvl="0" w:tentative="0">
      <w:start w:val="1"/>
      <w:numFmt w:val="decimal"/>
      <w:suff w:val="space"/>
      <w:lvlText w:val="%1."/>
      <w:lvlJc w:val="left"/>
    </w:lvl>
  </w:abstractNum>
  <w:abstractNum w:abstractNumId="1">
    <w:nsid w:val="E0F7013F"/>
    <w:multiLevelType w:val="singleLevel"/>
    <w:tmpl w:val="E0F7013F"/>
    <w:lvl w:ilvl="0" w:tentative="0">
      <w:start w:val="2"/>
      <w:numFmt w:val="chineseCounting"/>
      <w:suff w:val="nothing"/>
      <w:lvlText w:val="（%1）"/>
      <w:lvlJc w:val="left"/>
      <w:rPr>
        <w:rFonts w:hint="eastAsia"/>
      </w:rPr>
    </w:lvl>
  </w:abstractNum>
  <w:abstractNum w:abstractNumId="2">
    <w:nsid w:val="00C82D46"/>
    <w:multiLevelType w:val="multilevel"/>
    <w:tmpl w:val="00C82D4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332D9B"/>
    <w:multiLevelType w:val="multilevel"/>
    <w:tmpl w:val="05332D9B"/>
    <w:lvl w:ilvl="0" w:tentative="0">
      <w:start w:val="1"/>
      <w:numFmt w:val="decimal"/>
      <w:pStyle w:val="214"/>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73B1654"/>
    <w:multiLevelType w:val="multilevel"/>
    <w:tmpl w:val="073B16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E4822D8"/>
    <w:multiLevelType w:val="singleLevel"/>
    <w:tmpl w:val="0E4822D8"/>
    <w:lvl w:ilvl="0" w:tentative="0">
      <w:start w:val="3"/>
      <w:numFmt w:val="chineseCounting"/>
      <w:suff w:val="nothing"/>
      <w:lvlText w:val="%1、"/>
      <w:lvlJc w:val="left"/>
      <w:rPr>
        <w:rFonts w:hint="eastAsia" w:cs="Times New Roman"/>
      </w:rPr>
    </w:lvl>
  </w:abstractNum>
  <w:abstractNum w:abstractNumId="6">
    <w:nsid w:val="10860CA9"/>
    <w:multiLevelType w:val="multilevel"/>
    <w:tmpl w:val="10860C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4176B69"/>
    <w:multiLevelType w:val="multilevel"/>
    <w:tmpl w:val="14176B69"/>
    <w:lvl w:ilvl="0" w:tentative="0">
      <w:start w:val="1"/>
      <w:numFmt w:val="lowerLetter"/>
      <w:lvlText w:val="%1、"/>
      <w:lvlJc w:val="left"/>
      <w:pPr>
        <w:ind w:left="570" w:hanging="450"/>
      </w:pPr>
      <w:rPr>
        <w:rFonts w:hint="default"/>
      </w:rPr>
    </w:lvl>
    <w:lvl w:ilvl="1" w:tentative="0">
      <w:start w:val="1"/>
      <w:numFmt w:val="decimal"/>
      <w:lvlText w:val="%2."/>
      <w:lvlJc w:val="left"/>
      <w:pPr>
        <w:ind w:left="900" w:hanging="360"/>
      </w:pPr>
      <w:rPr>
        <w:rFonts w:hint="default"/>
      </w:rPr>
    </w:lvl>
    <w:lvl w:ilvl="2" w:tentative="0">
      <w:start w:val="1"/>
      <w:numFmt w:val="lowerLetter"/>
      <w:lvlText w:val="%3、"/>
      <w:lvlJc w:val="left"/>
      <w:pPr>
        <w:ind w:left="1560" w:hanging="600"/>
      </w:pPr>
      <w:rPr>
        <w:rFonts w:hint="default"/>
      </w:r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8">
    <w:nsid w:val="141E8505"/>
    <w:multiLevelType w:val="singleLevel"/>
    <w:tmpl w:val="141E8505"/>
    <w:lvl w:ilvl="0" w:tentative="0">
      <w:start w:val="6"/>
      <w:numFmt w:val="chineseCounting"/>
      <w:suff w:val="space"/>
      <w:lvlText w:val="%1、"/>
      <w:lvlJc w:val="left"/>
      <w:rPr>
        <w:rFonts w:hint="eastAsia"/>
      </w:rPr>
    </w:lvl>
  </w:abstractNum>
  <w:abstractNum w:abstractNumId="9">
    <w:nsid w:val="2C5D17DD"/>
    <w:multiLevelType w:val="multilevel"/>
    <w:tmpl w:val="2C5D17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01135BF"/>
    <w:multiLevelType w:val="multilevel"/>
    <w:tmpl w:val="301135BF"/>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D8C6A44"/>
    <w:multiLevelType w:val="multilevel"/>
    <w:tmpl w:val="3D8C6A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10C782B"/>
    <w:multiLevelType w:val="singleLevel"/>
    <w:tmpl w:val="510C782B"/>
    <w:lvl w:ilvl="0" w:tentative="0">
      <w:start w:val="1"/>
      <w:numFmt w:val="chineseCounting"/>
      <w:suff w:val="nothing"/>
      <w:lvlText w:val="（%1）"/>
      <w:lvlJc w:val="left"/>
      <w:rPr>
        <w:rFonts w:hint="eastAsia" w:cs="Times New Roman"/>
      </w:rPr>
    </w:lvl>
  </w:abstractNum>
  <w:abstractNum w:abstractNumId="13">
    <w:nsid w:val="557FD3DA"/>
    <w:multiLevelType w:val="singleLevel"/>
    <w:tmpl w:val="557FD3DA"/>
    <w:lvl w:ilvl="0" w:tentative="0">
      <w:start w:val="3"/>
      <w:numFmt w:val="chineseCounting"/>
      <w:pStyle w:val="187"/>
      <w:suff w:val="nothing"/>
      <w:lvlText w:val="%1、"/>
      <w:lvlJc w:val="left"/>
      <w:rPr>
        <w:rFonts w:cs="Times New Roman"/>
      </w:rPr>
    </w:lvl>
  </w:abstractNum>
  <w:abstractNum w:abstractNumId="14">
    <w:nsid w:val="5D7235FF"/>
    <w:multiLevelType w:val="multilevel"/>
    <w:tmpl w:val="5D7235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4612041"/>
    <w:multiLevelType w:val="multilevel"/>
    <w:tmpl w:val="64612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9C33920"/>
    <w:multiLevelType w:val="multilevel"/>
    <w:tmpl w:val="69C33920"/>
    <w:lvl w:ilvl="0" w:tentative="0">
      <w:start w:val="1"/>
      <w:numFmt w:val="chineseCountingThousand"/>
      <w:pStyle w:val="213"/>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8">
    <w:nsid w:val="69E41FFD"/>
    <w:multiLevelType w:val="multilevel"/>
    <w:tmpl w:val="69E41FFD"/>
    <w:lvl w:ilvl="0" w:tentative="0">
      <w:start w:val="1"/>
      <w:numFmt w:val="decimal"/>
      <w:lvlText w:val="%1."/>
      <w:lvlJc w:val="left"/>
      <w:pPr>
        <w:ind w:left="570" w:hanging="450"/>
      </w:pPr>
      <w:rPr>
        <w:rFonts w:hint="default"/>
      </w:rPr>
    </w:lvl>
    <w:lvl w:ilvl="1" w:tentative="0">
      <w:start w:val="1"/>
      <w:numFmt w:val="lowerLetter"/>
      <w:lvlText w:val="%2、"/>
      <w:lvlJc w:val="left"/>
      <w:pPr>
        <w:ind w:left="900" w:hanging="360"/>
      </w:pPr>
      <w:rPr>
        <w:rFonts w:hint="default"/>
      </w:rPr>
    </w:lvl>
    <w:lvl w:ilvl="2" w:tentative="0">
      <w:start w:val="1"/>
      <w:numFmt w:val="lowerLetter"/>
      <w:lvlText w:val="%3、"/>
      <w:lvlJc w:val="left"/>
      <w:pPr>
        <w:ind w:left="1560" w:hanging="600"/>
      </w:pPr>
      <w:rPr>
        <w:rFonts w:hint="default"/>
      </w:r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9">
    <w:nsid w:val="74D85F93"/>
    <w:multiLevelType w:val="multilevel"/>
    <w:tmpl w:val="74D85F9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lvlOverride w:ilvl="0">
      <w:startOverride w:val="3"/>
    </w:lvlOverride>
  </w:num>
  <w:num w:numId="2">
    <w:abstractNumId w:val="16"/>
  </w:num>
  <w:num w:numId="3">
    <w:abstractNumId w:val="3"/>
  </w:num>
  <w:num w:numId="4">
    <w:abstractNumId w:val="17"/>
  </w:num>
  <w:num w:numId="5">
    <w:abstractNumId w:val="19"/>
  </w:num>
  <w:num w:numId="6">
    <w:abstractNumId w:val="10"/>
  </w:num>
  <w:num w:numId="7">
    <w:abstractNumId w:val="11"/>
  </w:num>
  <w:num w:numId="8">
    <w:abstractNumId w:val="2"/>
  </w:num>
  <w:num w:numId="9">
    <w:abstractNumId w:val="18"/>
  </w:num>
  <w:num w:numId="10">
    <w:abstractNumId w:val="7"/>
  </w:num>
  <w:num w:numId="11">
    <w:abstractNumId w:val="9"/>
  </w:num>
  <w:num w:numId="12">
    <w:abstractNumId w:val="6"/>
  </w:num>
  <w:num w:numId="13">
    <w:abstractNumId w:val="4"/>
  </w:num>
  <w:num w:numId="14">
    <w:abstractNumId w:val="15"/>
  </w:num>
  <w:num w:numId="15">
    <w:abstractNumId w:val="14"/>
  </w:num>
  <w:num w:numId="16">
    <w:abstractNumId w:val="1"/>
  </w:num>
  <w:num w:numId="17">
    <w:abstractNumId w:val="0"/>
  </w:num>
  <w:num w:numId="18">
    <w:abstractNumId w:val="8"/>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F5"/>
    <w:rsid w:val="000430F5"/>
    <w:rsid w:val="003A3271"/>
    <w:rsid w:val="006F458B"/>
    <w:rsid w:val="006F7CED"/>
    <w:rsid w:val="007F243A"/>
    <w:rsid w:val="009850F6"/>
    <w:rsid w:val="00B9441F"/>
    <w:rsid w:val="00CE4FCE"/>
    <w:rsid w:val="00CF00EB"/>
    <w:rsid w:val="1489612B"/>
    <w:rsid w:val="159C2A34"/>
    <w:rsid w:val="22D1439E"/>
    <w:rsid w:val="37070C64"/>
    <w:rsid w:val="381910F3"/>
    <w:rsid w:val="3C7F392C"/>
    <w:rsid w:val="52F93A63"/>
    <w:rsid w:val="54826A6F"/>
    <w:rsid w:val="6EF33199"/>
    <w:rsid w:val="7AE33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8"/>
    <w:qFormat/>
    <w:uiPriority w:val="9"/>
    <w:pPr>
      <w:autoSpaceDE w:val="0"/>
      <w:autoSpaceDN w:val="0"/>
      <w:adjustRightInd w:val="0"/>
      <w:spacing w:line="360" w:lineRule="auto"/>
      <w:jc w:val="center"/>
      <w:outlineLvl w:val="0"/>
    </w:pPr>
    <w:rPr>
      <w:rFonts w:ascii="Times New Roman" w:hAnsi="Times New Roman" w:eastAsia="隶书"/>
      <w:b/>
      <w:bCs/>
      <w:kern w:val="0"/>
      <w:sz w:val="36"/>
      <w:szCs w:val="36"/>
    </w:rPr>
  </w:style>
  <w:style w:type="paragraph" w:styleId="4">
    <w:name w:val="heading 2"/>
    <w:basedOn w:val="1"/>
    <w:next w:val="1"/>
    <w:link w:val="56"/>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2">
    <w:name w:val="heading 3"/>
    <w:basedOn w:val="1"/>
    <w:next w:val="1"/>
    <w:link w:val="57"/>
    <w:semiHidden/>
    <w:unhideWhenUsed/>
    <w:qFormat/>
    <w:uiPriority w:val="9"/>
    <w:pPr>
      <w:keepNext/>
      <w:keepLines/>
      <w:spacing w:before="260" w:after="260" w:line="413" w:lineRule="auto"/>
      <w:outlineLvl w:val="2"/>
    </w:pPr>
    <w:rPr>
      <w:b/>
      <w:bCs/>
      <w:sz w:val="32"/>
      <w:szCs w:val="32"/>
    </w:rPr>
  </w:style>
  <w:style w:type="paragraph" w:styleId="5">
    <w:name w:val="heading 4"/>
    <w:basedOn w:val="1"/>
    <w:next w:val="1"/>
    <w:link w:val="79"/>
    <w:semiHidden/>
    <w:unhideWhenUsed/>
    <w:qFormat/>
    <w:uiPriority w:val="9"/>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59"/>
    <w:semiHidden/>
    <w:unhideWhenUsed/>
    <w:qFormat/>
    <w:uiPriority w:val="9"/>
    <w:pPr>
      <w:keepNext/>
      <w:keepLines/>
      <w:spacing w:before="280" w:after="290" w:line="372" w:lineRule="auto"/>
      <w:outlineLvl w:val="4"/>
    </w:pPr>
    <w:rPr>
      <w:rFonts w:ascii="Times New Roman" w:hAnsi="Times New Roman"/>
      <w:b/>
      <w:bCs/>
      <w:sz w:val="28"/>
      <w:szCs w:val="28"/>
    </w:rPr>
  </w:style>
  <w:style w:type="paragraph" w:styleId="7">
    <w:name w:val="heading 6"/>
    <w:basedOn w:val="1"/>
    <w:next w:val="1"/>
    <w:link w:val="80"/>
    <w:semiHidden/>
    <w:unhideWhenUsed/>
    <w:qFormat/>
    <w:uiPriority w:val="9"/>
    <w:pPr>
      <w:keepNext/>
      <w:keepLines/>
      <w:spacing w:before="240" w:after="64" w:line="317" w:lineRule="auto"/>
      <w:outlineLvl w:val="5"/>
    </w:pPr>
    <w:rPr>
      <w:rFonts w:ascii="Arial" w:hAnsi="Arial" w:eastAsia="黑体"/>
      <w:b/>
      <w:bCs/>
      <w:sz w:val="24"/>
      <w:szCs w:val="24"/>
    </w:rPr>
  </w:style>
  <w:style w:type="paragraph" w:styleId="8">
    <w:name w:val="heading 7"/>
    <w:basedOn w:val="1"/>
    <w:next w:val="1"/>
    <w:link w:val="81"/>
    <w:semiHidden/>
    <w:unhideWhenUsed/>
    <w:qFormat/>
    <w:uiPriority w:val="9"/>
    <w:pPr>
      <w:keepNext/>
      <w:keepLines/>
      <w:snapToGrid w:val="0"/>
      <w:spacing w:before="240" w:after="64" w:line="320" w:lineRule="atLeast"/>
      <w:jc w:val="center"/>
      <w:outlineLvl w:val="6"/>
    </w:pPr>
    <w:rPr>
      <w:rFonts w:ascii="宋体" w:hAnsi="宋体"/>
      <w:b/>
      <w:bCs/>
      <w:kern w:val="0"/>
      <w:sz w:val="24"/>
      <w:szCs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semiHidden/>
    <w:unhideWhenUsed/>
    <w:qFormat/>
    <w:uiPriority w:val="39"/>
    <w:pPr>
      <w:snapToGrid w:val="0"/>
      <w:spacing w:line="600" w:lineRule="exact"/>
      <w:ind w:left="3120"/>
      <w:jc w:val="left"/>
    </w:pPr>
    <w:rPr>
      <w:rFonts w:ascii="Times New Roman" w:hAnsi="Times New Roman"/>
      <w:kern w:val="0"/>
      <w:sz w:val="18"/>
      <w:szCs w:val="18"/>
    </w:rPr>
  </w:style>
  <w:style w:type="paragraph" w:styleId="10">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1">
    <w:name w:val="Normal Indent"/>
    <w:basedOn w:val="1"/>
    <w:link w:val="82"/>
    <w:semiHidden/>
    <w:unhideWhenUsed/>
    <w:qFormat/>
    <w:uiPriority w:val="99"/>
    <w:pPr>
      <w:ind w:firstLine="420"/>
    </w:pPr>
    <w:rPr>
      <w:rFonts w:ascii="Times New Roman" w:hAnsi="Times New Roman"/>
      <w:szCs w:val="20"/>
    </w:rPr>
  </w:style>
  <w:style w:type="paragraph" w:styleId="12">
    <w:name w:val="caption"/>
    <w:basedOn w:val="1"/>
    <w:next w:val="1"/>
    <w:link w:val="218"/>
    <w:semiHidden/>
    <w:unhideWhenUsed/>
    <w:qFormat/>
    <w:uiPriority w:val="35"/>
    <w:pPr>
      <w:spacing w:before="152" w:after="160"/>
    </w:pPr>
    <w:rPr>
      <w:rFonts w:ascii="Arial" w:hAnsi="Arial" w:eastAsia="黑体" w:cs="Arial"/>
      <w:sz w:val="20"/>
      <w:szCs w:val="20"/>
    </w:rPr>
  </w:style>
  <w:style w:type="paragraph" w:styleId="13">
    <w:name w:val="Document Map"/>
    <w:basedOn w:val="1"/>
    <w:link w:val="221"/>
    <w:semiHidden/>
    <w:unhideWhenUsed/>
    <w:qFormat/>
    <w:uiPriority w:val="99"/>
    <w:rPr>
      <w:rFonts w:ascii="宋体" w:hAnsi="Times New Roman"/>
      <w:sz w:val="18"/>
      <w:szCs w:val="18"/>
    </w:rPr>
  </w:style>
  <w:style w:type="paragraph" w:styleId="14">
    <w:name w:val="annotation text"/>
    <w:basedOn w:val="1"/>
    <w:link w:val="222"/>
    <w:semiHidden/>
    <w:unhideWhenUsed/>
    <w:qFormat/>
    <w:uiPriority w:val="99"/>
    <w:pPr>
      <w:jc w:val="left"/>
    </w:pPr>
  </w:style>
  <w:style w:type="paragraph" w:styleId="15">
    <w:name w:val="Body Text 3"/>
    <w:basedOn w:val="1"/>
    <w:link w:val="64"/>
    <w:semiHidden/>
    <w:unhideWhenUsed/>
    <w:qFormat/>
    <w:uiPriority w:val="99"/>
    <w:pPr>
      <w:snapToGrid w:val="0"/>
      <w:spacing w:before="50" w:after="50"/>
    </w:pPr>
    <w:rPr>
      <w:rFonts w:ascii="Times New Roman" w:hAnsi="宋体" w:eastAsia="仿宋_GB2312"/>
      <w:b/>
      <w:bCs/>
      <w:sz w:val="24"/>
      <w:szCs w:val="20"/>
    </w:rPr>
  </w:style>
  <w:style w:type="paragraph" w:styleId="16">
    <w:name w:val="Body Text"/>
    <w:basedOn w:val="1"/>
    <w:link w:val="65"/>
    <w:semiHidden/>
    <w:unhideWhenUsed/>
    <w:qFormat/>
    <w:uiPriority w:val="99"/>
    <w:pPr>
      <w:spacing w:after="120"/>
    </w:pPr>
    <w:rPr>
      <w:rFonts w:ascii="Times New Roman" w:hAnsi="Times New Roman"/>
      <w:sz w:val="28"/>
      <w:szCs w:val="24"/>
    </w:rPr>
  </w:style>
  <w:style w:type="paragraph" w:styleId="17">
    <w:name w:val="Body Text Indent"/>
    <w:basedOn w:val="1"/>
    <w:link w:val="66"/>
    <w:semiHidden/>
    <w:unhideWhenUsed/>
    <w:qFormat/>
    <w:uiPriority w:val="99"/>
    <w:pPr>
      <w:spacing w:line="200" w:lineRule="exact"/>
      <w:ind w:firstLine="301"/>
    </w:pPr>
    <w:rPr>
      <w:rFonts w:ascii="宋体" w:hAnsi="Courier New"/>
      <w:spacing w:val="-4"/>
      <w:sz w:val="18"/>
      <w:szCs w:val="20"/>
    </w:rPr>
  </w:style>
  <w:style w:type="paragraph" w:styleId="18">
    <w:name w:val="List Number 3"/>
    <w:basedOn w:val="1"/>
    <w:semiHidden/>
    <w:unhideWhenUsed/>
    <w:qFormat/>
    <w:uiPriority w:val="99"/>
    <w:pPr>
      <w:tabs>
        <w:tab w:val="left" w:pos="1200"/>
      </w:tabs>
      <w:ind w:left="1200" w:hanging="360"/>
    </w:pPr>
    <w:rPr>
      <w:rFonts w:ascii="Times New Roman" w:hAnsi="Times New Roman"/>
      <w:szCs w:val="24"/>
    </w:rPr>
  </w:style>
  <w:style w:type="paragraph" w:styleId="19">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0">
    <w:name w:val="toc 5"/>
    <w:basedOn w:val="1"/>
    <w:next w:val="1"/>
    <w:semiHidden/>
    <w:unhideWhenUsed/>
    <w:qFormat/>
    <w:uiPriority w:val="39"/>
    <w:pPr>
      <w:snapToGrid w:val="0"/>
      <w:spacing w:line="600" w:lineRule="exact"/>
      <w:ind w:left="2080"/>
      <w:jc w:val="left"/>
    </w:pPr>
    <w:rPr>
      <w:rFonts w:ascii="Times New Roman" w:hAnsi="Times New Roman"/>
      <w:kern w:val="0"/>
      <w:sz w:val="18"/>
      <w:szCs w:val="18"/>
    </w:rPr>
  </w:style>
  <w:style w:type="paragraph" w:styleId="21">
    <w:name w:val="toc 3"/>
    <w:basedOn w:val="1"/>
    <w:next w:val="1"/>
    <w:semiHidden/>
    <w:unhideWhenUsed/>
    <w:qFormat/>
    <w:uiPriority w:val="39"/>
    <w:pPr>
      <w:ind w:left="840" w:leftChars="400"/>
    </w:pPr>
  </w:style>
  <w:style w:type="paragraph" w:styleId="22">
    <w:name w:val="Plain Text"/>
    <w:basedOn w:val="1"/>
    <w:link w:val="67"/>
    <w:semiHidden/>
    <w:unhideWhenUsed/>
    <w:qFormat/>
    <w:uiPriority w:val="99"/>
    <w:pPr>
      <w:spacing w:beforeLines="50" w:afterLines="50" w:line="400" w:lineRule="exact"/>
    </w:pPr>
    <w:rPr>
      <w:rFonts w:ascii="宋体" w:hAnsi="Courier New"/>
      <w:sz w:val="24"/>
      <w:szCs w:val="24"/>
    </w:rPr>
  </w:style>
  <w:style w:type="paragraph" w:styleId="23">
    <w:name w:val="toc 8"/>
    <w:basedOn w:val="1"/>
    <w:next w:val="1"/>
    <w:semiHidden/>
    <w:unhideWhenUsed/>
    <w:qFormat/>
    <w:uiPriority w:val="39"/>
    <w:pPr>
      <w:snapToGrid w:val="0"/>
      <w:spacing w:line="600" w:lineRule="exact"/>
      <w:ind w:left="3640"/>
      <w:jc w:val="left"/>
    </w:pPr>
    <w:rPr>
      <w:rFonts w:ascii="Times New Roman" w:hAnsi="Times New Roman"/>
      <w:kern w:val="0"/>
      <w:sz w:val="18"/>
      <w:szCs w:val="18"/>
    </w:rPr>
  </w:style>
  <w:style w:type="paragraph" w:styleId="24">
    <w:name w:val="Date"/>
    <w:basedOn w:val="1"/>
    <w:next w:val="1"/>
    <w:link w:val="68"/>
    <w:semiHidden/>
    <w:unhideWhenUsed/>
    <w:qFormat/>
    <w:uiPriority w:val="99"/>
    <w:pPr>
      <w:ind w:left="2500" w:leftChars="2500"/>
    </w:pPr>
    <w:rPr>
      <w:rFonts w:ascii="Times New Roman" w:hAnsi="Times New Roman" w:eastAsia="楷体_GB2312"/>
      <w:sz w:val="32"/>
      <w:szCs w:val="20"/>
    </w:rPr>
  </w:style>
  <w:style w:type="paragraph" w:styleId="25">
    <w:name w:val="Body Text Indent 2"/>
    <w:basedOn w:val="1"/>
    <w:link w:val="69"/>
    <w:semiHidden/>
    <w:unhideWhenUsed/>
    <w:qFormat/>
    <w:uiPriority w:val="99"/>
    <w:pPr>
      <w:snapToGrid w:val="0"/>
      <w:ind w:firstLine="542" w:firstLineChars="225"/>
    </w:pPr>
    <w:rPr>
      <w:rFonts w:ascii="仿宋_GB2312" w:hAnsi="宋体" w:cs="Arial"/>
      <w:b/>
      <w:bCs/>
      <w:color w:val="000000"/>
      <w:sz w:val="24"/>
      <w:szCs w:val="24"/>
    </w:rPr>
  </w:style>
  <w:style w:type="paragraph" w:styleId="26">
    <w:name w:val="Balloon Text"/>
    <w:basedOn w:val="1"/>
    <w:link w:val="224"/>
    <w:semiHidden/>
    <w:unhideWhenUsed/>
    <w:qFormat/>
    <w:uiPriority w:val="99"/>
    <w:rPr>
      <w:sz w:val="18"/>
      <w:szCs w:val="18"/>
    </w:rPr>
  </w:style>
  <w:style w:type="paragraph" w:styleId="27">
    <w:name w:val="footer"/>
    <w:basedOn w:val="1"/>
    <w:link w:val="220"/>
    <w:unhideWhenUsed/>
    <w:qFormat/>
    <w:uiPriority w:val="99"/>
    <w:pPr>
      <w:tabs>
        <w:tab w:val="center" w:pos="4153"/>
        <w:tab w:val="right" w:pos="8306"/>
      </w:tabs>
      <w:snapToGrid w:val="0"/>
      <w:jc w:val="left"/>
    </w:pPr>
    <w:rPr>
      <w:sz w:val="18"/>
      <w:szCs w:val="18"/>
    </w:rPr>
  </w:style>
  <w:style w:type="paragraph" w:styleId="28">
    <w:name w:val="header"/>
    <w:basedOn w:val="1"/>
    <w:link w:val="219"/>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unhideWhenUsed/>
    <w:qFormat/>
    <w:uiPriority w:val="39"/>
    <w:rPr>
      <w:rFonts w:ascii="Times New Roman" w:hAnsi="Times New Roman"/>
      <w:szCs w:val="24"/>
    </w:rPr>
  </w:style>
  <w:style w:type="paragraph" w:styleId="30">
    <w:name w:val="toc 4"/>
    <w:basedOn w:val="1"/>
    <w:next w:val="1"/>
    <w:semiHidden/>
    <w:unhideWhenUsed/>
    <w:qFormat/>
    <w:uiPriority w:val="39"/>
    <w:pPr>
      <w:snapToGrid w:val="0"/>
      <w:spacing w:line="600" w:lineRule="exact"/>
      <w:ind w:left="1560"/>
      <w:jc w:val="left"/>
    </w:pPr>
    <w:rPr>
      <w:rFonts w:ascii="Times New Roman" w:hAnsi="Times New Roman"/>
      <w:kern w:val="0"/>
      <w:sz w:val="18"/>
      <w:szCs w:val="18"/>
    </w:rPr>
  </w:style>
  <w:style w:type="paragraph" w:styleId="31">
    <w:name w:val="List"/>
    <w:basedOn w:val="1"/>
    <w:semiHidden/>
    <w:unhideWhenUsed/>
    <w:qFormat/>
    <w:uiPriority w:val="99"/>
    <w:pPr>
      <w:ind w:left="200" w:hanging="200" w:hangingChars="200"/>
    </w:pPr>
    <w:rPr>
      <w:rFonts w:ascii="Times New Roman" w:hAnsi="Times New Roman"/>
      <w:sz w:val="28"/>
      <w:szCs w:val="24"/>
    </w:rPr>
  </w:style>
  <w:style w:type="paragraph" w:styleId="32">
    <w:name w:val="footnote text"/>
    <w:basedOn w:val="1"/>
    <w:link w:val="71"/>
    <w:semiHidden/>
    <w:unhideWhenUsed/>
    <w:qFormat/>
    <w:uiPriority w:val="99"/>
    <w:pPr>
      <w:snapToGrid w:val="0"/>
      <w:jc w:val="left"/>
    </w:pPr>
    <w:rPr>
      <w:sz w:val="18"/>
      <w:szCs w:val="18"/>
    </w:rPr>
  </w:style>
  <w:style w:type="paragraph" w:styleId="33">
    <w:name w:val="toc 6"/>
    <w:basedOn w:val="1"/>
    <w:next w:val="1"/>
    <w:semiHidden/>
    <w:unhideWhenUsed/>
    <w:qFormat/>
    <w:uiPriority w:val="39"/>
    <w:pPr>
      <w:snapToGrid w:val="0"/>
      <w:spacing w:line="600" w:lineRule="exact"/>
      <w:ind w:left="2600"/>
      <w:jc w:val="left"/>
    </w:pPr>
    <w:rPr>
      <w:rFonts w:ascii="Times New Roman" w:hAnsi="Times New Roman"/>
      <w:kern w:val="0"/>
      <w:sz w:val="18"/>
      <w:szCs w:val="18"/>
    </w:rPr>
  </w:style>
  <w:style w:type="paragraph" w:styleId="34">
    <w:name w:val="Body Text Indent 3"/>
    <w:basedOn w:val="1"/>
    <w:link w:val="72"/>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35">
    <w:name w:val="toc 2"/>
    <w:basedOn w:val="1"/>
    <w:next w:val="1"/>
    <w:semiHidden/>
    <w:unhideWhenUsed/>
    <w:qFormat/>
    <w:uiPriority w:val="39"/>
    <w:pPr>
      <w:ind w:left="420" w:leftChars="200"/>
    </w:pPr>
  </w:style>
  <w:style w:type="paragraph" w:styleId="36">
    <w:name w:val="toc 9"/>
    <w:basedOn w:val="1"/>
    <w:next w:val="1"/>
    <w:semiHidden/>
    <w:unhideWhenUsed/>
    <w:qFormat/>
    <w:uiPriority w:val="39"/>
    <w:pPr>
      <w:snapToGrid w:val="0"/>
      <w:spacing w:line="600" w:lineRule="exact"/>
      <w:ind w:left="4160"/>
      <w:jc w:val="left"/>
    </w:pPr>
    <w:rPr>
      <w:rFonts w:ascii="Times New Roman" w:hAnsi="Times New Roman"/>
      <w:kern w:val="0"/>
      <w:sz w:val="18"/>
      <w:szCs w:val="18"/>
    </w:rPr>
  </w:style>
  <w:style w:type="paragraph" w:styleId="37">
    <w:name w:val="Body Text 2"/>
    <w:basedOn w:val="1"/>
    <w:link w:val="73"/>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38">
    <w:name w:val="HTML Preformatted"/>
    <w:basedOn w:val="1"/>
    <w:link w:val="74"/>
    <w:semiHidden/>
    <w:unhideWhenUsed/>
    <w:qFormat/>
    <w:uiPriority w:val="99"/>
    <w:rPr>
      <w:rFonts w:ascii="Courier New" w:hAnsi="Courier New"/>
      <w:sz w:val="20"/>
      <w:szCs w:val="20"/>
    </w:rPr>
  </w:style>
  <w:style w:type="paragraph" w:styleId="3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next w:val="1"/>
    <w:link w:val="75"/>
    <w:qFormat/>
    <w:uiPriority w:val="10"/>
    <w:pPr>
      <w:spacing w:before="240" w:after="60"/>
      <w:jc w:val="center"/>
      <w:outlineLvl w:val="0"/>
    </w:pPr>
    <w:rPr>
      <w:rFonts w:ascii="Cambria" w:hAnsi="Cambria"/>
      <w:b/>
      <w:bCs/>
      <w:kern w:val="0"/>
      <w:sz w:val="32"/>
      <w:szCs w:val="32"/>
    </w:rPr>
  </w:style>
  <w:style w:type="paragraph" w:styleId="41">
    <w:name w:val="annotation subject"/>
    <w:basedOn w:val="14"/>
    <w:next w:val="14"/>
    <w:link w:val="223"/>
    <w:semiHidden/>
    <w:unhideWhenUsed/>
    <w:qFormat/>
    <w:uiPriority w:val="99"/>
    <w:rPr>
      <w:b/>
      <w:bCs/>
    </w:rPr>
  </w:style>
  <w:style w:type="paragraph" w:styleId="42">
    <w:name w:val="Body Text First Indent"/>
    <w:basedOn w:val="16"/>
    <w:link w:val="77"/>
    <w:semiHidden/>
    <w:unhideWhenUsed/>
    <w:qFormat/>
    <w:uiPriority w:val="99"/>
    <w:pPr>
      <w:ind w:firstLine="420" w:firstLineChars="100"/>
    </w:pPr>
    <w:rPr>
      <w:rFonts w:ascii="Calibri" w:hAnsi="Calibri"/>
      <w:sz w:val="21"/>
      <w:szCs w:val="22"/>
    </w:rPr>
  </w:style>
  <w:style w:type="table" w:styleId="44">
    <w:name w:val="Table Grid"/>
    <w:basedOn w:val="43"/>
    <w:qFormat/>
    <w:uiPriority w:val="39"/>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rFonts w:cs="Times New Roman"/>
      <w:b/>
    </w:rPr>
  </w:style>
  <w:style w:type="character" w:styleId="47">
    <w:name w:val="page number"/>
    <w:basedOn w:val="45"/>
    <w:semiHidden/>
    <w:unhideWhenUsed/>
    <w:qFormat/>
    <w:uiPriority w:val="99"/>
    <w:rPr>
      <w:rFonts w:cs="Times New Roman"/>
    </w:rPr>
  </w:style>
  <w:style w:type="character" w:styleId="48">
    <w:name w:val="FollowedHyperlink"/>
    <w:basedOn w:val="45"/>
    <w:semiHidden/>
    <w:unhideWhenUsed/>
    <w:qFormat/>
    <w:uiPriority w:val="99"/>
    <w:rPr>
      <w:rFonts w:cs="Times New Roman"/>
      <w:color w:val="800080"/>
      <w:u w:val="single"/>
    </w:rPr>
  </w:style>
  <w:style w:type="character" w:styleId="49">
    <w:name w:val="Emphasis"/>
    <w:basedOn w:val="45"/>
    <w:qFormat/>
    <w:uiPriority w:val="20"/>
    <w:rPr>
      <w:rFonts w:cs="Times New Roman"/>
      <w:color w:val="CC0033"/>
    </w:rPr>
  </w:style>
  <w:style w:type="character" w:styleId="50">
    <w:name w:val="Hyperlink"/>
    <w:basedOn w:val="45"/>
    <w:semiHidden/>
    <w:unhideWhenUsed/>
    <w:qFormat/>
    <w:uiPriority w:val="99"/>
    <w:rPr>
      <w:rFonts w:cs="Times New Roman"/>
      <w:color w:val="0000FF"/>
      <w:u w:val="single"/>
    </w:rPr>
  </w:style>
  <w:style w:type="character" w:styleId="51">
    <w:name w:val="annotation reference"/>
    <w:basedOn w:val="45"/>
    <w:semiHidden/>
    <w:unhideWhenUsed/>
    <w:qFormat/>
    <w:uiPriority w:val="99"/>
    <w:rPr>
      <w:rFonts w:cs="Times New Roman"/>
      <w:sz w:val="21"/>
    </w:rPr>
  </w:style>
  <w:style w:type="character" w:styleId="52">
    <w:name w:val="footnote reference"/>
    <w:basedOn w:val="45"/>
    <w:semiHidden/>
    <w:unhideWhenUsed/>
    <w:qFormat/>
    <w:uiPriority w:val="99"/>
    <w:rPr>
      <w:rFonts w:cs="Times New Roman"/>
      <w:vertAlign w:val="superscript"/>
    </w:rPr>
  </w:style>
  <w:style w:type="character" w:customStyle="1" w:styleId="53">
    <w:name w:val="页眉 字符"/>
    <w:basedOn w:val="45"/>
    <w:link w:val="28"/>
    <w:qFormat/>
    <w:uiPriority w:val="99"/>
    <w:rPr>
      <w:sz w:val="18"/>
      <w:szCs w:val="18"/>
    </w:rPr>
  </w:style>
  <w:style w:type="character" w:customStyle="1" w:styleId="54">
    <w:name w:val="页脚 字符"/>
    <w:basedOn w:val="45"/>
    <w:link w:val="27"/>
    <w:qFormat/>
    <w:uiPriority w:val="99"/>
    <w:rPr>
      <w:sz w:val="18"/>
      <w:szCs w:val="18"/>
    </w:rPr>
  </w:style>
  <w:style w:type="character" w:customStyle="1" w:styleId="55">
    <w:name w:val="标题 1 字符"/>
    <w:basedOn w:val="45"/>
    <w:qFormat/>
    <w:uiPriority w:val="9"/>
    <w:rPr>
      <w:rFonts w:ascii="Calibri" w:hAnsi="Calibri" w:eastAsia="宋体" w:cs="Times New Roman"/>
      <w:b/>
      <w:bCs/>
      <w:kern w:val="44"/>
      <w:sz w:val="44"/>
      <w:szCs w:val="44"/>
    </w:rPr>
  </w:style>
  <w:style w:type="character" w:customStyle="1" w:styleId="56">
    <w:name w:val="标题 2 字符"/>
    <w:basedOn w:val="45"/>
    <w:link w:val="4"/>
    <w:qFormat/>
    <w:uiPriority w:val="9"/>
    <w:rPr>
      <w:rFonts w:ascii="Arial" w:hAnsi="Arial" w:eastAsia="黑体" w:cs="Times New Roman"/>
      <w:b/>
      <w:bCs/>
      <w:sz w:val="32"/>
      <w:szCs w:val="32"/>
    </w:rPr>
  </w:style>
  <w:style w:type="character" w:customStyle="1" w:styleId="57">
    <w:name w:val="标题 3 字符"/>
    <w:basedOn w:val="45"/>
    <w:link w:val="2"/>
    <w:qFormat/>
    <w:uiPriority w:val="0"/>
    <w:rPr>
      <w:rFonts w:ascii="Calibri" w:hAnsi="Calibri" w:eastAsia="宋体" w:cs="Times New Roman"/>
      <w:b/>
      <w:bCs/>
      <w:sz w:val="32"/>
      <w:szCs w:val="32"/>
    </w:rPr>
  </w:style>
  <w:style w:type="character" w:customStyle="1" w:styleId="58">
    <w:name w:val="标题 4 字符"/>
    <w:basedOn w:val="45"/>
    <w:qFormat/>
    <w:uiPriority w:val="9"/>
    <w:rPr>
      <w:rFonts w:asciiTheme="majorHAnsi" w:hAnsiTheme="majorHAnsi" w:eastAsiaTheme="majorEastAsia" w:cstheme="majorBidi"/>
      <w:b/>
      <w:bCs/>
      <w:sz w:val="28"/>
      <w:szCs w:val="28"/>
    </w:rPr>
  </w:style>
  <w:style w:type="character" w:customStyle="1" w:styleId="59">
    <w:name w:val="标题 5 字符"/>
    <w:basedOn w:val="45"/>
    <w:link w:val="6"/>
    <w:qFormat/>
    <w:uiPriority w:val="9"/>
    <w:rPr>
      <w:rFonts w:ascii="Times New Roman" w:hAnsi="Times New Roman" w:eastAsia="宋体" w:cs="Times New Roman"/>
      <w:b/>
      <w:bCs/>
      <w:sz w:val="28"/>
      <w:szCs w:val="28"/>
    </w:rPr>
  </w:style>
  <w:style w:type="character" w:customStyle="1" w:styleId="60">
    <w:name w:val="标题 6 字符"/>
    <w:basedOn w:val="45"/>
    <w:qFormat/>
    <w:uiPriority w:val="9"/>
    <w:rPr>
      <w:rFonts w:asciiTheme="majorHAnsi" w:hAnsiTheme="majorHAnsi" w:eastAsiaTheme="majorEastAsia" w:cstheme="majorBidi"/>
      <w:b/>
      <w:bCs/>
      <w:sz w:val="24"/>
      <w:szCs w:val="24"/>
    </w:rPr>
  </w:style>
  <w:style w:type="character" w:customStyle="1" w:styleId="61">
    <w:name w:val="标题 7 字符"/>
    <w:basedOn w:val="45"/>
    <w:qFormat/>
    <w:uiPriority w:val="9"/>
    <w:rPr>
      <w:rFonts w:ascii="Calibri" w:hAnsi="Calibri" w:eastAsia="宋体" w:cs="Times New Roman"/>
      <w:b/>
      <w:bCs/>
      <w:sz w:val="24"/>
      <w:szCs w:val="24"/>
    </w:rPr>
  </w:style>
  <w:style w:type="character" w:customStyle="1" w:styleId="62">
    <w:name w:val="文档结构图 字符"/>
    <w:basedOn w:val="45"/>
    <w:link w:val="13"/>
    <w:qFormat/>
    <w:uiPriority w:val="99"/>
    <w:rPr>
      <w:rFonts w:ascii="宋体" w:hAnsi="Times New Roman" w:eastAsia="宋体" w:cs="Times New Roman"/>
      <w:sz w:val="18"/>
      <w:szCs w:val="18"/>
    </w:rPr>
  </w:style>
  <w:style w:type="character" w:customStyle="1" w:styleId="63">
    <w:name w:val="批注文字 字符"/>
    <w:basedOn w:val="45"/>
    <w:qFormat/>
    <w:uiPriority w:val="0"/>
    <w:rPr>
      <w:rFonts w:ascii="Calibri" w:hAnsi="Calibri" w:eastAsia="宋体" w:cs="Times New Roman"/>
    </w:rPr>
  </w:style>
  <w:style w:type="character" w:customStyle="1" w:styleId="64">
    <w:name w:val="正文文本 3 字符"/>
    <w:basedOn w:val="45"/>
    <w:link w:val="15"/>
    <w:qFormat/>
    <w:uiPriority w:val="0"/>
    <w:rPr>
      <w:rFonts w:ascii="Times New Roman" w:hAnsi="宋体" w:eastAsia="仿宋_GB2312" w:cs="Times New Roman"/>
      <w:b/>
      <w:bCs/>
      <w:sz w:val="24"/>
      <w:szCs w:val="20"/>
    </w:rPr>
  </w:style>
  <w:style w:type="character" w:customStyle="1" w:styleId="65">
    <w:name w:val="正文文本 字符"/>
    <w:basedOn w:val="45"/>
    <w:link w:val="16"/>
    <w:qFormat/>
    <w:uiPriority w:val="99"/>
    <w:rPr>
      <w:rFonts w:ascii="Times New Roman" w:hAnsi="Times New Roman" w:eastAsia="宋体" w:cs="Times New Roman"/>
      <w:sz w:val="28"/>
      <w:szCs w:val="24"/>
    </w:rPr>
  </w:style>
  <w:style w:type="character" w:customStyle="1" w:styleId="66">
    <w:name w:val="正文文本缩进 字符"/>
    <w:basedOn w:val="45"/>
    <w:link w:val="17"/>
    <w:qFormat/>
    <w:uiPriority w:val="99"/>
    <w:rPr>
      <w:rFonts w:ascii="宋体" w:hAnsi="Courier New" w:eastAsia="宋体" w:cs="Times New Roman"/>
      <w:spacing w:val="-4"/>
      <w:sz w:val="18"/>
      <w:szCs w:val="20"/>
    </w:rPr>
  </w:style>
  <w:style w:type="character" w:customStyle="1" w:styleId="67">
    <w:name w:val="纯文本 字符"/>
    <w:basedOn w:val="45"/>
    <w:link w:val="22"/>
    <w:qFormat/>
    <w:uiPriority w:val="0"/>
    <w:rPr>
      <w:rFonts w:ascii="宋体" w:hAnsi="Courier New" w:eastAsia="宋体" w:cs="Times New Roman"/>
      <w:sz w:val="24"/>
      <w:szCs w:val="24"/>
    </w:rPr>
  </w:style>
  <w:style w:type="character" w:customStyle="1" w:styleId="68">
    <w:name w:val="日期 字符"/>
    <w:basedOn w:val="45"/>
    <w:link w:val="24"/>
    <w:qFormat/>
    <w:uiPriority w:val="0"/>
    <w:rPr>
      <w:rFonts w:ascii="Times New Roman" w:hAnsi="Times New Roman" w:eastAsia="楷体_GB2312" w:cs="Times New Roman"/>
      <w:sz w:val="32"/>
      <w:szCs w:val="20"/>
    </w:rPr>
  </w:style>
  <w:style w:type="character" w:customStyle="1" w:styleId="69">
    <w:name w:val="正文文本缩进 2 字符"/>
    <w:basedOn w:val="45"/>
    <w:link w:val="25"/>
    <w:qFormat/>
    <w:uiPriority w:val="99"/>
    <w:rPr>
      <w:rFonts w:ascii="仿宋_GB2312" w:hAnsi="宋体" w:eastAsia="宋体" w:cs="Arial"/>
      <w:b/>
      <w:bCs/>
      <w:color w:val="000000"/>
      <w:sz w:val="24"/>
      <w:szCs w:val="24"/>
    </w:rPr>
  </w:style>
  <w:style w:type="character" w:customStyle="1" w:styleId="70">
    <w:name w:val="批注框文本 字符"/>
    <w:basedOn w:val="45"/>
    <w:link w:val="26"/>
    <w:qFormat/>
    <w:uiPriority w:val="99"/>
    <w:rPr>
      <w:rFonts w:ascii="Calibri" w:hAnsi="Calibri" w:eastAsia="宋体" w:cs="Times New Roman"/>
      <w:sz w:val="18"/>
      <w:szCs w:val="18"/>
    </w:rPr>
  </w:style>
  <w:style w:type="character" w:customStyle="1" w:styleId="71">
    <w:name w:val="脚注文本 字符"/>
    <w:basedOn w:val="45"/>
    <w:link w:val="32"/>
    <w:semiHidden/>
    <w:qFormat/>
    <w:uiPriority w:val="99"/>
    <w:rPr>
      <w:rFonts w:ascii="Calibri" w:hAnsi="Calibri" w:eastAsia="宋体" w:cs="Times New Roman"/>
      <w:sz w:val="18"/>
      <w:szCs w:val="18"/>
    </w:rPr>
  </w:style>
  <w:style w:type="character" w:customStyle="1" w:styleId="72">
    <w:name w:val="正文文本缩进 3 字符"/>
    <w:basedOn w:val="45"/>
    <w:link w:val="34"/>
    <w:qFormat/>
    <w:uiPriority w:val="99"/>
    <w:rPr>
      <w:rFonts w:ascii="仿宋_GB2312" w:hAnsi="宋体" w:eastAsia="仿宋_GB2312" w:cs="Times New Roman"/>
      <w:color w:val="000000"/>
      <w:sz w:val="24"/>
      <w:szCs w:val="24"/>
    </w:rPr>
  </w:style>
  <w:style w:type="character" w:customStyle="1" w:styleId="73">
    <w:name w:val="正文文本 2 字符"/>
    <w:basedOn w:val="45"/>
    <w:link w:val="37"/>
    <w:qFormat/>
    <w:uiPriority w:val="0"/>
    <w:rPr>
      <w:rFonts w:ascii="宋体" w:hAnsi="宋体" w:eastAsia="宋体" w:cs="Times New Roman"/>
      <w:color w:val="000000"/>
      <w:sz w:val="24"/>
      <w:szCs w:val="24"/>
    </w:rPr>
  </w:style>
  <w:style w:type="character" w:customStyle="1" w:styleId="74">
    <w:name w:val="HTML 预设格式 字符"/>
    <w:basedOn w:val="45"/>
    <w:link w:val="38"/>
    <w:qFormat/>
    <w:uiPriority w:val="99"/>
    <w:rPr>
      <w:rFonts w:ascii="Courier New" w:hAnsi="Courier New" w:eastAsia="宋体" w:cs="Times New Roman"/>
      <w:sz w:val="20"/>
      <w:szCs w:val="20"/>
    </w:rPr>
  </w:style>
  <w:style w:type="character" w:customStyle="1" w:styleId="75">
    <w:name w:val="标题 字符"/>
    <w:basedOn w:val="45"/>
    <w:link w:val="40"/>
    <w:qFormat/>
    <w:uiPriority w:val="99"/>
    <w:rPr>
      <w:rFonts w:ascii="Cambria" w:hAnsi="Cambria" w:eastAsia="宋体" w:cs="Times New Roman"/>
      <w:b/>
      <w:bCs/>
      <w:kern w:val="0"/>
      <w:sz w:val="32"/>
      <w:szCs w:val="32"/>
    </w:rPr>
  </w:style>
  <w:style w:type="character" w:customStyle="1" w:styleId="76">
    <w:name w:val="批注主题 字符"/>
    <w:basedOn w:val="63"/>
    <w:link w:val="41"/>
    <w:qFormat/>
    <w:uiPriority w:val="99"/>
    <w:rPr>
      <w:rFonts w:ascii="Calibri" w:hAnsi="Calibri" w:eastAsia="宋体" w:cs="Times New Roman"/>
      <w:b/>
      <w:bCs/>
    </w:rPr>
  </w:style>
  <w:style w:type="character" w:customStyle="1" w:styleId="77">
    <w:name w:val="正文首行缩进 字符"/>
    <w:basedOn w:val="65"/>
    <w:link w:val="42"/>
    <w:qFormat/>
    <w:uiPriority w:val="99"/>
    <w:rPr>
      <w:rFonts w:ascii="Calibri" w:hAnsi="Calibri" w:eastAsia="宋体" w:cs="Times New Roman"/>
      <w:sz w:val="28"/>
      <w:szCs w:val="24"/>
    </w:rPr>
  </w:style>
  <w:style w:type="character" w:customStyle="1" w:styleId="78">
    <w:name w:val="标题 1 字符1"/>
    <w:basedOn w:val="45"/>
    <w:link w:val="3"/>
    <w:qFormat/>
    <w:locked/>
    <w:uiPriority w:val="9"/>
    <w:rPr>
      <w:rFonts w:ascii="Times New Roman" w:hAnsi="Times New Roman" w:eastAsia="隶书" w:cs="Times New Roman"/>
      <w:b/>
      <w:bCs/>
      <w:kern w:val="0"/>
      <w:sz w:val="36"/>
      <w:szCs w:val="36"/>
    </w:rPr>
  </w:style>
  <w:style w:type="character" w:customStyle="1" w:styleId="79">
    <w:name w:val="标题 4 字符1"/>
    <w:basedOn w:val="45"/>
    <w:link w:val="5"/>
    <w:qFormat/>
    <w:locked/>
    <w:uiPriority w:val="9"/>
    <w:rPr>
      <w:rFonts w:ascii="Arial" w:hAnsi="Arial" w:eastAsia="黑体" w:cs="Times New Roman"/>
      <w:b/>
      <w:bCs/>
      <w:sz w:val="28"/>
      <w:szCs w:val="28"/>
    </w:rPr>
  </w:style>
  <w:style w:type="character" w:customStyle="1" w:styleId="80">
    <w:name w:val="标题 6 字符1"/>
    <w:basedOn w:val="45"/>
    <w:link w:val="7"/>
    <w:qFormat/>
    <w:locked/>
    <w:uiPriority w:val="9"/>
    <w:rPr>
      <w:rFonts w:ascii="Arial" w:hAnsi="Arial" w:eastAsia="黑体" w:cs="Times New Roman"/>
      <w:b/>
      <w:bCs/>
      <w:sz w:val="24"/>
      <w:szCs w:val="24"/>
    </w:rPr>
  </w:style>
  <w:style w:type="character" w:customStyle="1" w:styleId="81">
    <w:name w:val="标题 7 字符1"/>
    <w:basedOn w:val="45"/>
    <w:link w:val="8"/>
    <w:qFormat/>
    <w:locked/>
    <w:uiPriority w:val="9"/>
    <w:rPr>
      <w:rFonts w:ascii="宋体" w:hAnsi="宋体" w:eastAsia="宋体" w:cs="Times New Roman"/>
      <w:b/>
      <w:bCs/>
      <w:kern w:val="0"/>
      <w:sz w:val="24"/>
      <w:szCs w:val="24"/>
    </w:rPr>
  </w:style>
  <w:style w:type="character" w:customStyle="1" w:styleId="82">
    <w:name w:val="正文缩进 字符"/>
    <w:link w:val="11"/>
    <w:qFormat/>
    <w:locked/>
    <w:uiPriority w:val="0"/>
    <w:rPr>
      <w:rFonts w:ascii="Times New Roman" w:hAnsi="Times New Roman" w:eastAsia="宋体" w:cs="Times New Roman"/>
      <w:szCs w:val="20"/>
    </w:rPr>
  </w:style>
  <w:style w:type="character" w:customStyle="1" w:styleId="83">
    <w:name w:val="批注文字 字符1"/>
    <w:basedOn w:val="45"/>
    <w:link w:val="14"/>
    <w:qFormat/>
    <w:locked/>
    <w:uiPriority w:val="99"/>
    <w:rPr>
      <w:rFonts w:ascii="Calibri" w:hAnsi="Calibri" w:eastAsia="宋体" w:cs="Times New Roman"/>
    </w:rPr>
  </w:style>
  <w:style w:type="character" w:customStyle="1" w:styleId="84">
    <w:name w:val="页脚 字符1"/>
    <w:basedOn w:val="45"/>
    <w:qFormat/>
    <w:locked/>
    <w:uiPriority w:val="99"/>
    <w:rPr>
      <w:rFonts w:ascii="Times New Roman" w:hAnsi="Times New Roman" w:cs="Times New Roman"/>
      <w:kern w:val="2"/>
      <w:sz w:val="18"/>
      <w:szCs w:val="18"/>
    </w:rPr>
  </w:style>
  <w:style w:type="character" w:customStyle="1" w:styleId="85">
    <w:name w:val="页眉 字符1"/>
    <w:basedOn w:val="45"/>
    <w:qFormat/>
    <w:locked/>
    <w:uiPriority w:val="99"/>
    <w:rPr>
      <w:rFonts w:ascii="Times New Roman" w:hAnsi="Times New Roman" w:cs="Times New Roman"/>
      <w:kern w:val="2"/>
      <w:sz w:val="18"/>
      <w:szCs w:val="18"/>
    </w:rPr>
  </w:style>
  <w:style w:type="character" w:customStyle="1" w:styleId="86">
    <w:name w:val="title14"/>
    <w:basedOn w:val="45"/>
    <w:qFormat/>
    <w:uiPriority w:val="99"/>
    <w:rPr>
      <w:rFonts w:cs="Times New Roman"/>
    </w:rPr>
  </w:style>
  <w:style w:type="character" w:customStyle="1" w:styleId="87">
    <w:name w:val="Char Char1"/>
    <w:qFormat/>
    <w:uiPriority w:val="99"/>
    <w:rPr>
      <w:kern w:val="2"/>
      <w:sz w:val="18"/>
    </w:rPr>
  </w:style>
  <w:style w:type="character" w:customStyle="1" w:styleId="88">
    <w:name w:val="a Char"/>
    <w:link w:val="89"/>
    <w:qFormat/>
    <w:locked/>
    <w:uiPriority w:val="0"/>
    <w:rPr>
      <w:rFonts w:ascii="宋体" w:hAnsi="宋体" w:eastAsia="仿宋_GB2312"/>
      <w:sz w:val="24"/>
    </w:rPr>
  </w:style>
  <w:style w:type="paragraph" w:customStyle="1" w:styleId="89">
    <w:name w:val="a"/>
    <w:basedOn w:val="1"/>
    <w:link w:val="88"/>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90">
    <w:name w:val="Char Char2"/>
    <w:qFormat/>
    <w:uiPriority w:val="99"/>
    <w:rPr>
      <w:rFonts w:ascii="宋体" w:hAnsi="Courier New" w:eastAsia="宋体"/>
      <w:sz w:val="21"/>
      <w:lang w:val="en-US" w:eastAsia="zh-CN"/>
    </w:rPr>
  </w:style>
  <w:style w:type="character" w:customStyle="1" w:styleId="91">
    <w:name w:val="_正文段落 Char"/>
    <w:link w:val="92"/>
    <w:qFormat/>
    <w:locked/>
    <w:uiPriority w:val="0"/>
    <w:rPr>
      <w:rFonts w:ascii="Times New Roman" w:hAnsi="Times New Roman"/>
      <w:sz w:val="24"/>
    </w:rPr>
  </w:style>
  <w:style w:type="paragraph" w:customStyle="1" w:styleId="92">
    <w:name w:val="_正文段落"/>
    <w:basedOn w:val="1"/>
    <w:link w:val="91"/>
    <w:qFormat/>
    <w:uiPriority w:val="0"/>
    <w:pPr>
      <w:spacing w:beforeLines="15" w:afterLines="15" w:line="360" w:lineRule="auto"/>
      <w:ind w:firstLine="200" w:firstLineChars="200"/>
    </w:pPr>
    <w:rPr>
      <w:rFonts w:ascii="Times New Roman" w:hAnsi="Times New Roman" w:eastAsiaTheme="minorEastAsia" w:cstheme="minorBidi"/>
      <w:sz w:val="24"/>
    </w:rPr>
  </w:style>
  <w:style w:type="character" w:customStyle="1" w:styleId="93">
    <w:name w:val="正文缩进2字符 Char"/>
    <w:link w:val="94"/>
    <w:qFormat/>
    <w:locked/>
    <w:uiPriority w:val="99"/>
    <w:rPr>
      <w:sz w:val="24"/>
    </w:rPr>
  </w:style>
  <w:style w:type="paragraph" w:customStyle="1" w:styleId="94">
    <w:name w:val="正文缩进2字符"/>
    <w:basedOn w:val="1"/>
    <w:link w:val="93"/>
    <w:qFormat/>
    <w:uiPriority w:val="99"/>
    <w:pPr>
      <w:spacing w:line="360" w:lineRule="auto"/>
      <w:ind w:firstLine="480" w:firstLineChars="200"/>
    </w:pPr>
    <w:rPr>
      <w:rFonts w:asciiTheme="minorHAnsi" w:hAnsiTheme="minorHAnsi" w:eastAsiaTheme="minorEastAsia" w:cstheme="minorBidi"/>
      <w:sz w:val="24"/>
    </w:rPr>
  </w:style>
  <w:style w:type="character" w:customStyle="1" w:styleId="95">
    <w:name w:val="标题 1 Char Char"/>
    <w:qFormat/>
    <w:uiPriority w:val="99"/>
    <w:rPr>
      <w:rFonts w:eastAsia="宋体"/>
      <w:b/>
      <w:spacing w:val="-2"/>
      <w:sz w:val="24"/>
      <w:lang w:val="en-US" w:eastAsia="zh-CN"/>
    </w:rPr>
  </w:style>
  <w:style w:type="character" w:customStyle="1" w:styleId="96">
    <w:name w:val="b titlename wangputoptitle"/>
    <w:basedOn w:val="45"/>
    <w:qFormat/>
    <w:uiPriority w:val="99"/>
    <w:rPr>
      <w:rFonts w:cs="Times New Roman"/>
    </w:rPr>
  </w:style>
  <w:style w:type="character" w:customStyle="1" w:styleId="97">
    <w:name w:val="normal_text"/>
    <w:basedOn w:val="45"/>
    <w:qFormat/>
    <w:uiPriority w:val="99"/>
    <w:rPr>
      <w:rFonts w:cs="Times New Roman"/>
    </w:rPr>
  </w:style>
  <w:style w:type="character" w:customStyle="1" w:styleId="98">
    <w:name w:val="正文2 Char"/>
    <w:link w:val="99"/>
    <w:qFormat/>
    <w:locked/>
    <w:uiPriority w:val="99"/>
    <w:rPr>
      <w:sz w:val="22"/>
    </w:rPr>
  </w:style>
  <w:style w:type="paragraph" w:customStyle="1" w:styleId="99">
    <w:name w:val="正文2"/>
    <w:next w:val="29"/>
    <w:link w:val="98"/>
    <w:qFormat/>
    <w:uiPriority w:val="99"/>
    <w:pPr>
      <w:widowControl w:val="0"/>
      <w:spacing w:before="156" w:line="360" w:lineRule="auto"/>
      <w:ind w:firstLine="200" w:firstLineChars="200"/>
      <w:jc w:val="both"/>
    </w:pPr>
    <w:rPr>
      <w:rFonts w:asciiTheme="minorHAnsi" w:hAnsiTheme="minorHAnsi" w:eastAsiaTheme="minorEastAsia" w:cstheme="minorBidi"/>
      <w:kern w:val="2"/>
      <w:sz w:val="22"/>
      <w:szCs w:val="22"/>
      <w:lang w:val="en-US" w:eastAsia="zh-CN" w:bidi="ar-SA"/>
    </w:rPr>
  </w:style>
  <w:style w:type="character" w:customStyle="1" w:styleId="100">
    <w:name w:val="flname7"/>
    <w:basedOn w:val="45"/>
    <w:qFormat/>
    <w:uiPriority w:val="99"/>
    <w:rPr>
      <w:rFonts w:cs="Times New Roman"/>
    </w:rPr>
  </w:style>
  <w:style w:type="character" w:customStyle="1" w:styleId="101">
    <w:name w:val="maywed421"/>
    <w:qFormat/>
    <w:uiPriority w:val="99"/>
    <w:rPr>
      <w:color w:val="366FB6"/>
      <w:u w:val="none"/>
    </w:rPr>
  </w:style>
  <w:style w:type="character" w:customStyle="1" w:styleId="102">
    <w:name w:val="列出段落1 Char"/>
    <w:link w:val="103"/>
    <w:qFormat/>
    <w:locked/>
    <w:uiPriority w:val="99"/>
    <w:rPr>
      <w:sz w:val="24"/>
    </w:rPr>
  </w:style>
  <w:style w:type="paragraph" w:customStyle="1" w:styleId="103">
    <w:name w:val="列出段落11"/>
    <w:basedOn w:val="1"/>
    <w:link w:val="102"/>
    <w:qFormat/>
    <w:uiPriority w:val="99"/>
    <w:pPr>
      <w:ind w:firstLine="420" w:firstLineChars="200"/>
    </w:pPr>
    <w:rPr>
      <w:rFonts w:asciiTheme="minorHAnsi" w:hAnsiTheme="minorHAnsi" w:eastAsiaTheme="minorEastAsia" w:cstheme="minorBidi"/>
      <w:sz w:val="24"/>
    </w:rPr>
  </w:style>
  <w:style w:type="character" w:customStyle="1" w:styleId="104">
    <w:name w:val="spelle"/>
    <w:basedOn w:val="45"/>
    <w:qFormat/>
    <w:uiPriority w:val="99"/>
    <w:rPr>
      <w:rFonts w:cs="Times New Roman"/>
    </w:rPr>
  </w:style>
  <w:style w:type="character" w:customStyle="1" w:styleId="105">
    <w:name w:val="font3"/>
    <w:basedOn w:val="45"/>
    <w:qFormat/>
    <w:uiPriority w:val="99"/>
    <w:rPr>
      <w:rFonts w:cs="Times New Roman"/>
    </w:rPr>
  </w:style>
  <w:style w:type="character" w:customStyle="1" w:styleId="106">
    <w:name w:val="彩色列表 - 强调文字颜色 1 Char"/>
    <w:link w:val="107"/>
    <w:qFormat/>
    <w:locked/>
    <w:uiPriority w:val="99"/>
    <w:rPr>
      <w:sz w:val="22"/>
    </w:rPr>
  </w:style>
  <w:style w:type="paragraph" w:customStyle="1" w:styleId="107">
    <w:name w:val="彩色列表 - 强调文字颜色 11"/>
    <w:basedOn w:val="1"/>
    <w:link w:val="106"/>
    <w:qFormat/>
    <w:uiPriority w:val="99"/>
    <w:pPr>
      <w:ind w:firstLine="420" w:firstLineChars="200"/>
    </w:pPr>
    <w:rPr>
      <w:rFonts w:asciiTheme="minorHAnsi" w:hAnsiTheme="minorHAnsi" w:eastAsiaTheme="minorEastAsia" w:cstheme="minorBidi"/>
      <w:sz w:val="22"/>
    </w:rPr>
  </w:style>
  <w:style w:type="character" w:customStyle="1" w:styleId="108">
    <w:name w:val="apple-style-span"/>
    <w:qFormat/>
    <w:uiPriority w:val="99"/>
  </w:style>
  <w:style w:type="character" w:customStyle="1" w:styleId="109">
    <w:name w:val="样式1 Char"/>
    <w:link w:val="110"/>
    <w:qFormat/>
    <w:locked/>
    <w:uiPriority w:val="0"/>
    <w:rPr>
      <w:rFonts w:ascii="Arial" w:hAnsi="Arial"/>
    </w:rPr>
  </w:style>
  <w:style w:type="paragraph" w:customStyle="1" w:styleId="110">
    <w:name w:val="样式1"/>
    <w:basedOn w:val="1"/>
    <w:link w:val="109"/>
    <w:qFormat/>
    <w:uiPriority w:val="0"/>
    <w:pPr>
      <w:spacing w:line="360" w:lineRule="exact"/>
      <w:ind w:firstLine="200" w:firstLineChars="200"/>
    </w:pPr>
    <w:rPr>
      <w:rFonts w:ascii="Arial" w:hAnsi="Arial" w:eastAsiaTheme="minorEastAsia" w:cstheme="minorBidi"/>
    </w:rPr>
  </w:style>
  <w:style w:type="character" w:customStyle="1" w:styleId="111">
    <w:name w:val="表正文 Char"/>
    <w:qFormat/>
    <w:uiPriority w:val="99"/>
    <w:rPr>
      <w:rFonts w:eastAsia="宋体"/>
      <w:kern w:val="2"/>
      <w:sz w:val="21"/>
      <w:lang w:val="en-US" w:eastAsia="zh-CN"/>
    </w:rPr>
  </w:style>
  <w:style w:type="character" w:customStyle="1" w:styleId="112">
    <w:name w:val="para"/>
    <w:basedOn w:val="45"/>
    <w:qFormat/>
    <w:uiPriority w:val="99"/>
    <w:rPr>
      <w:rFonts w:cs="Times New Roman"/>
    </w:rPr>
  </w:style>
  <w:style w:type="character" w:customStyle="1" w:styleId="113">
    <w:name w:val="纯文本 Char1"/>
    <w:qFormat/>
    <w:uiPriority w:val="99"/>
    <w:rPr>
      <w:rFonts w:ascii="宋体" w:hAnsi="Courier New"/>
      <w:kern w:val="2"/>
      <w:sz w:val="24"/>
    </w:rPr>
  </w:style>
  <w:style w:type="character" w:customStyle="1" w:styleId="114">
    <w:name w:val="InfoBlue Char"/>
    <w:link w:val="115"/>
    <w:qFormat/>
    <w:locked/>
    <w:uiPriority w:val="99"/>
    <w:rPr>
      <w:rFonts w:ascii="仿宋_GB2312" w:hAnsi="宋体" w:eastAsia="仿宋_GB2312"/>
      <w:sz w:val="30"/>
    </w:rPr>
  </w:style>
  <w:style w:type="paragraph" w:customStyle="1" w:styleId="115">
    <w:name w:val="InfoBlue"/>
    <w:basedOn w:val="1"/>
    <w:link w:val="114"/>
    <w:qFormat/>
    <w:uiPriority w:val="99"/>
    <w:pPr>
      <w:spacing w:before="120" w:after="120" w:line="360" w:lineRule="auto"/>
      <w:ind w:firstLine="600" w:firstLineChars="200"/>
    </w:pPr>
    <w:rPr>
      <w:rFonts w:ascii="仿宋_GB2312" w:hAnsi="宋体" w:eastAsia="仿宋_GB2312" w:cstheme="minorBidi"/>
      <w:sz w:val="30"/>
    </w:rPr>
  </w:style>
  <w:style w:type="character" w:customStyle="1" w:styleId="116">
    <w:name w:val="大汉方案正文 Char1"/>
    <w:link w:val="117"/>
    <w:qFormat/>
    <w:locked/>
    <w:uiPriority w:val="99"/>
    <w:rPr>
      <w:rFonts w:ascii="Arial" w:hAnsi="Arial"/>
      <w:sz w:val="24"/>
    </w:rPr>
  </w:style>
  <w:style w:type="paragraph" w:customStyle="1" w:styleId="117">
    <w:name w:val="大汉方案正文"/>
    <w:basedOn w:val="1"/>
    <w:link w:val="116"/>
    <w:qFormat/>
    <w:uiPriority w:val="99"/>
    <w:pPr>
      <w:spacing w:line="360" w:lineRule="auto"/>
      <w:ind w:firstLine="200" w:firstLineChars="200"/>
    </w:pPr>
    <w:rPr>
      <w:rFonts w:ascii="Arial" w:hAnsi="Arial" w:eastAsiaTheme="minorEastAsia" w:cstheme="minorBidi"/>
      <w:sz w:val="24"/>
    </w:rPr>
  </w:style>
  <w:style w:type="paragraph" w:customStyle="1" w:styleId="118">
    <w:name w:val="列出段落1"/>
    <w:basedOn w:val="1"/>
    <w:qFormat/>
    <w:uiPriority w:val="34"/>
    <w:pPr>
      <w:ind w:firstLine="420" w:firstLineChars="200"/>
    </w:pPr>
    <w:rPr>
      <w:rFonts w:cs="Calibri"/>
      <w:szCs w:val="21"/>
    </w:rPr>
  </w:style>
  <w:style w:type="paragraph" w:customStyle="1" w:styleId="119">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0">
    <w:name w:val="大表 mt"/>
    <w:basedOn w:val="1"/>
    <w:qFormat/>
    <w:uiPriority w:val="99"/>
    <w:pPr>
      <w:widowControl/>
      <w:jc w:val="left"/>
    </w:pPr>
    <w:rPr>
      <w:rFonts w:ascii="宋体" w:hAnsi="宋体" w:cs="宋体"/>
      <w:kern w:val="0"/>
      <w:szCs w:val="21"/>
    </w:rPr>
  </w:style>
  <w:style w:type="paragraph" w:customStyle="1" w:styleId="121">
    <w:name w:val="正文首行缩进:2字符"/>
    <w:basedOn w:val="1"/>
    <w:qFormat/>
    <w:uiPriority w:val="99"/>
    <w:pPr>
      <w:spacing w:line="360" w:lineRule="auto"/>
      <w:ind w:firstLine="480" w:firstLineChars="200"/>
    </w:pPr>
    <w:rPr>
      <w:rFonts w:ascii="Times New Roman" w:hAnsi="Times New Roman" w:cs="宋体"/>
      <w:szCs w:val="20"/>
    </w:rPr>
  </w:style>
  <w:style w:type="paragraph" w:customStyle="1" w:styleId="12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123">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24">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25">
    <w:name w:val="纯文本1"/>
    <w:basedOn w:val="1"/>
    <w:qFormat/>
    <w:uiPriority w:val="99"/>
    <w:pPr>
      <w:spacing w:beforeLines="50" w:afterLines="50" w:line="400" w:lineRule="exact"/>
    </w:pPr>
    <w:rPr>
      <w:rFonts w:ascii="宋体" w:hAnsi="Courier New" w:eastAsia="黑体"/>
      <w:sz w:val="24"/>
      <w:szCs w:val="24"/>
    </w:rPr>
  </w:style>
  <w:style w:type="paragraph" w:customStyle="1" w:styleId="126">
    <w:name w:val="wellhope正文"/>
    <w:basedOn w:val="1"/>
    <w:qFormat/>
    <w:uiPriority w:val="99"/>
    <w:pPr>
      <w:spacing w:before="60" w:after="60" w:line="360" w:lineRule="auto"/>
      <w:ind w:firstLine="200" w:firstLineChars="200"/>
    </w:pPr>
    <w:rPr>
      <w:rFonts w:ascii="Times New Roman" w:hAnsi="Times New Roman"/>
      <w:sz w:val="24"/>
      <w:szCs w:val="20"/>
    </w:rPr>
  </w:style>
  <w:style w:type="paragraph" w:customStyle="1" w:styleId="127">
    <w:name w:val="Char1"/>
    <w:basedOn w:val="1"/>
    <w:qFormat/>
    <w:uiPriority w:val="99"/>
    <w:rPr>
      <w:rFonts w:ascii="仿宋_GB2312" w:hAnsi="Times New Roman" w:eastAsia="仿宋_GB2312"/>
      <w:b/>
      <w:sz w:val="32"/>
      <w:szCs w:val="32"/>
    </w:rPr>
  </w:style>
  <w:style w:type="paragraph" w:customStyle="1" w:styleId="128">
    <w:name w:val="项目圆"/>
    <w:basedOn w:val="1"/>
    <w:qFormat/>
    <w:uiPriority w:val="99"/>
    <w:pPr>
      <w:tabs>
        <w:tab w:val="left" w:pos="840"/>
      </w:tabs>
      <w:spacing w:beforeLines="50" w:afterLines="50" w:line="360" w:lineRule="auto"/>
      <w:ind w:left="454"/>
    </w:pPr>
    <w:rPr>
      <w:rFonts w:ascii="Times New Roman" w:hAnsi="Times New Roman"/>
      <w:szCs w:val="24"/>
    </w:rPr>
  </w:style>
  <w:style w:type="paragraph" w:customStyle="1" w:styleId="129">
    <w:name w:val="paragraph1"/>
    <w:basedOn w:val="1"/>
    <w:qFormat/>
    <w:uiPriority w:val="99"/>
    <w:pPr>
      <w:spacing w:afterLines="30" w:line="360" w:lineRule="auto"/>
      <w:ind w:firstLine="420" w:firstLineChars="200"/>
    </w:pPr>
    <w:rPr>
      <w:rFonts w:ascii="Times New Roman" w:hAnsi="Times New Roman" w:eastAsia="楷体_GB2312"/>
      <w:sz w:val="24"/>
      <w:szCs w:val="20"/>
    </w:rPr>
  </w:style>
  <w:style w:type="paragraph" w:customStyle="1" w:styleId="130">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1">
    <w:name w:val="_Style 64"/>
    <w:basedOn w:val="1"/>
    <w:qFormat/>
    <w:uiPriority w:val="99"/>
    <w:rPr>
      <w:rFonts w:ascii="Times New Roman" w:hAnsi="Times New Roman"/>
      <w:sz w:val="24"/>
      <w:szCs w:val="24"/>
    </w:rPr>
  </w:style>
  <w:style w:type="paragraph" w:customStyle="1" w:styleId="132">
    <w:name w:val="Proposals body"/>
    <w:basedOn w:val="1"/>
    <w:next w:val="1"/>
    <w:qFormat/>
    <w:uiPriority w:val="0"/>
    <w:pPr>
      <w:widowControl/>
      <w:spacing w:line="360" w:lineRule="auto"/>
      <w:jc w:val="left"/>
    </w:pPr>
    <w:rPr>
      <w:rFonts w:ascii="宋体" w:hAnsi="Times New Roman"/>
      <w:color w:val="000000"/>
      <w:kern w:val="0"/>
      <w:sz w:val="24"/>
      <w:szCs w:val="20"/>
    </w:rPr>
  </w:style>
  <w:style w:type="paragraph" w:customStyle="1" w:styleId="133">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34">
    <w:name w:val="样式 正文缩进 + 首行缩进:  2 字符"/>
    <w:basedOn w:val="11"/>
    <w:qFormat/>
    <w:uiPriority w:val="99"/>
    <w:pPr>
      <w:tabs>
        <w:tab w:val="left" w:pos="1080"/>
      </w:tabs>
      <w:spacing w:line="360" w:lineRule="auto"/>
      <w:ind w:left="1080" w:hanging="540"/>
    </w:pPr>
    <w:rPr>
      <w:rFonts w:ascii="宋体" w:hAnsi="宋体"/>
      <w:sz w:val="24"/>
      <w:szCs w:val="24"/>
    </w:rPr>
  </w:style>
  <w:style w:type="paragraph" w:customStyle="1" w:styleId="135">
    <w:name w:val="Pa3"/>
    <w:basedOn w:val="1"/>
    <w:next w:val="1"/>
    <w:qFormat/>
    <w:uiPriority w:val="99"/>
    <w:pPr>
      <w:widowControl/>
      <w:autoSpaceDE w:val="0"/>
      <w:autoSpaceDN w:val="0"/>
      <w:adjustRightInd w:val="0"/>
      <w:spacing w:line="141" w:lineRule="atLeast"/>
      <w:jc w:val="left"/>
    </w:pPr>
    <w:rPr>
      <w:rFonts w:ascii="Univers 57 Condensed" w:hAnsi="Times New Roman" w:eastAsia="Univers 57 Condensed"/>
      <w:kern w:val="0"/>
      <w:sz w:val="24"/>
      <w:szCs w:val="24"/>
    </w:rPr>
  </w:style>
  <w:style w:type="paragraph" w:customStyle="1" w:styleId="136">
    <w:name w:val="文档正文"/>
    <w:basedOn w:val="1"/>
    <w:qFormat/>
    <w:uiPriority w:val="99"/>
    <w:pPr>
      <w:adjustRightInd w:val="0"/>
      <w:spacing w:before="60" w:after="60" w:line="360" w:lineRule="auto"/>
      <w:ind w:firstLine="227"/>
      <w:textAlignment w:val="baseline"/>
    </w:pPr>
    <w:rPr>
      <w:rFonts w:ascii="宋体" w:hAnsi="Times New Roman"/>
      <w:kern w:val="0"/>
      <w:sz w:val="24"/>
      <w:szCs w:val="24"/>
    </w:rPr>
  </w:style>
  <w:style w:type="paragraph" w:customStyle="1" w:styleId="137">
    <w:name w:val="列出段落[858D7CFB-ED40-4347-BF05-701D383B685F][858D7CFB-ED40-4347-BF05-701D383B685F]"/>
    <w:basedOn w:val="1"/>
    <w:qFormat/>
    <w:uiPriority w:val="99"/>
    <w:pPr>
      <w:ind w:firstLine="200" w:firstLineChars="200"/>
    </w:pPr>
  </w:style>
  <w:style w:type="paragraph" w:customStyle="1" w:styleId="138">
    <w:name w:val="Char Char Char Char Char Char Char Char Char"/>
    <w:basedOn w:val="1"/>
    <w:qFormat/>
    <w:uiPriority w:val="99"/>
  </w:style>
  <w:style w:type="paragraph" w:customStyle="1" w:styleId="139">
    <w:name w:val="p0"/>
    <w:basedOn w:val="1"/>
    <w:qFormat/>
    <w:uiPriority w:val="0"/>
    <w:pPr>
      <w:widowControl/>
      <w:jc w:val="left"/>
    </w:pPr>
    <w:rPr>
      <w:rFonts w:ascii="Arial" w:hAnsi="Arial" w:cs="Arial"/>
      <w:kern w:val="0"/>
      <w:sz w:val="20"/>
      <w:szCs w:val="20"/>
    </w:rPr>
  </w:style>
  <w:style w:type="paragraph" w:customStyle="1" w:styleId="140">
    <w:name w:val="样式 标题 1标题1(cj) +"/>
    <w:basedOn w:val="3"/>
    <w:qFormat/>
    <w:uiPriority w:val="99"/>
    <w:pPr>
      <w:keepNext/>
      <w:keepLines/>
      <w:tabs>
        <w:tab w:val="left" w:pos="360"/>
      </w:tabs>
      <w:spacing w:before="340" w:after="330"/>
      <w:jc w:val="left"/>
      <w:textAlignment w:val="baseline"/>
    </w:pPr>
    <w:rPr>
      <w:rFonts w:ascii="宋体" w:hAnsi="Arial" w:eastAsia="仿宋_GB2312"/>
      <w:bCs w:val="0"/>
      <w:color w:val="000000"/>
      <w:sz w:val="32"/>
      <w:szCs w:val="20"/>
    </w:rPr>
  </w:style>
  <w:style w:type="paragraph" w:customStyle="1" w:styleId="141">
    <w:name w:val="Char11"/>
    <w:basedOn w:val="1"/>
    <w:qFormat/>
    <w:uiPriority w:val="99"/>
    <w:rPr>
      <w:rFonts w:ascii="仿宋_GB2312" w:hAnsi="Times New Roman" w:eastAsia="仿宋_GB2312"/>
      <w:b/>
      <w:sz w:val="32"/>
      <w:szCs w:val="32"/>
    </w:rPr>
  </w:style>
  <w:style w:type="paragraph" w:customStyle="1" w:styleId="142">
    <w:name w:val="图文框"/>
    <w:basedOn w:val="1"/>
    <w:qFormat/>
    <w:uiPriority w:val="99"/>
    <w:pPr>
      <w:jc w:val="center"/>
    </w:pPr>
    <w:rPr>
      <w:rFonts w:ascii="仿宋_GB2312" w:hAnsi="Times New Roman" w:eastAsia="仿宋_GB2312"/>
      <w:szCs w:val="24"/>
    </w:rPr>
  </w:style>
  <w:style w:type="paragraph" w:customStyle="1" w:styleId="143">
    <w:name w:val="文档正文 Char"/>
    <w:basedOn w:val="1"/>
    <w:qFormat/>
    <w:uiPriority w:val="99"/>
    <w:pPr>
      <w:adjustRightInd w:val="0"/>
      <w:spacing w:line="500" w:lineRule="exact"/>
      <w:ind w:firstLine="567"/>
      <w:textAlignment w:val="baseline"/>
    </w:pPr>
    <w:rPr>
      <w:rFonts w:ascii="仿宋_GB2312" w:hAnsi="Times New Roman" w:eastAsia="仿宋_GB2312"/>
      <w:sz w:val="28"/>
      <w:szCs w:val="24"/>
    </w:rPr>
  </w:style>
  <w:style w:type="paragraph" w:customStyle="1" w:styleId="144">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145">
    <w:name w:val="Char Char Char Char Char Char Char"/>
    <w:basedOn w:val="1"/>
    <w:qFormat/>
    <w:uiPriority w:val="99"/>
    <w:pPr>
      <w:tabs>
        <w:tab w:val="left" w:pos="432"/>
      </w:tabs>
      <w:ind w:left="432" w:hanging="432"/>
    </w:pPr>
    <w:rPr>
      <w:rFonts w:ascii="Tahoma" w:hAnsi="Tahoma"/>
      <w:sz w:val="24"/>
      <w:szCs w:val="20"/>
    </w:rPr>
  </w:style>
  <w:style w:type="paragraph" w:customStyle="1" w:styleId="146">
    <w:name w:val="默认段落字体 Para Char Char Char Char Char Char Char Char Char1 Char Char Char Char"/>
    <w:basedOn w:val="1"/>
    <w:qFormat/>
    <w:uiPriority w:val="99"/>
    <w:rPr>
      <w:rFonts w:ascii="Tahoma" w:hAnsi="Tahoma"/>
      <w:sz w:val="24"/>
      <w:szCs w:val="20"/>
    </w:rPr>
  </w:style>
  <w:style w:type="paragraph" w:customStyle="1" w:styleId="147">
    <w:name w:val="序号"/>
    <w:basedOn w:val="1"/>
    <w:qFormat/>
    <w:uiPriority w:val="99"/>
    <w:pPr>
      <w:tabs>
        <w:tab w:val="left" w:pos="840"/>
      </w:tabs>
      <w:spacing w:line="360" w:lineRule="auto"/>
      <w:ind w:left="840" w:hanging="420"/>
    </w:pPr>
    <w:rPr>
      <w:rFonts w:ascii="Times New Roman" w:hAnsi="Times New Roman"/>
      <w:bCs/>
      <w:szCs w:val="24"/>
    </w:rPr>
  </w:style>
  <w:style w:type="paragraph" w:customStyle="1" w:styleId="148">
    <w:name w:val="样式 标题 1 + 段后: 0.5 行"/>
    <w:basedOn w:val="3"/>
    <w:qFormat/>
    <w:uiPriority w:val="99"/>
    <w:pPr>
      <w:keepNext/>
      <w:tabs>
        <w:tab w:val="left" w:pos="360"/>
      </w:tabs>
      <w:autoSpaceDE/>
      <w:autoSpaceDN/>
      <w:adjustRightInd/>
      <w:spacing w:before="120" w:afterLines="50" w:line="240" w:lineRule="auto"/>
      <w:jc w:val="left"/>
    </w:pPr>
    <w:rPr>
      <w:rFonts w:ascii="宋体" w:eastAsia="宋体"/>
      <w:bCs w:val="0"/>
      <w:sz w:val="28"/>
      <w:szCs w:val="20"/>
    </w:rPr>
  </w:style>
  <w:style w:type="paragraph" w:customStyle="1" w:styleId="149">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150">
    <w:name w:val="7.表小四"/>
    <w:basedOn w:val="1"/>
    <w:qFormat/>
    <w:uiPriority w:val="99"/>
    <w:pPr>
      <w:spacing w:beforeLines="50" w:afterLines="50"/>
    </w:pPr>
    <w:rPr>
      <w:rFonts w:ascii="宋体" w:hAnsi="宋体"/>
      <w:sz w:val="24"/>
      <w:szCs w:val="24"/>
    </w:rPr>
  </w:style>
  <w:style w:type="paragraph" w:customStyle="1" w:styleId="151">
    <w:name w:val="Char1 Char Char Char"/>
    <w:basedOn w:val="1"/>
    <w:qFormat/>
    <w:uiPriority w:val="99"/>
    <w:rPr>
      <w:rFonts w:ascii="Tahoma" w:hAnsi="Tahoma"/>
      <w:sz w:val="24"/>
      <w:szCs w:val="20"/>
    </w:rPr>
  </w:style>
  <w:style w:type="paragraph" w:customStyle="1" w:styleId="152">
    <w:name w:val="Char Char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53">
    <w:name w:val="表格文字"/>
    <w:basedOn w:val="1"/>
    <w:qFormat/>
    <w:uiPriority w:val="99"/>
    <w:pPr>
      <w:jc w:val="left"/>
      <w:textAlignment w:val="top"/>
    </w:pPr>
    <w:rPr>
      <w:rFonts w:ascii="Times New Roman" w:hAnsi="Times New Roman"/>
      <w:sz w:val="18"/>
      <w:szCs w:val="24"/>
    </w:rPr>
  </w:style>
  <w:style w:type="paragraph" w:customStyle="1" w:styleId="1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155">
    <w:name w:val="List Paragraph1"/>
    <w:basedOn w:val="1"/>
    <w:qFormat/>
    <w:uiPriority w:val="99"/>
    <w:pPr>
      <w:ind w:firstLine="420" w:firstLineChars="200"/>
    </w:pPr>
    <w:rPr>
      <w:rFonts w:ascii="Times New Roman" w:hAnsi="Times New Roman"/>
      <w:szCs w:val="24"/>
    </w:rPr>
  </w:style>
  <w:style w:type="paragraph" w:customStyle="1" w:styleId="156">
    <w:name w:val="样式 小四 行距: 1.5 倍行距"/>
    <w:basedOn w:val="1"/>
    <w:qFormat/>
    <w:uiPriority w:val="99"/>
    <w:pPr>
      <w:spacing w:line="360" w:lineRule="auto"/>
      <w:ind w:firstLine="480" w:firstLineChars="200"/>
    </w:pPr>
    <w:rPr>
      <w:rFonts w:ascii="Times New Roman" w:hAnsi="Times New Roman"/>
      <w:szCs w:val="20"/>
    </w:rPr>
  </w:style>
  <w:style w:type="character" w:customStyle="1" w:styleId="157">
    <w:name w:val="一级标题 Char"/>
    <w:link w:val="158"/>
    <w:qFormat/>
    <w:locked/>
    <w:uiPriority w:val="99"/>
    <w:rPr>
      <w:rFonts w:ascii="宋体"/>
      <w:b/>
      <w:sz w:val="36"/>
    </w:rPr>
  </w:style>
  <w:style w:type="paragraph" w:customStyle="1" w:styleId="158">
    <w:name w:val="一级标题"/>
    <w:basedOn w:val="22"/>
    <w:link w:val="157"/>
    <w:qFormat/>
    <w:uiPriority w:val="99"/>
    <w:pPr>
      <w:spacing w:line="360" w:lineRule="auto"/>
      <w:jc w:val="center"/>
    </w:pPr>
    <w:rPr>
      <w:rFonts w:hAnsiTheme="minorHAnsi" w:eastAsiaTheme="minorEastAsia" w:cstheme="minorBidi"/>
      <w:b/>
      <w:sz w:val="36"/>
      <w:szCs w:val="22"/>
    </w:rPr>
  </w:style>
  <w:style w:type="paragraph" w:customStyle="1" w:styleId="159">
    <w:name w:val="正文1"/>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60">
    <w:name w:val="纯文本2"/>
    <w:basedOn w:val="159"/>
    <w:qFormat/>
    <w:uiPriority w:val="0"/>
    <w:pPr>
      <w:widowControl/>
      <w:jc w:val="left"/>
    </w:pPr>
    <w:rPr>
      <w:rFonts w:ascii="宋体" w:hAnsi="Courier New"/>
    </w:rPr>
  </w:style>
  <w:style w:type="paragraph" w:styleId="161">
    <w:name w:val="List Paragraph"/>
    <w:basedOn w:val="1"/>
    <w:link w:val="162"/>
    <w:qFormat/>
    <w:uiPriority w:val="0"/>
    <w:pPr>
      <w:ind w:firstLine="420" w:firstLineChars="200"/>
    </w:pPr>
  </w:style>
  <w:style w:type="character" w:customStyle="1" w:styleId="162">
    <w:name w:val="列出段落 字符"/>
    <w:link w:val="161"/>
    <w:qFormat/>
    <w:uiPriority w:val="0"/>
    <w:rPr>
      <w:rFonts w:ascii="Calibri" w:hAnsi="Calibri" w:eastAsia="宋体" w:cs="Times New Roman"/>
    </w:rPr>
  </w:style>
  <w:style w:type="paragraph" w:customStyle="1" w:styleId="163">
    <w:name w:val="Preistext2"/>
    <w:basedOn w:val="1"/>
    <w:qFormat/>
    <w:uiPriority w:val="99"/>
    <w:pPr>
      <w:tabs>
        <w:tab w:val="left" w:pos="709"/>
        <w:tab w:val="left" w:pos="1701"/>
        <w:tab w:val="left" w:pos="3119"/>
      </w:tabs>
      <w:ind w:left="1843" w:right="1701"/>
    </w:pPr>
    <w:rPr>
      <w:sz w:val="18"/>
      <w:szCs w:val="20"/>
      <w:lang w:val="en-GB" w:eastAsia="de-DE"/>
    </w:rPr>
  </w:style>
  <w:style w:type="paragraph" w:customStyle="1" w:styleId="164">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65">
    <w:name w:val="p1"/>
    <w:basedOn w:val="1"/>
    <w:qFormat/>
    <w:uiPriority w:val="99"/>
    <w:pPr>
      <w:widowControl/>
      <w:jc w:val="left"/>
    </w:pPr>
    <w:rPr>
      <w:rFonts w:ascii=".SF NS Text" w:hAnsi="Times New Roman" w:eastAsia=".SF NS Text"/>
      <w:kern w:val="0"/>
      <w:sz w:val="20"/>
      <w:szCs w:val="20"/>
    </w:rPr>
  </w:style>
  <w:style w:type="paragraph" w:customStyle="1" w:styleId="166">
    <w:name w:val="List Paragraph2"/>
    <w:basedOn w:val="1"/>
    <w:qFormat/>
    <w:uiPriority w:val="99"/>
    <w:pPr>
      <w:widowControl/>
      <w:ind w:firstLine="420" w:firstLineChars="200"/>
      <w:jc w:val="left"/>
    </w:pPr>
    <w:rPr>
      <w:rFonts w:ascii="Times New Roman" w:hAnsi="Times New Roman"/>
      <w:kern w:val="0"/>
      <w:sz w:val="24"/>
      <w:szCs w:val="24"/>
    </w:rPr>
  </w:style>
  <w:style w:type="character" w:customStyle="1" w:styleId="167">
    <w:name w:val="图 字符"/>
    <w:link w:val="168"/>
    <w:qFormat/>
    <w:uiPriority w:val="0"/>
    <w:rPr>
      <w:szCs w:val="21"/>
    </w:rPr>
  </w:style>
  <w:style w:type="paragraph" w:customStyle="1" w:styleId="168">
    <w:name w:val="图"/>
    <w:basedOn w:val="1"/>
    <w:link w:val="167"/>
    <w:qFormat/>
    <w:uiPriority w:val="0"/>
    <w:pPr>
      <w:spacing w:line="360" w:lineRule="auto"/>
      <w:jc w:val="center"/>
    </w:pPr>
    <w:rPr>
      <w:rFonts w:asciiTheme="minorHAnsi" w:hAnsiTheme="minorHAnsi" w:eastAsiaTheme="minorEastAsia" w:cstheme="minorBidi"/>
      <w:szCs w:val="21"/>
    </w:rPr>
  </w:style>
  <w:style w:type="character" w:customStyle="1" w:styleId="169">
    <w:name w:val="A_正文 Char"/>
    <w:link w:val="170"/>
    <w:qFormat/>
    <w:locked/>
    <w:uiPriority w:val="0"/>
    <w:rPr>
      <w:rFonts w:ascii="仿宋_GB2312" w:eastAsia="仿宋"/>
      <w:bCs/>
      <w:color w:val="000000"/>
      <w:sz w:val="28"/>
      <w:szCs w:val="28"/>
    </w:rPr>
  </w:style>
  <w:style w:type="paragraph" w:customStyle="1" w:styleId="170">
    <w:name w:val="A_正文"/>
    <w:basedOn w:val="1"/>
    <w:link w:val="169"/>
    <w:qFormat/>
    <w:uiPriority w:val="0"/>
    <w:pPr>
      <w:spacing w:line="600" w:lineRule="exact"/>
    </w:pPr>
    <w:rPr>
      <w:rFonts w:ascii="仿宋_GB2312" w:eastAsia="仿宋" w:hAnsiTheme="minorHAnsi" w:cstheme="minorBidi"/>
      <w:bCs/>
      <w:color w:val="000000"/>
      <w:sz w:val="28"/>
      <w:szCs w:val="28"/>
    </w:rPr>
  </w:style>
  <w:style w:type="character" w:customStyle="1" w:styleId="171">
    <w:name w:val="font11"/>
    <w:qFormat/>
    <w:uiPriority w:val="0"/>
    <w:rPr>
      <w:rFonts w:hint="eastAsia" w:ascii="微软雅黑" w:hAnsi="微软雅黑" w:eastAsia="微软雅黑" w:cs="微软雅黑"/>
      <w:color w:val="000000"/>
      <w:sz w:val="20"/>
      <w:szCs w:val="20"/>
      <w:u w:val="none"/>
    </w:rPr>
  </w:style>
  <w:style w:type="character" w:customStyle="1" w:styleId="172">
    <w:name w:val="舟式样--正文 Char"/>
    <w:link w:val="173"/>
    <w:qFormat/>
    <w:uiPriority w:val="0"/>
    <w:rPr>
      <w:rFonts w:ascii="仿宋" w:hAnsi="仿宋" w:eastAsia="仿宋"/>
      <w:sz w:val="30"/>
    </w:rPr>
  </w:style>
  <w:style w:type="paragraph" w:customStyle="1" w:styleId="173">
    <w:name w:val="舟式样--正文"/>
    <w:basedOn w:val="1"/>
    <w:link w:val="172"/>
    <w:qFormat/>
    <w:uiPriority w:val="0"/>
    <w:pPr>
      <w:spacing w:line="360" w:lineRule="auto"/>
      <w:ind w:firstLine="200" w:firstLineChars="200"/>
    </w:pPr>
    <w:rPr>
      <w:rFonts w:ascii="仿宋" w:hAnsi="仿宋" w:eastAsia="仿宋" w:cstheme="minorBidi"/>
      <w:sz w:val="30"/>
    </w:rPr>
  </w:style>
  <w:style w:type="character" w:customStyle="1" w:styleId="174">
    <w:name w:val="未处理的提及1"/>
    <w:unhideWhenUsed/>
    <w:qFormat/>
    <w:uiPriority w:val="99"/>
    <w:rPr>
      <w:color w:val="605E5C"/>
      <w:shd w:val="clear" w:color="auto" w:fill="E1DFDD"/>
    </w:rPr>
  </w:style>
  <w:style w:type="character" w:customStyle="1" w:styleId="175">
    <w:name w:val="三级标题 字符"/>
    <w:link w:val="176"/>
    <w:qFormat/>
    <w:uiPriority w:val="0"/>
    <w:rPr>
      <w:rFonts w:ascii="宋体" w:hAnsi="宋体" w:eastAsia="仿宋GB2312" w:cs="宋体"/>
      <w:b/>
      <w:sz w:val="32"/>
      <w:szCs w:val="32"/>
    </w:rPr>
  </w:style>
  <w:style w:type="paragraph" w:customStyle="1" w:styleId="176">
    <w:name w:val="三级标题"/>
    <w:basedOn w:val="2"/>
    <w:link w:val="175"/>
    <w:qFormat/>
    <w:uiPriority w:val="0"/>
    <w:pPr>
      <w:adjustRightInd w:val="0"/>
      <w:spacing w:before="120" w:after="0" w:line="416" w:lineRule="atLeast"/>
      <w:ind w:left="70" w:leftChars="70"/>
      <w:textAlignment w:val="baseline"/>
    </w:pPr>
    <w:rPr>
      <w:rFonts w:ascii="宋体" w:hAnsi="宋体" w:eastAsia="仿宋GB2312" w:cs="宋体"/>
      <w:bCs w:val="0"/>
    </w:rPr>
  </w:style>
  <w:style w:type="character" w:customStyle="1" w:styleId="177">
    <w:name w:val="3级标题 字符"/>
    <w:link w:val="178"/>
    <w:qFormat/>
    <w:uiPriority w:val="0"/>
    <w:rPr>
      <w:rFonts w:eastAsia="微软雅黑" w:cs="Times New Roman"/>
      <w:b/>
      <w:bCs/>
      <w:sz w:val="32"/>
      <w:szCs w:val="32"/>
    </w:rPr>
  </w:style>
  <w:style w:type="paragraph" w:customStyle="1" w:styleId="178">
    <w:name w:val="3级标题"/>
    <w:basedOn w:val="2"/>
    <w:next w:val="1"/>
    <w:link w:val="177"/>
    <w:qFormat/>
    <w:uiPriority w:val="0"/>
    <w:pPr>
      <w:spacing w:line="415" w:lineRule="auto"/>
    </w:pPr>
    <w:rPr>
      <w:rFonts w:eastAsia="微软雅黑" w:asciiTheme="minorHAnsi" w:hAnsiTheme="minorHAnsi"/>
    </w:rPr>
  </w:style>
  <w:style w:type="character" w:customStyle="1" w:styleId="179">
    <w:name w:val="页脚 Char1"/>
    <w:qFormat/>
    <w:uiPriority w:val="99"/>
    <w:rPr>
      <w:kern w:val="2"/>
      <w:sz w:val="18"/>
      <w:szCs w:val="18"/>
    </w:rPr>
  </w:style>
  <w:style w:type="character" w:customStyle="1" w:styleId="180">
    <w:name w:val="一级标题 字符"/>
    <w:qFormat/>
    <w:uiPriority w:val="0"/>
    <w:rPr>
      <w:rFonts w:ascii="黑体" w:hAnsi="黑体" w:eastAsia="黑体"/>
      <w:bCs/>
      <w:kern w:val="44"/>
      <w:sz w:val="32"/>
      <w:szCs w:val="32"/>
    </w:rPr>
  </w:style>
  <w:style w:type="character" w:customStyle="1" w:styleId="181">
    <w:name w:val="舟-正文 Char"/>
    <w:link w:val="182"/>
    <w:qFormat/>
    <w:uiPriority w:val="0"/>
    <w:rPr>
      <w:rFonts w:ascii="仿宋" w:hAnsi="仿宋" w:eastAsia="仿宋_GB2312"/>
      <w:sz w:val="32"/>
      <w:szCs w:val="21"/>
    </w:rPr>
  </w:style>
  <w:style w:type="paragraph" w:customStyle="1" w:styleId="182">
    <w:name w:val="舟-正文"/>
    <w:basedOn w:val="1"/>
    <w:link w:val="181"/>
    <w:qFormat/>
    <w:uiPriority w:val="0"/>
    <w:pPr>
      <w:ind w:firstLine="560" w:firstLineChars="200"/>
    </w:pPr>
    <w:rPr>
      <w:rFonts w:ascii="仿宋" w:hAnsi="仿宋" w:eastAsia="仿宋_GB2312" w:cstheme="minorBidi"/>
      <w:sz w:val="32"/>
      <w:szCs w:val="21"/>
    </w:rPr>
  </w:style>
  <w:style w:type="character" w:customStyle="1" w:styleId="183">
    <w:name w:val="二级标题 字符"/>
    <w:link w:val="184"/>
    <w:qFormat/>
    <w:uiPriority w:val="0"/>
    <w:rPr>
      <w:rFonts w:ascii="仿宋GB2312" w:hAnsi="Calibri Light" w:eastAsia="楷体GB2312"/>
      <w:b/>
      <w:kern w:val="44"/>
      <w:sz w:val="32"/>
      <w:szCs w:val="32"/>
    </w:rPr>
  </w:style>
  <w:style w:type="paragraph" w:customStyle="1" w:styleId="184">
    <w:name w:val="二级标题"/>
    <w:basedOn w:val="4"/>
    <w:link w:val="183"/>
    <w:qFormat/>
    <w:uiPriority w:val="0"/>
    <w:pPr>
      <w:spacing w:line="416" w:lineRule="auto"/>
      <w:ind w:left="75" w:leftChars="75"/>
    </w:pPr>
    <w:rPr>
      <w:rFonts w:ascii="仿宋GB2312" w:hAnsi="Calibri Light" w:eastAsia="楷体GB2312" w:cstheme="minorBidi"/>
      <w:bCs w:val="0"/>
      <w:kern w:val="44"/>
    </w:rPr>
  </w:style>
  <w:style w:type="character" w:customStyle="1" w:styleId="185">
    <w:name w:val="标题 3 字符1"/>
    <w:qFormat/>
    <w:uiPriority w:val="0"/>
    <w:rPr>
      <w:rFonts w:ascii="Calibri" w:hAnsi="Calibri" w:eastAsia="黑体" w:cs="Times New Roman"/>
      <w:b/>
      <w:kern w:val="0"/>
      <w:sz w:val="32"/>
      <w:szCs w:val="20"/>
    </w:rPr>
  </w:style>
  <w:style w:type="character" w:customStyle="1" w:styleId="186">
    <w:name w:val="舟式样-标题2 字符"/>
    <w:link w:val="187"/>
    <w:qFormat/>
    <w:locked/>
    <w:uiPriority w:val="0"/>
    <w:rPr>
      <w:rFonts w:ascii="黑体" w:hAnsi="Cambria" w:eastAsia="楷体_GB2312"/>
      <w:b/>
      <w:bCs/>
      <w:sz w:val="32"/>
      <w:szCs w:val="32"/>
    </w:rPr>
  </w:style>
  <w:style w:type="paragraph" w:customStyle="1" w:styleId="187">
    <w:name w:val="舟式样-标题2"/>
    <w:basedOn w:val="4"/>
    <w:next w:val="1"/>
    <w:link w:val="186"/>
    <w:qFormat/>
    <w:uiPriority w:val="0"/>
    <w:pPr>
      <w:numPr>
        <w:ilvl w:val="0"/>
        <w:numId w:val="1"/>
      </w:numPr>
      <w:spacing w:before="0" w:after="0" w:line="360" w:lineRule="auto"/>
    </w:pPr>
    <w:rPr>
      <w:rFonts w:ascii="黑体" w:hAnsi="Cambria" w:eastAsia="楷体_GB2312" w:cstheme="minorBidi"/>
    </w:rPr>
  </w:style>
  <w:style w:type="character" w:customStyle="1" w:styleId="188">
    <w:name w:val="正文文本首行缩进 字符"/>
    <w:link w:val="189"/>
    <w:qFormat/>
    <w:uiPriority w:val="0"/>
    <w:rPr>
      <w:rFonts w:ascii="Times New Roman"/>
    </w:rPr>
  </w:style>
  <w:style w:type="paragraph" w:customStyle="1" w:styleId="189">
    <w:name w:val="_Style 187"/>
    <w:basedOn w:val="1"/>
    <w:next w:val="1"/>
    <w:link w:val="188"/>
    <w:unhideWhenUsed/>
    <w:qFormat/>
    <w:uiPriority w:val="0"/>
    <w:pPr>
      <w:ind w:left="2560"/>
      <w:jc w:val="left"/>
    </w:pPr>
    <w:rPr>
      <w:rFonts w:ascii="Times New Roman" w:hAnsiTheme="minorHAnsi" w:eastAsiaTheme="minorEastAsia" w:cstheme="minorBidi"/>
    </w:rPr>
  </w:style>
  <w:style w:type="character" w:customStyle="1" w:styleId="190">
    <w:name w:val="方案正文 字符"/>
    <w:link w:val="191"/>
    <w:qFormat/>
    <w:uiPriority w:val="0"/>
    <w:rPr>
      <w:rFonts w:ascii="仿宋" w:hAnsi="仿宋" w:eastAsia="仿宋" w:cs="宋体"/>
      <w:color w:val="000000"/>
      <w:sz w:val="28"/>
      <w:szCs w:val="32"/>
    </w:rPr>
  </w:style>
  <w:style w:type="paragraph" w:customStyle="1" w:styleId="191">
    <w:name w:val="方案正文"/>
    <w:basedOn w:val="161"/>
    <w:link w:val="190"/>
    <w:qFormat/>
    <w:uiPriority w:val="0"/>
    <w:pPr>
      <w:spacing w:line="360" w:lineRule="auto"/>
      <w:ind w:left="1140" w:firstLine="0" w:firstLineChars="0"/>
      <w:jc w:val="left"/>
    </w:pPr>
    <w:rPr>
      <w:rFonts w:ascii="仿宋" w:hAnsi="仿宋" w:eastAsia="仿宋" w:cs="宋体"/>
      <w:color w:val="000000"/>
      <w:sz w:val="28"/>
      <w:szCs w:val="32"/>
    </w:rPr>
  </w:style>
  <w:style w:type="character" w:customStyle="1" w:styleId="192">
    <w:name w:val="正文2019 Char"/>
    <w:link w:val="193"/>
    <w:qFormat/>
    <w:uiPriority w:val="0"/>
    <w:rPr>
      <w:rFonts w:ascii="仿宋" w:hAnsi="仿宋" w:eastAsia="仿宋"/>
      <w:sz w:val="32"/>
      <w:szCs w:val="32"/>
    </w:rPr>
  </w:style>
  <w:style w:type="paragraph" w:customStyle="1" w:styleId="193">
    <w:name w:val="正文2019"/>
    <w:basedOn w:val="1"/>
    <w:link w:val="192"/>
    <w:qFormat/>
    <w:uiPriority w:val="0"/>
    <w:pPr>
      <w:spacing w:line="276" w:lineRule="auto"/>
      <w:ind w:firstLine="630" w:firstLineChars="200"/>
      <w:jc w:val="left"/>
    </w:pPr>
    <w:rPr>
      <w:rFonts w:ascii="仿宋" w:hAnsi="仿宋" w:eastAsia="仿宋" w:cstheme="minorBidi"/>
      <w:sz w:val="32"/>
      <w:szCs w:val="32"/>
    </w:rPr>
  </w:style>
  <w:style w:type="character" w:customStyle="1" w:styleId="194">
    <w:name w:val="投标正文 Char Char"/>
    <w:link w:val="195"/>
    <w:qFormat/>
    <w:uiPriority w:val="0"/>
    <w:rPr>
      <w:sz w:val="24"/>
      <w:szCs w:val="24"/>
    </w:rPr>
  </w:style>
  <w:style w:type="paragraph" w:customStyle="1" w:styleId="195">
    <w:name w:val="投标正文"/>
    <w:basedOn w:val="1"/>
    <w:link w:val="194"/>
    <w:qFormat/>
    <w:uiPriority w:val="0"/>
    <w:pPr>
      <w:spacing w:line="360" w:lineRule="auto"/>
      <w:ind w:left="100" w:firstLine="480" w:firstLineChars="200"/>
    </w:pPr>
    <w:rPr>
      <w:rFonts w:asciiTheme="minorHAnsi" w:hAnsiTheme="minorHAnsi" w:eastAsiaTheme="minorEastAsia" w:cstheme="minorBidi"/>
      <w:sz w:val="24"/>
      <w:szCs w:val="24"/>
    </w:rPr>
  </w:style>
  <w:style w:type="character" w:customStyle="1" w:styleId="196">
    <w:name w:val="*正文 Char"/>
    <w:link w:val="197"/>
    <w:qFormat/>
    <w:uiPriority w:val="0"/>
    <w:rPr>
      <w:rFonts w:ascii="Time" w:hAnsi="Time"/>
      <w:sz w:val="24"/>
      <w:szCs w:val="24"/>
      <w:lang w:val="zh-CN" w:bidi="en-US"/>
    </w:rPr>
  </w:style>
  <w:style w:type="paragraph" w:customStyle="1" w:styleId="197">
    <w:name w:val="*正文"/>
    <w:basedOn w:val="1"/>
    <w:link w:val="196"/>
    <w:qFormat/>
    <w:uiPriority w:val="0"/>
    <w:pPr>
      <w:widowControl/>
      <w:spacing w:line="360" w:lineRule="auto"/>
      <w:ind w:firstLine="200" w:firstLineChars="200"/>
      <w:contextualSpacing/>
    </w:pPr>
    <w:rPr>
      <w:rFonts w:ascii="Time" w:hAnsi="Time" w:eastAsiaTheme="minorEastAsia" w:cstheme="minorBidi"/>
      <w:sz w:val="24"/>
      <w:szCs w:val="24"/>
      <w:lang w:val="zh-CN" w:bidi="en-US"/>
    </w:rPr>
  </w:style>
  <w:style w:type="paragraph" w:customStyle="1" w:styleId="198">
    <w:name w:val="列出段落3"/>
    <w:basedOn w:val="1"/>
    <w:qFormat/>
    <w:uiPriority w:val="99"/>
    <w:pPr>
      <w:ind w:firstLine="420" w:firstLineChars="200"/>
    </w:pPr>
    <w:rPr>
      <w:sz w:val="32"/>
      <w:szCs w:val="24"/>
    </w:rPr>
  </w:style>
  <w:style w:type="paragraph" w:customStyle="1" w:styleId="199">
    <w:name w:val="列出段落7"/>
    <w:basedOn w:val="1"/>
    <w:qFormat/>
    <w:uiPriority w:val="34"/>
    <w:pPr>
      <w:spacing w:line="360" w:lineRule="auto"/>
      <w:ind w:firstLine="420" w:firstLineChars="200"/>
    </w:pPr>
    <w:rPr>
      <w:rFonts w:eastAsia="仿宋_GB2312" w:cs="宋体"/>
      <w:sz w:val="32"/>
      <w:szCs w:val="21"/>
    </w:rPr>
  </w:style>
  <w:style w:type="paragraph" w:customStyle="1" w:styleId="200">
    <w:name w:val="TOC 标题1"/>
    <w:basedOn w:val="3"/>
    <w:next w:val="1"/>
    <w:qFormat/>
    <w:uiPriority w:val="39"/>
    <w:pPr>
      <w:keepNext/>
      <w:keepLines/>
      <w:widowControl/>
      <w:autoSpaceDE/>
      <w:autoSpaceDN/>
      <w:adjustRightInd/>
      <w:spacing w:before="240" w:line="259" w:lineRule="auto"/>
      <w:jc w:val="left"/>
      <w:outlineLvl w:val="9"/>
    </w:pPr>
    <w:rPr>
      <w:rFonts w:ascii="等线 Light" w:hAnsi="等线 Light" w:eastAsia="等线 Light"/>
      <w:b w:val="0"/>
      <w:bCs w:val="0"/>
      <w:color w:val="2F5496"/>
      <w:sz w:val="32"/>
      <w:szCs w:val="32"/>
    </w:rPr>
  </w:style>
  <w:style w:type="paragraph" w:customStyle="1" w:styleId="201">
    <w:name w:val="自定义正文"/>
    <w:basedOn w:val="1"/>
    <w:qFormat/>
    <w:uiPriority w:val="0"/>
    <w:pPr>
      <w:spacing w:before="120" w:after="60" w:line="400" w:lineRule="exact"/>
      <w:ind w:firstLine="200" w:firstLineChars="200"/>
      <w:jc w:val="left"/>
    </w:pPr>
    <w:rPr>
      <w:rFonts w:ascii="仿宋_GB2312" w:hAnsi="Times New Roman" w:eastAsia="仿宋_GB2312"/>
      <w:sz w:val="24"/>
      <w:szCs w:val="20"/>
    </w:rPr>
  </w:style>
  <w:style w:type="paragraph" w:customStyle="1" w:styleId="202">
    <w:name w:val="修订1"/>
    <w:unhideWhenUsed/>
    <w:qFormat/>
    <w:uiPriority w:val="99"/>
    <w:rPr>
      <w:rFonts w:ascii="等线" w:hAnsi="等线" w:eastAsia="等线" w:cs="Times New Roman"/>
      <w:kern w:val="2"/>
      <w:sz w:val="21"/>
      <w:szCs w:val="22"/>
      <w:lang w:val="en-US" w:eastAsia="zh-CN" w:bidi="ar-SA"/>
    </w:rPr>
  </w:style>
  <w:style w:type="paragraph" w:customStyle="1" w:styleId="203">
    <w:name w:val="样式 正文首行缩进 2 + 首行缩进:  2 字符"/>
    <w:basedOn w:val="1"/>
    <w:qFormat/>
    <w:uiPriority w:val="0"/>
    <w:pPr>
      <w:spacing w:line="360" w:lineRule="auto"/>
      <w:ind w:firstLine="480" w:firstLineChars="200"/>
    </w:pPr>
    <w:rPr>
      <w:rFonts w:ascii="等线" w:hAnsi="等线" w:eastAsia="仿宋"/>
      <w:sz w:val="32"/>
      <w:szCs w:val="21"/>
    </w:rPr>
  </w:style>
  <w:style w:type="paragraph" w:customStyle="1" w:styleId="204">
    <w:name w:val="A正文小四"/>
    <w:basedOn w:val="1"/>
    <w:qFormat/>
    <w:uiPriority w:val="0"/>
    <w:pPr>
      <w:spacing w:line="360" w:lineRule="auto"/>
      <w:ind w:firstLine="200" w:firstLineChars="200"/>
    </w:pPr>
    <w:rPr>
      <w:rFonts w:ascii="Times New Roman" w:hAnsi="Times New Roman" w:eastAsia="仿宋"/>
      <w:sz w:val="30"/>
      <w:szCs w:val="24"/>
    </w:rPr>
  </w:style>
  <w:style w:type="paragraph" w:customStyle="1" w:styleId="205">
    <w:name w:val="修订2"/>
    <w:hidden/>
    <w:semiHidden/>
    <w:qFormat/>
    <w:uiPriority w:val="99"/>
    <w:rPr>
      <w:rFonts w:ascii="Calibri" w:hAnsi="Calibri" w:eastAsia="宋体" w:cs="Times New Roman"/>
      <w:kern w:val="2"/>
      <w:sz w:val="21"/>
      <w:szCs w:val="22"/>
      <w:lang w:val="en-US" w:eastAsia="zh-CN" w:bidi="ar-SA"/>
    </w:rPr>
  </w:style>
  <w:style w:type="paragraph" w:customStyle="1" w:styleId="206">
    <w:name w:val="一级章标题"/>
    <w:basedOn w:val="3"/>
    <w:next w:val="207"/>
    <w:qFormat/>
    <w:uiPriority w:val="0"/>
    <w:pPr>
      <w:keepNext/>
      <w:keepLines/>
      <w:autoSpaceDE/>
      <w:autoSpaceDN/>
      <w:adjustRightInd/>
      <w:spacing w:before="560" w:after="400" w:line="240" w:lineRule="auto"/>
      <w:ind w:left="425"/>
      <w:contextualSpacing/>
    </w:pPr>
    <w:rPr>
      <w:rFonts w:eastAsia="黑体"/>
      <w:b w:val="0"/>
      <w:kern w:val="44"/>
      <w:sz w:val="32"/>
      <w:szCs w:val="32"/>
    </w:rPr>
  </w:style>
  <w:style w:type="paragraph" w:customStyle="1" w:styleId="207">
    <w:name w:val="二级节标题"/>
    <w:basedOn w:val="4"/>
    <w:next w:val="208"/>
    <w:qFormat/>
    <w:uiPriority w:val="0"/>
    <w:pPr>
      <w:tabs>
        <w:tab w:val="left" w:pos="360"/>
      </w:tabs>
      <w:spacing w:before="480" w:after="360" w:line="240" w:lineRule="auto"/>
      <w:contextualSpacing/>
      <w:jc w:val="left"/>
    </w:pPr>
    <w:rPr>
      <w:rFonts w:ascii="Times New Roman" w:hAnsi="Times New Roman"/>
      <w:bCs w:val="0"/>
    </w:rPr>
  </w:style>
  <w:style w:type="paragraph" w:customStyle="1" w:styleId="208">
    <w:name w:val="三级节标题"/>
    <w:basedOn w:val="2"/>
    <w:next w:val="209"/>
    <w:qFormat/>
    <w:uiPriority w:val="0"/>
    <w:pPr>
      <w:tabs>
        <w:tab w:val="left" w:pos="360"/>
      </w:tabs>
      <w:spacing w:before="400" w:after="320" w:line="240" w:lineRule="auto"/>
      <w:contextualSpacing/>
      <w:jc w:val="left"/>
    </w:pPr>
    <w:rPr>
      <w:rFonts w:ascii="Times New Roman" w:hAnsi="Times New Roman" w:eastAsia="黑体"/>
      <w:sz w:val="30"/>
    </w:rPr>
  </w:style>
  <w:style w:type="paragraph" w:customStyle="1" w:styleId="209">
    <w:name w:val="四级节标题"/>
    <w:basedOn w:val="5"/>
    <w:next w:val="210"/>
    <w:qFormat/>
    <w:uiPriority w:val="0"/>
    <w:pPr>
      <w:tabs>
        <w:tab w:val="left" w:pos="360"/>
      </w:tabs>
      <w:spacing w:before="320" w:after="280" w:line="240" w:lineRule="auto"/>
      <w:contextualSpacing/>
    </w:pPr>
    <w:rPr>
      <w:rFonts w:ascii="Times New Roman" w:hAnsi="Times New Roman"/>
    </w:rPr>
  </w:style>
  <w:style w:type="paragraph" w:customStyle="1" w:styleId="210">
    <w:name w:val="五级节标题"/>
    <w:basedOn w:val="6"/>
    <w:next w:val="211"/>
    <w:qFormat/>
    <w:uiPriority w:val="0"/>
    <w:pPr>
      <w:tabs>
        <w:tab w:val="left" w:pos="360"/>
      </w:tabs>
      <w:spacing w:before="240" w:after="200" w:line="240" w:lineRule="auto"/>
      <w:contextualSpacing/>
    </w:pPr>
    <w:rPr>
      <w:rFonts w:eastAsia="仿宋_GB2312"/>
    </w:rPr>
  </w:style>
  <w:style w:type="paragraph" w:customStyle="1" w:styleId="211">
    <w:name w:val="六级节标题"/>
    <w:basedOn w:val="7"/>
    <w:next w:val="1"/>
    <w:qFormat/>
    <w:uiPriority w:val="0"/>
    <w:pPr>
      <w:tabs>
        <w:tab w:val="left" w:pos="360"/>
        <w:tab w:val="left" w:pos="1200"/>
      </w:tabs>
      <w:spacing w:before="160" w:after="120" w:line="240" w:lineRule="auto"/>
      <w:contextualSpacing/>
    </w:pPr>
    <w:rPr>
      <w:rFonts w:ascii="Calibri Light" w:hAnsi="Calibri Light" w:eastAsia="仿宋_GB2312"/>
      <w:sz w:val="21"/>
    </w:rPr>
  </w:style>
  <w:style w:type="paragraph" w:customStyle="1" w:styleId="212">
    <w:name w:val="可研正文"/>
    <w:basedOn w:val="1"/>
    <w:qFormat/>
    <w:uiPriority w:val="0"/>
    <w:pPr>
      <w:spacing w:line="360" w:lineRule="auto"/>
      <w:ind w:firstLine="200" w:firstLineChars="200"/>
    </w:pPr>
    <w:rPr>
      <w:rFonts w:eastAsia="仿宋_GB2312"/>
      <w:bCs/>
      <w:kern w:val="0"/>
      <w:sz w:val="28"/>
      <w:szCs w:val="20"/>
    </w:rPr>
  </w:style>
  <w:style w:type="paragraph" w:customStyle="1" w:styleId="213">
    <w:name w:val="二级章标题"/>
    <w:basedOn w:val="207"/>
    <w:qFormat/>
    <w:uiPriority w:val="0"/>
    <w:pPr>
      <w:numPr>
        <w:ilvl w:val="0"/>
        <w:numId w:val="2"/>
      </w:numPr>
      <w:spacing w:beforeLines="100" w:afterLines="50" w:line="360" w:lineRule="auto"/>
      <w:ind w:left="981" w:firstLine="0"/>
    </w:pPr>
    <w:rPr>
      <w:rFonts w:ascii="仿宋" w:hAnsi="仿宋" w:eastAsia="仿宋" w:cs="仿宋"/>
      <w:color w:val="000000"/>
      <w:sz w:val="30"/>
      <w:szCs w:val="30"/>
      <w:shd w:val="clear" w:color="auto" w:fill="FFFFFF"/>
    </w:rPr>
  </w:style>
  <w:style w:type="paragraph" w:customStyle="1" w:styleId="214">
    <w:name w:val="三级章标题"/>
    <w:basedOn w:val="208"/>
    <w:qFormat/>
    <w:uiPriority w:val="0"/>
    <w:pPr>
      <w:numPr>
        <w:ilvl w:val="0"/>
        <w:numId w:val="3"/>
      </w:numPr>
      <w:spacing w:beforeLines="50" w:after="0" w:line="360" w:lineRule="auto"/>
      <w:ind w:left="919" w:firstLine="0"/>
    </w:pPr>
    <w:rPr>
      <w:rFonts w:ascii="仿宋" w:hAnsi="仿宋" w:eastAsia="仿宋"/>
    </w:rPr>
  </w:style>
  <w:style w:type="paragraph" w:customStyle="1" w:styleId="215">
    <w:name w:val="样式 仿宋 三号 黑色 行距: 1.5 倍行距 首行缩进:  2 字符"/>
    <w:basedOn w:val="1"/>
    <w:qFormat/>
    <w:uiPriority w:val="0"/>
    <w:pPr>
      <w:spacing w:line="360" w:lineRule="auto"/>
      <w:ind w:firstLine="640" w:firstLineChars="200"/>
    </w:pPr>
    <w:rPr>
      <w:rFonts w:ascii="仿宋" w:hAnsi="仿宋" w:eastAsia="仿宋" w:cs="宋体"/>
      <w:color w:val="000000"/>
      <w:sz w:val="28"/>
      <w:szCs w:val="20"/>
    </w:rPr>
  </w:style>
  <w:style w:type="character" w:customStyle="1" w:styleId="216">
    <w:name w:val="纯文本 Char2"/>
    <w:qFormat/>
    <w:uiPriority w:val="99"/>
    <w:rPr>
      <w:rFonts w:ascii="宋体" w:hAnsi="Courier New" w:eastAsia="宋体" w:cs="Times New Roman"/>
      <w:kern w:val="2"/>
      <w:sz w:val="24"/>
      <w:szCs w:val="24"/>
    </w:rPr>
  </w:style>
  <w:style w:type="character" w:customStyle="1" w:styleId="217">
    <w:name w:val="正文缩进 Char1"/>
    <w:qFormat/>
    <w:uiPriority w:val="0"/>
    <w:rPr>
      <w:rFonts w:ascii="Calibri" w:hAnsi="Calibri" w:eastAsia="宋体" w:cs="Times New Roman"/>
      <w:kern w:val="2"/>
      <w:sz w:val="21"/>
      <w:lang w:val="en-US" w:eastAsia="zh-CN" w:bidi="ar-SA"/>
    </w:rPr>
  </w:style>
  <w:style w:type="character" w:customStyle="1" w:styleId="218">
    <w:name w:val="题注 字符"/>
    <w:link w:val="12"/>
    <w:qFormat/>
    <w:uiPriority w:val="0"/>
    <w:rPr>
      <w:rFonts w:ascii="Arial" w:hAnsi="Arial" w:eastAsia="黑体" w:cs="Arial"/>
      <w:sz w:val="20"/>
      <w:szCs w:val="20"/>
    </w:rPr>
  </w:style>
  <w:style w:type="character" w:customStyle="1" w:styleId="219">
    <w:name w:val="页眉 Char"/>
    <w:basedOn w:val="45"/>
    <w:link w:val="28"/>
    <w:qFormat/>
    <w:uiPriority w:val="99"/>
    <w:rPr>
      <w:rFonts w:ascii="Times New Roman" w:hAnsi="Times New Roman" w:eastAsia="宋体" w:cs="Times New Roman"/>
      <w:sz w:val="18"/>
      <w:szCs w:val="18"/>
    </w:rPr>
  </w:style>
  <w:style w:type="character" w:customStyle="1" w:styleId="220">
    <w:name w:val="页脚 Char"/>
    <w:basedOn w:val="45"/>
    <w:link w:val="27"/>
    <w:qFormat/>
    <w:uiPriority w:val="99"/>
    <w:rPr>
      <w:rFonts w:ascii="Times New Roman" w:hAnsi="Times New Roman" w:eastAsia="宋体" w:cs="Times New Roman"/>
      <w:sz w:val="18"/>
      <w:szCs w:val="18"/>
    </w:rPr>
  </w:style>
  <w:style w:type="character" w:customStyle="1" w:styleId="221">
    <w:name w:val="文档结构图 Char"/>
    <w:basedOn w:val="45"/>
    <w:link w:val="13"/>
    <w:semiHidden/>
    <w:qFormat/>
    <w:uiPriority w:val="99"/>
    <w:rPr>
      <w:rFonts w:ascii="宋体" w:hAnsi="Times New Roman" w:eastAsia="宋体" w:cs="Times New Roman"/>
      <w:sz w:val="18"/>
      <w:szCs w:val="18"/>
    </w:rPr>
  </w:style>
  <w:style w:type="character" w:customStyle="1" w:styleId="222">
    <w:name w:val="批注文字 Char"/>
    <w:basedOn w:val="45"/>
    <w:link w:val="14"/>
    <w:semiHidden/>
    <w:qFormat/>
    <w:uiPriority w:val="99"/>
    <w:rPr>
      <w:rFonts w:ascii="Times New Roman" w:hAnsi="Times New Roman" w:eastAsia="宋体" w:cs="Times New Roman"/>
    </w:rPr>
  </w:style>
  <w:style w:type="character" w:customStyle="1" w:styleId="223">
    <w:name w:val="批注主题 Char"/>
    <w:basedOn w:val="222"/>
    <w:link w:val="41"/>
    <w:semiHidden/>
    <w:qFormat/>
    <w:uiPriority w:val="99"/>
    <w:rPr>
      <w:b/>
      <w:bCs/>
    </w:rPr>
  </w:style>
  <w:style w:type="character" w:customStyle="1" w:styleId="224">
    <w:name w:val="批注框文本 Char"/>
    <w:basedOn w:val="45"/>
    <w:link w:val="2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21254</Words>
  <Characters>22443</Characters>
  <Lines>29</Lines>
  <Paragraphs>8</Paragraphs>
  <TotalTime>1</TotalTime>
  <ScaleCrop>false</ScaleCrop>
  <LinksUpToDate>false</LinksUpToDate>
  <CharactersWithSpaces>23167</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2022-04-21T02:37:00Z</dcterms:created>
  <dc:creator>综合办</dc:creator>
  <cp:lastModifiedBy>yang</cp:lastModifiedBy>
  <cp:lastPrinted>2020-02-27T07:01:00Z</cp:lastPrinted>
  <dcterms:modified xsi:type="dcterms:W3CDTF">2022-06-07T01:05:48Z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AFE8D49949394F49BEBC79227DF1B1C0</vt:lpwstr>
  </property>
</Properties>
</file>