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ind w:right="-108"/>
        <w:jc w:val="center"/>
        <w:rPr>
          <w:rFonts w:ascii="仿宋" w:hAnsi="仿宋" w:eastAsia="仿宋" w:cs="仿宋"/>
          <w:b/>
          <w:color w:val="000000"/>
          <w:sz w:val="48"/>
          <w:szCs w:val="48"/>
        </w:rPr>
      </w:pPr>
      <w:bookmarkStart w:id="22" w:name="_GoBack"/>
      <w:bookmarkEnd w:id="22"/>
      <w:r>
        <w:rPr>
          <w:rFonts w:hint="eastAsia" w:ascii="仿宋" w:hAnsi="仿宋" w:eastAsia="仿宋" w:cs="仿宋"/>
          <w:b/>
          <w:color w:val="000000"/>
          <w:sz w:val="48"/>
          <w:szCs w:val="48"/>
        </w:rPr>
        <w:t>浙江省体育彩票管理中心即开型体育彩票高效运营服务项目</w:t>
      </w:r>
    </w:p>
    <w:p>
      <w:pPr>
        <w:spacing w:before="312" w:beforeLines="100" w:line="360" w:lineRule="auto"/>
        <w:ind w:right="-108"/>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项目编号：ZZCG2024T-GK-107</w:t>
      </w:r>
    </w:p>
    <w:p>
      <w:pPr>
        <w:pStyle w:val="992"/>
        <w:rPr>
          <w:color w:val="000000" w:themeColor="text1"/>
          <w14:textFill>
            <w14:solidFill>
              <w14:schemeClr w14:val="tx1"/>
            </w14:solidFill>
          </w14:textFill>
        </w:rPr>
      </w:pPr>
    </w:p>
    <w:p>
      <w:pPr>
        <w:spacing w:before="156" w:beforeLines="50" w:after="156" w:afterLines="50"/>
        <w:jc w:val="center"/>
        <w:rPr>
          <w:rFonts w:hint="default" w:eastAsia="宋体"/>
          <w:b/>
          <w:color w:val="000000" w:themeColor="text1"/>
          <w:spacing w:val="40"/>
          <w:sz w:val="84"/>
          <w:szCs w:val="84"/>
          <w:lang w:val="en-US" w:eastAsia="zh-CN"/>
          <w14:textFill>
            <w14:solidFill>
              <w14:schemeClr w14:val="tx1"/>
            </w14:solidFill>
          </w14:textFill>
        </w:rPr>
      </w:pPr>
      <w:r>
        <w:rPr>
          <w:rFonts w:hAnsi="宋体"/>
          <w:b/>
          <w:color w:val="000000" w:themeColor="text1"/>
          <w:spacing w:val="40"/>
          <w:sz w:val="84"/>
          <w:szCs w:val="84"/>
          <w14:textFill>
            <w14:solidFill>
              <w14:schemeClr w14:val="tx1"/>
            </w14:solidFill>
          </w14:textFill>
        </w:rPr>
        <w:t>公</w:t>
      </w:r>
    </w:p>
    <w:p>
      <w:pPr>
        <w:spacing w:before="156" w:beforeLines="50" w:after="156"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开</w:t>
      </w:r>
    </w:p>
    <w:p>
      <w:pPr>
        <w:spacing w:before="156" w:beforeLines="50" w:after="156"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招</w:t>
      </w:r>
    </w:p>
    <w:p>
      <w:pPr>
        <w:spacing w:before="156" w:beforeLines="50" w:after="156"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标</w:t>
      </w:r>
    </w:p>
    <w:p>
      <w:pPr>
        <w:spacing w:before="156" w:beforeLines="50" w:after="156"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文</w:t>
      </w:r>
    </w:p>
    <w:p>
      <w:pPr>
        <w:spacing w:before="156" w:beforeLines="50" w:after="156" w:afterLines="50"/>
        <w:jc w:val="center"/>
        <w:rPr>
          <w:b/>
          <w:color w:val="000000" w:themeColor="text1"/>
          <w:spacing w:val="40"/>
          <w:sz w:val="84"/>
          <w:szCs w:val="84"/>
          <w14:textFill>
            <w14:solidFill>
              <w14:schemeClr w14:val="tx1"/>
            </w14:solidFill>
          </w14:textFill>
        </w:rPr>
      </w:pPr>
      <w:r>
        <w:rPr>
          <w:rFonts w:hAnsi="宋体"/>
          <w:b/>
          <w:color w:val="000000" w:themeColor="text1"/>
          <w:spacing w:val="40"/>
          <w:sz w:val="84"/>
          <w:szCs w:val="84"/>
          <w14:textFill>
            <w14:solidFill>
              <w14:schemeClr w14:val="tx1"/>
            </w14:solidFill>
          </w14:textFill>
        </w:rPr>
        <w:t>件</w:t>
      </w:r>
    </w:p>
    <w:p>
      <w:pPr>
        <w:ind w:right="-110"/>
        <w:rPr>
          <w:color w:val="000000" w:themeColor="text1"/>
          <w:sz w:val="32"/>
          <w:szCs w:val="32"/>
          <w14:textFill>
            <w14:solidFill>
              <w14:schemeClr w14:val="tx1"/>
            </w14:solidFill>
          </w14:textFill>
        </w:rPr>
      </w:pPr>
    </w:p>
    <w:p>
      <w:pPr>
        <w:spacing w:line="500" w:lineRule="exact"/>
        <w:jc w:val="center"/>
        <w:rPr>
          <w:rFonts w:ascii="宋体" w:hAnsi="宋体"/>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浙 江 省 政 府 采 购 中 心</w:t>
      </w:r>
    </w:p>
    <w:p>
      <w:pPr>
        <w:spacing w:line="500" w:lineRule="exact"/>
        <w:jc w:val="center"/>
        <w:rPr>
          <w:rFonts w:ascii="宋体" w:hAnsi="宋体"/>
          <w:color w:val="000000" w:themeColor="text1"/>
          <w:sz w:val="36"/>
          <w:szCs w:val="36"/>
          <w14:textFill>
            <w14:solidFill>
              <w14:schemeClr w14:val="tx1"/>
            </w14:solidFill>
          </w14:textFill>
        </w:rPr>
      </w:pPr>
    </w:p>
    <w:p>
      <w:pPr>
        <w:spacing w:line="500" w:lineRule="exact"/>
        <w:jc w:val="center"/>
        <w:rPr>
          <w:rFonts w:hAnsi="宋体"/>
          <w:b/>
          <w:color w:val="000000" w:themeColor="text1"/>
          <w:sz w:val="36"/>
          <w:szCs w:val="36"/>
          <w14:textFill>
            <w14:solidFill>
              <w14:schemeClr w14:val="tx1"/>
            </w14:solidFill>
          </w14:textFill>
        </w:rPr>
      </w:pPr>
      <w:r>
        <w:rPr>
          <w:rFonts w:hint="eastAsia" w:ascii="宋体" w:hAnsi="宋体"/>
          <w:color w:val="000000" w:themeColor="text1"/>
          <w:sz w:val="36"/>
          <w:szCs w:val="36"/>
          <w14:textFill>
            <w14:solidFill>
              <w14:schemeClr w14:val="tx1"/>
            </w14:solidFill>
          </w14:textFill>
        </w:rPr>
        <w:t>地    址：浙江省杭州市西湖区宝石一路3号</w:t>
      </w:r>
    </w:p>
    <w:p>
      <w:pPr>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br w:type="page"/>
      </w:r>
    </w:p>
    <w:p>
      <w:pPr>
        <w:wordWrap w:val="0"/>
        <w:spacing w:line="500" w:lineRule="exact"/>
        <w:jc w:val="center"/>
        <w:rPr>
          <w:rFonts w:hAnsi="宋体"/>
          <w:b/>
          <w:color w:val="000000" w:themeColor="text1"/>
          <w:sz w:val="44"/>
          <w:szCs w:val="44"/>
          <w14:textFill>
            <w14:solidFill>
              <w14:schemeClr w14:val="tx1"/>
            </w14:solidFill>
          </w14:textFill>
        </w:rPr>
      </w:pPr>
      <w:r>
        <w:rPr>
          <w:rFonts w:hint="eastAsia" w:hAnsi="宋体"/>
          <w:b/>
          <w:color w:val="000000" w:themeColor="text1"/>
          <w:sz w:val="44"/>
          <w:szCs w:val="44"/>
          <w14:textFill>
            <w14:solidFill>
              <w14:schemeClr w14:val="tx1"/>
            </w14:solidFill>
          </w14:textFill>
        </w:rPr>
        <w:t>目   录</w:t>
      </w:r>
    </w:p>
    <w:p>
      <w:pPr>
        <w:pStyle w:val="31"/>
        <w:spacing w:before="156" w:after="156" w:line="360" w:lineRule="auto"/>
        <w:jc w:val="center"/>
        <w:rPr>
          <w:rFonts w:hAnsi="宋体" w:eastAsia="仿宋_GB2312"/>
          <w:color w:val="000000" w:themeColor="text1"/>
          <w:sz w:val="32"/>
          <w:szCs w:val="32"/>
          <w14:textFill>
            <w14:solidFill>
              <w14:schemeClr w14:val="tx1"/>
            </w14:solidFill>
          </w14:textFill>
        </w:rPr>
      </w:pPr>
    </w:p>
    <w:p>
      <w:pPr>
        <w:pStyle w:val="40"/>
        <w:tabs>
          <w:tab w:val="right" w:leader="dot" w:pos="8834"/>
        </w:tabs>
        <w:rPr>
          <w:rFonts w:ascii="仿宋" w:hAnsi="仿宋" w:cs="仿宋"/>
          <w:color w:val="000000" w:themeColor="text1"/>
          <w:sz w:val="32"/>
          <w:szCs w:val="32"/>
          <w14:textFill>
            <w14:solidFill>
              <w14:schemeClr w14:val="tx1"/>
            </w14:solidFill>
          </w14:textFill>
        </w:rPr>
      </w:pPr>
      <w:r>
        <w:rPr>
          <w:rFonts w:hint="eastAsia" w:ascii="仿宋" w:hAnsi="仿宋" w:cs="仿宋"/>
          <w:color w:val="000000" w:themeColor="text1"/>
          <w:sz w:val="32"/>
          <w:szCs w:val="32"/>
          <w14:textFill>
            <w14:solidFill>
              <w14:schemeClr w14:val="tx1"/>
            </w14:solidFill>
          </w14:textFill>
        </w:rPr>
        <w:fldChar w:fldCharType="begin"/>
      </w:r>
      <w:r>
        <w:rPr>
          <w:rFonts w:hint="eastAsia" w:ascii="仿宋" w:hAnsi="仿宋" w:cs="仿宋"/>
          <w:color w:val="000000" w:themeColor="text1"/>
          <w:sz w:val="32"/>
          <w:szCs w:val="32"/>
          <w14:textFill>
            <w14:solidFill>
              <w14:schemeClr w14:val="tx1"/>
            </w14:solidFill>
          </w14:textFill>
        </w:rPr>
        <w:instrText xml:space="preserve"> TOC \o "1-1" \h \z \u </w:instrText>
      </w:r>
      <w:r>
        <w:rPr>
          <w:rFonts w:hint="eastAsia" w:ascii="仿宋" w:hAnsi="仿宋" w:cs="仿宋"/>
          <w:color w:val="000000" w:themeColor="text1"/>
          <w:sz w:val="32"/>
          <w:szCs w:val="32"/>
          <w14:textFill>
            <w14:solidFill>
              <w14:schemeClr w14:val="tx1"/>
            </w14:solidFill>
          </w14:textFill>
        </w:rPr>
        <w:fldChar w:fldCharType="separate"/>
      </w:r>
      <w:r>
        <w:rPr>
          <w:rFonts w:hint="eastAsia"/>
        </w:rPr>
        <w:fldChar w:fldCharType="begin"/>
      </w:r>
      <w:r>
        <w:instrText xml:space="preserve"> HYPERLINK \l "_Toc496796635" </w:instrText>
      </w:r>
      <w:r>
        <w:rPr>
          <w:rFonts w:hint="eastAsia"/>
        </w:rPr>
        <w:fldChar w:fldCharType="separate"/>
      </w:r>
      <w:r>
        <w:rPr>
          <w:rStyle w:val="69"/>
          <w:rFonts w:hint="eastAsia" w:ascii="仿宋" w:hAnsi="仿宋" w:cs="仿宋"/>
          <w:b/>
          <w:color w:val="000000" w:themeColor="text1"/>
          <w:sz w:val="32"/>
          <w:szCs w:val="32"/>
          <w14:textFill>
            <w14:solidFill>
              <w14:schemeClr w14:val="tx1"/>
            </w14:solidFill>
          </w14:textFill>
        </w:rPr>
        <w:t>第一章  公开招标采购公告</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3</w:t>
      </w:r>
      <w:r>
        <w:rPr>
          <w:rFonts w:hint="eastAsia" w:ascii="仿宋" w:hAnsi="仿宋" w:cs="仿宋"/>
          <w:color w:val="000000" w:themeColor="text1"/>
          <w:sz w:val="32"/>
          <w:szCs w:val="32"/>
          <w14:textFill>
            <w14:solidFill>
              <w14:schemeClr w14:val="tx1"/>
            </w14:solidFill>
          </w14:textFill>
        </w:rPr>
        <w:fldChar w:fldCharType="end"/>
      </w:r>
    </w:p>
    <w:p>
      <w:pPr>
        <w:pStyle w:val="40"/>
        <w:tabs>
          <w:tab w:val="right" w:leader="dot" w:pos="8834"/>
        </w:tabs>
        <w:rPr>
          <w:rFonts w:ascii="仿宋" w:hAnsi="仿宋" w:cs="仿宋"/>
          <w:color w:val="000000" w:themeColor="text1"/>
          <w:sz w:val="32"/>
          <w:szCs w:val="32"/>
          <w14:textFill>
            <w14:solidFill>
              <w14:schemeClr w14:val="tx1"/>
            </w14:solidFill>
          </w14:textFill>
        </w:rPr>
      </w:pPr>
      <w:r>
        <w:rPr>
          <w:rFonts w:hint="eastAsia"/>
        </w:rPr>
        <w:fldChar w:fldCharType="begin"/>
      </w:r>
      <w:r>
        <w:instrText xml:space="preserve"> HYPERLINK \l "_Toc496796636" </w:instrText>
      </w:r>
      <w:r>
        <w:rPr>
          <w:rFonts w:hint="eastAsia"/>
        </w:rPr>
        <w:fldChar w:fldCharType="separate"/>
      </w:r>
      <w:r>
        <w:rPr>
          <w:rStyle w:val="69"/>
          <w:rFonts w:hint="eastAsia" w:ascii="仿宋" w:hAnsi="仿宋" w:cs="仿宋"/>
          <w:b/>
          <w:color w:val="000000" w:themeColor="text1"/>
          <w:sz w:val="32"/>
          <w:szCs w:val="32"/>
          <w14:textFill>
            <w14:solidFill>
              <w14:schemeClr w14:val="tx1"/>
            </w14:solidFill>
          </w14:textFill>
        </w:rPr>
        <w:t>第二章  投标人须知</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8</w:t>
      </w:r>
      <w:r>
        <w:rPr>
          <w:rFonts w:hint="eastAsia" w:ascii="仿宋" w:hAnsi="仿宋" w:cs="仿宋"/>
          <w:color w:val="000000" w:themeColor="text1"/>
          <w:sz w:val="32"/>
          <w:szCs w:val="32"/>
          <w14:textFill>
            <w14:solidFill>
              <w14:schemeClr w14:val="tx1"/>
            </w14:solidFill>
          </w14:textFill>
        </w:rPr>
        <w:fldChar w:fldCharType="end"/>
      </w:r>
    </w:p>
    <w:p>
      <w:pPr>
        <w:pStyle w:val="40"/>
        <w:tabs>
          <w:tab w:val="right" w:leader="dot" w:pos="8834"/>
        </w:tabs>
        <w:rPr>
          <w:rFonts w:ascii="仿宋" w:hAnsi="仿宋" w:cs="仿宋"/>
          <w:color w:val="000000" w:themeColor="text1"/>
          <w:sz w:val="32"/>
          <w:szCs w:val="32"/>
          <w14:textFill>
            <w14:solidFill>
              <w14:schemeClr w14:val="tx1"/>
            </w14:solidFill>
          </w14:textFill>
        </w:rPr>
      </w:pPr>
      <w:r>
        <w:fldChar w:fldCharType="begin"/>
      </w:r>
      <w:r>
        <w:instrText xml:space="preserve"> HYPERLINK \l "_Toc496796637" </w:instrText>
      </w:r>
      <w:r>
        <w:fldChar w:fldCharType="separate"/>
      </w:r>
      <w:r>
        <w:rPr>
          <w:rStyle w:val="69"/>
          <w:rFonts w:hint="eastAsia" w:ascii="仿宋" w:hAnsi="仿宋" w:cs="仿宋"/>
          <w:b/>
          <w:color w:val="000000" w:themeColor="text1"/>
          <w:sz w:val="32"/>
          <w:szCs w:val="32"/>
          <w14:textFill>
            <w14:solidFill>
              <w14:schemeClr w14:val="tx1"/>
            </w14:solidFill>
          </w14:textFill>
        </w:rPr>
        <w:t>第三章  评标办法及评分标准</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t>2</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9</w:t>
      </w:r>
    </w:p>
    <w:p>
      <w:pPr>
        <w:pStyle w:val="40"/>
        <w:tabs>
          <w:tab w:val="right" w:leader="dot" w:pos="8834"/>
        </w:tabs>
        <w:rPr>
          <w:rFonts w:hint="eastAsia" w:ascii="仿宋" w:hAnsi="仿宋" w:eastAsia="仿宋" w:cs="仿宋"/>
          <w:color w:val="000000" w:themeColor="text1"/>
          <w:sz w:val="32"/>
          <w:szCs w:val="32"/>
          <w:lang w:val="en-US" w:eastAsia="zh-CN"/>
          <w14:textFill>
            <w14:solidFill>
              <w14:schemeClr w14:val="tx1"/>
            </w14:solidFill>
          </w14:textFill>
        </w:rPr>
      </w:pPr>
      <w:r>
        <w:fldChar w:fldCharType="begin"/>
      </w:r>
      <w:r>
        <w:instrText xml:space="preserve"> HYPERLINK \l "_Toc496796638" </w:instrText>
      </w:r>
      <w:r>
        <w:fldChar w:fldCharType="separate"/>
      </w:r>
      <w:r>
        <w:rPr>
          <w:rStyle w:val="69"/>
          <w:rFonts w:hint="eastAsia" w:ascii="仿宋" w:hAnsi="仿宋" w:cs="仿宋"/>
          <w:b/>
          <w:color w:val="000000" w:themeColor="text1"/>
          <w:sz w:val="32"/>
          <w:szCs w:val="32"/>
          <w14:textFill>
            <w14:solidFill>
              <w14:schemeClr w14:val="tx1"/>
            </w14:solidFill>
          </w14:textFill>
        </w:rPr>
        <w:t>第四章  招标需求</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14:textFill>
            <w14:solidFill>
              <w14:schemeClr w14:val="tx1"/>
            </w14:solidFill>
          </w14:textFill>
        </w:rPr>
        <w:t>3</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4</w:t>
      </w:r>
    </w:p>
    <w:p>
      <w:pPr>
        <w:pStyle w:val="40"/>
        <w:tabs>
          <w:tab w:val="right" w:leader="dot" w:pos="8834"/>
        </w:tabs>
        <w:rPr>
          <w:rFonts w:hint="eastAsia" w:ascii="仿宋" w:hAnsi="仿宋" w:eastAsia="仿宋" w:cs="仿宋"/>
          <w:color w:val="000000" w:themeColor="text1"/>
          <w:sz w:val="32"/>
          <w:szCs w:val="32"/>
          <w:lang w:val="en-US" w:eastAsia="zh-CN"/>
          <w14:textFill>
            <w14:solidFill>
              <w14:schemeClr w14:val="tx1"/>
            </w14:solidFill>
          </w14:textFill>
        </w:rPr>
      </w:pPr>
      <w:r>
        <w:fldChar w:fldCharType="begin"/>
      </w:r>
      <w:r>
        <w:instrText xml:space="preserve"> HYPERLINK \l "_Toc496796639" </w:instrText>
      </w:r>
      <w:r>
        <w:fldChar w:fldCharType="separate"/>
      </w:r>
      <w:r>
        <w:rPr>
          <w:rStyle w:val="69"/>
          <w:rFonts w:hint="eastAsia" w:ascii="仿宋" w:hAnsi="仿宋" w:cs="仿宋"/>
          <w:b/>
          <w:color w:val="000000" w:themeColor="text1"/>
          <w:sz w:val="32"/>
          <w:szCs w:val="32"/>
          <w14:textFill>
            <w14:solidFill>
              <w14:schemeClr w14:val="tx1"/>
            </w14:solidFill>
          </w14:textFill>
        </w:rPr>
        <w:t>第五章  采购合同主要条款指引</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5</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0</w:t>
      </w:r>
    </w:p>
    <w:p>
      <w:pPr>
        <w:pStyle w:val="40"/>
        <w:tabs>
          <w:tab w:val="right" w:leader="dot" w:pos="8834"/>
        </w:tabs>
        <w:rPr>
          <w:rFonts w:hint="eastAsia" w:ascii="仿宋" w:hAnsi="仿宋" w:eastAsia="仿宋" w:cs="仿宋"/>
          <w:color w:val="000000" w:themeColor="text1"/>
          <w:sz w:val="32"/>
          <w:szCs w:val="32"/>
          <w:lang w:val="en-US" w:eastAsia="zh-CN"/>
          <w14:textFill>
            <w14:solidFill>
              <w14:schemeClr w14:val="tx1"/>
            </w14:solidFill>
          </w14:textFill>
        </w:rPr>
      </w:pPr>
      <w:r>
        <w:fldChar w:fldCharType="begin"/>
      </w:r>
      <w:r>
        <w:instrText xml:space="preserve"> HYPERLINK \l "_Toc496796640" </w:instrText>
      </w:r>
      <w:r>
        <w:fldChar w:fldCharType="separate"/>
      </w:r>
      <w:r>
        <w:rPr>
          <w:rStyle w:val="69"/>
          <w:rFonts w:hint="eastAsia" w:ascii="仿宋" w:hAnsi="仿宋" w:cs="仿宋"/>
          <w:b/>
          <w:color w:val="000000" w:themeColor="text1"/>
          <w:sz w:val="32"/>
          <w:szCs w:val="32"/>
          <w14:textFill>
            <w14:solidFill>
              <w14:schemeClr w14:val="tx1"/>
            </w14:solidFill>
          </w14:textFill>
        </w:rPr>
        <w:t>第六章  投标文件格式附件</w:t>
      </w:r>
      <w:r>
        <w:rPr>
          <w:rFonts w:hint="eastAsia" w:ascii="仿宋" w:hAnsi="仿宋" w:cs="仿宋"/>
          <w:color w:val="000000" w:themeColor="text1"/>
          <w:sz w:val="32"/>
          <w:szCs w:val="32"/>
          <w14:textFill>
            <w14:solidFill>
              <w14:schemeClr w14:val="tx1"/>
            </w14:solidFill>
          </w14:textFill>
        </w:rPr>
        <w:tab/>
      </w:r>
      <w:r>
        <w:rPr>
          <w:rFonts w:hint="eastAsia" w:ascii="仿宋" w:hAnsi="仿宋" w:cs="仿宋"/>
          <w:color w:val="000000" w:themeColor="text1"/>
          <w:sz w:val="32"/>
          <w:szCs w:val="32"/>
          <w:lang w:val="en-US" w:eastAsia="zh-CN"/>
          <w14:textFill>
            <w14:solidFill>
              <w14:schemeClr w14:val="tx1"/>
            </w14:solidFill>
          </w14:textFill>
        </w:rPr>
        <w:t>5</w:t>
      </w:r>
      <w:r>
        <w:rPr>
          <w:rFonts w:hint="eastAsia" w:ascii="仿宋" w:hAnsi="仿宋" w:cs="仿宋"/>
          <w:color w:val="000000" w:themeColor="text1"/>
          <w:sz w:val="32"/>
          <w:szCs w:val="32"/>
          <w14:textFill>
            <w14:solidFill>
              <w14:schemeClr w14:val="tx1"/>
            </w14:solidFill>
          </w14:textFill>
        </w:rPr>
        <w:fldChar w:fldCharType="end"/>
      </w:r>
      <w:r>
        <w:rPr>
          <w:rFonts w:hint="eastAsia" w:ascii="仿宋" w:hAnsi="仿宋" w:cs="仿宋"/>
          <w:color w:val="000000" w:themeColor="text1"/>
          <w:sz w:val="32"/>
          <w:szCs w:val="32"/>
          <w:lang w:val="en-US" w:eastAsia="zh-CN"/>
          <w14:textFill>
            <w14:solidFill>
              <w14:schemeClr w14:val="tx1"/>
            </w14:solidFill>
          </w14:textFill>
        </w:rPr>
        <w:t>5</w:t>
      </w:r>
    </w:p>
    <w:p>
      <w:pPr>
        <w:spacing w:before="156" w:beforeLines="50" w:line="480" w:lineRule="exact"/>
        <w:ind w:left="165"/>
        <w:rPr>
          <w:rFonts w:ascii="宋体" w:hAnsi="宋体" w:eastAsia="仿宋_GB2312"/>
          <w:color w:val="000000" w:themeColor="text1"/>
          <w:sz w:val="30"/>
          <w:szCs w:val="30"/>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fldChar w:fldCharType="end"/>
      </w: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Ansi="宋体" w:eastAsia="仿宋_GB2312"/>
          <w:color w:val="000000" w:themeColor="text1"/>
          <w:sz w:val="32"/>
          <w:szCs w:val="32"/>
          <w14:textFill>
            <w14:solidFill>
              <w14:schemeClr w14:val="tx1"/>
            </w14:solidFill>
          </w14:textFill>
        </w:rPr>
        <w:br w:type="page"/>
      </w:r>
      <w:bookmarkStart w:id="0" w:name="_Toc496796635"/>
      <w:bookmarkStart w:id="1" w:name="PO_15528_PM004"/>
      <w:r>
        <w:rPr>
          <w:rFonts w:hint="eastAsia" w:hAnsi="宋体"/>
          <w:b/>
          <w:color w:val="000000" w:themeColor="text1"/>
          <w:sz w:val="36"/>
          <w:szCs w:val="36"/>
          <w14:textFill>
            <w14:solidFill>
              <w14:schemeClr w14:val="tx1"/>
            </w14:solidFill>
          </w14:textFill>
        </w:rPr>
        <w:t>第一章  公开招标采购公告</w:t>
      </w:r>
      <w:bookmarkEnd w:id="0"/>
    </w:p>
    <w:p>
      <w:pPr>
        <w:pStyle w:val="397"/>
        <w:widowControl w:val="0"/>
        <w:spacing w:after="156" w:line="460" w:lineRule="exact"/>
        <w:ind w:firstLine="560"/>
        <w:rPr>
          <w:rFonts w:ascii="仿宋" w:hAnsi="仿宋" w:eastAsia="仿宋"/>
          <w:color w:val="000000" w:themeColor="text1"/>
          <w:sz w:val="30"/>
          <w:szCs w:val="30"/>
          <w14:textFill>
            <w14:solidFill>
              <w14:schemeClr w14:val="tx1"/>
            </w14:solidFill>
          </w14:textFill>
        </w:rPr>
      </w:pPr>
      <w:r>
        <w:rPr>
          <w:rFonts w:hint="eastAsia" w:ascii="仿宋" w:hAnsi="仿宋" w:eastAsia="仿宋"/>
          <w:sz w:val="28"/>
          <w:szCs w:val="28"/>
        </w:rPr>
        <w:t>根据军队相关法律法规等规定，现就下列项目进行公开招标采购，欢迎提供本国货物、服务的单位或个人前来投标</w:t>
      </w:r>
      <w:r>
        <w:rPr>
          <w:rFonts w:hint="eastAsia" w:ascii="仿宋" w:hAnsi="仿宋" w:eastAsia="仿宋"/>
          <w:sz w:val="30"/>
          <w:szCs w:val="30"/>
        </w:rPr>
        <w:t>：</w:t>
      </w:r>
    </w:p>
    <w:p>
      <w:pPr>
        <w:pStyle w:val="993"/>
        <w:shd w:val="clear" w:color="auto" w:fill="FFFFFF"/>
        <w:spacing w:before="0" w:beforeAutospacing="0" w:after="0" w:afterAutospacing="0" w:line="50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一、项目编号：ZZCG2024T-GK-107</w:t>
      </w:r>
    </w:p>
    <w:p>
      <w:pPr>
        <w:snapToGrid w:val="0"/>
        <w:spacing w:line="500" w:lineRule="exact"/>
        <w:ind w:firstLine="602" w:firstLineChars="200"/>
        <w:rPr>
          <w:rFonts w:ascii="仿宋" w:hAnsi="仿宋" w:eastAsia="仿宋" w:cs="Arial"/>
          <w:b/>
          <w:color w:val="000000" w:themeColor="text1"/>
          <w:sz w:val="28"/>
          <w:szCs w:val="28"/>
          <w14:textFill>
            <w14:solidFill>
              <w14:schemeClr w14:val="tx1"/>
            </w14:solidFill>
          </w14:textFill>
        </w:rPr>
      </w:pPr>
      <w:r>
        <w:rPr>
          <w:rFonts w:hint="eastAsia" w:ascii="仿宋" w:hAnsi="仿宋" w:eastAsia="仿宋" w:cs="Arial"/>
          <w:b/>
          <w:color w:val="000000" w:themeColor="text1"/>
          <w:sz w:val="30"/>
          <w:szCs w:val="30"/>
          <w14:textFill>
            <w14:solidFill>
              <w14:schemeClr w14:val="tx1"/>
            </w14:solidFill>
          </w14:textFill>
        </w:rPr>
        <w:t>二、</w:t>
      </w:r>
      <w:r>
        <w:rPr>
          <w:rFonts w:hint="eastAsia" w:ascii="仿宋" w:hAnsi="仿宋" w:eastAsia="仿宋" w:cs="Arial"/>
          <w:b/>
          <w:color w:val="000000" w:themeColor="text1"/>
          <w:sz w:val="28"/>
          <w:szCs w:val="28"/>
          <w14:textFill>
            <w14:solidFill>
              <w14:schemeClr w14:val="tx1"/>
            </w14:solidFill>
          </w14:textFill>
        </w:rPr>
        <w:t>公告期限：5个工作日</w:t>
      </w:r>
    </w:p>
    <w:p>
      <w:pPr>
        <w:spacing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三、采购组织类型：委托代理 （非政府采购）</w:t>
      </w:r>
    </w:p>
    <w:p>
      <w:pPr>
        <w:spacing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四、采购项目内容、数量及预算</w:t>
      </w:r>
    </w:p>
    <w:bookmarkEnd w:id="1"/>
    <w:tbl>
      <w:tblPr>
        <w:tblStyle w:val="60"/>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641"/>
        <w:gridCol w:w="825"/>
        <w:gridCol w:w="839"/>
        <w:gridCol w:w="1111"/>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2641"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825"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数量</w:t>
            </w:r>
          </w:p>
        </w:tc>
        <w:tc>
          <w:tcPr>
            <w:tcW w:w="839"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单位</w:t>
            </w:r>
          </w:p>
        </w:tc>
        <w:tc>
          <w:tcPr>
            <w:tcW w:w="1111"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2099"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1</w:t>
            </w:r>
          </w:p>
        </w:tc>
        <w:tc>
          <w:tcPr>
            <w:tcW w:w="2641" w:type="dxa"/>
          </w:tcPr>
          <w:p>
            <w:pPr>
              <w:spacing w:before="312" w:beforeLines="100" w:line="360" w:lineRule="auto"/>
              <w:ind w:right="-108"/>
              <w:rPr>
                <w:rFonts w:ascii="仿宋" w:hAnsi="仿宋" w:eastAsia="仿宋" w:cs="Arial"/>
                <w:b/>
                <w:color w:val="000000"/>
                <w:sz w:val="28"/>
                <w:szCs w:val="28"/>
              </w:rPr>
            </w:pPr>
            <w:r>
              <w:rPr>
                <w:rFonts w:hint="eastAsia" w:ascii="仿宋" w:hAnsi="仿宋" w:eastAsia="仿宋" w:cs="Arial"/>
                <w:b/>
                <w:color w:val="000000"/>
                <w:sz w:val="28"/>
                <w:szCs w:val="28"/>
              </w:rPr>
              <w:t>浙江省体育彩票管理中心即开型体育彩票高效运营服务</w:t>
            </w:r>
          </w:p>
        </w:tc>
        <w:tc>
          <w:tcPr>
            <w:tcW w:w="825"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1</w:t>
            </w:r>
          </w:p>
        </w:tc>
        <w:tc>
          <w:tcPr>
            <w:tcW w:w="839"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批</w:t>
            </w:r>
          </w:p>
        </w:tc>
        <w:tc>
          <w:tcPr>
            <w:tcW w:w="1111"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3000</w:t>
            </w:r>
          </w:p>
        </w:tc>
        <w:tc>
          <w:tcPr>
            <w:tcW w:w="2099" w:type="dxa"/>
          </w:tcPr>
          <w:p>
            <w:pPr>
              <w:snapToGrid w:val="0"/>
              <w:spacing w:after="156" w:afterLines="50" w:line="460" w:lineRule="exact"/>
              <w:jc w:val="center"/>
              <w:rPr>
                <w:rFonts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pacing w:before="312" w:beforeLines="100" w:after="156" w:afterLines="50" w:line="500" w:lineRule="exact"/>
        <w:ind w:firstLine="602" w:firstLineChars="200"/>
        <w:rPr>
          <w:rFonts w:ascii="仿宋" w:hAnsi="仿宋" w:eastAsia="仿宋" w:cs="Arial"/>
          <w:b/>
          <w:bCs/>
          <w:color w:val="auto"/>
          <w:kern w:val="0"/>
          <w:sz w:val="30"/>
          <w:szCs w:val="30"/>
        </w:rPr>
      </w:pPr>
      <w:r>
        <w:rPr>
          <w:rFonts w:hint="eastAsia" w:ascii="仿宋" w:hAnsi="仿宋" w:eastAsia="仿宋" w:cs="Arial"/>
          <w:b/>
          <w:bCs/>
          <w:color w:val="auto"/>
          <w:kern w:val="0"/>
          <w:sz w:val="30"/>
          <w:szCs w:val="30"/>
        </w:rPr>
        <w:t>注：本项目为浙江省体育彩票实体店及指定库房提供即开票订票及配送服务</w:t>
      </w:r>
      <w:r>
        <w:rPr>
          <w:rFonts w:hint="eastAsia" w:ascii="仿宋" w:hAnsi="仿宋" w:eastAsia="仿宋" w:cs="Arial"/>
          <w:b/>
          <w:bCs/>
          <w:color w:val="auto"/>
          <w:kern w:val="0"/>
          <w:sz w:val="30"/>
          <w:szCs w:val="30"/>
          <w:lang w:eastAsia="zh-CN"/>
        </w:rPr>
        <w:t>，若组成联合体投标或转包分包，会影响项目整体服务质量，会增加人员信息及交易数据泄露等安全隐患。</w:t>
      </w:r>
      <w:r>
        <w:rPr>
          <w:rFonts w:hint="eastAsia" w:ascii="仿宋" w:hAnsi="仿宋" w:eastAsia="仿宋" w:cs="Arial"/>
          <w:b/>
          <w:bCs/>
          <w:color w:val="auto"/>
          <w:kern w:val="0"/>
          <w:sz w:val="30"/>
          <w:szCs w:val="30"/>
        </w:rPr>
        <w:t>为确保即开票销售工作有序、安全开展，项目</w:t>
      </w:r>
      <w:r>
        <w:rPr>
          <w:rFonts w:hint="eastAsia" w:ascii="仿宋" w:hAnsi="仿宋" w:eastAsia="仿宋" w:cs="Arial"/>
          <w:b/>
          <w:bCs/>
          <w:color w:val="auto"/>
          <w:kern w:val="0"/>
          <w:sz w:val="30"/>
          <w:szCs w:val="30"/>
          <w:lang w:eastAsia="zh-CN"/>
        </w:rPr>
        <w:t>整体</w:t>
      </w:r>
      <w:r>
        <w:rPr>
          <w:rFonts w:hint="eastAsia" w:ascii="仿宋" w:hAnsi="仿宋" w:eastAsia="仿宋" w:cs="Arial"/>
          <w:b/>
          <w:bCs/>
          <w:color w:val="auto"/>
          <w:kern w:val="0"/>
          <w:sz w:val="30"/>
          <w:szCs w:val="30"/>
        </w:rPr>
        <w:t>不接受联合体投标，也不允许转包分包。</w:t>
      </w:r>
    </w:p>
    <w:p>
      <w:pPr>
        <w:spacing w:before="312" w:beforeLines="100" w:after="156" w:afterLines="50" w:line="500" w:lineRule="exact"/>
        <w:ind w:firstLine="602" w:firstLineChars="200"/>
        <w:rPr>
          <w:rFonts w:ascii="仿宋" w:hAnsi="仿宋" w:eastAsia="仿宋" w:cs="Arial"/>
          <w:b/>
          <w:bCs/>
          <w:color w:val="000000" w:themeColor="text1"/>
          <w:kern w:val="0"/>
          <w:sz w:val="30"/>
          <w:szCs w:val="30"/>
          <w14:textFill>
            <w14:solidFill>
              <w14:schemeClr w14:val="tx1"/>
            </w14:solidFill>
          </w14:textFill>
        </w:rPr>
      </w:pPr>
      <w:r>
        <w:rPr>
          <w:rFonts w:hint="eastAsia" w:ascii="仿宋" w:hAnsi="仿宋" w:eastAsia="仿宋" w:cs="Arial"/>
          <w:b/>
          <w:bCs/>
          <w:color w:val="000000" w:themeColor="text1"/>
          <w:kern w:val="0"/>
          <w:sz w:val="30"/>
          <w:szCs w:val="30"/>
          <w14:textFill>
            <w14:solidFill>
              <w14:schemeClr w14:val="tx1"/>
            </w14:solidFill>
          </w14:textFill>
        </w:rPr>
        <w:t>五、合格投标人的资格要求</w:t>
      </w:r>
    </w:p>
    <w:p>
      <w:pPr>
        <w:spacing w:before="156" w:beforeLines="50" w:after="156" w:afterLines="50" w:line="460" w:lineRule="exact"/>
        <w:ind w:firstLine="560" w:firstLineChars="200"/>
        <w:rPr>
          <w:rFonts w:ascii="仿宋" w:hAnsi="仿宋" w:eastAsia="仿宋"/>
          <w:kern w:val="0"/>
          <w:sz w:val="28"/>
          <w:szCs w:val="28"/>
        </w:rPr>
      </w:pPr>
      <w:r>
        <w:rPr>
          <w:rFonts w:hint="eastAsia" w:ascii="仿宋" w:hAnsi="仿宋" w:eastAsia="仿宋"/>
          <w:kern w:val="0"/>
          <w:sz w:val="28"/>
          <w:szCs w:val="28"/>
        </w:rPr>
        <w:t>符合《中华人民共和国政府采购法》第二十二条资格条件：具有独立承担民事责任的能力；具有良好的商业信誉和健全的财务会计制度；具有履行合同所必需的设备和专业技术能力；有依法缴纳税收和社会保障资金的良好记录；参加政府采购活动前3年内，在经营活动中没有重大违法记录；法律、行政法规规定的其他条件。未被中国政府采购网（www.ccgp.gov.cn）列入政府采购严重违法失信行为记录名单，未在军队采购网（www.plap.mil.cn）军队采购暂停名单处罚范围内或军队采购失信名单禁入处罚期和处罚范围内，以及未被“信用中国”（www.creditchina.gov.cn）列入严重失信主体名单或国家企业信用信息公示系统（www.gsxt.gov.cn）列入严重违法失信名单（处罚期内）。</w:t>
      </w:r>
    </w:p>
    <w:p>
      <w:pPr>
        <w:snapToGrid w:val="0"/>
        <w:spacing w:line="460" w:lineRule="exact"/>
        <w:ind w:firstLine="602" w:firstLineChars="200"/>
        <w:rPr>
          <w:rFonts w:ascii="仿宋" w:hAnsi="仿宋" w:eastAsia="仿宋" w:cs="Arial"/>
          <w:b/>
          <w:bCs/>
          <w:color w:val="000000"/>
          <w:sz w:val="30"/>
          <w:szCs w:val="30"/>
        </w:rPr>
      </w:pPr>
      <w:bookmarkStart w:id="2" w:name="PO_416_PM006"/>
      <w:r>
        <w:rPr>
          <w:rFonts w:hint="eastAsia" w:ascii="仿宋" w:hAnsi="仿宋" w:eastAsia="仿宋" w:cs="Arial"/>
          <w:b/>
          <w:bCs/>
          <w:color w:val="000000"/>
          <w:sz w:val="30"/>
          <w:szCs w:val="30"/>
        </w:rPr>
        <w:t>标项1:本项目专门面向中小企业，请单独上传《中小企业声明函》。</w:t>
      </w:r>
      <w:bookmarkEnd w:id="2"/>
    </w:p>
    <w:p>
      <w:pPr>
        <w:spacing w:before="312" w:beforeLines="100"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六</w:t>
      </w:r>
      <w:r>
        <w:rPr>
          <w:rFonts w:hint="eastAsia" w:ascii="仿宋" w:hAnsi="仿宋" w:eastAsia="仿宋" w:cs="Arial"/>
          <w:b/>
          <w:bCs/>
          <w:color w:val="000000" w:themeColor="text1"/>
          <w:sz w:val="30"/>
          <w:szCs w:val="30"/>
          <w:lang w:val="zh-CN"/>
          <w14:textFill>
            <w14:solidFill>
              <w14:schemeClr w14:val="tx1"/>
            </w14:solidFill>
          </w14:textFill>
        </w:rPr>
        <w:t>、获取采购文件</w:t>
      </w:r>
    </w:p>
    <w:p>
      <w:pPr>
        <w:snapToGrid w:val="0"/>
        <w:spacing w:before="156" w:beforeLines="50" w:after="156" w:afterLines="50" w:line="460" w:lineRule="exact"/>
        <w:ind w:firstLine="560" w:firstLineChars="200"/>
        <w:rPr>
          <w:rFonts w:ascii="仿宋" w:hAnsi="仿宋" w:eastAsia="仿宋" w:cs="Arial"/>
          <w:bCs/>
          <w:color w:val="FF0000"/>
          <w:sz w:val="28"/>
          <w:szCs w:val="28"/>
        </w:rPr>
      </w:pPr>
      <w:r>
        <w:rPr>
          <w:rFonts w:hint="eastAsia" w:ascii="仿宋" w:hAnsi="仿宋" w:eastAsia="仿宋" w:cs="Arial"/>
          <w:bCs/>
          <w:color w:val="000000" w:themeColor="text1"/>
          <w:sz w:val="28"/>
          <w:szCs w:val="28"/>
          <w14:textFill>
            <w14:solidFill>
              <w14:schemeClr w14:val="tx1"/>
            </w14:solidFill>
          </w14:textFill>
        </w:rPr>
        <w:t>1.获取时间：</w:t>
      </w:r>
      <w:r>
        <w:rPr>
          <w:rFonts w:hint="eastAsia" w:ascii="仿宋" w:hAnsi="仿宋" w:eastAsia="仿宋"/>
          <w:color w:val="000000"/>
          <w:kern w:val="0"/>
          <w:sz w:val="30"/>
          <w:szCs w:val="30"/>
        </w:rPr>
        <w:t xml:space="preserve">[项目采购-报名开始日期] </w:t>
      </w:r>
      <w:r>
        <w:rPr>
          <w:rFonts w:hint="eastAsia" w:ascii="仿宋" w:hAnsi="仿宋" w:eastAsia="仿宋" w:cs="Arial"/>
          <w:bCs/>
          <w:color w:val="000000" w:themeColor="text1"/>
          <w:sz w:val="28"/>
          <w:szCs w:val="28"/>
          <w14:textFill>
            <w14:solidFill>
              <w14:schemeClr w14:val="tx1"/>
            </w14:solidFill>
          </w14:textFill>
        </w:rPr>
        <w:t xml:space="preserve">至 </w:t>
      </w:r>
      <w:bookmarkStart w:id="3" w:name="PO_15528_PM009"/>
      <w:r>
        <w:rPr>
          <w:rFonts w:hint="eastAsia" w:ascii="仿宋" w:hAnsi="仿宋" w:eastAsia="仿宋" w:cs="Arial"/>
          <w:bCs/>
          <w:color w:val="000000" w:themeColor="text1"/>
          <w:sz w:val="28"/>
          <w:szCs w:val="28"/>
          <w:lang w:eastAsia="zh-CN"/>
          <w14:textFill>
            <w14:solidFill>
              <w14:schemeClr w14:val="tx1"/>
            </w14:solidFill>
          </w14:textFill>
        </w:rPr>
        <w:t>2024-04-17 09:00:00</w:t>
      </w:r>
      <w:bookmarkEnd w:id="3"/>
      <w:r>
        <w:rPr>
          <w:rFonts w:hint="eastAsia" w:ascii="仿宋" w:hAnsi="仿宋" w:eastAsia="仿宋" w:cs="Arial"/>
          <w:bCs/>
          <w:color w:val="FF0000"/>
          <w:sz w:val="28"/>
          <w:szCs w:val="28"/>
        </w:rPr>
        <w:t xml:space="preserve"> </w:t>
      </w:r>
    </w:p>
    <w:p>
      <w:pPr>
        <w:snapToGrid w:val="0"/>
        <w:spacing w:before="156" w:beforeLines="50" w:after="156" w:afterLines="50"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2.获取方式：本项目招标文件实行网上获取。供应商登录浙江政府采购网（</w:t>
      </w:r>
      <w:r>
        <w:fldChar w:fldCharType="begin"/>
      </w:r>
      <w:r>
        <w:instrText xml:space="preserve"> HYPERLINK "http://zfcg.czt.zj.gov.cn/" </w:instrText>
      </w:r>
      <w:r>
        <w:fldChar w:fldCharType="separate"/>
      </w:r>
      <w:r>
        <w:rPr>
          <w:rFonts w:hint="eastAsia" w:ascii="仿宋" w:hAnsi="仿宋" w:eastAsia="仿宋" w:cs="Arial"/>
          <w:bCs/>
          <w:color w:val="000000" w:themeColor="text1"/>
          <w:sz w:val="28"/>
          <w:szCs w:val="28"/>
          <w14:textFill>
            <w14:solidFill>
              <w14:schemeClr w14:val="tx1"/>
            </w14:solidFill>
          </w14:textFill>
        </w:rPr>
        <w:t>http://zfcg.czt.zj.gov.cn/</w:t>
      </w:r>
      <w:r>
        <w:rPr>
          <w:rFonts w:hint="eastAsia" w:ascii="仿宋" w:hAnsi="仿宋" w:eastAsia="仿宋" w:cs="Arial"/>
          <w:bCs/>
          <w:color w:val="000000" w:themeColor="text1"/>
          <w:sz w:val="28"/>
          <w:szCs w:val="28"/>
          <w14:textFill>
            <w14:solidFill>
              <w14:schemeClr w14:val="tx1"/>
            </w14:solidFill>
          </w14:textFill>
        </w:rPr>
        <w:fldChar w:fldCharType="end"/>
      </w:r>
      <w:r>
        <w:rPr>
          <w:rFonts w:hint="eastAsia" w:ascii="仿宋" w:hAnsi="仿宋" w:eastAsia="仿宋" w:cs="Arial"/>
          <w:bCs/>
          <w:color w:val="000000" w:themeColor="text1"/>
          <w:sz w:val="28"/>
          <w:szCs w:val="28"/>
          <w:lang w:val="zh-CN"/>
          <w14:textFill>
            <w14:solidFill>
              <w14:schemeClr w14:val="tx1"/>
            </w14:solidFill>
          </w14:textFill>
        </w:rPr>
        <w:t>）进入政采云系统“项目采购”模块“获取采购文件”菜单，进行网上获取招标文件。</w:t>
      </w:r>
    </w:p>
    <w:p>
      <w:pPr>
        <w:snapToGrid w:val="0"/>
        <w:spacing w:before="156" w:beforeLines="50" w:after="156" w:afterLines="50"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3.招标文件免费获取。</w:t>
      </w:r>
    </w:p>
    <w:p>
      <w:pPr>
        <w:spacing w:before="312" w:beforeLines="100" w:after="156"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七</w:t>
      </w:r>
      <w:r>
        <w:rPr>
          <w:rFonts w:hint="eastAsia" w:ascii="仿宋" w:hAnsi="仿宋" w:eastAsia="仿宋" w:cs="Arial"/>
          <w:b/>
          <w:bCs/>
          <w:color w:val="000000" w:themeColor="text1"/>
          <w:sz w:val="30"/>
          <w:szCs w:val="30"/>
          <w:lang w:val="zh-CN"/>
          <w14:textFill>
            <w14:solidFill>
              <w14:schemeClr w14:val="tx1"/>
            </w14:solidFill>
          </w14:textFill>
        </w:rPr>
        <w:t>、投标截止时间、地点和形式</w:t>
      </w:r>
    </w:p>
    <w:p>
      <w:pPr>
        <w:snapToGrid w:val="0"/>
        <w:spacing w:before="156" w:beforeLines="50" w:after="156" w:afterLines="50" w:line="460" w:lineRule="exact"/>
        <w:ind w:firstLine="562" w:firstLineChars="200"/>
        <w:rPr>
          <w:rFonts w:ascii="仿宋" w:hAnsi="仿宋" w:eastAsia="仿宋" w:cs="Arial"/>
          <w:b/>
          <w:color w:val="FF0000"/>
          <w:sz w:val="28"/>
          <w:szCs w:val="28"/>
          <w:lang w:val="zh-CN"/>
        </w:rPr>
      </w:pPr>
      <w:r>
        <w:rPr>
          <w:rFonts w:hint="eastAsia" w:ascii="仿宋" w:hAnsi="仿宋" w:eastAsia="仿宋" w:cs="Arial"/>
          <w:b/>
          <w:color w:val="000000" w:themeColor="text1"/>
          <w:sz w:val="28"/>
          <w:szCs w:val="28"/>
          <w:lang w:val="zh-CN"/>
          <w14:textFill>
            <w14:solidFill>
              <w14:schemeClr w14:val="tx1"/>
            </w14:solidFill>
          </w14:textFill>
        </w:rPr>
        <w:t>投标截止时间：</w:t>
      </w:r>
      <w:r>
        <w:rPr>
          <w:rFonts w:hint="eastAsia" w:ascii="仿宋" w:hAnsi="仿宋" w:eastAsia="仿宋" w:cs="Arial"/>
          <w:bCs/>
          <w:color w:val="000000" w:themeColor="text1"/>
          <w:sz w:val="28"/>
          <w:szCs w:val="28"/>
          <w:lang w:eastAsia="zh-CN"/>
          <w14:textFill>
            <w14:solidFill>
              <w14:schemeClr w14:val="tx1"/>
            </w14:solidFill>
          </w14:textFill>
        </w:rPr>
        <w:t>2024-04-17 09:00:00</w:t>
      </w:r>
      <w:r>
        <w:rPr>
          <w:rFonts w:hint="eastAsia" w:ascii="仿宋" w:hAnsi="仿宋" w:eastAsia="仿宋" w:cs="Arial"/>
          <w:bCs/>
          <w:color w:val="FF0000"/>
          <w:sz w:val="28"/>
          <w:szCs w:val="28"/>
        </w:rPr>
        <w:t xml:space="preserve">  </w:t>
      </w:r>
    </w:p>
    <w:p>
      <w:pPr>
        <w:pStyle w:val="31"/>
        <w:spacing w:before="156" w:after="156" w:line="460" w:lineRule="exact"/>
        <w:ind w:firstLine="560" w:firstLineChars="200"/>
        <w:rPr>
          <w:rFonts w:ascii="仿宋" w:hAnsi="仿宋" w:eastAsia="仿宋" w:cs="Arial"/>
          <w:bCs/>
          <w:color w:val="000000" w:themeColor="text1"/>
          <w:sz w:val="28"/>
          <w:szCs w:val="28"/>
          <w:lang w:val="zh-CN"/>
          <w14:textFill>
            <w14:solidFill>
              <w14:schemeClr w14:val="tx1"/>
            </w14:solidFill>
          </w14:textFill>
        </w:rPr>
      </w:pPr>
      <w:r>
        <w:rPr>
          <w:rFonts w:hint="eastAsia" w:ascii="仿宋" w:hAnsi="仿宋" w:eastAsia="仿宋" w:cs="Arial"/>
          <w:bCs/>
          <w:color w:val="000000" w:themeColor="text1"/>
          <w:sz w:val="28"/>
          <w:szCs w:val="28"/>
          <w:lang w:val="zh-CN"/>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spacing w:before="156" w:beforeLines="50" w:beforeAutospacing="0" w:after="156" w:afterLines="50" w:afterAutospacing="0" w:line="460" w:lineRule="exact"/>
        <w:ind w:firstLine="560" w:firstLineChars="200"/>
        <w:jc w:val="both"/>
        <w:rPr>
          <w:rFonts w:ascii="仿宋" w:hAnsi="仿宋" w:eastAsia="仿宋" w:cs="Arial"/>
          <w:bCs/>
          <w:color w:val="000000" w:themeColor="text1"/>
          <w:kern w:val="2"/>
          <w:sz w:val="28"/>
          <w:szCs w:val="28"/>
          <w:lang w:val="zh-CN"/>
          <w14:textFill>
            <w14:solidFill>
              <w14:schemeClr w14:val="tx1"/>
            </w14:solidFill>
          </w14:textFill>
        </w:rPr>
      </w:pPr>
      <w:r>
        <w:rPr>
          <w:rFonts w:hint="eastAsia" w:ascii="仿宋" w:hAnsi="仿宋" w:eastAsia="仿宋" w:cs="Arial"/>
          <w:bCs/>
          <w:color w:val="000000" w:themeColor="text1"/>
          <w:kern w:val="2"/>
          <w:sz w:val="28"/>
          <w:szCs w:val="28"/>
          <w:lang w:val="zh-CN"/>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53"/>
        <w:spacing w:before="156" w:beforeLines="50" w:beforeAutospacing="0" w:after="156" w:afterLines="50" w:afterAutospacing="0" w:line="460" w:lineRule="exact"/>
        <w:ind w:firstLine="560" w:firstLineChars="200"/>
        <w:jc w:val="both"/>
        <w:rPr>
          <w:rFonts w:ascii="仿宋" w:hAnsi="仿宋" w:eastAsia="仿宋" w:cs="Arial"/>
          <w:bCs/>
          <w:color w:val="000000" w:themeColor="text1"/>
          <w:kern w:val="2"/>
          <w:sz w:val="28"/>
          <w:szCs w:val="28"/>
          <w:lang w:val="zh-CN"/>
          <w14:textFill>
            <w14:solidFill>
              <w14:schemeClr w14:val="tx1"/>
            </w14:solidFill>
          </w14:textFill>
        </w:rPr>
      </w:pPr>
      <w:r>
        <w:rPr>
          <w:rFonts w:hint="eastAsia" w:ascii="仿宋" w:hAnsi="仿宋" w:eastAsia="仿宋" w:cs="Arial"/>
          <w:bCs/>
          <w:color w:val="000000" w:themeColor="text1"/>
          <w:kern w:val="2"/>
          <w:sz w:val="28"/>
          <w:szCs w:val="28"/>
          <w:lang w:val="zh-CN"/>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adjustRightInd w:val="0"/>
        <w:snapToGrid w:val="0"/>
        <w:spacing w:before="156" w:beforeLines="50" w:line="500" w:lineRule="exact"/>
        <w:ind w:firstLine="562" w:firstLineChars="200"/>
        <w:rPr>
          <w:rFonts w:hAnsi="Courier New"/>
          <w:b/>
          <w:color w:val="000000" w:themeColor="text1"/>
          <w:sz w:val="28"/>
          <w:szCs w:val="28"/>
          <w:lang w:bidi="ar"/>
          <w14:textFill>
            <w14:solidFill>
              <w14:schemeClr w14:val="tx1"/>
            </w14:solidFill>
          </w14:textFill>
        </w:rPr>
      </w:pPr>
      <w:r>
        <w:rPr>
          <w:rFonts w:hint="eastAsia" w:hAnsi="Courier New"/>
          <w:b/>
          <w:color w:val="000000" w:themeColor="text1"/>
          <w:sz w:val="28"/>
          <w:szCs w:val="28"/>
          <w:lang w:bidi="ar"/>
          <w14:textFill>
            <w14:solidFill>
              <w14:schemeClr w14:val="tx1"/>
            </w14:solidFill>
          </w14:textFill>
        </w:rPr>
        <w:t>本项目拒绝接受纸质投标文件。</w:t>
      </w:r>
    </w:p>
    <w:p>
      <w:pPr>
        <w:pStyle w:val="53"/>
        <w:adjustRightInd w:val="0"/>
        <w:snapToGrid w:val="0"/>
        <w:spacing w:before="156" w:beforeLines="50" w:line="50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八</w:t>
      </w:r>
      <w:r>
        <w:rPr>
          <w:rFonts w:hint="eastAsia" w:ascii="仿宋" w:hAnsi="仿宋" w:eastAsia="仿宋" w:cs="Arial"/>
          <w:b/>
          <w:bCs/>
          <w:color w:val="000000" w:themeColor="text1"/>
          <w:sz w:val="30"/>
          <w:szCs w:val="30"/>
          <w:lang w:val="zh-CN"/>
          <w14:textFill>
            <w14:solidFill>
              <w14:schemeClr w14:val="tx1"/>
            </w14:solidFill>
          </w14:textFill>
        </w:rPr>
        <w:t>、开标时间及地点：</w:t>
      </w:r>
    </w:p>
    <w:p>
      <w:pPr>
        <w:snapToGrid w:val="0"/>
        <w:spacing w:before="156" w:beforeLines="50" w:after="156" w:afterLines="50" w:line="460" w:lineRule="exact"/>
        <w:ind w:firstLine="562" w:firstLineChars="200"/>
        <w:rPr>
          <w:rFonts w:ascii="宋体" w:hAnsi="宋体" w:cs="Arial"/>
          <w:b/>
          <w:color w:val="auto"/>
          <w:sz w:val="28"/>
          <w:szCs w:val="28"/>
        </w:rPr>
      </w:pPr>
      <w:r>
        <w:rPr>
          <w:rFonts w:hint="eastAsia" w:ascii="宋体" w:hAnsi="宋体" w:cs="Arial"/>
          <w:b/>
          <w:color w:val="auto"/>
          <w:sz w:val="28"/>
          <w:szCs w:val="28"/>
        </w:rPr>
        <w:t>本次招标将于</w:t>
      </w:r>
      <w:r>
        <w:rPr>
          <w:rFonts w:hint="eastAsia" w:ascii="宋体" w:hAnsi="宋体" w:cs="Arial"/>
          <w:b/>
          <w:color w:val="auto"/>
          <w:sz w:val="28"/>
          <w:szCs w:val="28"/>
          <w:lang w:eastAsia="zh-CN"/>
        </w:rPr>
        <w:t xml:space="preserve">2024-04-17 09:00:00 </w:t>
      </w:r>
      <w:r>
        <w:rPr>
          <w:rFonts w:hint="eastAsia" w:ascii="宋体" w:hAnsi="宋体" w:cs="Arial"/>
          <w:b/>
          <w:color w:val="auto"/>
          <w:sz w:val="28"/>
          <w:szCs w:val="28"/>
        </w:rPr>
        <w:t>时整在</w:t>
      </w:r>
      <w:bookmarkStart w:id="4" w:name="PO_15528_PM016_1"/>
      <w:r>
        <w:rPr>
          <w:rFonts w:hint="eastAsia" w:ascii="宋体" w:hAnsi="宋体" w:cs="Arial"/>
          <w:b/>
          <w:color w:val="auto"/>
          <w:sz w:val="28"/>
          <w:szCs w:val="28"/>
          <w:lang w:eastAsia="zh-CN"/>
        </w:rPr>
        <w:t>西湖区浙江省杭州市西湖区宝石一路3号201开标室</w:t>
      </w:r>
      <w:bookmarkEnd w:id="4"/>
      <w:r>
        <w:rPr>
          <w:rFonts w:hint="eastAsia" w:ascii="宋体" w:hAnsi="宋体" w:cs="Arial"/>
          <w:b/>
          <w:color w:val="auto"/>
          <w:sz w:val="28"/>
          <w:szCs w:val="28"/>
        </w:rPr>
        <w:t>开标，301会议室评标。</w:t>
      </w:r>
    </w:p>
    <w:p>
      <w:pPr>
        <w:snapToGrid w:val="0"/>
        <w:spacing w:line="5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本项目实行“不见面开评标”，投标人无须派人员到现场出席开标会议。</w:t>
      </w:r>
    </w:p>
    <w:tbl>
      <w:tblPr>
        <w:tblStyle w:val="991"/>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restart"/>
            <w:tcBorders>
              <w:top w:val="single" w:color="auto" w:sz="4" w:space="0"/>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201开标室：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0571-8890779</w:t>
            </w:r>
            <w:r>
              <w:rPr>
                <w:rFonts w:ascii="宋体" w:hAnsi="宋体" w:cs="宋体"/>
                <w:color w:val="000000" w:themeColor="text1"/>
                <w:kern w:val="0"/>
                <w:sz w:val="28"/>
                <w:szCs w:val="2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203开标室：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w:t>
            </w:r>
            <w:r>
              <w:rPr>
                <w:rFonts w:ascii="宋体" w:hAnsi="宋体" w:cs="宋体"/>
                <w:color w:val="000000" w:themeColor="text1"/>
                <w:kern w:val="0"/>
                <w:sz w:val="28"/>
                <w:szCs w:val="28"/>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301会议室：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302会议室：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303会议室：</w:t>
            </w:r>
          </w:p>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13"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w:t>
            </w:r>
            <w:r>
              <w:rPr>
                <w:rFonts w:ascii="宋体" w:hAnsi="宋体" w:cs="宋体"/>
                <w:color w:val="000000" w:themeColor="text1"/>
                <w:kern w:val="0"/>
                <w:sz w:val="28"/>
                <w:szCs w:val="28"/>
                <w14:textFill>
                  <w14:solidFill>
                    <w14:schemeClr w14:val="tx1"/>
                  </w14:solidFill>
                </w14:textFill>
              </w:rPr>
              <w:t>06</w:t>
            </w:r>
            <w:r>
              <w:rPr>
                <w:rFonts w:hint="eastAsia" w:ascii="宋体" w:hAnsi="宋体" w:cs="宋体"/>
                <w:color w:val="000000" w:themeColor="text1"/>
                <w:kern w:val="0"/>
                <w:sz w:val="28"/>
                <w:szCs w:val="28"/>
                <w14:textFill>
                  <w14:solidFill>
                    <w14:schemeClr w14:val="tx1"/>
                  </w14:solidFill>
                </w14:textFill>
              </w:rPr>
              <w:t>会议室：8</w:t>
            </w:r>
            <w:r>
              <w:rPr>
                <w:rFonts w:ascii="宋体" w:hAnsi="宋体" w:cs="宋体"/>
                <w:color w:val="000000" w:themeColor="text1"/>
                <w:kern w:val="0"/>
                <w:sz w:val="28"/>
                <w:szCs w:val="28"/>
                <w14:textFill>
                  <w14:solidFill>
                    <w14:schemeClr w14:val="tx1"/>
                  </w14:solidFill>
                </w14:textFill>
              </w:rPr>
              <w:t>8907751</w:t>
            </w:r>
          </w:p>
        </w:tc>
      </w:tr>
    </w:tbl>
    <w:p>
      <w:pPr>
        <w:spacing w:before="312" w:beforeLines="100" w:after="156"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九</w:t>
      </w:r>
      <w:r>
        <w:rPr>
          <w:rFonts w:hint="eastAsia" w:ascii="仿宋" w:hAnsi="仿宋" w:eastAsia="仿宋" w:cs="Arial"/>
          <w:b/>
          <w:bCs/>
          <w:color w:val="000000" w:themeColor="text1"/>
          <w:sz w:val="30"/>
          <w:szCs w:val="30"/>
          <w:lang w:val="zh-CN"/>
          <w14:textFill>
            <w14:solidFill>
              <w14:schemeClr w14:val="tx1"/>
            </w14:solidFill>
          </w14:textFill>
        </w:rPr>
        <w:t>、电子交易平台的网络地址和登录方法</w:t>
      </w:r>
    </w:p>
    <w:p>
      <w:pPr>
        <w:snapToGrid w:val="0"/>
        <w:spacing w:before="156" w:beforeLines="50" w:after="156" w:afterLines="50" w:line="500" w:lineRule="exact"/>
        <w:ind w:firstLine="562" w:firstLineChars="200"/>
        <w:rPr>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（一）网络地址：</w:t>
      </w:r>
      <w:r>
        <w:rPr>
          <w:rFonts w:hint="eastAsia" w:ascii="宋体" w:hAnsi="宋体" w:cs="仿宋"/>
          <w:color w:val="000000" w:themeColor="text1"/>
          <w:sz w:val="28"/>
          <w:szCs w:val="28"/>
          <w14:textFill>
            <w14:solidFill>
              <w14:schemeClr w14:val="tx1"/>
            </w14:solidFill>
          </w14:textFill>
        </w:rPr>
        <w:t xml:space="preserve">浙江政府采购网 </w:t>
      </w:r>
      <w:r>
        <w:fldChar w:fldCharType="begin"/>
      </w:r>
      <w:r>
        <w:instrText xml:space="preserve"> HYPERLINK "http://zfcg.czt.zj.gov.cn/" </w:instrText>
      </w:r>
      <w:r>
        <w:fldChar w:fldCharType="separate"/>
      </w:r>
      <w:r>
        <w:rPr>
          <w:rStyle w:val="69"/>
          <w:color w:val="000000" w:themeColor="text1"/>
          <w:sz w:val="28"/>
          <w:szCs w:val="28"/>
          <w14:textFill>
            <w14:solidFill>
              <w14:schemeClr w14:val="tx1"/>
            </w14:solidFill>
          </w14:textFill>
        </w:rPr>
        <w:t>http://zfcg.czt.zj.gov.cn/</w:t>
      </w:r>
      <w:r>
        <w:rPr>
          <w:rStyle w:val="69"/>
          <w:color w:val="000000" w:themeColor="text1"/>
          <w:sz w:val="28"/>
          <w:szCs w:val="28"/>
          <w14:textFill>
            <w14:solidFill>
              <w14:schemeClr w14:val="tx1"/>
            </w14:solidFill>
          </w14:textFill>
        </w:rPr>
        <w:fldChar w:fldCharType="end"/>
      </w:r>
    </w:p>
    <w:p>
      <w:pPr>
        <w:snapToGrid w:val="0"/>
        <w:spacing w:before="156" w:beforeLines="50" w:after="156" w:afterLines="50" w:line="500" w:lineRule="exact"/>
        <w:ind w:firstLine="562" w:firstLineChars="200"/>
        <w:rPr>
          <w:color w:val="000000" w:themeColor="text1"/>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（二）登录方法：</w:t>
      </w:r>
      <w:r>
        <w:rPr>
          <w:rFonts w:hint="eastAsia" w:ascii="宋体" w:hAnsi="宋体" w:cs="Arial"/>
          <w:color w:val="000000" w:themeColor="text1"/>
          <w:sz w:val="28"/>
          <w:szCs w:val="28"/>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spacing w:before="312" w:beforeLines="100" w:after="156" w:afterLines="50" w:line="460" w:lineRule="exact"/>
        <w:ind w:firstLine="602" w:firstLineChars="200"/>
        <w:rPr>
          <w:rFonts w:ascii="仿宋" w:hAnsi="仿宋" w:eastAsia="仿宋" w:cs="Arial"/>
          <w:b/>
          <w:bCs/>
          <w:color w:val="000000" w:themeColor="text1"/>
          <w:sz w:val="30"/>
          <w:szCs w:val="30"/>
          <w:lang w:val="zh-CN"/>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w:t>
      </w:r>
      <w:r>
        <w:rPr>
          <w:rFonts w:hint="eastAsia" w:ascii="仿宋" w:hAnsi="仿宋" w:eastAsia="仿宋" w:cs="Arial"/>
          <w:b/>
          <w:bCs/>
          <w:color w:val="000000" w:themeColor="text1"/>
          <w:sz w:val="30"/>
          <w:szCs w:val="30"/>
          <w:lang w:val="zh-CN"/>
          <w14:textFill>
            <w14:solidFill>
              <w14:schemeClr w14:val="tx1"/>
            </w14:solidFill>
          </w14:textFill>
        </w:rPr>
        <w:t>、其他：</w:t>
      </w:r>
    </w:p>
    <w:p>
      <w:pPr>
        <w:spacing w:before="156" w:beforeLines="50" w:after="156" w:afterLines="50" w:line="400" w:lineRule="exact"/>
        <w:ind w:firstLine="562" w:firstLineChars="200"/>
        <w:rPr>
          <w:rFonts w:ascii="宋体" w:hAnsi="宋体" w:cs="Arial"/>
          <w:b/>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（一）本项目采用“电子交易/不见面开评标”，供应商可进入电子卖场服务中心采云学院</w:t>
      </w:r>
    </w:p>
    <w:p>
      <w:pPr>
        <w:spacing w:before="156" w:beforeLines="50" w:after="156" w:afterLines="50" w:line="400" w:lineRule="exact"/>
        <w:ind w:firstLine="562" w:firstLineChars="200"/>
        <w:rPr>
          <w:rFonts w:ascii="宋体" w:hAnsi="宋体" w:cs="Arial"/>
          <w:color w:val="000000" w:themeColor="text1"/>
          <w:sz w:val="28"/>
          <w:szCs w:val="28"/>
          <w14:textFill>
            <w14:solidFill>
              <w14:schemeClr w14:val="tx1"/>
            </w14:solidFill>
          </w14:textFill>
        </w:rPr>
      </w:pPr>
      <w:r>
        <w:rPr>
          <w:rFonts w:hint="eastAsia" w:ascii="宋体" w:hAnsi="宋体" w:cs="Arial"/>
          <w:b/>
          <w:color w:val="000000" w:themeColor="text1"/>
          <w:sz w:val="28"/>
          <w:szCs w:val="28"/>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14:textFill>
            <w14:solidFill>
              <w14:schemeClr w14:val="tx1"/>
            </w14:solidFill>
          </w14:textFill>
        </w:rPr>
        <w:t>。</w:t>
      </w:r>
    </w:p>
    <w:p>
      <w:pPr>
        <w:spacing w:before="156" w:beforeLines="50" w:after="156" w:afterLines="50" w:line="40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十一、业务咨询</w:t>
      </w:r>
    </w:p>
    <w:tbl>
      <w:tblPr>
        <w:tblStyle w:val="59"/>
        <w:tblpPr w:leftFromText="180" w:rightFromText="180" w:vertAnchor="text" w:horzAnchor="margin" w:tblpXSpec="center" w:tblpY="223"/>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134"/>
        <w:gridCol w:w="2126"/>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机 构</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地 址</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网 站</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咨询事项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联系人</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联系方式</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传真</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项目联系人（A岗）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商女士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5" w:name="PO_15528_PM033"/>
            <w:r>
              <w:rPr>
                <w:rFonts w:ascii="仿宋" w:hAnsi="仿宋" w:eastAsia="仿宋" w:cs="仿宋"/>
                <w:color w:val="000000" w:themeColor="text1"/>
                <w:sz w:val="28"/>
                <w:szCs w:val="28"/>
                <w14:textFill>
                  <w14:solidFill>
                    <w14:schemeClr w14:val="tx1"/>
                  </w14:solidFill>
                </w14:textFill>
              </w:rPr>
              <w:t>0571-889077</w:t>
            </w:r>
            <w:bookmarkEnd w:id="5"/>
            <w:r>
              <w:rPr>
                <w:rFonts w:hint="eastAsia" w:ascii="仿宋" w:hAnsi="仿宋" w:eastAsia="仿宋" w:cs="仿宋"/>
                <w:color w:val="000000" w:themeColor="text1"/>
                <w:sz w:val="28"/>
                <w:szCs w:val="28"/>
                <w14:textFill>
                  <w14:solidFill>
                    <w14:schemeClr w14:val="tx1"/>
                  </w14:solidFill>
                </w14:textFill>
              </w:rPr>
              <w:t>06</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bookmarkStart w:id="6" w:name="PO_15528_PM034"/>
            <w:r>
              <w:rPr>
                <w:rFonts w:ascii="仿宋" w:hAnsi="仿宋" w:eastAsia="仿宋" w:cs="仿宋"/>
                <w:color w:val="000000" w:themeColor="text1"/>
                <w:sz w:val="28"/>
                <w:szCs w:val="28"/>
                <w14:textFill>
                  <w14:solidFill>
                    <w14:schemeClr w14:val="tx1"/>
                  </w14:solidFill>
                </w14:textFill>
              </w:rPr>
              <w:t>/</w:t>
            </w:r>
            <w:bookmarkEnd w:id="6"/>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项目协办人（B岗）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柯女士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0571-8890</w:t>
            </w:r>
            <w:r>
              <w:rPr>
                <w:rFonts w:hint="eastAsia" w:ascii="仿宋" w:hAnsi="仿宋" w:eastAsia="仿宋" w:cs="仿宋"/>
                <w:color w:val="000000" w:themeColor="text1"/>
                <w:sz w:val="28"/>
                <w:szCs w:val="28"/>
                <w14:textFill>
                  <w14:solidFill>
                    <w14:schemeClr w14:val="tx1"/>
                  </w14:solidFill>
                </w14:textFill>
              </w:rPr>
              <w:t>1833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部门负责人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高女士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0571-88907717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项目监督</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邵女士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0571-8890</w:t>
            </w:r>
            <w:r>
              <w:rPr>
                <w:rFonts w:ascii="仿宋" w:hAnsi="仿宋" w:eastAsia="仿宋" w:cs="仿宋"/>
                <w:color w:val="000000" w:themeColor="text1"/>
                <w:sz w:val="28"/>
                <w:szCs w:val="28"/>
                <w14:textFill>
                  <w14:solidFill>
                    <w14:schemeClr w14:val="tx1"/>
                  </w14:solidFill>
                </w14:textFill>
              </w:rPr>
              <w:t>7750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网站系统问题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客  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95763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注册、账号、系统操作等</w:t>
            </w:r>
          </w:p>
        </w:tc>
      </w:tr>
    </w:tbl>
    <w:p>
      <w:pPr>
        <w:spacing w:before="312" w:beforeLines="100" w:after="156" w:afterLines="50" w:line="460" w:lineRule="exact"/>
        <w:ind w:firstLine="602" w:firstLineChars="200"/>
        <w:rPr>
          <w:rFonts w:ascii="仿宋" w:hAnsi="仿宋" w:eastAsia="仿宋" w:cs="Arial"/>
          <w:b/>
          <w:bCs/>
          <w:color w:val="000000" w:themeColor="text1"/>
          <w:sz w:val="30"/>
          <w:szCs w:val="30"/>
          <w14:textFill>
            <w14:solidFill>
              <w14:schemeClr w14:val="tx1"/>
            </w14:solidFill>
          </w14:textFill>
        </w:rPr>
      </w:pPr>
      <w:r>
        <w:rPr>
          <w:rFonts w:hint="eastAsia" w:ascii="仿宋" w:hAnsi="仿宋" w:eastAsia="仿宋" w:cs="Arial"/>
          <w:b/>
          <w:bCs/>
          <w:color w:val="000000" w:themeColor="text1"/>
          <w:sz w:val="30"/>
          <w:szCs w:val="30"/>
          <w14:textFill>
            <w14:solidFill>
              <w14:schemeClr w14:val="tx1"/>
            </w14:solidFill>
          </w14:textFill>
        </w:rPr>
        <w:t>十二、采购需求咨询</w:t>
      </w:r>
    </w:p>
    <w:tbl>
      <w:tblPr>
        <w:tblStyle w:val="59"/>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采购单位</w:t>
            </w:r>
          </w:p>
        </w:tc>
        <w:tc>
          <w:tcPr>
            <w:tcW w:w="6074" w:type="dxa"/>
            <w:vAlign w:val="center"/>
          </w:tcPr>
          <w:p>
            <w:pPr>
              <w:jc w:val="center"/>
              <w:rPr>
                <w:rFonts w:ascii="仿宋_GB2312" w:hAnsi="仿宋" w:eastAsia="仿宋_GB2312"/>
                <w:color w:val="000000" w:themeColor="text1"/>
                <w:kern w:val="0"/>
                <w:sz w:val="30"/>
                <w:szCs w:val="30"/>
                <w14:textFill>
                  <w14:solidFill>
                    <w14:schemeClr w14:val="tx1"/>
                  </w14:solidFill>
                </w14:textFill>
              </w:rPr>
            </w:pPr>
            <w:r>
              <w:rPr>
                <w:rFonts w:hint="eastAsia" w:ascii="仿宋_GB2312" w:hAnsi="仿宋" w:eastAsia="仿宋_GB2312"/>
                <w:color w:val="000000" w:themeColor="text1"/>
                <w:kern w:val="0"/>
                <w:sz w:val="30"/>
                <w:szCs w:val="30"/>
                <w14:textFill>
                  <w14:solidFill>
                    <w14:schemeClr w14:val="tx1"/>
                  </w14:solidFill>
                </w14:textFill>
              </w:rPr>
              <w:t>浙江省体育彩票管理中心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地址</w:t>
            </w:r>
          </w:p>
        </w:tc>
        <w:tc>
          <w:tcPr>
            <w:tcW w:w="6074"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杭州市复兴路397号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咨询事项</w:t>
            </w:r>
          </w:p>
        </w:tc>
        <w:tc>
          <w:tcPr>
            <w:tcW w:w="6074"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联系人</w:t>
            </w:r>
          </w:p>
        </w:tc>
        <w:tc>
          <w:tcPr>
            <w:tcW w:w="6074" w:type="dxa"/>
            <w:vAlign w:val="center"/>
          </w:tcPr>
          <w:p>
            <w:pPr>
              <w:jc w:val="center"/>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陈栋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联系方式</w:t>
            </w:r>
          </w:p>
        </w:tc>
        <w:tc>
          <w:tcPr>
            <w:tcW w:w="6074"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auto"/>
                <w:sz w:val="28"/>
                <w:szCs w:val="28"/>
              </w:rPr>
              <w:t>0571-85090581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质疑联系人</w:t>
            </w:r>
          </w:p>
        </w:tc>
        <w:tc>
          <w:tcPr>
            <w:tcW w:w="6074"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华颖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2"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质疑联系方式</w:t>
            </w:r>
          </w:p>
        </w:tc>
        <w:tc>
          <w:tcPr>
            <w:tcW w:w="6074"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0571-85152588</w:t>
            </w:r>
          </w:p>
        </w:tc>
      </w:tr>
    </w:tbl>
    <w:p>
      <w:pPr>
        <w:spacing w:before="312" w:beforeLines="100" w:after="156" w:afterLines="50"/>
        <w:ind w:firstLine="602" w:firstLineChars="200"/>
        <w:rPr>
          <w:rFonts w:ascii="仿宋" w:hAnsi="仿宋" w:eastAsia="仿宋" w:cs="Arial"/>
          <w:b/>
          <w:bCs/>
          <w:color w:val="000000" w:themeColor="text1"/>
          <w:sz w:val="30"/>
          <w:szCs w:val="30"/>
          <w14:textFill>
            <w14:solidFill>
              <w14:schemeClr w14:val="tx1"/>
            </w14:solidFill>
          </w14:textFill>
        </w:rPr>
      </w:pPr>
      <w:bookmarkStart w:id="7" w:name="_Toc496796636"/>
      <w:bookmarkStart w:id="8" w:name="_Toc29498"/>
      <w:r>
        <w:rPr>
          <w:rFonts w:hint="eastAsia" w:ascii="仿宋" w:hAnsi="仿宋" w:eastAsia="仿宋" w:cs="Arial"/>
          <w:b/>
          <w:bCs/>
          <w:color w:val="000000" w:themeColor="text1"/>
          <w:sz w:val="30"/>
          <w:szCs w:val="30"/>
          <w14:textFill>
            <w14:solidFill>
              <w14:schemeClr w14:val="tx1"/>
            </w14:solidFill>
          </w14:textFill>
        </w:rPr>
        <w:t>十三、采购监督管理部门</w:t>
      </w:r>
    </w:p>
    <w:p>
      <w:pPr>
        <w:spacing w:before="93" w:beforeLines="30" w:after="93" w:afterLines="30"/>
        <w:ind w:firstLine="600" w:firstLineChars="200"/>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名  称：办公室</w:t>
      </w:r>
    </w:p>
    <w:p>
      <w:pPr>
        <w:spacing w:before="93" w:beforeLines="30" w:after="93" w:afterLines="30"/>
        <w:ind w:firstLine="600" w:firstLineChars="200"/>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地  址：杭州市复兴路397号</w:t>
      </w:r>
    </w:p>
    <w:p>
      <w:pPr>
        <w:spacing w:before="93" w:beforeLines="30" w:after="93" w:afterLines="30"/>
        <w:ind w:firstLine="600" w:firstLineChars="200"/>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联系人：许利芳</w:t>
      </w:r>
    </w:p>
    <w:p>
      <w:pPr>
        <w:spacing w:before="93" w:beforeLines="30" w:after="93" w:afterLines="30"/>
        <w:ind w:firstLine="600" w:firstLineChars="200"/>
        <w:rPr>
          <w:rFonts w:hint="eastAsia" w:ascii="仿宋_GB2312" w:hAnsi="仿宋" w:eastAsia="仿宋_GB2312"/>
          <w:color w:val="auto"/>
          <w:kern w:val="0"/>
          <w:sz w:val="30"/>
          <w:szCs w:val="30"/>
        </w:rPr>
      </w:pPr>
      <w:r>
        <w:rPr>
          <w:rFonts w:hint="eastAsia" w:ascii="仿宋_GB2312" w:hAnsi="仿宋" w:eastAsia="仿宋_GB2312"/>
          <w:color w:val="auto"/>
          <w:kern w:val="0"/>
          <w:sz w:val="30"/>
          <w:szCs w:val="30"/>
        </w:rPr>
        <w:t>监督投诉电话：0571-85090570</w:t>
      </w: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outlineLvl w:val="0"/>
        <w:rPr>
          <w:rFonts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int="eastAsia" w:ascii="仿宋" w:hAnsi="仿宋" w:eastAsia="仿宋"/>
          <w:b/>
          <w:color w:val="000000" w:themeColor="text1"/>
          <w:sz w:val="36"/>
          <w:szCs w:val="36"/>
          <w14:textFill>
            <w14:solidFill>
              <w14:schemeClr w14:val="tx1"/>
            </w14:solidFill>
          </w14:textFill>
        </w:rPr>
      </w:pPr>
    </w:p>
    <w:p>
      <w:pPr>
        <w:pStyle w:val="31"/>
        <w:spacing w:before="156" w:after="156" w:line="360" w:lineRule="auto"/>
        <w:jc w:val="center"/>
        <w:outlineLvl w:val="0"/>
        <w:rPr>
          <w:rFonts w:hAnsi="宋体"/>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第二章</w:t>
      </w:r>
      <w:bookmarkStart w:id="9" w:name="投标人须知"/>
      <w:r>
        <w:rPr>
          <w:rFonts w:hint="eastAsia" w:ascii="仿宋" w:hAnsi="仿宋" w:eastAsia="仿宋"/>
          <w:b/>
          <w:color w:val="000000" w:themeColor="text1"/>
          <w:sz w:val="36"/>
          <w:szCs w:val="36"/>
          <w14:textFill>
            <w14:solidFill>
              <w14:schemeClr w14:val="tx1"/>
            </w14:solidFill>
          </w14:textFill>
        </w:rPr>
        <w:t xml:space="preserve"> 投标人须知</w:t>
      </w:r>
      <w:bookmarkEnd w:id="7"/>
      <w:bookmarkEnd w:id="8"/>
      <w:bookmarkEnd w:id="9"/>
    </w:p>
    <w:p>
      <w:pPr>
        <w:snapToGrid w:val="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序号</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内  容</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项目名称及数量</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信用记录</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依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中小企业预留份额情况</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依据《政府采购促进中小企业发展管理办法》财库〔2020〕46号文件的规定，本项目</w:t>
            </w:r>
            <w:r>
              <w:rPr>
                <w:rFonts w:hint="eastAsia" w:ascii="仿宋" w:hAnsi="仿宋" w:eastAsia="仿宋"/>
                <w:b/>
                <w:color w:val="000000" w:themeColor="text1"/>
                <w:sz w:val="24"/>
                <w:szCs w:val="24"/>
                <w:u w:val="single"/>
                <w14:textFill>
                  <w14:solidFill>
                    <w14:schemeClr w14:val="tx1"/>
                  </w14:solidFill>
                </w14:textFill>
              </w:rPr>
              <w:t>是</w:t>
            </w:r>
            <w:r>
              <w:rPr>
                <w:rFonts w:hint="eastAsia" w:ascii="仿宋" w:hAnsi="仿宋" w:eastAsia="仿宋"/>
                <w:b/>
                <w:color w:val="000000" w:themeColor="text1"/>
                <w:sz w:val="24"/>
                <w:szCs w:val="24"/>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中小企业优惠措施</w:t>
            </w:r>
          </w:p>
        </w:tc>
        <w:tc>
          <w:tcPr>
            <w:tcW w:w="7368" w:type="dxa"/>
            <w:tcBorders>
              <w:top w:val="single" w:color="auto" w:sz="4" w:space="0"/>
              <w:left w:val="single" w:color="auto" w:sz="4" w:space="0"/>
              <w:bottom w:val="single" w:color="auto" w:sz="4" w:space="0"/>
              <w:right w:val="single" w:color="auto" w:sz="4" w:space="0"/>
            </w:tcBorders>
            <w:vAlign w:val="center"/>
          </w:tcPr>
          <w:p>
            <w:pPr>
              <w:pStyle w:val="182"/>
              <w:numPr>
                <w:ilvl w:val="0"/>
                <w:numId w:val="30"/>
              </w:numPr>
              <w:snapToGrid w:val="0"/>
              <w:spacing w:line="460" w:lineRule="exact"/>
              <w:ind w:firstLineChars="0"/>
              <w:rPr>
                <w:rFonts w:ascii="仿宋" w:hAnsi="仿宋" w:eastAsia="仿宋"/>
                <w:b/>
                <w:color w:val="000000" w:themeColor="text1"/>
                <w:sz w:val="24"/>
                <w:szCs w:val="24"/>
                <w:u w:val="single"/>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项目属性（服务类）</w:t>
            </w:r>
          </w:p>
          <w:p>
            <w:pPr>
              <w:pStyle w:val="182"/>
              <w:numPr>
                <w:ilvl w:val="0"/>
                <w:numId w:val="30"/>
              </w:numPr>
              <w:snapToGrid w:val="0"/>
              <w:spacing w:line="460" w:lineRule="exact"/>
              <w:ind w:firstLineChars="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spacing w:before="312" w:beforeLines="100" w:line="360" w:lineRule="auto"/>
              <w:ind w:right="-108"/>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lang w:val="en-US" w:eastAsia="zh-CN"/>
                <w14:textFill>
                  <w14:solidFill>
                    <w14:schemeClr w14:val="tx1"/>
                  </w14:solidFill>
                </w14:textFill>
              </w:rPr>
              <w:t xml:space="preserve">     </w:t>
            </w: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cstheme="minorBidi"/>
                <w:b/>
                <w:color w:val="000000" w:themeColor="text1"/>
                <w:kern w:val="2"/>
                <w:sz w:val="24"/>
                <w:szCs w:val="24"/>
                <w:lang w:val="en-US" w:eastAsia="zh-CN" w:bidi="ar-SA"/>
                <w14:textFill>
                  <w14:solidFill>
                    <w14:schemeClr w14:val="tx1"/>
                  </w14:solidFill>
                </w14:textFill>
              </w:rPr>
              <w:t>浙江省体育彩票管理中心即开型体育彩票高效运营服务项目</w:t>
            </w:r>
            <w:r>
              <w:rPr>
                <w:rFonts w:hint="eastAsia" w:ascii="仿宋" w:hAnsi="仿宋" w:eastAsia="仿宋" w:cstheme="minorBidi"/>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所属行业：交通运输业</w:t>
            </w:r>
          </w:p>
          <w:p>
            <w:pPr>
              <w:numPr>
                <w:ilvl w:val="0"/>
                <w:numId w:val="30"/>
              </w:numPr>
              <w:snapToGrid w:val="0"/>
              <w:spacing w:line="46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依据财库〔2020〕46号的相关规定，中小企业参加政府采购活动，应当出具本办法规定的《中小企业声明函》，否则不得享受相关中小企业扶持政策。</w:t>
            </w:r>
          </w:p>
          <w:p>
            <w:pPr>
              <w:snapToGrid w:val="0"/>
              <w:spacing w:line="460" w:lineRule="exact"/>
              <w:ind w:left="6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依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依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spacing w:line="460" w:lineRule="exact"/>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政府采购节能环保产品</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themeColor="text1"/>
                <w:sz w:val="24"/>
                <w:szCs w:val="24"/>
                <w14:textFill>
                  <w14:solidFill>
                    <w14:schemeClr w14:val="tx1"/>
                  </w14:solidFill>
                </w14:textFill>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促进绿色发展有关政策</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themeColor="text1"/>
                <w:sz w:val="24"/>
                <w:szCs w:val="24"/>
                <w14:textFill>
                  <w14:solidFill>
                    <w14:schemeClr w14:val="tx1"/>
                  </w14:solidFill>
                </w14:textFill>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首台套政策</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质疑</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依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是否允许采购进口产品</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0" w:name="PO_15528_PM042"/>
            <w:r>
              <w:rPr>
                <w:rFonts w:hint="eastAsia" w:ascii="仿宋" w:hAnsi="仿宋" w:eastAsia="仿宋"/>
                <w:color w:val="000000" w:themeColor="text1"/>
                <w:sz w:val="24"/>
                <w:szCs w:val="24"/>
                <w14:textFill>
                  <w14:solidFill>
                    <w14:schemeClr w14:val="tx1"/>
                  </w14:solidFill>
                </w14:textFill>
              </w:rPr>
              <w:t>不允许进口产品</w:t>
            </w:r>
            <w:bookmarkEnd w:id="10"/>
            <w:r>
              <w:rPr>
                <w:rFonts w:hint="eastAsia" w:ascii="仿宋" w:hAnsi="仿宋" w:eastAsia="仿宋"/>
                <w:color w:val="000000" w:themeColor="text1"/>
                <w:sz w:val="24"/>
                <w:szCs w:val="24"/>
                <w14:textFill>
                  <w14:solidFill>
                    <w14:schemeClr w14:val="tx1"/>
                  </w14:solidFill>
                </w14:textFill>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auto"/>
                <w:sz w:val="24"/>
              </w:rPr>
            </w:pPr>
            <w:r>
              <w:rPr>
                <w:rFonts w:hint="eastAsia" w:ascii="仿宋_GB2312" w:hAnsi="仿宋" w:eastAsia="仿宋_GB2312"/>
                <w:bCs/>
                <w:color w:val="auto"/>
                <w:sz w:val="24"/>
              </w:rPr>
              <w:t>是否允许转包与分包</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auto"/>
                <w:sz w:val="24"/>
              </w:rPr>
            </w:pPr>
            <w:r>
              <w:rPr>
                <w:rFonts w:hint="eastAsia" w:ascii="仿宋" w:hAnsi="仿宋" w:eastAsia="仿宋"/>
                <w:color w:val="auto"/>
                <w:sz w:val="24"/>
                <w:szCs w:val="24"/>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联合体投标</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color w:val="000000" w:themeColor="text1"/>
                <w:sz w:val="24"/>
                <w14:textFill>
                  <w14:solidFill>
                    <w14:schemeClr w14:val="tx1"/>
                  </w14:solidFill>
                </w14:textFill>
              </w:rPr>
            </w:pPr>
            <w:bookmarkStart w:id="11" w:name="PO_15528_PM007_1"/>
            <w:r>
              <w:rPr>
                <w:rFonts w:hint="eastAsia" w:ascii="仿宋" w:hAnsi="仿宋" w:eastAsia="仿宋"/>
                <w:color w:val="auto"/>
                <w:sz w:val="24"/>
                <w:szCs w:val="24"/>
              </w:rPr>
              <w:t>不允许联合体投标</w:t>
            </w:r>
            <w:bookmarkEnd w:id="11"/>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2</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是否现场踏勘</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2" w:name="PO_15528_PM040"/>
            <w:r>
              <w:rPr>
                <w:rFonts w:hint="eastAsia" w:ascii="仿宋" w:hAnsi="仿宋" w:eastAsia="仿宋"/>
                <w:color w:val="000000" w:themeColor="text1"/>
                <w:sz w:val="24"/>
                <w:szCs w:val="24"/>
                <w14:textFill>
                  <w14:solidFill>
                    <w14:schemeClr w14:val="tx1"/>
                  </w14:solidFill>
                </w14:textFill>
              </w:rPr>
              <w:t>不组织现场踏勘</w:t>
            </w:r>
            <w:bookmarkEnd w:id="12"/>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是否提供演示</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sz w:val="24"/>
                <w:szCs w:val="24"/>
              </w:rPr>
              <w:t>本项目进行演示, 演示顺序原则上按投标文件“解密时间从早到晚”顺序，演示时间</w:t>
            </w:r>
            <w:r>
              <w:rPr>
                <w:rFonts w:ascii="仿宋" w:hAnsi="仿宋" w:eastAsia="仿宋"/>
                <w:color w:val="000000"/>
                <w:sz w:val="24"/>
                <w:szCs w:val="24"/>
              </w:rPr>
              <w:t>15</w:t>
            </w:r>
            <w:r>
              <w:rPr>
                <w:rFonts w:hint="eastAsia" w:ascii="仿宋" w:hAnsi="仿宋" w:eastAsia="仿宋"/>
                <w:color w:val="000000"/>
                <w:sz w:val="24"/>
                <w:szCs w:val="24"/>
              </w:rPr>
              <w:t>分钟内。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是否提供样品</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bookmarkStart w:id="13"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13"/>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投标文件组成</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投标文件均由资格文件、技术商务文件、报价文件组成。</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电子交易平台登录方法</w:t>
            </w:r>
          </w:p>
        </w:tc>
        <w:tc>
          <w:tcPr>
            <w:tcW w:w="73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第一步：供应商登记</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投标人应在投标前登记成为浙江政府采购网的正式供应商（注册网址：</w:t>
            </w:r>
            <w:r>
              <w:rPr>
                <w:rFonts w:hint="eastAsia"/>
              </w:rPr>
              <w:fldChar w:fldCharType="begin"/>
            </w:r>
            <w:r>
              <w:instrText xml:space="preserve"> HYPERLINK "https://middle.zcygov.cn/v-settle-front/registry" </w:instrText>
            </w:r>
            <w:r>
              <w:rPr>
                <w:rFonts w:hint="eastAsia"/>
              </w:rPr>
              <w:fldChar w:fldCharType="separate"/>
            </w:r>
            <w:r>
              <w:rPr>
                <w:rStyle w:val="69"/>
                <w:rFonts w:hint="eastAsia" w:ascii="仿宋" w:hAnsi="仿宋" w:eastAsia="仿宋"/>
                <w:b/>
                <w:color w:val="000000" w:themeColor="text1"/>
                <w:sz w:val="24"/>
                <w:szCs w:val="24"/>
                <w14:textFill>
                  <w14:solidFill>
                    <w14:schemeClr w14:val="tx1"/>
                  </w14:solidFill>
                </w14:textFill>
              </w:rPr>
              <w:t>https://middle.zcygov.cn/v-settle-front/registry</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第二步：申请CA</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第三步：下载客户端</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投标人通过政采云电子交易客户端制作投标文件，请自行前往浙江政府采购网下载并安装（下载网址：</w:t>
            </w:r>
            <w:r>
              <w:rPr>
                <w:rFonts w:hint="eastAsia"/>
              </w:rPr>
              <w:fldChar w:fldCharType="begin"/>
            </w:r>
            <w:r>
              <w:instrText xml:space="preserve"> HYPERLINK "http://zfcg.czt.zj.gov.cn/bidClientTemplate/2019-09-24/12975.html" </w:instrText>
            </w:r>
            <w:r>
              <w:rPr>
                <w:rFonts w:hint="eastAsia"/>
              </w:rPr>
              <w:fldChar w:fldCharType="separate"/>
            </w:r>
            <w:r>
              <w:rPr>
                <w:rStyle w:val="69"/>
                <w:rFonts w:hint="eastAsia" w:ascii="仿宋" w:hAnsi="仿宋" w:eastAsia="仿宋"/>
                <w:b/>
                <w:color w:val="000000" w:themeColor="text1"/>
                <w:sz w:val="24"/>
                <w:szCs w:val="24"/>
                <w14:textFill>
                  <w14:solidFill>
                    <w14:schemeClr w14:val="tx1"/>
                  </w14:solidFill>
                </w14:textFill>
              </w:rPr>
              <w:t>http://zfcg.czt.zj.gov.cn/bidClientTemplate/2019-09-24/12975.html</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第四步：具体流程</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详见浙江省“电子交易/不见面开评标”学习专题（网址</w:t>
            </w:r>
            <w:r>
              <w:rPr>
                <w:rFonts w:hint="eastAsia"/>
              </w:rPr>
              <w:fldChar w:fldCharType="begin"/>
            </w:r>
            <w:r>
              <w:instrText xml:space="preserve"> HYPERLINK "https://edu.zcygov.cn/luban/e-biding" </w:instrText>
            </w:r>
            <w:r>
              <w:rPr>
                <w:rFonts w:hint="eastAsia"/>
              </w:rPr>
              <w:fldChar w:fldCharType="separate"/>
            </w:r>
            <w:r>
              <w:rPr>
                <w:rStyle w:val="69"/>
                <w:rFonts w:hint="eastAsia" w:ascii="仿宋" w:hAnsi="仿宋" w:eastAsia="仿宋"/>
                <w:b/>
                <w:color w:val="000000" w:themeColor="text1"/>
                <w:sz w:val="24"/>
                <w:szCs w:val="24"/>
                <w14:textFill>
                  <w14:solidFill>
                    <w14:schemeClr w14:val="tx1"/>
                  </w14:solidFill>
                </w14:textFill>
              </w:rPr>
              <w:t>https://edu.zcygov.cn/luban/e-biding</w:t>
            </w:r>
            <w:r>
              <w:rPr>
                <w:rStyle w:val="69"/>
                <w:rFonts w:hint="eastAsia" w:ascii="仿宋" w:hAnsi="仿宋" w:eastAsia="仿宋"/>
                <w:b/>
                <w:color w:val="000000" w:themeColor="text1"/>
                <w:sz w:val="24"/>
                <w:szCs w:val="24"/>
                <w14:textFill>
                  <w14:solidFill>
                    <w14:schemeClr w14:val="tx1"/>
                  </w14:solidFill>
                </w14:textFill>
              </w:rPr>
              <w:fldChar w:fldCharType="end"/>
            </w:r>
            <w:r>
              <w:rPr>
                <w:rFonts w:hint="eastAsia" w:ascii="仿宋" w:hAnsi="仿宋" w:eastAsia="仿宋"/>
                <w:b/>
                <w:color w:val="000000" w:themeColor="text1"/>
                <w:sz w:val="24"/>
                <w:szCs w:val="24"/>
                <w14:textFill>
                  <w14:solidFill>
                    <w14:schemeClr w14:val="tx1"/>
                  </w14:solidFill>
                </w14:textFill>
              </w:rPr>
              <w:t>）</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提醒：</w:t>
            </w:r>
          </w:p>
          <w:p>
            <w:pPr>
              <w:spacing w:line="4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w:t>
            </w:r>
            <w:r>
              <w:rPr>
                <w:rFonts w:ascii="仿宋" w:hAnsi="仿宋" w:eastAsia="仿宋"/>
                <w:b/>
                <w:color w:val="000000" w:themeColor="text1"/>
                <w:sz w:val="24"/>
                <w:szCs w:val="24"/>
                <w14:textFill>
                  <w14:solidFill>
                    <w14:schemeClr w14:val="tx1"/>
                  </w14:solidFill>
                </w14:textFill>
              </w:rPr>
              <w:t>.</w:t>
            </w:r>
            <w:r>
              <w:rPr>
                <w:rFonts w:hint="eastAsia" w:ascii="仿宋" w:hAnsi="仿宋" w:eastAsia="仿宋"/>
                <w:b/>
                <w:color w:val="000000" w:themeColor="text1"/>
                <w:sz w:val="24"/>
                <w:szCs w:val="24"/>
                <w14:textFill>
                  <w14:solidFill>
                    <w14:schemeClr w14:val="tx1"/>
                  </w14:solidFill>
                </w14:textFill>
              </w:rPr>
              <w:t>请各投标人合理安排时间，尽快完成第一、二、三步骤，避免影响投标。</w:t>
            </w:r>
          </w:p>
          <w:p>
            <w:pPr>
              <w:spacing w:line="40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7</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投标文件的递交与接收</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投标文件的接收以本项目公告要求的时间、地点和“第二章”的“投标文件的编制”等要求为准。</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投标人递交备份投标文件，出现下列情况之一的，将被拒收：</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1、未按规定密封或标记的；</w:t>
            </w:r>
          </w:p>
          <w:p>
            <w:pPr>
              <w:spacing w:line="50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2、由于包装不妥，在送交途中严重破损或失散的；</w:t>
            </w:r>
          </w:p>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8</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投标撤销（撤回）</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1</w:t>
            </w:r>
            <w:r>
              <w:rPr>
                <w:rFonts w:ascii="仿宋_GB2312" w:hAnsi="仿宋" w:eastAsia="仿宋_GB2312"/>
                <w:bCs/>
                <w:color w:val="000000" w:themeColor="text1"/>
                <w:sz w:val="24"/>
                <w14:textFill>
                  <w14:solidFill>
                    <w14:schemeClr w14:val="tx1"/>
                  </w14:solidFill>
                </w14:textFill>
              </w:rPr>
              <w:t>.</w:t>
            </w:r>
            <w:r>
              <w:rPr>
                <w:rFonts w:hint="eastAsia" w:ascii="仿宋_GB2312" w:hAnsi="仿宋" w:eastAsia="仿宋_GB2312"/>
                <w:bCs/>
                <w:color w:val="000000" w:themeColor="text1"/>
                <w:sz w:val="24"/>
                <w14:textFill>
                  <w14:solidFill>
                    <w14:schemeClr w14:val="tx1"/>
                  </w14:solidFill>
                </w14:textFill>
              </w:rPr>
              <w:t>在投标截止时间起至投标有效期届满，供应商投标文件不可撤销。</w:t>
            </w:r>
          </w:p>
          <w:p>
            <w:pPr>
              <w:autoSpaceDE w:val="0"/>
              <w:autoSpaceDN w:val="0"/>
              <w:snapToGrid w:val="0"/>
              <w:jc w:val="left"/>
              <w:textAlignment w:val="bottom"/>
              <w:rPr>
                <w:rFonts w:ascii="仿宋" w:hAnsi="仿宋" w:eastAsia="仿宋"/>
                <w:b/>
                <w:color w:val="000000" w:themeColor="text1"/>
                <w:sz w:val="24"/>
                <w:szCs w:val="24"/>
                <w14:textFill>
                  <w14:solidFill>
                    <w14:schemeClr w14:val="tx1"/>
                  </w14:solidFill>
                </w14:textFill>
              </w:rPr>
            </w:pPr>
            <w:r>
              <w:rPr>
                <w:rFonts w:ascii="仿宋_GB2312" w:hAnsi="仿宋" w:eastAsia="仿宋_GB2312"/>
                <w:bCs/>
                <w:color w:val="000000" w:themeColor="text1"/>
                <w:sz w:val="24"/>
                <w14:textFill>
                  <w14:solidFill>
                    <w14:schemeClr w14:val="tx1"/>
                  </w14:solidFill>
                </w14:textFill>
              </w:rPr>
              <w:t>2.</w:t>
            </w:r>
            <w:r>
              <w:rPr>
                <w:rFonts w:hint="eastAsia" w:ascii="仿宋_GB2312" w:hAnsi="仿宋" w:eastAsia="仿宋_GB2312"/>
                <w:bCs/>
                <w:color w:val="000000" w:themeColor="text1"/>
                <w:sz w:val="24"/>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9</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中标结果公告</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14:textFill>
                  <w14:solidFill>
                    <w14:schemeClr w14:val="tx1"/>
                  </w14:solidFill>
                </w14:textFill>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themeColor="text1"/>
                <w:sz w:val="24"/>
                <w:szCs w:val="24"/>
                <w14:textFill>
                  <w14:solidFill>
                    <w14:schemeClr w14:val="tx1"/>
                  </w14:solidFill>
                </w14:textFill>
              </w:rPr>
              <w:t>http://www.zjzfcg.gov.cn</w:t>
            </w:r>
            <w:r>
              <w:rPr>
                <w:rStyle w:val="69"/>
                <w:rFonts w:hint="eastAsia" w:ascii="仿宋" w:hAnsi="仿宋" w:eastAsia="仿宋"/>
                <w:color w:val="000000" w:themeColor="text1"/>
                <w:sz w:val="24"/>
                <w:szCs w:val="24"/>
                <w14:textFill>
                  <w14:solidFill>
                    <w14:schemeClr w14:val="tx1"/>
                  </w14:solidFill>
                </w14:textFill>
              </w:rPr>
              <w:fldChar w:fldCharType="end"/>
            </w:r>
            <w:r>
              <w:rPr>
                <w:rFonts w:hint="eastAsia" w:ascii="仿宋" w:hAnsi="仿宋" w:eastAsia="仿宋" w:cs="Arial"/>
                <w:color w:val="000000" w:themeColor="text1"/>
                <w:sz w:val="24"/>
                <w:szCs w:val="24"/>
                <w14:textFill>
                  <w14:solidFill>
                    <w14:schemeClr w14:val="tx1"/>
                  </w14:solidFill>
                </w14:textFill>
              </w:rPr>
              <w:t>)发布</w:t>
            </w:r>
            <w:r>
              <w:rPr>
                <w:rFonts w:hint="eastAsia" w:ascii="仿宋" w:hAnsi="仿宋" w:eastAsia="仿宋"/>
                <w:color w:val="000000" w:themeColor="text1"/>
                <w:sz w:val="24"/>
                <w:szCs w:val="24"/>
                <w14:textFill>
                  <w14:solidFill>
                    <w14:schemeClr w14:val="tx1"/>
                  </w14:solidFill>
                </w14:textFill>
              </w:rPr>
              <w:t>中标公告</w:t>
            </w:r>
            <w:r>
              <w:rPr>
                <w:rFonts w:hint="eastAsia" w:ascii="仿宋" w:hAnsi="仿宋" w:eastAsia="仿宋"/>
                <w:b/>
                <w:color w:val="000000" w:themeColor="text1"/>
                <w:sz w:val="24"/>
                <w:szCs w:val="24"/>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14:textFill>
                  <w14:solidFill>
                    <w14:schemeClr w14:val="tx1"/>
                  </w14:solidFill>
                </w14:textFill>
              </w:rPr>
              <w:t>，公告期限为1个工作日</w:t>
            </w:r>
            <w:r>
              <w:rPr>
                <w:rFonts w:hint="eastAsia" w:ascii="仿宋" w:hAnsi="仿宋" w:eastAsia="仿宋" w:cs="Arial"/>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21</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履约保证金</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22</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付款方式</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sz w:val="24"/>
              </w:rPr>
              <w:t>《浙江省财政厅关于进一步加大政府采购支持中小企业力度助力扎实稳住经济的通知》</w:t>
            </w:r>
            <w:r>
              <w:rPr>
                <w:rFonts w:hint="eastAsia" w:ascii="仿宋_GB2312" w:hAnsi="仿宋" w:eastAsia="仿宋_GB2312"/>
                <w:bCs/>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23</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投标文件有效期</w:t>
            </w:r>
          </w:p>
        </w:tc>
        <w:tc>
          <w:tcPr>
            <w:tcW w:w="736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4"/>
                <w:szCs w:val="24"/>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4</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合同签订时间</w:t>
            </w:r>
          </w:p>
        </w:tc>
        <w:tc>
          <w:tcPr>
            <w:tcW w:w="736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5</w:t>
            </w:r>
          </w:p>
        </w:tc>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themeColor="text1"/>
                <w:sz w:val="24"/>
                <w:szCs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招标方代理费用</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6</w:t>
            </w:r>
          </w:p>
        </w:tc>
        <w:tc>
          <w:tcPr>
            <w:tcW w:w="155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解释权</w:t>
            </w:r>
          </w:p>
        </w:tc>
        <w:tc>
          <w:tcPr>
            <w:tcW w:w="73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本招标文件的解释权属于浙江省政府采购中心。</w:t>
            </w:r>
          </w:p>
        </w:tc>
      </w:tr>
    </w:tbl>
    <w:p>
      <w:pPr>
        <w:pStyle w:val="53"/>
        <w:widowControl w:val="0"/>
        <w:snapToGrid w:val="0"/>
        <w:spacing w:before="468" w:beforeLines="150" w:beforeAutospacing="0" w:after="312" w:afterLines="100" w:afterAutospacing="0"/>
        <w:jc w:val="center"/>
        <w:rPr>
          <w:rFonts w:ascii="仿宋" w:hAnsi="仿宋" w:eastAsia="仿宋" w:cs="仿宋"/>
          <w:b/>
          <w:bCs/>
          <w:color w:val="000000" w:themeColor="text1"/>
          <w:kern w:val="2"/>
          <w:sz w:val="28"/>
          <w:szCs w:val="28"/>
          <w:lang w:bidi="ar"/>
          <w14:textFill>
            <w14:solidFill>
              <w14:schemeClr w14:val="tx1"/>
            </w14:solidFill>
          </w14:textFill>
        </w:rPr>
      </w:pPr>
    </w:p>
    <w:p>
      <w:pPr>
        <w:pStyle w:val="53"/>
        <w:widowControl w:val="0"/>
        <w:snapToGrid w:val="0"/>
        <w:spacing w:before="468" w:beforeLines="150" w:beforeAutospacing="0" w:after="312" w:afterLines="100" w:afterAutospacing="0"/>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一、总  则</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（一）适用范围</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仅适用于本次招标文件中采购项目的招标、投标、评标、定标、验收、合同履约、付款等行为（法律、法规另有规定的，从其规定）。</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（二）定义 </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1.招标方：指组织本项目采购的浙江省政府采购中心。</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2.投标人：指响应招标、参加投标竞争的法人、其他组织或者自然人。</w:t>
      </w:r>
    </w:p>
    <w:p>
      <w:pPr>
        <w:adjustRightInd w:val="0"/>
        <w:spacing w:before="156" w:beforeLines="50" w:after="156" w:afterLines="50" w:line="480" w:lineRule="exact"/>
        <w:ind w:firstLine="560" w:firstLineChars="200"/>
        <w:rPr>
          <w:rFonts w:ascii="仿宋" w:hAnsi="仿宋" w:eastAsia="仿宋" w:cs="仿宋"/>
          <w:bCs/>
          <w:sz w:val="28"/>
          <w:szCs w:val="28"/>
        </w:rPr>
      </w:pPr>
      <w:r>
        <w:rPr>
          <w:rFonts w:hint="eastAsia" w:ascii="仿宋" w:hAnsi="仿宋" w:eastAsia="仿宋" w:cs="仿宋"/>
          <w:bCs/>
          <w:color w:val="000000" w:themeColor="text1"/>
          <w:sz w:val="28"/>
          <w:szCs w:val="28"/>
          <w:lang w:bidi="ar"/>
          <w14:textFill>
            <w14:solidFill>
              <w14:schemeClr w14:val="tx1"/>
            </w14:solidFill>
          </w14:textFill>
        </w:rPr>
        <w:t>3.采购人</w:t>
      </w:r>
      <w:r>
        <w:rPr>
          <w:rFonts w:hint="eastAsia" w:ascii="仿宋" w:hAnsi="仿宋" w:eastAsia="仿宋" w:cs="仿宋"/>
          <w:bCs/>
          <w:sz w:val="28"/>
          <w:szCs w:val="28"/>
          <w:lang w:bidi="ar"/>
        </w:rPr>
        <w:t>：浙江省体育彩票管理中心</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4.货物：指招标文件规定投标人须向采购人提供的一切材料、设备、机械、仪器仪表、工具及其它有关技术资料和文字材料。</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5.服务：指招标文件规定投标人须承担的劳务以及其他类似的义务。</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6.项目：指投标人按招标文件规定向采购人提供的需求总称。</w:t>
      </w:r>
    </w:p>
    <w:p>
      <w:pPr>
        <w:adjustRightInd w:val="0"/>
        <w:spacing w:before="156" w:beforeLines="50" w:after="156" w:afterLines="50" w:line="480" w:lineRule="exact"/>
        <w:ind w:firstLine="560" w:firstLineChars="200"/>
        <w:rPr>
          <w:rFonts w:ascii="仿宋" w:hAnsi="仿宋" w:eastAsia="仿宋" w:cs="Arial"/>
          <w:b/>
          <w:strike/>
          <w:color w:val="FF0000"/>
          <w:sz w:val="28"/>
          <w:szCs w:val="28"/>
        </w:rPr>
      </w:pPr>
      <w:r>
        <w:rPr>
          <w:rFonts w:hint="eastAsia" w:ascii="仿宋" w:hAnsi="仿宋" w:eastAsia="仿宋" w:cs="仿宋"/>
          <w:bCs/>
          <w:color w:val="000000" w:themeColor="text1"/>
          <w:sz w:val="28"/>
          <w:szCs w:val="28"/>
          <w:lang w:bidi="ar"/>
          <w14:textFill>
            <w14:solidFill>
              <w14:schemeClr w14:val="tx1"/>
            </w14:solidFill>
          </w14:textFill>
        </w:rPr>
        <w:t>7.电子交易平台:指政府采购项目电子交易平台，即政采云平台。</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（三）投标人及委托有关说明</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1.如授权代表不是法定代表人，须有法定代表人出具的授权委托书</w:t>
      </w:r>
      <w:r>
        <w:rPr>
          <w:rFonts w:hint="eastAsia" w:ascii="仿宋" w:hAnsi="仿宋" w:eastAsia="仿宋" w:cs="仿宋"/>
          <w:b/>
          <w:bCs/>
          <w:color w:val="000000" w:themeColor="text1"/>
          <w:sz w:val="28"/>
          <w:szCs w:val="28"/>
          <w:lang w:bidi="ar"/>
          <w14:textFill>
            <w14:solidFill>
              <w14:schemeClr w14:val="tx1"/>
            </w14:solidFill>
          </w14:textFill>
        </w:rPr>
        <w:t>（格式见附件）。</w:t>
      </w:r>
      <w:r>
        <w:rPr>
          <w:rFonts w:hint="eastAsia" w:ascii="仿宋" w:hAnsi="仿宋" w:eastAsia="仿宋" w:cs="仿宋"/>
          <w:bCs/>
          <w:color w:val="000000" w:themeColor="text1"/>
          <w:sz w:val="28"/>
          <w:szCs w:val="28"/>
          <w:lang w:bidi="ar"/>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3.单位负责人为同一人或者存在直接控股、管理关系的不同供应商，不得参加同一合同项下的政府采购活动。</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4.投标人应仔细阅读招标文件的所有内容，按照招标文件的要求提交投标文件，并对所提供的全部资料的真实性承担法律责任。</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（四）投标费用</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不论投标结果如何，投标人均应自行承担所有与投标有关的全部费用（招标文件有其他相反规定除外）。</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（五）质疑</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以书面形式向采购人提出质疑。</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2.投标人认为招标过程或中标结果使自己的合法权益受到损害的，可以在中标结果公告期限届满之日起七个工作日内，以书面形式向采购人提出质疑。</w:t>
      </w:r>
    </w:p>
    <w:p>
      <w:pPr>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 3.质疑应当以书面形式提出，格式见《政府采购质疑和投诉办法》（财政部令第94号）附件范本，下载网址：浙江政府采购网(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cs="仿宋"/>
          <w:color w:val="000000" w:themeColor="text1"/>
          <w:sz w:val="28"/>
          <w:szCs w:val="28"/>
          <w14:textFill>
            <w14:solidFill>
              <w14:schemeClr w14:val="tx1"/>
            </w14:solidFill>
          </w14:textFill>
        </w:rPr>
        <w:t>http://zfcg.czt.zj.gov.cn/</w:t>
      </w:r>
      <w:r>
        <w:rPr>
          <w:rStyle w:val="69"/>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lang w:bidi="ar"/>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质疑函应当包括下列内容：</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a.供应商的姓名或者名称、地址、邮编、联系人及联系电话；</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b.质疑项目的名称、编号；</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c.具体、明确的质疑事项和与质疑事项相关的请求；</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d.事实依据；</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e.必要的法律依据；</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f.提出质疑的日期。</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要求的，应在规定期限内补齐的，采购人自收到补齐材料之日起受理；逾期未补齐的，按自动撤回质疑处理。</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依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 xml:space="preserve">（六）招标文件的澄清与修改 </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投标人应认真阅读本招标文件，发现其中有误或有不合理要求的，投标人应当于公告发布之日起至公告期限满第7个工作日内以书面形式向采购人提出。招标方将在规定的时间内，在财政部门指定的政府采购信息发布媒体上发布更正公告，并以书面形式通知所有招标文件收受人。</w:t>
      </w:r>
      <w:r>
        <w:rPr>
          <w:rFonts w:hint="eastAsia" w:ascii="仿宋" w:hAnsi="仿宋" w:eastAsia="仿宋" w:cs="仿宋"/>
          <w:b/>
          <w:bCs/>
          <w:color w:val="000000" w:themeColor="text1"/>
          <w:kern w:val="2"/>
          <w:sz w:val="28"/>
          <w:szCs w:val="28"/>
          <w:lang w:bidi="ar"/>
          <w14:textFill>
            <w14:solidFill>
              <w14:schemeClr w14:val="tx1"/>
            </w14:solidFill>
          </w14:textFill>
        </w:rPr>
        <w:t>逾期提出招标方将不予受理。</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2.招标方主动进行的澄清、修改：招标方无论出于何种原因，均可主动对招标文件中的相关事项，用补充文件等方式进行澄清和修改。</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53"/>
        <w:widowControl w:val="0"/>
        <w:adjustRightInd w:val="0"/>
        <w:spacing w:before="468" w:beforeLines="150" w:beforeAutospacing="0" w:after="312" w:afterLines="100" w:afterAutospacing="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二、投标文件的编制</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（一）投标文件编制工具</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cs="仿宋"/>
          <w:color w:val="000000" w:themeColor="text1"/>
          <w:sz w:val="28"/>
          <w:szCs w:val="28"/>
          <w14:textFill>
            <w14:solidFill>
              <w14:schemeClr w14:val="tx1"/>
            </w14:solidFill>
          </w14:textFill>
        </w:rPr>
        <w:t>http://zfcg.czt.zj.gov.cn/bidClientTemplate/2019-09-24/12975.html</w:t>
      </w:r>
      <w:r>
        <w:rPr>
          <w:rStyle w:val="69"/>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kern w:val="2"/>
          <w:sz w:val="28"/>
          <w:szCs w:val="28"/>
          <w:lang w:bidi="ar"/>
          <w14:textFill>
            <w14:solidFill>
              <w14:schemeClr w14:val="tx1"/>
            </w14:solidFill>
          </w14:textFill>
        </w:rPr>
        <w:t>，请自行下载并安装。</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（二）投标文件的组成</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电子投标文件每个标项由资格文件、技术商务文件、投标报价文件三部份组成，具体详见“第六章  投标文件格式附件”。备份投标文件的组成和内容等同电子投标文件。</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（三）投标文件的效力</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（四）投标文件的语言及计量</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53"/>
        <w:widowControl w:val="0"/>
        <w:tabs>
          <w:tab w:val="left" w:pos="720"/>
        </w:tabs>
        <w:adjustRightInd w:val="0"/>
        <w:spacing w:before="156" w:beforeLines="50" w:beforeAutospacing="0" w:after="156"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（五）投标文件的有效期</w:t>
      </w:r>
    </w:p>
    <w:p>
      <w:pPr>
        <w:pStyle w:val="53"/>
        <w:widowControl w:val="0"/>
        <w:tabs>
          <w:tab w:val="left" w:pos="720"/>
        </w:tabs>
        <w:adjustRightInd w:val="0"/>
        <w:spacing w:before="156" w:beforeLines="50" w:beforeAutospacing="0" w:after="156"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1.自投标截止日起90天内投标文件应保持有效。有效期不足的投标文件将作无效标处理。</w:t>
      </w:r>
    </w:p>
    <w:p>
      <w:pPr>
        <w:pStyle w:val="53"/>
        <w:widowControl w:val="0"/>
        <w:tabs>
          <w:tab w:val="left" w:pos="720"/>
        </w:tabs>
        <w:adjustRightInd w:val="0"/>
        <w:spacing w:before="156" w:beforeLines="50" w:beforeAutospacing="0" w:after="156" w:afterLines="50" w:afterAutospacing="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2.中标供应商的投标文件自开标之日起至合同履行完毕止均应保持有效。</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（六）投标文件的签署和包装</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 xml:space="preserve">1.电子投标文件部分： </w:t>
      </w:r>
    </w:p>
    <w:p>
      <w:pPr>
        <w:adjustRightInd w:val="0"/>
        <w:spacing w:before="156" w:beforeLines="50" w:after="156"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56" w:beforeLines="50" w:after="156"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（2）投标文件须由投标人在规定位置盖章并由法定代表人或法定代表人的授权委托人签署，投标人应写全称。</w:t>
      </w:r>
    </w:p>
    <w:p>
      <w:pPr>
        <w:adjustRightInd w:val="0"/>
        <w:spacing w:before="156" w:beforeLines="50" w:after="156" w:afterLines="50" w:line="480" w:lineRule="exact"/>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2.投标人选择递交备份投标文件的，备份投标文件另须满足以下条件：</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 xml:space="preserve">（1）储存形式：U盘、DVD </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56" w:beforeLines="50" w:after="156" w:afterLines="50" w:line="48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widowControl w:val="0"/>
        <w:adjustRightInd w:val="0"/>
        <w:spacing w:before="156" w:beforeLines="50" w:beforeAutospacing="0" w:after="156" w:afterLines="50" w:afterAutospacing="0" w:line="46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53"/>
        <w:widowControl w:val="0"/>
        <w:adjustRightInd w:val="0"/>
        <w:spacing w:before="156" w:beforeLines="50" w:beforeAutospacing="0" w:after="156" w:afterLines="50" w:afterAutospacing="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kern w:val="2"/>
          <w:sz w:val="28"/>
          <w:szCs w:val="28"/>
          <w:lang w:bidi="ar"/>
        </w:rPr>
        <w:t>3.</w:t>
      </w:r>
      <w:r>
        <w:rPr>
          <w:rFonts w:hint="eastAsia" w:ascii="仿宋" w:hAnsi="仿宋" w:eastAsia="仿宋" w:cs="仿宋"/>
          <w:bCs/>
          <w:color w:val="000000" w:themeColor="text1"/>
          <w:kern w:val="2"/>
          <w:sz w:val="28"/>
          <w:szCs w:val="28"/>
          <w:lang w:bidi="ar"/>
          <w14:textFill>
            <w14:solidFill>
              <w14:schemeClr w14:val="tx1"/>
            </w14:solidFill>
          </w14:textFill>
        </w:rPr>
        <w:t>资格文件、技术商务文件中不得出现投标报价信息，否则按无效标处理。</w:t>
      </w:r>
    </w:p>
    <w:p>
      <w:pPr>
        <w:pStyle w:val="53"/>
        <w:widowControl w:val="0"/>
        <w:snapToGrid w:val="0"/>
        <w:spacing w:before="156" w:beforeLines="50" w:beforeAutospacing="0" w:after="156" w:afterLines="50" w:afterAutospacing="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56" w:beforeLines="50" w:after="156" w:afterLines="50" w:line="480" w:lineRule="exact"/>
        <w:ind w:firstLine="560" w:firstLineChars="200"/>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（八）串通投标认定</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有下列情形之一的，视为投标人串通投标，其投标无效：</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1.不同投标人的投标文件由同一单位或者个人编制或同一IP地址上传；</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2.不同投标人委托同一单位或者个人办理投标事宜；</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3.不同投标人的投标文件载明的项目管理成员或者联系人员为同一人；</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4.不同投标人的投标文件异常一致或者投标报价呈规律性差异；</w:t>
      </w:r>
    </w:p>
    <w:p>
      <w:pPr>
        <w:adjustRightInd w:val="0"/>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5.不同投标人的投标文件相互混装；</w:t>
      </w:r>
    </w:p>
    <w:p>
      <w:pPr>
        <w:spacing w:before="156" w:beforeLines="50" w:after="156" w:afterLines="50" w:line="460" w:lineRule="exact"/>
        <w:ind w:firstLine="414" w:firstLineChars="148"/>
        <w:jc w:val="left"/>
        <w:outlineLvl w:val="1"/>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（九）投标无效的情形</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在评审时，如发现下列情形之一的，投标文件将被视为无效：</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1.投标人未能提供合格的资格文件、投标有效期不足的；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2.</w:t>
      </w:r>
      <w:r>
        <w:rPr>
          <w:rFonts w:hint="eastAsia" w:ascii="仿宋" w:hAnsi="仿宋" w:eastAsia="仿宋"/>
          <w:kern w:val="0"/>
          <w:sz w:val="28"/>
          <w:szCs w:val="28"/>
        </w:rPr>
        <w:t>被中国政府采购网（www.ccgp.gov.cn）列入政府采购严重违法失信行为记录名单，在军队采购网（www.plap.mil.cn）军队采购暂停名单处罚范围内或军队采购失信名单禁入处罚期和处罚范围内，以及被“信用中国”（www.creditchina.gov.cn）列入严重失信主体名单或国家企业信用信息公示系统（www.gsxt.gov.cn）列入严重违法失信名单（处罚期内）；</w:t>
      </w:r>
    </w:p>
    <w:p>
      <w:pPr>
        <w:spacing w:before="156" w:beforeLines="50" w:after="156"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3.仅提供备份投标文件的；</w:t>
      </w:r>
    </w:p>
    <w:p>
      <w:pPr>
        <w:spacing w:before="156" w:beforeLines="50" w:after="156"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4.电子投标文件解密失败，且未在规定时间内提交备份投标文件的；</w:t>
      </w:r>
    </w:p>
    <w:p>
      <w:pPr>
        <w:spacing w:before="156" w:beforeLines="50" w:after="156" w:afterLines="50" w:line="46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6.投标文件未按招标文件要求签署、盖章的；</w:t>
      </w:r>
    </w:p>
    <w:p>
      <w:pPr>
        <w:spacing w:before="156" w:beforeLines="50" w:after="156" w:afterLines="50" w:line="46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lang w:bidi="ar"/>
        </w:rPr>
        <w:t>7.与招标文件有重大偏离、未满足带“▲”号实质性指标的投标文件；</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8.招标需求中要求提供的产品属于节能清单中政府强制采购节能产品品目的，投标人未提供该清单内产品的；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9.要求提供样品，投标人未提供样品或提供样品不满足采购需求实质性条件的；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10.投标报价超出招标文件中规定的预算金额或者最高限价的；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11.标项以赠送方式投标的、对一个标项提供两个投标方案或两个报价的；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12.评标委员会认为投标人的报价明显低于其他通过符合性审查投标人的报价，有可能影响产品质量或者不能诚信履约，且不能证明其报价合理性的；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13.投标人不接受报价文件中修正后的报价的；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14.未按本章“二、投标文件的编制”第七点投标报价要求报价的；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15.投标文件含有采购人不能接受的附加条件的；</w:t>
      </w:r>
    </w:p>
    <w:p>
      <w:pPr>
        <w:spacing w:before="156" w:beforeLines="50" w:after="156" w:afterLines="50" w:line="46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16.投标人被视为串通投标的；</w:t>
      </w:r>
    </w:p>
    <w:p>
      <w:pPr>
        <w:pStyle w:val="53"/>
        <w:widowControl w:val="0"/>
        <w:spacing w:before="156" w:beforeLines="50" w:beforeAutospacing="0" w:after="156" w:afterLines="50" w:afterAutospacing="0" w:line="46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17.不符合法律、法规和本招标文件规定的其他实质性要求的。</w:t>
      </w:r>
    </w:p>
    <w:p>
      <w:pPr>
        <w:pStyle w:val="53"/>
        <w:widowControl w:val="0"/>
        <w:spacing w:before="156" w:beforeLines="50" w:beforeAutospacing="0" w:after="156" w:afterLines="50" w:afterAutospacing="0" w:line="46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（十）错误修正</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电子交易平台客户端里开标一览表录入的投标报价信息与扫描上传的报价文件不一致的，以扫描上传的报价文件为准。</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投标文件报价出现前后不一致的，除招标文件另有规定外，按照下列规定修正：</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1.投标文件中开标一览表内容与投标文件中相应内容不一致的，以开标一览表为准；</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2.大写金额和小写金额不一致的，以大写金额为准；</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3.单价金额小数点或者百分比有明显错位的，以开标一览表的总价为准，并修改单价；</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4.总价金额与按单价汇总金额不一致的，以单价金额计算结果为准。</w:t>
      </w:r>
    </w:p>
    <w:p>
      <w:pPr>
        <w:adjustRightInd w:val="0"/>
        <w:spacing w:before="156" w:beforeLines="50" w:after="156" w:afterLines="50" w:line="480" w:lineRule="exact"/>
        <w:ind w:firstLine="562"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同时出现两种以上不一致的，按照前款规定的顺序修正。修正后的报价按照经投标人加盖公章后产生约束力，投标人不确认的，其投标无效。</w:t>
      </w:r>
    </w:p>
    <w:p>
      <w:pPr>
        <w:adjustRightInd w:val="0"/>
        <w:spacing w:before="156" w:beforeLines="50" w:after="156" w:afterLines="50" w:line="480" w:lineRule="exact"/>
        <w:ind w:firstLine="560"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bidi="ar"/>
          <w14:textFill>
            <w14:solidFill>
              <w14:schemeClr w14:val="tx1"/>
            </w14:solidFill>
          </w14:textFill>
        </w:rPr>
        <w:t>（十一）采购过程中的异常情况及处理措施</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采购过程中出现以下情形，导致电子交易平台无法正常运行，或者无法保证电子交易的公平、公正和安全时，招标方可中止电子交易活动：</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1.电子交易平台发生故障而无法登录访问的；</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2.电子交易平台应用或数据库出现错误，不能进行正常操作的；</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3.电子交易平台发现严重安全漏洞，有潜在泄密危险的；</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4.病毒发作导致不能进行正常操作的；</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5.其他无法保证电子交易的公平、公正和安全的情况。</w:t>
      </w:r>
    </w:p>
    <w:p>
      <w:pPr>
        <w:adjustRightInd w:val="0"/>
        <w:spacing w:before="156" w:beforeLines="50" w:after="156" w:afterLines="50" w:line="480" w:lineRule="exact"/>
        <w:ind w:firstLine="562" w:firstLineChars="20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53"/>
        <w:widowControl w:val="0"/>
        <w:adjustRightInd w:val="0"/>
        <w:spacing w:before="468" w:beforeLines="150" w:beforeAutospacing="0" w:after="312" w:afterLines="100" w:afterAutospacing="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三、开、评标程序及评标委员会的评审程序</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（一）组织开标</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招标方将按照招标文件规定的时间、地点和程序组织开标，各投标人授权代表及相关人员</w:t>
      </w:r>
      <w:r>
        <w:rPr>
          <w:rFonts w:hint="eastAsia" w:ascii="仿宋" w:hAnsi="仿宋" w:eastAsia="仿宋" w:cs="仿宋"/>
          <w:b/>
          <w:bCs/>
          <w:color w:val="000000" w:themeColor="text1"/>
          <w:kern w:val="2"/>
          <w:sz w:val="28"/>
          <w:szCs w:val="28"/>
          <w:lang w:bidi="ar"/>
          <w14:textFill>
            <w14:solidFill>
              <w14:schemeClr w14:val="tx1"/>
            </w14:solidFill>
          </w14:textFill>
        </w:rPr>
        <w:t>均应当准时在线参加</w:t>
      </w:r>
      <w:r>
        <w:rPr>
          <w:rFonts w:hint="eastAsia" w:ascii="仿宋" w:hAnsi="仿宋" w:eastAsia="仿宋" w:cs="仿宋"/>
          <w:bCs/>
          <w:color w:val="000000" w:themeColor="text1"/>
          <w:kern w:val="2"/>
          <w:sz w:val="28"/>
          <w:szCs w:val="28"/>
          <w:lang w:bidi="ar"/>
          <w14:textFill>
            <w14:solidFill>
              <w14:schemeClr w14:val="tx1"/>
            </w14:solidFill>
          </w14:textFill>
        </w:rPr>
        <w:t>，无关人员不得进入开标现场。</w:t>
      </w:r>
      <w:r>
        <w:rPr>
          <w:rFonts w:hint="eastAsia" w:ascii="仿宋" w:hAnsi="仿宋" w:eastAsia="仿宋" w:cs="仿宋"/>
          <w:b/>
          <w:bCs/>
          <w:color w:val="000000" w:themeColor="text1"/>
          <w:kern w:val="2"/>
          <w:sz w:val="28"/>
          <w:szCs w:val="28"/>
          <w:lang w:bidi="ar"/>
          <w14:textFill>
            <w14:solidFill>
              <w14:schemeClr w14:val="tx1"/>
            </w14:solidFill>
          </w14:textFill>
        </w:rPr>
        <w:t>投标人如未准时在线参加的</w:t>
      </w:r>
      <w:r>
        <w:rPr>
          <w:rFonts w:hint="eastAsia" w:ascii="仿宋" w:hAnsi="仿宋" w:eastAsia="仿宋" w:cs="仿宋"/>
          <w:bCs/>
          <w:color w:val="000000" w:themeColor="text1"/>
          <w:kern w:val="2"/>
          <w:sz w:val="28"/>
          <w:szCs w:val="28"/>
          <w:lang w:bidi="ar"/>
          <w14:textFill>
            <w14:solidFill>
              <w14:schemeClr w14:val="tx1"/>
            </w14:solidFill>
          </w14:textFill>
        </w:rPr>
        <w:t>，事后不得对采购相关人员、开标过程和开标结果提出异议。</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3.投标截止时，电子交易平台自动提取所有电子投标文件。招标方点击[开始解密]按钮后，投标人可以在线解密，解密时限为30分钟。</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解密时限内未完成解密且按规定提供了备份投标文件的，招标方将在开标直播间拆封其备份投标文件，并导入电子交易平台。</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6.招标方在电子交易平台开启投标人的报价文件信息，投标人对报价信息进行确认。投标人对报价信息不予确认的不影响后续评标过程。</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8.在电子交易平台上公布评审结果。</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特别说明：政采云公司如对电子化开标及评审程序有调整的，按调整后的程序操作。</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（二）组织评标程序</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1、开启开标场地录音录像采集设备，并确保正常运行。</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2、按规定统一收缴、保存评标现场相关人员通讯工具。</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3、介绍评审现场的人员情况，宣布评审工作纪律，告知评审人员应当回避情形；组织推选评标委员会组长。</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4、宣读提交投标文件的供应商名单，组织评标委员会各位成员签订纸质形式的《政府采购评审人员廉洁自律承诺书》。</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kern w:val="2"/>
          <w:sz w:val="28"/>
          <w:szCs w:val="28"/>
          <w:lang w:bidi="ar"/>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7、采购人代表对投标人资格文件进行审查并以开标当日为准对投标人“信用中国”网站（www.creditchina.gov.cn）或国家企业信用信息公示系统（www.gsxt.gov.cn）、中国政府采购网（www.ccgp.gov.cn）、军队采购网（www.plap.mil.cn）信用记录情况进行核实，资格不符合的，应组织相关投标人代表进行陈述、澄清或申辩。</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9、做好评审现场相关记录，协助评标委员会组长做好评审报告起草、有关内容电脑文字录入等工作，并要求评标委员会各成员签字确认。</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kern w:val="2"/>
          <w:sz w:val="28"/>
          <w:szCs w:val="28"/>
          <w:lang w:bidi="ar"/>
          <w14:textFill>
            <w14:solidFill>
              <w14:schemeClr w14:val="tx1"/>
            </w14:solidFill>
          </w14:textFill>
        </w:rPr>
        <w:t> </w:t>
      </w:r>
      <w:r>
        <w:rPr>
          <w:rFonts w:hint="eastAsia" w:ascii="仿宋" w:hAnsi="仿宋" w:eastAsia="仿宋" w:cs="仿宋"/>
          <w:b/>
          <w:bCs/>
          <w:color w:val="000000" w:themeColor="text1"/>
          <w:kern w:val="2"/>
          <w:sz w:val="28"/>
          <w:szCs w:val="28"/>
          <w:lang w:bidi="ar"/>
          <w14:textFill>
            <w14:solidFill>
              <w14:schemeClr w14:val="tx1"/>
            </w14:solidFill>
          </w14:textFill>
        </w:rPr>
        <w:tab/>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kern w:val="2"/>
          <w:sz w:val="28"/>
          <w:szCs w:val="28"/>
          <w:lang w:bidi="ar"/>
          <w14:textFill>
            <w14:solidFill>
              <w14:schemeClr w14:val="tx1"/>
            </w14:solidFill>
          </w14:textFill>
        </w:rPr>
        <w:t>（三）评审程序</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1、在评审专家中推选评标委员会组长。</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3、评审人员对各投标人投标文件的有效性、符合性、完整性和响应程度进行审查，确定是否对招标文件作出实质性响应。</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 xml:space="preserve">7、评标委员会根据评审汇总情况和招标文件规定确定中标候选供应商排序名单。 </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kern w:val="2"/>
          <w:sz w:val="28"/>
          <w:szCs w:val="28"/>
          <w:lang w:bidi="ar"/>
          <w14:textFill>
            <w14:solidFill>
              <w14:schemeClr w14:val="tx1"/>
            </w14:solidFill>
          </w14:textFill>
        </w:rPr>
        <w:t>8、起草评审报告，所有评审人员须在评审报告上签字确认。</w:t>
      </w:r>
    </w:p>
    <w:p>
      <w:pPr>
        <w:pStyle w:val="53"/>
        <w:widowControl w:val="0"/>
        <w:adjustRightInd w:val="0"/>
        <w:spacing w:before="468" w:beforeLines="150" w:beforeAutospacing="0" w:after="312" w:afterLines="100" w:afterAutospacing="0"/>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四、评审原则</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widowControl w:val="0"/>
        <w:adjustRightInd w:val="0"/>
        <w:spacing w:before="156" w:beforeLines="50" w:beforeAutospacing="0" w:after="156" w:afterLines="50" w:afterAutospacing="0" w:line="480" w:lineRule="exact"/>
        <w:ind w:firstLine="562" w:firstLineChars="200"/>
        <w:jc w:val="both"/>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kern w:val="2"/>
          <w:sz w:val="28"/>
          <w:szCs w:val="28"/>
          <w:lang w:bidi="ar"/>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widowControl w:val="0"/>
        <w:adjustRightInd w:val="0"/>
        <w:spacing w:before="468" w:beforeLines="150" w:beforeAutospacing="0" w:after="312" w:afterLines="100" w:afterAutospacing="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五、确定中标供应商的原则</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1.项目由评标委员会根据第三章《评标办法与评分标准》规定提出中标候选人排序。</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widowControl w:val="0"/>
        <w:adjustRightInd w:val="0"/>
        <w:spacing w:before="156" w:beforeLines="50" w:beforeAutospacing="0" w:after="156" w:afterLines="50" w:afterAutospacing="0" w:line="480" w:lineRule="exact"/>
        <w:ind w:firstLine="560" w:firstLineChars="200"/>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2"/>
          <w:sz w:val="28"/>
          <w:szCs w:val="28"/>
          <w:lang w:bidi="ar"/>
          <w14:textFill>
            <w14:solidFill>
              <w14:schemeClr w14:val="tx1"/>
            </w14:solidFill>
          </w14:textFill>
        </w:rPr>
        <w:t>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kern w:val="2"/>
          <w:sz w:val="28"/>
          <w:szCs w:val="28"/>
          <w:lang w:bidi="ar"/>
          <w14:textFill>
            <w14:solidFill>
              <w14:schemeClr w14:val="tx1"/>
            </w14:solidFill>
          </w14:textFill>
        </w:rPr>
        <w:t>。</w:t>
      </w:r>
    </w:p>
    <w:p>
      <w:pPr>
        <w:pStyle w:val="53"/>
        <w:widowControl w:val="0"/>
        <w:adjustRightInd w:val="0"/>
        <w:spacing w:before="468" w:beforeLines="150" w:beforeAutospacing="0" w:after="312" w:afterLines="100" w:afterAutospacing="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kern w:val="2"/>
          <w:sz w:val="30"/>
          <w:szCs w:val="30"/>
          <w:lang w:bidi="ar"/>
          <w14:textFill>
            <w14:solidFill>
              <w14:schemeClr w14:val="tx1"/>
            </w14:solidFill>
          </w14:textFill>
        </w:rPr>
        <w:t>六、合同授予</w:t>
      </w:r>
    </w:p>
    <w:p>
      <w:pPr>
        <w:adjustRightInd w:val="0"/>
        <w:spacing w:before="156" w:beforeLines="50" w:after="156" w:afterLines="50"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bidi="ar"/>
          <w14:textFill>
            <w14:solidFill>
              <w14:schemeClr w14:val="tx1"/>
            </w14:solidFill>
          </w14:textFill>
        </w:rPr>
        <w:t>（一）签订合同</w:t>
      </w:r>
    </w:p>
    <w:p>
      <w:pPr>
        <w:adjustRightInd w:val="0"/>
        <w:spacing w:before="156" w:beforeLines="50" w:after="156" w:afterLines="50"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bidi="ar"/>
          <w14:textFill>
            <w14:solidFill>
              <w14:schemeClr w14:val="tx1"/>
            </w14:solidFill>
          </w14:textFill>
        </w:rPr>
        <w:t>1.采购人与中标人应当在《中标通知书》发出之日起30日内签订政府采购合同。</w:t>
      </w:r>
    </w:p>
    <w:p>
      <w:pPr>
        <w:adjustRightInd w:val="0"/>
        <w:spacing w:before="156" w:beforeLines="50" w:after="156" w:afterLines="50"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bidi="ar"/>
          <w14:textFill>
            <w14:solidFill>
              <w14:schemeClr w14:val="tx1"/>
            </w14:solidFill>
          </w14:textFill>
        </w:rPr>
        <w:t>2.中标人拖延、拒签合同的,将被取消中标资格。</w:t>
      </w:r>
    </w:p>
    <w:p>
      <w:pPr>
        <w:adjustRightInd w:val="0"/>
        <w:spacing w:before="156" w:beforeLines="50" w:after="156" w:afterLines="50" w:line="480" w:lineRule="exact"/>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bidi="ar"/>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（二）履约保证金</w:t>
      </w:r>
    </w:p>
    <w:p>
      <w:pPr>
        <w:pStyle w:val="31"/>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312" w:beforeLines="100" w:after="312" w:afterLines="10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七、货款的结算</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预付款：依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themeColor="text1"/>
          <w:sz w:val="28"/>
          <w:szCs w:val="28"/>
          <w14:textFill>
            <w14:solidFill>
              <w14:schemeClr w14:val="tx1"/>
            </w14:solidFill>
          </w14:textFill>
        </w:rPr>
        <w:t>浙江省财政厅关于进一步加大政府采购支持中小企业力度助力扎实稳住经济的通知</w:t>
      </w:r>
      <w:r>
        <w:rPr>
          <w:rFonts w:hint="eastAsia" w:ascii="仿宋" w:hAnsi="仿宋" w:eastAsia="仿宋"/>
          <w:color w:val="000000" w:themeColor="text1"/>
          <w:sz w:val="28"/>
          <w:szCs w:val="28"/>
          <w14:textFill>
            <w14:solidFill>
              <w14:schemeClr w14:val="tx1"/>
            </w14:solidFill>
          </w14:textFill>
        </w:rPr>
        <w:t>》等相关规范，对预付款支付要求如下：</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3.采购项目实施以人工投入为主的，可适当降低预付款比例，但不得低于20%。</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4.对供应商为大型企业的项目或者以人工投入为主且实行按月定期结算支付款项的项目，预付款可低于上述比例或者不约定预付款。</w:t>
      </w:r>
    </w:p>
    <w:p>
      <w:pPr>
        <w:pStyle w:val="31"/>
        <w:snapToGrid w:val="0"/>
        <w:spacing w:before="156" w:after="156"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备注：在签订合同时，供应商明确表示无需预付款或者主动要求降低预付款比例的，采购单位可不适用前述预付款比例的规定。</w:t>
      </w:r>
    </w:p>
    <w:p>
      <w:pPr>
        <w:pStyle w:val="31"/>
        <w:snapToGrid w:val="0"/>
        <w:spacing w:before="312" w:beforeLines="100" w:after="312" w:afterLines="100" w:line="360" w:lineRule="auto"/>
        <w:jc w:val="center"/>
        <w:rPr>
          <w:rFonts w:hAnsi="宋体"/>
          <w:b/>
          <w:color w:val="000000"/>
          <w:sz w:val="36"/>
          <w:szCs w:val="36"/>
        </w:rPr>
      </w:pPr>
      <w:r>
        <w:rPr>
          <w:rFonts w:hint="eastAsia" w:hAnsi="宋体"/>
          <w:b/>
          <w:color w:val="000000" w:themeColor="text1"/>
          <w:kern w:val="0"/>
          <w:sz w:val="36"/>
          <w:szCs w:val="36"/>
          <w14:textFill>
            <w14:solidFill>
              <w14:schemeClr w14:val="tx1"/>
            </w14:solidFill>
          </w14:textFill>
        </w:rPr>
        <w:br w:type="page"/>
      </w:r>
      <w:r>
        <w:rPr>
          <w:rFonts w:hint="eastAsia" w:hAnsi="宋体"/>
          <w:b/>
          <w:color w:val="000000"/>
          <w:sz w:val="36"/>
          <w:szCs w:val="36"/>
        </w:rPr>
        <w:t>第三章  评标办法及评分标准</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依据相关法律法规，结合本项目的实际需求，制定本办法。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3"/>
        <w:spacing w:before="156" w:beforeLines="50" w:after="156" w:afterLines="50" w:line="460" w:lineRule="exact"/>
        <w:ind w:firstLine="602" w:firstLineChars="200"/>
        <w:rPr>
          <w:rFonts w:ascii="仿宋" w:hAnsi="仿宋" w:eastAsia="仿宋" w:cs="仿宋"/>
          <w:color w:val="000000"/>
          <w:sz w:val="30"/>
          <w:szCs w:val="30"/>
          <w:lang w:bidi="ar"/>
        </w:rPr>
      </w:pPr>
      <w:r>
        <w:rPr>
          <w:rFonts w:hint="eastAsia" w:ascii="仿宋" w:hAnsi="仿宋" w:eastAsia="仿宋" w:cs="仿宋"/>
          <w:color w:val="000000"/>
          <w:sz w:val="30"/>
          <w:szCs w:val="30"/>
          <w:lang w:bidi="ar"/>
        </w:rPr>
        <w:t>推荐中标供应商数量：</w:t>
      </w:r>
    </w:p>
    <w:p>
      <w:pPr>
        <w:spacing w:before="156" w:beforeLines="50" w:after="156" w:afterLines="50" w:line="4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中标候选人数量:1家</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cs="仿宋"/>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320" w:lineRule="exact"/>
        <w:ind w:firstLine="643" w:firstLineChars="200"/>
        <w:rPr>
          <w:rFonts w:ascii="仿宋" w:hAnsi="仿宋" w:eastAsia="仿宋_GB2312"/>
          <w:b/>
          <w:color w:val="000000"/>
          <w:sz w:val="32"/>
          <w:szCs w:val="32"/>
        </w:rPr>
      </w:pPr>
      <w:bookmarkStart w:id="14" w:name="_Toc496796638"/>
    </w:p>
    <w:p>
      <w:pPr>
        <w:spacing w:before="156" w:beforeLines="50" w:after="156" w:afterLines="50" w:line="320" w:lineRule="exact"/>
        <w:ind w:firstLine="643" w:firstLineChars="200"/>
        <w:rPr>
          <w:rFonts w:ascii="仿宋" w:hAnsi="仿宋" w:eastAsia="仿宋_GB2312"/>
          <w:b/>
          <w:color w:val="000000"/>
          <w:sz w:val="32"/>
          <w:szCs w:val="32"/>
        </w:rPr>
      </w:pPr>
    </w:p>
    <w:p>
      <w:pPr>
        <w:spacing w:before="156" w:beforeLines="50" w:after="156" w:afterLines="50" w:line="320" w:lineRule="exact"/>
        <w:ind w:firstLine="643" w:firstLineChars="200"/>
        <w:rPr>
          <w:rFonts w:ascii="仿宋" w:hAnsi="仿宋" w:eastAsia="仿宋_GB2312"/>
          <w:b/>
          <w:color w:val="000000"/>
          <w:sz w:val="32"/>
          <w:szCs w:val="32"/>
        </w:rPr>
      </w:pPr>
    </w:p>
    <w:p>
      <w:pPr>
        <w:spacing w:before="156" w:beforeLines="50" w:after="156" w:afterLines="50" w:line="320" w:lineRule="exact"/>
        <w:ind w:firstLine="643" w:firstLineChars="200"/>
        <w:rPr>
          <w:rFonts w:ascii="仿宋" w:hAnsi="仿宋" w:eastAsia="仿宋_GB2312"/>
          <w:b/>
          <w:color w:val="000000"/>
          <w:sz w:val="32"/>
          <w:szCs w:val="32"/>
        </w:rPr>
      </w:pPr>
    </w:p>
    <w:p>
      <w:pPr>
        <w:spacing w:before="156" w:beforeLines="50" w:after="156" w:afterLines="50" w:line="320" w:lineRule="exact"/>
        <w:ind w:firstLine="643" w:firstLineChars="200"/>
        <w:rPr>
          <w:rFonts w:ascii="仿宋" w:hAnsi="仿宋" w:eastAsia="仿宋_GB2312"/>
          <w:b/>
          <w:color w:val="000000"/>
          <w:sz w:val="32"/>
          <w:szCs w:val="32"/>
        </w:rPr>
      </w:pPr>
    </w:p>
    <w:p>
      <w:pPr>
        <w:numPr>
          <w:ilvl w:val="0"/>
          <w:numId w:val="31"/>
        </w:numPr>
        <w:rPr>
          <w:rFonts w:ascii="仿宋" w:hAnsi="仿宋" w:eastAsia="仿宋_GB2312"/>
          <w:b/>
          <w:color w:val="000000"/>
          <w:sz w:val="30"/>
          <w:szCs w:val="30"/>
        </w:rPr>
      </w:pPr>
      <w:r>
        <w:rPr>
          <w:rFonts w:hint="eastAsia" w:ascii="仿宋" w:hAnsi="仿宋" w:eastAsia="仿宋_GB2312"/>
          <w:b/>
          <w:color w:val="000000"/>
          <w:sz w:val="32"/>
          <w:szCs w:val="32"/>
        </w:rPr>
        <w:t>评标内容及标</w:t>
      </w:r>
      <w:r>
        <w:rPr>
          <w:rFonts w:hint="eastAsia" w:ascii="仿宋" w:hAnsi="仿宋" w:eastAsia="仿宋_GB2312"/>
          <w:b/>
          <w:color w:val="000000"/>
          <w:sz w:val="30"/>
          <w:szCs w:val="30"/>
        </w:rPr>
        <w:t>准</w:t>
      </w:r>
    </w:p>
    <w:tbl>
      <w:tblPr>
        <w:tblStyle w:val="59"/>
        <w:tblW w:w="9078"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823"/>
        <w:gridCol w:w="6154"/>
        <w:gridCol w:w="581"/>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03" w:type="dxa"/>
            <w:tcBorders>
              <w:top w:val="single" w:color="auto" w:sz="4" w:space="0"/>
              <w:left w:val="single" w:color="auto" w:sz="4" w:space="0"/>
              <w:bottom w:val="single" w:color="auto" w:sz="4" w:space="0"/>
              <w:right w:val="single" w:color="auto" w:sz="4" w:space="0"/>
            </w:tcBorders>
            <w:vAlign w:val="top"/>
          </w:tcPr>
          <w:p>
            <w:pPr>
              <w:pStyle w:val="31"/>
              <w:spacing w:before="156" w:after="156"/>
              <w:jc w:val="center"/>
              <w:rPr>
                <w:rFonts w:ascii="仿宋" w:hAnsi="Calibri" w:eastAsia="仿宋"/>
              </w:rPr>
            </w:pPr>
            <w:bookmarkStart w:id="15" w:name="PO_15528_PM051"/>
            <w:bookmarkEnd w:id="15"/>
            <w:bookmarkStart w:id="16" w:name="PO_TDCUS_ITEM_SM_TITLE_2"/>
            <w:r>
              <w:rPr>
                <w:rFonts w:hint="eastAsia" w:ascii="仿宋" w:hAnsi="Calibri" w:eastAsia="仿宋"/>
              </w:rPr>
              <w:t>序号</w:t>
            </w:r>
          </w:p>
        </w:tc>
        <w:tc>
          <w:tcPr>
            <w:tcW w:w="823" w:type="dxa"/>
            <w:tcBorders>
              <w:top w:val="single" w:color="auto" w:sz="4" w:space="0"/>
              <w:left w:val="single" w:color="auto" w:sz="4" w:space="0"/>
              <w:bottom w:val="single" w:color="auto" w:sz="4" w:space="0"/>
              <w:right w:val="single" w:color="auto" w:sz="4" w:space="0"/>
            </w:tcBorders>
            <w:vAlign w:val="top"/>
          </w:tcPr>
          <w:p>
            <w:pPr>
              <w:pStyle w:val="31"/>
              <w:spacing w:before="156" w:after="156"/>
              <w:jc w:val="center"/>
              <w:rPr>
                <w:rFonts w:ascii="仿宋" w:hAnsi="Calibri" w:eastAsia="仿宋"/>
              </w:rPr>
            </w:pPr>
            <w:r>
              <w:rPr>
                <w:rFonts w:hint="eastAsia" w:ascii="仿宋" w:hAnsi="Calibri" w:eastAsia="仿宋"/>
              </w:rPr>
              <w:t>评分类型</w:t>
            </w:r>
          </w:p>
        </w:tc>
        <w:tc>
          <w:tcPr>
            <w:tcW w:w="6154" w:type="dxa"/>
            <w:tcBorders>
              <w:top w:val="single" w:color="auto" w:sz="4" w:space="0"/>
              <w:left w:val="single" w:color="auto" w:sz="4" w:space="0"/>
              <w:bottom w:val="single" w:color="auto" w:sz="4" w:space="0"/>
              <w:right w:val="single" w:color="auto" w:sz="4" w:space="0"/>
            </w:tcBorders>
            <w:vAlign w:val="top"/>
          </w:tcPr>
          <w:p>
            <w:pPr>
              <w:pStyle w:val="31"/>
              <w:spacing w:before="156" w:after="156"/>
              <w:jc w:val="center"/>
              <w:rPr>
                <w:rFonts w:ascii="仿宋" w:hAnsi="Calibri" w:eastAsia="仿宋"/>
              </w:rPr>
            </w:pPr>
            <w:r>
              <w:rPr>
                <w:rFonts w:hint="eastAsia" w:ascii="仿宋" w:hAnsi="Calibri" w:eastAsia="仿宋"/>
              </w:rPr>
              <w:t>评分标准</w:t>
            </w:r>
          </w:p>
        </w:tc>
        <w:tc>
          <w:tcPr>
            <w:tcW w:w="581" w:type="dxa"/>
            <w:tcBorders>
              <w:top w:val="single" w:color="auto" w:sz="4" w:space="0"/>
              <w:left w:val="single" w:color="auto" w:sz="4" w:space="0"/>
              <w:bottom w:val="single" w:color="auto" w:sz="4" w:space="0"/>
              <w:right w:val="single" w:color="auto" w:sz="4" w:space="0"/>
            </w:tcBorders>
            <w:vAlign w:val="top"/>
          </w:tcPr>
          <w:p>
            <w:pPr>
              <w:pStyle w:val="31"/>
              <w:spacing w:before="156" w:after="156"/>
              <w:jc w:val="center"/>
              <w:rPr>
                <w:rFonts w:ascii="仿宋" w:hAnsi="Calibri" w:eastAsia="仿宋"/>
              </w:rPr>
            </w:pPr>
            <w:r>
              <w:rPr>
                <w:rFonts w:hint="eastAsia" w:ascii="仿宋" w:hAnsi="Calibri" w:eastAsia="仿宋"/>
              </w:rPr>
              <w:t>分值</w:t>
            </w:r>
          </w:p>
        </w:tc>
        <w:tc>
          <w:tcPr>
            <w:tcW w:w="1017" w:type="dxa"/>
            <w:tcBorders>
              <w:top w:val="single" w:color="auto" w:sz="4" w:space="0"/>
              <w:left w:val="single" w:color="auto" w:sz="4" w:space="0"/>
              <w:bottom w:val="single" w:color="auto" w:sz="4" w:space="0"/>
              <w:right w:val="single" w:color="auto" w:sz="4" w:space="0"/>
            </w:tcBorders>
            <w:vAlign w:val="top"/>
          </w:tcPr>
          <w:p>
            <w:pPr>
              <w:pStyle w:val="31"/>
              <w:spacing w:before="156" w:after="156"/>
              <w:jc w:val="center"/>
              <w:rPr>
                <w:rFonts w:ascii="仿宋" w:hAnsi="Calibri" w:eastAsia="仿宋"/>
              </w:rPr>
            </w:pPr>
            <w:r>
              <w:rPr>
                <w:rFonts w:hint="eastAsia" w:ascii="仿宋" w:hAnsi="Calibri" w:eastAsia="仿宋"/>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1</w:t>
            </w:r>
          </w:p>
        </w:tc>
        <w:tc>
          <w:tcPr>
            <w:tcW w:w="823" w:type="dxa"/>
            <w:vMerge w:val="restart"/>
            <w:tcBorders>
              <w:top w:val="single" w:color="auto" w:sz="4" w:space="0"/>
              <w:left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报价</w:t>
            </w:r>
          </w:p>
        </w:tc>
        <w:tc>
          <w:tcPr>
            <w:tcW w:w="6154" w:type="dxa"/>
            <w:tcBorders>
              <w:top w:val="single" w:color="auto" w:sz="4" w:space="0"/>
              <w:left w:val="single" w:color="auto" w:sz="4" w:space="0"/>
              <w:bottom w:val="single" w:color="auto" w:sz="4" w:space="0"/>
              <w:right w:val="single" w:color="auto" w:sz="4" w:space="0"/>
            </w:tcBorders>
            <w:vAlign w:val="top"/>
          </w:tcPr>
          <w:p>
            <w:pPr>
              <w:pStyle w:val="31"/>
              <w:spacing w:before="156" w:after="156"/>
              <w:rPr>
                <w:rFonts w:ascii="仿宋" w:hAnsi="Calibri" w:eastAsia="仿宋"/>
              </w:rPr>
            </w:pPr>
            <w:r>
              <w:rPr>
                <w:rFonts w:hint="eastAsia" w:ascii="仿宋" w:hAnsi="Calibri" w:eastAsia="仿宋"/>
              </w:rPr>
              <w:t>评分公式：(最低报价/投标报价)*最大分值（详见招标需求投标分项报价表）</w:t>
            </w:r>
          </w:p>
        </w:tc>
        <w:tc>
          <w:tcPr>
            <w:tcW w:w="581" w:type="dxa"/>
            <w:vMerge w:val="restart"/>
            <w:tcBorders>
              <w:top w:val="single" w:color="auto" w:sz="4" w:space="0"/>
              <w:left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20</w:t>
            </w:r>
          </w:p>
        </w:tc>
        <w:tc>
          <w:tcPr>
            <w:tcW w:w="1017" w:type="dxa"/>
            <w:vMerge w:val="restart"/>
            <w:tcBorders>
              <w:top w:val="single" w:color="auto" w:sz="4" w:space="0"/>
              <w:left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4" w:hRule="atLeast"/>
        </w:trPr>
        <w:tc>
          <w:tcPr>
            <w:tcW w:w="503"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仿宋" w:eastAsia="仿宋"/>
                <w:sz w:val="24"/>
                <w:szCs w:val="24"/>
              </w:rPr>
            </w:pPr>
          </w:p>
        </w:tc>
        <w:tc>
          <w:tcPr>
            <w:tcW w:w="823" w:type="dxa"/>
            <w:vMerge w:val="continue"/>
            <w:tcBorders>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p>
        </w:tc>
        <w:tc>
          <w:tcPr>
            <w:tcW w:w="6154" w:type="dxa"/>
            <w:tcBorders>
              <w:top w:val="single" w:color="auto" w:sz="4" w:space="0"/>
              <w:left w:val="single" w:color="auto" w:sz="4" w:space="0"/>
              <w:bottom w:val="single" w:color="auto" w:sz="4" w:space="0"/>
              <w:right w:val="single" w:color="auto" w:sz="4" w:space="0"/>
            </w:tcBorders>
            <w:vAlign w:val="top"/>
          </w:tcPr>
          <w:p>
            <w:pPr>
              <w:snapToGrid w:val="0"/>
              <w:spacing w:before="156" w:after="156" w:line="420" w:lineRule="exact"/>
              <w:rPr>
                <w:rFonts w:ascii="仿宋" w:eastAsia="仿宋"/>
                <w:sz w:val="24"/>
                <w:szCs w:val="24"/>
              </w:rPr>
            </w:pPr>
            <w:r>
              <w:rPr>
                <w:rFonts w:hint="eastAsia" w:ascii="仿宋" w:eastAsia="仿宋"/>
                <w:sz w:val="24"/>
                <w:szCs w:val="24"/>
              </w:rPr>
              <w:t>1.</w:t>
            </w:r>
            <w:r>
              <w:rPr>
                <w:rFonts w:hint="eastAsia" w:ascii="仿宋" w:eastAsia="仿宋"/>
                <w:b/>
                <w:bCs/>
                <w:sz w:val="24"/>
                <w:szCs w:val="24"/>
              </w:rPr>
              <w:t>实体店</w:t>
            </w:r>
            <w:r>
              <w:rPr>
                <w:rFonts w:hint="eastAsia" w:ascii="仿宋" w:eastAsia="仿宋"/>
                <w:b/>
                <w:bCs/>
                <w:sz w:val="24"/>
                <w:szCs w:val="24"/>
                <w:lang w:val="en-US" w:eastAsia="zh-CN"/>
              </w:rPr>
              <w:t>配送</w:t>
            </w:r>
            <w:r>
              <w:rPr>
                <w:rFonts w:hint="eastAsia" w:ascii="仿宋" w:eastAsia="仿宋"/>
                <w:b/>
                <w:bCs/>
                <w:sz w:val="24"/>
                <w:szCs w:val="24"/>
              </w:rPr>
              <w:t>服务费：</w:t>
            </w:r>
            <w:r>
              <w:rPr>
                <w:rFonts w:hint="eastAsia" w:ascii="仿宋" w:eastAsia="仿宋"/>
                <w:b w:val="0"/>
                <w:bCs w:val="0"/>
                <w:sz w:val="24"/>
                <w:szCs w:val="24"/>
                <w:lang w:val="en-US" w:eastAsia="zh-CN"/>
              </w:rPr>
              <w:t>实体店配送</w:t>
            </w:r>
            <w:r>
              <w:rPr>
                <w:rFonts w:hint="eastAsia" w:ascii="仿宋" w:eastAsia="仿宋"/>
                <w:sz w:val="24"/>
                <w:szCs w:val="24"/>
              </w:rPr>
              <w:t>服务费按照配送的即开票金额的固定提点比率进行报价，报价不高于0.6</w:t>
            </w:r>
            <w:r>
              <w:rPr>
                <w:rFonts w:hint="eastAsia" w:ascii="仿宋" w:eastAsia="仿宋"/>
                <w:sz w:val="24"/>
                <w:szCs w:val="24"/>
                <w:lang w:val="en-US" w:eastAsia="zh-CN"/>
              </w:rPr>
              <w:t>0</w:t>
            </w:r>
            <w:r>
              <w:rPr>
                <w:rFonts w:hint="eastAsia" w:ascii="仿宋" w:eastAsia="仿宋"/>
                <w:sz w:val="24"/>
                <w:szCs w:val="24"/>
              </w:rPr>
              <w:t>%。配送即开票的累计出库量在15亿元（含）以内的，投标人以0.01%为单位进行投标报价；超过15亿元的部分，对计提比例的下浮幅度进行报价（每5亿元一档，超过35亿元后可不再下浮），以0.001%为单位，下浮幅度不得低于0.005%。</w:t>
            </w:r>
            <w:r>
              <w:rPr>
                <w:rFonts w:hint="eastAsia" w:ascii="仿宋" w:eastAsia="仿宋"/>
                <w:b/>
                <w:bCs/>
                <w:sz w:val="24"/>
                <w:szCs w:val="24"/>
              </w:rPr>
              <w:t>投标人自行计算出即开票模拟累计出库量为35亿元时的服务费总金额，以此作为报价评分标准。</w:t>
            </w:r>
            <w:r>
              <w:rPr>
                <w:rFonts w:hint="eastAsia" w:ascii="仿宋" w:eastAsia="仿宋"/>
                <w:sz w:val="24"/>
                <w:szCs w:val="24"/>
              </w:rPr>
              <w:t>本项共1</w:t>
            </w:r>
            <w:r>
              <w:rPr>
                <w:rFonts w:hint="eastAsia" w:ascii="仿宋" w:eastAsia="仿宋"/>
                <w:sz w:val="24"/>
                <w:szCs w:val="24"/>
                <w:lang w:val="en-US" w:eastAsia="zh-CN"/>
              </w:rPr>
              <w:t>6</w:t>
            </w:r>
            <w:r>
              <w:rPr>
                <w:rFonts w:hint="eastAsia" w:ascii="仿宋" w:eastAsia="仿宋"/>
                <w:sz w:val="24"/>
                <w:szCs w:val="24"/>
              </w:rPr>
              <w:t>分。</w:t>
            </w:r>
          </w:p>
          <w:p>
            <w:pPr>
              <w:snapToGrid w:val="0"/>
              <w:spacing w:before="156" w:after="156" w:line="420" w:lineRule="exact"/>
              <w:rPr>
                <w:rFonts w:ascii="仿宋" w:eastAsia="仿宋"/>
              </w:rPr>
            </w:pPr>
            <w:r>
              <w:rPr>
                <w:rFonts w:hint="eastAsia" w:ascii="仿宋" w:eastAsia="仿宋"/>
              </w:rPr>
              <w:t>2.</w:t>
            </w:r>
            <w:r>
              <w:rPr>
                <w:rFonts w:hint="eastAsia" w:ascii="仿宋" w:eastAsia="仿宋"/>
                <w:b/>
                <w:bCs/>
                <w:sz w:val="24"/>
                <w:szCs w:val="24"/>
                <w:lang w:eastAsia="zh-CN"/>
              </w:rPr>
              <w:t>指定</w:t>
            </w:r>
            <w:r>
              <w:rPr>
                <w:rFonts w:hint="eastAsia" w:ascii="仿宋" w:eastAsia="仿宋"/>
                <w:b/>
                <w:bCs/>
                <w:sz w:val="24"/>
                <w:szCs w:val="24"/>
              </w:rPr>
              <w:t>库房</w:t>
            </w:r>
            <w:r>
              <w:rPr>
                <w:rFonts w:hint="eastAsia" w:ascii="仿宋" w:eastAsia="仿宋"/>
                <w:b/>
                <w:bCs/>
                <w:sz w:val="24"/>
                <w:szCs w:val="24"/>
                <w:lang w:val="en-US" w:eastAsia="zh-CN"/>
              </w:rPr>
              <w:t>配送服务费</w:t>
            </w:r>
            <w:r>
              <w:rPr>
                <w:rFonts w:hint="eastAsia" w:ascii="仿宋" w:eastAsia="仿宋"/>
                <w:b/>
                <w:bCs/>
                <w:sz w:val="24"/>
                <w:szCs w:val="24"/>
                <w:lang w:eastAsia="zh-CN"/>
              </w:rPr>
              <w:t>（</w:t>
            </w:r>
            <w:r>
              <w:rPr>
                <w:rFonts w:hint="eastAsia" w:ascii="仿宋" w:eastAsia="仿宋"/>
                <w:b/>
                <w:bCs/>
                <w:sz w:val="24"/>
                <w:szCs w:val="24"/>
                <w:lang w:val="en-US" w:eastAsia="zh-CN"/>
              </w:rPr>
              <w:t>市县</w:t>
            </w:r>
            <w:r>
              <w:rPr>
                <w:rFonts w:hint="eastAsia" w:ascii="仿宋" w:hAnsi="Calibri" w:eastAsia="仿宋" w:cs="Times New Roman"/>
                <w:b/>
                <w:bCs/>
                <w:color w:val="auto"/>
                <w:sz w:val="24"/>
                <w:szCs w:val="24"/>
                <w:highlight w:val="none"/>
                <w:lang w:eastAsia="zh-CN"/>
              </w:rPr>
              <w:t>体彩机构</w:t>
            </w:r>
            <w:r>
              <w:rPr>
                <w:rFonts w:hint="eastAsia" w:ascii="仿宋" w:eastAsia="仿宋" w:cs="Times New Roman"/>
                <w:b/>
                <w:bCs/>
                <w:color w:val="auto"/>
                <w:sz w:val="24"/>
                <w:szCs w:val="24"/>
                <w:highlight w:val="none"/>
                <w:lang w:val="en-US" w:eastAsia="zh-CN"/>
              </w:rPr>
              <w:t>即开</w:t>
            </w:r>
            <w:r>
              <w:rPr>
                <w:rFonts w:hint="eastAsia" w:ascii="仿宋" w:hAnsi="Calibri" w:eastAsia="仿宋" w:cs="Times New Roman"/>
                <w:b/>
                <w:bCs/>
                <w:color w:val="auto"/>
                <w:sz w:val="24"/>
                <w:szCs w:val="24"/>
                <w:highlight w:val="none"/>
                <w:lang w:eastAsia="zh-CN"/>
              </w:rPr>
              <w:t>仓库</w:t>
            </w:r>
            <w:r>
              <w:rPr>
                <w:rFonts w:hint="eastAsia" w:ascii="仿宋" w:hAnsi="Calibri" w:eastAsia="仿宋" w:cs="Times New Roman"/>
                <w:b/>
                <w:bCs/>
                <w:color w:val="auto"/>
                <w:sz w:val="24"/>
                <w:szCs w:val="24"/>
                <w:highlight w:val="none"/>
              </w:rPr>
              <w:t>、指定</w:t>
            </w:r>
            <w:r>
              <w:rPr>
                <w:rFonts w:hint="eastAsia" w:ascii="仿宋" w:hAnsi="Calibri" w:eastAsia="仿宋" w:cs="Times New Roman"/>
                <w:b/>
                <w:bCs/>
                <w:color w:val="auto"/>
                <w:sz w:val="24"/>
                <w:szCs w:val="24"/>
                <w:highlight w:val="none"/>
                <w:lang w:eastAsia="zh-CN"/>
              </w:rPr>
              <w:t>行业渠道</w:t>
            </w:r>
            <w:r>
              <w:rPr>
                <w:rFonts w:hint="eastAsia" w:ascii="仿宋" w:eastAsia="仿宋" w:cs="Times New Roman"/>
                <w:b/>
                <w:bCs/>
                <w:color w:val="auto"/>
                <w:sz w:val="24"/>
                <w:szCs w:val="24"/>
                <w:highlight w:val="none"/>
                <w:lang w:val="en-US" w:eastAsia="zh-CN"/>
              </w:rPr>
              <w:t>即开</w:t>
            </w:r>
            <w:r>
              <w:rPr>
                <w:rFonts w:hint="eastAsia" w:ascii="仿宋" w:hAnsi="Calibri" w:eastAsia="仿宋" w:cs="Times New Roman"/>
                <w:b/>
                <w:bCs/>
                <w:color w:val="auto"/>
                <w:sz w:val="24"/>
                <w:szCs w:val="24"/>
                <w:highlight w:val="none"/>
                <w:lang w:eastAsia="zh-CN"/>
              </w:rPr>
              <w:t>仓库）</w:t>
            </w:r>
            <w:r>
              <w:rPr>
                <w:rFonts w:hint="eastAsia" w:ascii="仿宋" w:eastAsia="仿宋"/>
                <w:b/>
                <w:bCs/>
                <w:sz w:val="24"/>
                <w:szCs w:val="24"/>
              </w:rPr>
              <w:t>：</w:t>
            </w:r>
            <w:r>
              <w:rPr>
                <w:rFonts w:hint="eastAsia" w:ascii="仿宋" w:eastAsia="仿宋"/>
                <w:sz w:val="24"/>
                <w:szCs w:val="24"/>
                <w:lang w:val="en-US" w:eastAsia="zh-CN"/>
              </w:rPr>
              <w:t>指定库房配送</w:t>
            </w:r>
            <w:r>
              <w:rPr>
                <w:rFonts w:hint="eastAsia" w:ascii="仿宋" w:eastAsia="仿宋"/>
                <w:sz w:val="24"/>
                <w:szCs w:val="24"/>
              </w:rPr>
              <w:t>服务费按照配送的即开票金额的固定提点比率进行报价，报价不高于0.2</w:t>
            </w:r>
            <w:r>
              <w:rPr>
                <w:rFonts w:hint="eastAsia" w:ascii="仿宋" w:eastAsia="仿宋"/>
                <w:sz w:val="24"/>
                <w:szCs w:val="24"/>
                <w:lang w:val="en-US" w:eastAsia="zh-CN"/>
              </w:rPr>
              <w:t>0</w:t>
            </w:r>
            <w:r>
              <w:rPr>
                <w:rFonts w:hint="eastAsia" w:ascii="仿宋" w:eastAsia="仿宋"/>
                <w:sz w:val="24"/>
                <w:szCs w:val="24"/>
              </w:rPr>
              <w:t>%。配送即开票的累计出库量在5亿元（含）以内的，投标人以0.01%为单位进行投标报价；超过5亿元的部分，对计提比例的下浮幅度进行报价（每1亿元一档，超过10亿元后可不再下浮），以0.001%为单位，下浮幅度不得低于0.005%。</w:t>
            </w:r>
            <w:r>
              <w:rPr>
                <w:rFonts w:hint="eastAsia" w:ascii="仿宋" w:eastAsia="仿宋"/>
                <w:b/>
                <w:bCs/>
                <w:sz w:val="24"/>
                <w:szCs w:val="24"/>
              </w:rPr>
              <w:t>投标人自行计算出即开票模拟累计出库量为10亿元时的服务费总金额，以此作为报价评分标准。</w:t>
            </w:r>
            <w:r>
              <w:rPr>
                <w:rFonts w:hint="eastAsia" w:ascii="仿宋" w:eastAsia="仿宋"/>
                <w:sz w:val="24"/>
                <w:szCs w:val="24"/>
              </w:rPr>
              <w:t>本项共</w:t>
            </w:r>
            <w:r>
              <w:rPr>
                <w:rFonts w:hint="eastAsia" w:ascii="仿宋" w:eastAsia="仿宋"/>
                <w:sz w:val="24"/>
                <w:szCs w:val="24"/>
                <w:lang w:val="en-US" w:eastAsia="zh-CN"/>
              </w:rPr>
              <w:t>4</w:t>
            </w:r>
            <w:r>
              <w:rPr>
                <w:rFonts w:hint="eastAsia" w:ascii="仿宋" w:eastAsia="仿宋"/>
                <w:sz w:val="24"/>
                <w:szCs w:val="24"/>
              </w:rPr>
              <w:t>分。</w:t>
            </w:r>
          </w:p>
        </w:tc>
        <w:tc>
          <w:tcPr>
            <w:tcW w:w="581" w:type="dxa"/>
            <w:vMerge w:val="continue"/>
            <w:tcBorders>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p>
        </w:tc>
        <w:tc>
          <w:tcPr>
            <w:tcW w:w="1017" w:type="dxa"/>
            <w:vMerge w:val="continue"/>
            <w:tcBorders>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2</w:t>
            </w:r>
          </w:p>
        </w:tc>
        <w:tc>
          <w:tcPr>
            <w:tcW w:w="823" w:type="dxa"/>
            <w:tcBorders>
              <w:top w:val="single" w:color="auto" w:sz="4" w:space="0"/>
              <w:left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技术</w:t>
            </w:r>
          </w:p>
        </w:tc>
        <w:tc>
          <w:tcPr>
            <w:tcW w:w="6154" w:type="dxa"/>
            <w:tcBorders>
              <w:top w:val="single" w:color="auto" w:sz="4" w:space="0"/>
              <w:left w:val="single" w:color="auto" w:sz="4" w:space="0"/>
              <w:bottom w:val="single" w:color="auto" w:sz="4" w:space="0"/>
              <w:right w:val="single" w:color="auto" w:sz="4" w:space="0"/>
            </w:tcBorders>
            <w:vAlign w:val="top"/>
          </w:tcPr>
          <w:p>
            <w:pPr>
              <w:pStyle w:val="31"/>
              <w:spacing w:before="156" w:after="156"/>
              <w:rPr>
                <w:rFonts w:ascii="仿宋" w:hAnsi="Calibri" w:eastAsia="仿宋"/>
              </w:rPr>
            </w:pPr>
            <w:r>
              <w:rPr>
                <w:rFonts w:hint="eastAsia" w:ascii="仿宋" w:hAnsi="Calibri" w:eastAsia="仿宋"/>
              </w:rPr>
              <w:t>项目总体解决方案应满足项目需求技术参数及要求带★的技术指标参数共4项（要求详见项目需求第1点至4点）：</w:t>
            </w:r>
          </w:p>
          <w:p>
            <w:pPr>
              <w:pStyle w:val="31"/>
              <w:spacing w:before="156" w:after="156"/>
              <w:rPr>
                <w:rFonts w:ascii="仿宋" w:hAnsi="Calibri" w:eastAsia="仿宋"/>
              </w:rPr>
            </w:pPr>
            <w:r>
              <w:rPr>
                <w:rFonts w:hint="eastAsia" w:ascii="仿宋" w:hAnsi="Calibri" w:eastAsia="仿宋"/>
              </w:rPr>
              <w:t>（1）</w:t>
            </w:r>
            <w:r>
              <w:rPr>
                <w:rFonts w:hint="eastAsia" w:ascii="仿宋" w:hAnsi="Calibri" w:eastAsia="仿宋"/>
              </w:rPr>
              <w:tab/>
            </w:r>
            <w:r>
              <w:rPr>
                <w:rFonts w:hint="eastAsia" w:ascii="仿宋" w:hAnsi="Calibri" w:eastAsia="仿宋"/>
              </w:rPr>
              <w:t>提供电话、电脑端、移动端订票服务</w:t>
            </w:r>
          </w:p>
          <w:p>
            <w:pPr>
              <w:pStyle w:val="31"/>
              <w:spacing w:before="156" w:after="156"/>
              <w:rPr>
                <w:rFonts w:ascii="仿宋" w:hAnsi="Calibri" w:eastAsia="仿宋"/>
              </w:rPr>
            </w:pPr>
            <w:r>
              <w:rPr>
                <w:rFonts w:hint="eastAsia" w:ascii="仿宋" w:hAnsi="Calibri" w:eastAsia="仿宋"/>
              </w:rPr>
              <w:t>（2）</w:t>
            </w:r>
            <w:r>
              <w:rPr>
                <w:rFonts w:hint="eastAsia" w:ascii="仿宋" w:hAnsi="Calibri" w:eastAsia="仿宋"/>
              </w:rPr>
              <w:tab/>
            </w:r>
            <w:r>
              <w:rPr>
                <w:rFonts w:hint="eastAsia" w:ascii="仿宋" w:hAnsi="Calibri" w:eastAsia="仿宋"/>
              </w:rPr>
              <w:t>提供即开票仓储配送服务</w:t>
            </w:r>
          </w:p>
          <w:p>
            <w:pPr>
              <w:pStyle w:val="31"/>
              <w:spacing w:before="156" w:after="156"/>
              <w:rPr>
                <w:rFonts w:ascii="仿宋" w:hAnsi="Calibri" w:eastAsia="仿宋"/>
              </w:rPr>
            </w:pPr>
            <w:r>
              <w:rPr>
                <w:rFonts w:hint="eastAsia" w:ascii="仿宋" w:hAnsi="Calibri" w:eastAsia="仿宋"/>
              </w:rPr>
              <w:t>（3）</w:t>
            </w:r>
            <w:r>
              <w:rPr>
                <w:rFonts w:hint="eastAsia" w:ascii="仿宋" w:hAnsi="Calibri" w:eastAsia="仿宋"/>
              </w:rPr>
              <w:tab/>
            </w:r>
            <w:r>
              <w:rPr>
                <w:rFonts w:hint="eastAsia" w:ascii="仿宋" w:hAnsi="Calibri" w:eastAsia="仿宋"/>
              </w:rPr>
              <w:t>提供即开票订单分拣服务</w:t>
            </w:r>
          </w:p>
          <w:p>
            <w:pPr>
              <w:pStyle w:val="31"/>
              <w:spacing w:before="156" w:after="156"/>
              <w:rPr>
                <w:rFonts w:ascii="仿宋" w:hAnsi="Calibri" w:eastAsia="仿宋"/>
              </w:rPr>
            </w:pPr>
            <w:r>
              <w:rPr>
                <w:rFonts w:hint="eastAsia" w:ascii="仿宋" w:hAnsi="Calibri" w:eastAsia="仿宋"/>
              </w:rPr>
              <w:t>（4）</w:t>
            </w:r>
            <w:r>
              <w:rPr>
                <w:rFonts w:hint="eastAsia" w:ascii="仿宋" w:hAnsi="Calibri" w:eastAsia="仿宋"/>
              </w:rPr>
              <w:tab/>
            </w:r>
            <w:r>
              <w:rPr>
                <w:rFonts w:hint="eastAsia" w:ascii="仿宋" w:hAnsi="Calibri" w:eastAsia="仿宋"/>
              </w:rPr>
              <w:t>成立即开票客户服务中心</w:t>
            </w:r>
          </w:p>
          <w:p>
            <w:pPr>
              <w:pStyle w:val="31"/>
              <w:spacing w:before="156" w:after="156"/>
              <w:rPr>
                <w:rFonts w:ascii="仿宋" w:hAnsi="Calibri" w:eastAsia="仿宋"/>
              </w:rPr>
            </w:pPr>
            <w:r>
              <w:rPr>
                <w:rFonts w:hint="eastAsia" w:ascii="仿宋" w:hAnsi="Calibri" w:eastAsia="仿宋"/>
              </w:rPr>
              <w:t>项目需求“技术参数及要求”中符合所有带★的技术指标参数得20分。带★的技术参数属负偏离或缺漏项的每项扣5分，扣完为止。</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20</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0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eastAsia="仿宋"/>
                <w:sz w:val="24"/>
                <w:szCs w:val="24"/>
              </w:rPr>
            </w:pPr>
            <w:r>
              <w:rPr>
                <w:rFonts w:hint="eastAsia" w:ascii="仿宋" w:eastAsia="仿宋"/>
                <w:sz w:val="24"/>
                <w:szCs w:val="24"/>
              </w:rPr>
              <w:t>3</w:t>
            </w:r>
          </w:p>
        </w:tc>
        <w:tc>
          <w:tcPr>
            <w:tcW w:w="823" w:type="dxa"/>
            <w:tcBorders>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技术</w:t>
            </w:r>
          </w:p>
        </w:tc>
        <w:tc>
          <w:tcPr>
            <w:tcW w:w="6154" w:type="dxa"/>
            <w:tcBorders>
              <w:top w:val="single" w:color="auto" w:sz="4" w:space="0"/>
              <w:left w:val="single" w:color="auto" w:sz="4" w:space="0"/>
              <w:bottom w:val="single" w:color="auto" w:sz="4" w:space="0"/>
              <w:right w:val="single" w:color="auto" w:sz="4" w:space="0"/>
            </w:tcBorders>
            <w:vAlign w:val="top"/>
          </w:tcPr>
          <w:p>
            <w:pPr>
              <w:pStyle w:val="31"/>
              <w:numPr>
                <w:ilvl w:val="0"/>
                <w:numId w:val="32"/>
              </w:numPr>
              <w:spacing w:before="156" w:after="156"/>
              <w:rPr>
                <w:rFonts w:ascii="仿宋" w:hAnsi="Calibri" w:eastAsia="仿宋"/>
                <w:b/>
                <w:bCs/>
              </w:rPr>
            </w:pPr>
            <w:r>
              <w:rPr>
                <w:rFonts w:hint="eastAsia" w:ascii="仿宋" w:hAnsi="Calibri" w:eastAsia="仿宋"/>
                <w:b/>
                <w:bCs/>
              </w:rPr>
              <w:t>软件系统需具备与国家</w:t>
            </w:r>
            <w:r>
              <w:rPr>
                <w:rFonts w:ascii="仿宋" w:hAnsi="Calibri" w:eastAsia="仿宋"/>
                <w:b/>
                <w:bCs/>
              </w:rPr>
              <w:t>G3</w:t>
            </w:r>
            <w:r>
              <w:rPr>
                <w:rFonts w:hint="eastAsia" w:ascii="仿宋" w:hAnsi="Calibri" w:eastAsia="仿宋"/>
                <w:b/>
                <w:bCs/>
              </w:rPr>
              <w:t>系统完全对接的能力，</w:t>
            </w:r>
            <w:r>
              <w:rPr>
                <w:rFonts w:ascii="仿宋" w:hAnsi="Calibri" w:eastAsia="仿宋"/>
                <w:b/>
                <w:bCs/>
              </w:rPr>
              <w:t>(</w:t>
            </w:r>
            <w:r>
              <w:rPr>
                <w:rFonts w:hint="eastAsia" w:ascii="仿宋" w:hAnsi="Calibri" w:eastAsia="仿宋"/>
                <w:b/>
                <w:bCs/>
              </w:rPr>
              <w:t>详见项目需求第</w:t>
            </w:r>
            <w:r>
              <w:rPr>
                <w:rFonts w:ascii="仿宋" w:hAnsi="Calibri" w:eastAsia="仿宋"/>
                <w:b/>
                <w:bCs/>
              </w:rPr>
              <w:t>10</w:t>
            </w:r>
            <w:r>
              <w:rPr>
                <w:rFonts w:hint="eastAsia" w:ascii="仿宋" w:hAnsi="Calibri" w:eastAsia="仿宋"/>
                <w:b/>
                <w:bCs/>
              </w:rPr>
              <w:t>点，需提交对接、测试方案</w:t>
            </w:r>
            <w:r>
              <w:rPr>
                <w:rFonts w:ascii="仿宋" w:hAnsi="Calibri" w:eastAsia="仿宋"/>
                <w:b/>
                <w:bCs/>
              </w:rPr>
              <w:t>)</w:t>
            </w:r>
            <w:r>
              <w:rPr>
                <w:rFonts w:hint="eastAsia" w:ascii="仿宋" w:hAnsi="Calibri" w:eastAsia="仿宋"/>
                <w:b/>
                <w:bCs/>
              </w:rPr>
              <w:t>，本项共</w:t>
            </w:r>
            <w:r>
              <w:rPr>
                <w:rFonts w:ascii="仿宋" w:hAnsi="Calibri" w:eastAsia="仿宋"/>
                <w:b/>
                <w:bCs/>
              </w:rPr>
              <w:t>3</w:t>
            </w:r>
            <w:r>
              <w:rPr>
                <w:rFonts w:hint="eastAsia" w:ascii="仿宋" w:hAnsi="Calibri" w:eastAsia="仿宋"/>
                <w:b/>
                <w:bCs/>
              </w:rPr>
              <w:t>分，不提交不得分。</w:t>
            </w:r>
          </w:p>
          <w:p>
            <w:pPr>
              <w:pStyle w:val="31"/>
              <w:numPr>
                <w:ilvl w:val="0"/>
                <w:numId w:val="0"/>
              </w:numPr>
              <w:spacing w:before="156" w:after="156"/>
              <w:rPr>
                <w:rFonts w:hint="default" w:ascii="仿宋" w:hAnsi="Calibri" w:eastAsia="仿宋"/>
                <w:lang w:val="en-US" w:eastAsia="zh-CN"/>
              </w:rPr>
            </w:pPr>
            <w:r>
              <w:rPr>
                <w:rFonts w:hint="eastAsia" w:ascii="仿宋" w:hAnsi="Calibri" w:eastAsia="仿宋"/>
              </w:rPr>
              <w:t>2.数据和信息保密承诺，投标人应对采购人的数据和信息负有保密义务作出承诺，中标后与采购人签订保密协议，本项共3分，不承诺不得分。</w:t>
            </w:r>
            <w:r>
              <w:rPr>
                <w:rFonts w:hint="eastAsia" w:ascii="仿宋" w:hAnsi="Calibri" w:eastAsia="仿宋"/>
                <w:lang w:val="en-US" w:eastAsia="zh-CN"/>
              </w:rPr>
              <w:t xml:space="preserve">             </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6</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03"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eastAsia="仿宋"/>
                <w:sz w:val="24"/>
                <w:szCs w:val="24"/>
              </w:rPr>
            </w:pPr>
            <w:r>
              <w:rPr>
                <w:rFonts w:hint="eastAsia" w:ascii="仿宋" w:eastAsia="仿宋"/>
                <w:sz w:val="24"/>
                <w:szCs w:val="24"/>
              </w:rPr>
              <w:t>4</w:t>
            </w:r>
          </w:p>
        </w:tc>
        <w:tc>
          <w:tcPr>
            <w:tcW w:w="823" w:type="dxa"/>
            <w:tcBorders>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技术</w:t>
            </w:r>
          </w:p>
        </w:tc>
        <w:tc>
          <w:tcPr>
            <w:tcW w:w="6154" w:type="dxa"/>
            <w:tcBorders>
              <w:top w:val="single" w:color="auto" w:sz="4" w:space="0"/>
              <w:left w:val="single" w:color="auto" w:sz="4" w:space="0"/>
              <w:bottom w:val="single" w:color="auto" w:sz="4" w:space="0"/>
              <w:right w:val="single" w:color="auto" w:sz="4" w:space="0"/>
            </w:tcBorders>
            <w:vAlign w:val="top"/>
          </w:tcPr>
          <w:p>
            <w:pPr>
              <w:pStyle w:val="31"/>
              <w:spacing w:before="156" w:after="156" w:line="240" w:lineRule="auto"/>
              <w:rPr>
                <w:rFonts w:ascii="仿宋" w:hAnsi="Calibri" w:eastAsia="仿宋"/>
              </w:rPr>
            </w:pPr>
            <w:r>
              <w:rPr>
                <w:rFonts w:hint="eastAsia" w:ascii="仿宋" w:hAnsi="Calibri" w:eastAsia="仿宋"/>
              </w:rPr>
              <w:t>技术方案满足情况：</w:t>
            </w:r>
          </w:p>
          <w:p>
            <w:pPr>
              <w:pStyle w:val="31"/>
              <w:spacing w:before="156" w:after="156" w:line="240" w:lineRule="auto"/>
              <w:rPr>
                <w:rFonts w:ascii="仿宋" w:hAnsi="Calibri" w:eastAsia="仿宋"/>
              </w:rPr>
            </w:pPr>
            <w:r>
              <w:rPr>
                <w:rFonts w:hint="eastAsia" w:ascii="仿宋" w:hAnsi="Calibri" w:eastAsia="仿宋"/>
              </w:rPr>
              <w:t>仓储管理</w:t>
            </w:r>
            <w:r>
              <w:rPr>
                <w:rFonts w:hint="eastAsia" w:ascii="仿宋" w:hAnsi="Calibri" w:eastAsia="仿宋"/>
                <w:lang w:eastAsia="zh-CN"/>
              </w:rPr>
              <w:t>系统</w:t>
            </w:r>
            <w:r>
              <w:rPr>
                <w:rFonts w:hint="eastAsia" w:ascii="仿宋" w:hAnsi="Calibri" w:eastAsia="仿宋"/>
              </w:rPr>
              <w:t>方案（4分）、</w:t>
            </w:r>
          </w:p>
          <w:p>
            <w:pPr>
              <w:pStyle w:val="31"/>
              <w:spacing w:before="156" w:after="156" w:line="240" w:lineRule="auto"/>
              <w:rPr>
                <w:rFonts w:ascii="仿宋" w:hAnsi="Calibri" w:eastAsia="仿宋"/>
              </w:rPr>
            </w:pPr>
            <w:r>
              <w:rPr>
                <w:rFonts w:hint="eastAsia" w:ascii="仿宋" w:hAnsi="Calibri" w:eastAsia="仿宋"/>
              </w:rPr>
              <w:t>订票管理</w:t>
            </w:r>
            <w:r>
              <w:rPr>
                <w:rFonts w:hint="eastAsia" w:ascii="仿宋" w:hAnsi="Calibri" w:eastAsia="仿宋"/>
                <w:lang w:eastAsia="zh-CN"/>
              </w:rPr>
              <w:t>系统</w:t>
            </w:r>
            <w:r>
              <w:rPr>
                <w:rFonts w:hint="eastAsia" w:ascii="仿宋" w:hAnsi="Calibri" w:eastAsia="仿宋"/>
              </w:rPr>
              <w:t>方案（电话、电脑端、移动端）（4分）、</w:t>
            </w:r>
          </w:p>
          <w:p>
            <w:pPr>
              <w:pStyle w:val="31"/>
              <w:spacing w:before="156" w:after="156" w:line="240" w:lineRule="auto"/>
              <w:rPr>
                <w:rFonts w:ascii="仿宋" w:hAnsi="Calibri" w:eastAsia="仿宋"/>
              </w:rPr>
            </w:pPr>
            <w:r>
              <w:rPr>
                <w:rFonts w:hint="eastAsia" w:ascii="仿宋" w:hAnsi="Calibri" w:eastAsia="仿宋"/>
              </w:rPr>
              <w:t>分拣配送</w:t>
            </w:r>
            <w:r>
              <w:rPr>
                <w:rFonts w:hint="eastAsia" w:ascii="仿宋" w:hAnsi="Calibri" w:eastAsia="仿宋"/>
                <w:lang w:eastAsia="zh-CN"/>
              </w:rPr>
              <w:t>系统</w:t>
            </w:r>
            <w:r>
              <w:rPr>
                <w:rFonts w:hint="eastAsia" w:ascii="仿宋" w:hAnsi="Calibri" w:eastAsia="仿宋"/>
              </w:rPr>
              <w:t>方案（4分）</w:t>
            </w:r>
          </w:p>
          <w:p>
            <w:pPr>
              <w:pStyle w:val="31"/>
              <w:spacing w:before="156" w:after="156" w:line="240" w:lineRule="auto"/>
              <w:rPr>
                <w:rFonts w:ascii="仿宋" w:hAnsi="Calibri" w:eastAsia="仿宋"/>
              </w:rPr>
            </w:pPr>
            <w:r>
              <w:rPr>
                <w:rFonts w:hint="eastAsia" w:ascii="仿宋" w:hAnsi="Calibri" w:eastAsia="仿宋"/>
              </w:rPr>
              <w:t>系统安全保障及应急预案（4分）、</w:t>
            </w:r>
          </w:p>
          <w:p>
            <w:pPr>
              <w:pStyle w:val="31"/>
              <w:spacing w:before="156" w:after="156" w:line="240" w:lineRule="auto"/>
              <w:rPr>
                <w:rFonts w:hint="eastAsia" w:ascii="仿宋" w:hAnsi="Calibri" w:eastAsia="仿宋"/>
              </w:rPr>
            </w:pPr>
            <w:r>
              <w:rPr>
                <w:rFonts w:hint="eastAsia" w:ascii="仿宋" w:hAnsi="Calibri" w:eastAsia="仿宋"/>
              </w:rPr>
              <w:t>数据分析</w:t>
            </w:r>
            <w:r>
              <w:rPr>
                <w:rFonts w:hint="eastAsia" w:ascii="仿宋" w:hAnsi="Calibri" w:eastAsia="仿宋"/>
                <w:lang w:eastAsia="zh-CN"/>
              </w:rPr>
              <w:t>系统</w:t>
            </w:r>
            <w:r>
              <w:rPr>
                <w:rFonts w:hint="eastAsia" w:ascii="仿宋" w:hAnsi="Calibri" w:eastAsia="仿宋"/>
              </w:rPr>
              <w:t>方案（4分）</w:t>
            </w:r>
          </w:p>
          <w:p>
            <w:pPr>
              <w:pStyle w:val="31"/>
              <w:spacing w:before="156" w:after="156" w:line="240" w:lineRule="auto"/>
              <w:rPr>
                <w:rFonts w:hint="eastAsia" w:ascii="仿宋" w:hAnsi="Calibri" w:eastAsia="仿宋"/>
              </w:rPr>
            </w:pPr>
            <w:r>
              <w:rPr>
                <w:rFonts w:hint="eastAsia" w:ascii="仿宋" w:hAnsi="Calibri" w:eastAsia="仿宋"/>
              </w:rPr>
              <w:t>5项系统方案，（要求详见项目需求第5点至9点）。</w:t>
            </w:r>
          </w:p>
          <w:p>
            <w:pPr>
              <w:pStyle w:val="31"/>
              <w:spacing w:before="156" w:after="156" w:line="240" w:lineRule="auto"/>
              <w:rPr>
                <w:rFonts w:ascii="仿宋" w:hAnsi="Calibri" w:eastAsia="仿宋"/>
              </w:rPr>
            </w:pPr>
            <w:r>
              <w:rPr>
                <w:rFonts w:hint="eastAsia" w:ascii="仿宋" w:hAnsi="Calibri" w:eastAsia="仿宋"/>
              </w:rPr>
              <w:t>以上方案对项目需求解读精准到位，方案清晰、完整、合理、符合业务实际，每一项4分</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ascii="仿宋" w:hAnsi="Calibri" w:eastAsia="仿宋"/>
              </w:rPr>
              <w:t>2</w:t>
            </w:r>
            <w:r>
              <w:rPr>
                <w:rFonts w:hint="eastAsia" w:ascii="仿宋" w:hAnsi="Calibri" w:eastAsia="仿宋"/>
              </w:rPr>
              <w:t>0</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5</w:t>
            </w:r>
          </w:p>
        </w:tc>
        <w:tc>
          <w:tcPr>
            <w:tcW w:w="823"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技术</w:t>
            </w:r>
          </w:p>
        </w:tc>
        <w:tc>
          <w:tcPr>
            <w:tcW w:w="6154" w:type="dxa"/>
            <w:tcBorders>
              <w:top w:val="single" w:color="auto" w:sz="4" w:space="0"/>
              <w:left w:val="single" w:color="auto" w:sz="4" w:space="0"/>
              <w:bottom w:val="single" w:color="auto" w:sz="4" w:space="0"/>
              <w:right w:val="single" w:color="auto" w:sz="4" w:space="0"/>
            </w:tcBorders>
            <w:vAlign w:val="top"/>
          </w:tcPr>
          <w:p>
            <w:pPr>
              <w:pStyle w:val="31"/>
              <w:spacing w:before="156" w:after="156"/>
              <w:rPr>
                <w:rFonts w:ascii="仿宋" w:hAnsi="Calibri" w:eastAsia="仿宋"/>
              </w:rPr>
            </w:pPr>
            <w:r>
              <w:rPr>
                <w:rFonts w:hint="eastAsia" w:ascii="仿宋" w:hAnsi="Calibri" w:eastAsia="仿宋"/>
              </w:rPr>
              <w:t>进行以下系统演示：</w:t>
            </w:r>
          </w:p>
          <w:p>
            <w:pPr>
              <w:pStyle w:val="31"/>
              <w:numPr>
                <w:ilvl w:val="0"/>
                <w:numId w:val="33"/>
              </w:numPr>
              <w:spacing w:before="156" w:after="156"/>
              <w:rPr>
                <w:rFonts w:ascii="仿宋" w:hAnsi="Calibri" w:eastAsia="仿宋"/>
              </w:rPr>
            </w:pPr>
            <w:r>
              <w:rPr>
                <w:rFonts w:hint="eastAsia" w:ascii="仿宋" w:hAnsi="Calibri" w:eastAsia="仿宋"/>
              </w:rPr>
              <w:t>仓储管理系统：具备入库管理、库存盘点、出库管理、退票入库管理等功能模块；</w:t>
            </w:r>
          </w:p>
          <w:p>
            <w:pPr>
              <w:pStyle w:val="31"/>
              <w:numPr>
                <w:ilvl w:val="0"/>
                <w:numId w:val="33"/>
              </w:numPr>
              <w:spacing w:before="156" w:after="156"/>
              <w:rPr>
                <w:rFonts w:ascii="仿宋" w:hAnsi="Calibri" w:eastAsia="仿宋"/>
              </w:rPr>
            </w:pPr>
            <w:r>
              <w:rPr>
                <w:rFonts w:hint="eastAsia" w:ascii="仿宋" w:hAnsi="Calibri" w:eastAsia="仿宋"/>
              </w:rPr>
              <w:t>订票系统：支持电话、电脑端、移动端（A</w:t>
            </w:r>
            <w:r>
              <w:rPr>
                <w:rFonts w:ascii="仿宋" w:hAnsi="Calibri" w:eastAsia="仿宋"/>
              </w:rPr>
              <w:t>PP</w:t>
            </w:r>
            <w:r>
              <w:rPr>
                <w:rFonts w:hint="eastAsia" w:ascii="仿宋" w:hAnsi="Calibri" w:eastAsia="仿宋"/>
              </w:rPr>
              <w:t>或微信小程序）多渠道订购，具有订票、订单查询、物流查询、数据分析、资讯宣传、账户管理功能；</w:t>
            </w:r>
          </w:p>
          <w:p>
            <w:pPr>
              <w:pStyle w:val="31"/>
              <w:numPr>
                <w:ilvl w:val="0"/>
                <w:numId w:val="33"/>
              </w:numPr>
              <w:spacing w:before="156" w:after="156"/>
              <w:rPr>
                <w:rFonts w:ascii="仿宋" w:hAnsi="Calibri" w:eastAsia="仿宋"/>
              </w:rPr>
            </w:pPr>
            <w:r>
              <w:rPr>
                <w:rFonts w:hint="eastAsia" w:ascii="仿宋" w:hAnsi="Calibri" w:eastAsia="仿宋"/>
              </w:rPr>
              <w:t>订单分拣系统：支持对自建订票系统订单、终端机订单、代销者A</w:t>
            </w:r>
            <w:r>
              <w:rPr>
                <w:rFonts w:ascii="仿宋" w:hAnsi="Calibri" w:eastAsia="仿宋"/>
              </w:rPr>
              <w:t>PP</w:t>
            </w:r>
            <w:r>
              <w:rPr>
                <w:rFonts w:hint="eastAsia" w:ascii="仿宋" w:hAnsi="Calibri" w:eastAsia="仿宋"/>
              </w:rPr>
              <w:t>订单进行分拣、打包、面单打印等，并具备各类数据查询功能；</w:t>
            </w:r>
          </w:p>
          <w:p>
            <w:pPr>
              <w:pStyle w:val="31"/>
              <w:numPr>
                <w:ilvl w:val="0"/>
                <w:numId w:val="33"/>
              </w:numPr>
              <w:spacing w:before="156" w:after="156"/>
              <w:rPr>
                <w:rFonts w:ascii="仿宋" w:hAnsi="Calibri" w:eastAsia="仿宋"/>
              </w:rPr>
            </w:pPr>
            <w:r>
              <w:rPr>
                <w:rFonts w:hint="eastAsia" w:ascii="仿宋" w:hAnsi="Calibri" w:eastAsia="仿宋"/>
              </w:rPr>
              <w:t>配送管理系统：即开票配送全过程含出库、配送、实体店签收等跟踪、监控与管理，提供分级权限查询工具。</w:t>
            </w:r>
          </w:p>
          <w:p>
            <w:pPr>
              <w:pStyle w:val="31"/>
              <w:numPr>
                <w:ilvl w:val="0"/>
                <w:numId w:val="33"/>
              </w:numPr>
              <w:spacing w:before="156" w:after="156"/>
              <w:rPr>
                <w:rFonts w:hint="eastAsia" w:ascii="仿宋" w:hAnsi="Calibri" w:eastAsia="仿宋"/>
              </w:rPr>
            </w:pPr>
            <w:r>
              <w:rPr>
                <w:rFonts w:hint="eastAsia" w:ascii="仿宋" w:hAnsi="Calibri" w:eastAsia="仿宋"/>
              </w:rPr>
              <w:t>数据分析平台：包含对门店、游戏、销量、库存、渠道等方面的统计与分析。</w:t>
            </w:r>
          </w:p>
          <w:p>
            <w:pPr>
              <w:pStyle w:val="31"/>
              <w:spacing w:before="156" w:after="156"/>
              <w:jc w:val="left"/>
              <w:rPr>
                <w:rFonts w:ascii="仿宋" w:hAnsi="Calibri" w:eastAsia="仿宋"/>
              </w:rPr>
            </w:pPr>
            <w:r>
              <w:rPr>
                <w:rFonts w:hint="eastAsia" w:ascii="仿宋" w:hAnsi="Calibri" w:eastAsia="仿宋"/>
              </w:rPr>
              <w:t>以上</w:t>
            </w:r>
            <w:r>
              <w:rPr>
                <w:rFonts w:ascii="仿宋" w:hAnsi="Calibri" w:eastAsia="仿宋"/>
              </w:rPr>
              <w:t>5</w:t>
            </w:r>
            <w:r>
              <w:rPr>
                <w:rFonts w:hint="eastAsia" w:ascii="仿宋" w:hAnsi="Calibri" w:eastAsia="仿宋"/>
              </w:rPr>
              <w:t>项软件系统提供演示，且符合要求的，每项得2分。</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10</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rPr>
            </w:pPr>
            <w:r>
              <w:rPr>
                <w:rFonts w:hint="eastAsia" w:ascii="仿宋" w:hAnsi="Calibri" w:eastAsia="仿宋"/>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503" w:type="dxa"/>
            <w:tcBorders>
              <w:top w:val="single" w:color="auto" w:sz="4" w:space="0"/>
              <w:left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6</w:t>
            </w:r>
          </w:p>
          <w:p>
            <w:pPr>
              <w:widowControl/>
              <w:jc w:val="center"/>
              <w:textAlignment w:val="center"/>
              <w:rPr>
                <w:rFonts w:ascii="仿宋" w:eastAsia="仿宋"/>
                <w:sz w:val="24"/>
                <w:szCs w:val="24"/>
              </w:rPr>
            </w:pPr>
          </w:p>
        </w:tc>
        <w:tc>
          <w:tcPr>
            <w:tcW w:w="823" w:type="dxa"/>
            <w:tcBorders>
              <w:top w:val="single" w:color="auto" w:sz="4" w:space="0"/>
              <w:left w:val="single" w:color="auto" w:sz="4" w:space="0"/>
              <w:right w:val="single" w:color="auto" w:sz="4" w:space="0"/>
            </w:tcBorders>
            <w:vAlign w:val="center"/>
          </w:tcPr>
          <w:p>
            <w:pPr>
              <w:pStyle w:val="31"/>
              <w:spacing w:before="156" w:after="156"/>
              <w:jc w:val="center"/>
              <w:rPr>
                <w:rFonts w:ascii="仿宋" w:hAnsi="仿宋" w:eastAsia="仿宋" w:cs="仿宋"/>
                <w:kern w:val="0"/>
              </w:rPr>
            </w:pPr>
            <w:r>
              <w:rPr>
                <w:rFonts w:hint="eastAsia" w:ascii="仿宋" w:hAnsi="仿宋" w:eastAsia="仿宋" w:cs="仿宋"/>
                <w:kern w:val="0"/>
              </w:rPr>
              <w:t>技术</w:t>
            </w:r>
          </w:p>
        </w:tc>
        <w:tc>
          <w:tcPr>
            <w:tcW w:w="6154" w:type="dxa"/>
            <w:tcBorders>
              <w:top w:val="single" w:color="auto" w:sz="4" w:space="0"/>
              <w:left w:val="single" w:color="auto" w:sz="4" w:space="0"/>
              <w:bottom w:val="single" w:color="auto" w:sz="4" w:space="0"/>
              <w:right w:val="single" w:color="auto" w:sz="4" w:space="0"/>
            </w:tcBorders>
            <w:vAlign w:val="top"/>
          </w:tcPr>
          <w:p>
            <w:pPr>
              <w:widowControl/>
              <w:jc w:val="left"/>
              <w:rPr>
                <w:rFonts w:ascii="仿宋" w:eastAsia="仿宋"/>
                <w:sz w:val="24"/>
                <w:szCs w:val="24"/>
              </w:rPr>
            </w:pPr>
            <w:r>
              <w:rPr>
                <w:rFonts w:hint="eastAsia" w:ascii="仿宋" w:eastAsia="仿宋"/>
                <w:sz w:val="24"/>
                <w:szCs w:val="24"/>
              </w:rPr>
              <w:t>投标人根据项目需求配置成员，需具有客服、物流等相关从业经验和专业技术能力（详见项目需求第11点），</w:t>
            </w:r>
          </w:p>
          <w:p>
            <w:pPr>
              <w:pStyle w:val="31"/>
              <w:numPr>
                <w:ilvl w:val="0"/>
                <w:numId w:val="34"/>
              </w:numPr>
              <w:spacing w:before="156" w:after="156"/>
              <w:rPr>
                <w:rFonts w:ascii="仿宋" w:hAnsi="Calibri" w:eastAsia="仿宋"/>
              </w:rPr>
            </w:pPr>
            <w:r>
              <w:rPr>
                <w:rFonts w:hint="eastAsia" w:ascii="仿宋" w:hAnsi="Calibri" w:eastAsia="仿宋"/>
              </w:rPr>
              <w:t>项目经理需具有5年以上相关项目运营经验（提供有经理名字的负责项目合同等证明材料），且</w:t>
            </w:r>
            <w:r>
              <w:rPr>
                <w:rFonts w:hint="eastAsia" w:ascii="仿宋" w:hAnsi="Calibri" w:eastAsia="仿宋"/>
                <w:lang w:eastAsia="zh-CN"/>
              </w:rPr>
              <w:t>无</w:t>
            </w:r>
            <w:r>
              <w:rPr>
                <w:rFonts w:hint="eastAsia" w:ascii="仿宋" w:hAnsi="Calibri" w:eastAsia="仿宋"/>
              </w:rPr>
              <w:t>兼职其他岗位，得</w:t>
            </w:r>
            <w:r>
              <w:rPr>
                <w:rFonts w:hint="eastAsia" w:ascii="仿宋" w:eastAsia="仿宋"/>
              </w:rPr>
              <w:t>2</w:t>
            </w:r>
            <w:r>
              <w:rPr>
                <w:rFonts w:hint="eastAsia" w:ascii="仿宋" w:hAnsi="Calibri" w:eastAsia="仿宋"/>
              </w:rPr>
              <w:t>分。</w:t>
            </w:r>
          </w:p>
          <w:p>
            <w:pPr>
              <w:pStyle w:val="31"/>
              <w:numPr>
                <w:ilvl w:val="0"/>
                <w:numId w:val="34"/>
              </w:numPr>
              <w:spacing w:before="156" w:after="156"/>
              <w:rPr>
                <w:rFonts w:ascii="仿宋" w:hAnsi="Calibri" w:eastAsia="仿宋"/>
              </w:rPr>
            </w:pPr>
            <w:r>
              <w:rPr>
                <w:rFonts w:hint="eastAsia" w:ascii="仿宋" w:hAnsi="Calibri" w:eastAsia="仿宋"/>
              </w:rPr>
              <w:t>项目运营服务人员总人数不少于20人，得</w:t>
            </w:r>
            <w:r>
              <w:rPr>
                <w:rFonts w:hint="eastAsia" w:ascii="仿宋" w:eastAsia="仿宋"/>
              </w:rPr>
              <w:t>4</w:t>
            </w:r>
            <w:r>
              <w:rPr>
                <w:rFonts w:hint="eastAsia" w:ascii="仿宋" w:hAnsi="Calibri" w:eastAsia="仿宋"/>
              </w:rPr>
              <w:t>分，每少一人扣1分，扣完为止。</w:t>
            </w:r>
          </w:p>
          <w:p>
            <w:pPr>
              <w:pStyle w:val="31"/>
              <w:numPr>
                <w:ilvl w:val="0"/>
                <w:numId w:val="0"/>
              </w:numPr>
              <w:spacing w:before="156" w:after="156"/>
              <w:rPr>
                <w:rFonts w:ascii="仿宋" w:hAnsi="Calibri" w:eastAsia="仿宋"/>
              </w:rPr>
            </w:pPr>
            <w:r>
              <w:rPr>
                <w:rFonts w:hint="eastAsia" w:ascii="仿宋" w:hAnsi="Calibri" w:eastAsia="仿宋"/>
              </w:rPr>
              <w:t>具体人员构成要求如下：</w:t>
            </w:r>
          </w:p>
          <w:p>
            <w:pPr>
              <w:pStyle w:val="31"/>
              <w:numPr>
                <w:ilvl w:val="0"/>
                <w:numId w:val="34"/>
              </w:numPr>
              <w:spacing w:before="156" w:after="156"/>
              <w:rPr>
                <w:rFonts w:ascii="仿宋" w:hAnsi="Calibri" w:eastAsia="仿宋"/>
              </w:rPr>
            </w:pPr>
            <w:r>
              <w:rPr>
                <w:rFonts w:hint="eastAsia" w:ascii="仿宋" w:hAnsi="Calibri" w:eastAsia="仿宋"/>
              </w:rPr>
              <w:t>仓库专职人员不少于15人，得1分</w:t>
            </w:r>
          </w:p>
          <w:p>
            <w:pPr>
              <w:pStyle w:val="31"/>
              <w:numPr>
                <w:ilvl w:val="0"/>
                <w:numId w:val="34"/>
              </w:numPr>
              <w:spacing w:before="156" w:after="156"/>
              <w:rPr>
                <w:rFonts w:ascii="仿宋" w:hAnsi="Calibri" w:eastAsia="仿宋"/>
              </w:rPr>
            </w:pPr>
            <w:r>
              <w:rPr>
                <w:rFonts w:hint="eastAsia" w:ascii="仿宋" w:hAnsi="Calibri" w:eastAsia="仿宋"/>
              </w:rPr>
              <w:t>派驻不少于1名有1年以上工作经验的员工为采购人提供驻场支持，得</w:t>
            </w:r>
            <w:r>
              <w:rPr>
                <w:rFonts w:hint="eastAsia" w:ascii="仿宋" w:eastAsia="仿宋"/>
              </w:rPr>
              <w:t>1</w:t>
            </w:r>
            <w:r>
              <w:rPr>
                <w:rFonts w:hint="eastAsia" w:ascii="仿宋" w:hAnsi="Calibri" w:eastAsia="仿宋"/>
              </w:rPr>
              <w:t>分；</w:t>
            </w:r>
          </w:p>
          <w:p>
            <w:pPr>
              <w:pStyle w:val="31"/>
              <w:numPr>
                <w:ilvl w:val="0"/>
                <w:numId w:val="34"/>
              </w:numPr>
              <w:spacing w:before="156" w:after="156"/>
              <w:rPr>
                <w:rFonts w:ascii="仿宋" w:hAnsi="Calibri" w:eastAsia="仿宋"/>
              </w:rPr>
            </w:pPr>
            <w:r>
              <w:rPr>
                <w:rFonts w:hint="eastAsia" w:ascii="仿宋" w:hAnsi="Calibri" w:eastAsia="仿宋"/>
              </w:rPr>
              <w:t>在采购人指定地点派驻不少于3名，具有1年以上客服相关从业经验和专业技术能力客服工作人员，每有1人可得1分，总分</w:t>
            </w:r>
            <w:r>
              <w:rPr>
                <w:rFonts w:hint="eastAsia" w:ascii="仿宋" w:eastAsia="仿宋"/>
              </w:rPr>
              <w:t>3</w:t>
            </w:r>
            <w:r>
              <w:rPr>
                <w:rFonts w:hint="eastAsia" w:ascii="仿宋" w:hAnsi="Calibri" w:eastAsia="仿宋"/>
              </w:rPr>
              <w:t>分;</w:t>
            </w:r>
          </w:p>
          <w:p>
            <w:pPr>
              <w:pStyle w:val="31"/>
              <w:numPr>
                <w:ilvl w:val="0"/>
                <w:numId w:val="34"/>
              </w:numPr>
              <w:spacing w:before="156" w:after="156"/>
              <w:rPr>
                <w:rFonts w:ascii="仿宋" w:hAnsi="Calibri" w:eastAsia="仿宋"/>
              </w:rPr>
            </w:pPr>
            <w:r>
              <w:rPr>
                <w:rFonts w:hint="eastAsia" w:ascii="仿宋" w:hAnsi="Calibri" w:eastAsia="仿宋"/>
              </w:rPr>
              <w:t>系统运维及技术支持人员需具有数据及统计相关1年以上从业经验和专业技术能力，得</w:t>
            </w:r>
            <w:r>
              <w:rPr>
                <w:rFonts w:hint="eastAsia" w:ascii="仿宋" w:eastAsia="仿宋"/>
              </w:rPr>
              <w:t>1</w:t>
            </w:r>
            <w:r>
              <w:rPr>
                <w:rFonts w:hint="eastAsia" w:ascii="仿宋" w:hAnsi="Calibri" w:eastAsia="仿宋"/>
              </w:rPr>
              <w:t>分；</w:t>
            </w:r>
          </w:p>
          <w:p>
            <w:pPr>
              <w:widowControl/>
              <w:jc w:val="left"/>
              <w:rPr>
                <w:rFonts w:ascii="仿宋" w:hAnsi="仿宋" w:eastAsia="仿宋" w:cs="仿宋"/>
                <w:sz w:val="24"/>
                <w:szCs w:val="24"/>
              </w:rPr>
            </w:pPr>
            <w:r>
              <w:rPr>
                <w:rFonts w:hint="eastAsia" w:ascii="仿宋" w:eastAsia="仿宋"/>
                <w:sz w:val="24"/>
                <w:szCs w:val="24"/>
              </w:rPr>
              <w:t>共计</w:t>
            </w:r>
            <w:r>
              <w:rPr>
                <w:rFonts w:ascii="仿宋" w:eastAsia="仿宋"/>
                <w:sz w:val="24"/>
                <w:szCs w:val="24"/>
              </w:rPr>
              <w:t>1</w:t>
            </w:r>
            <w:r>
              <w:rPr>
                <w:rFonts w:hint="eastAsia" w:ascii="仿宋" w:eastAsia="仿宋"/>
                <w:sz w:val="24"/>
                <w:szCs w:val="24"/>
              </w:rPr>
              <w:t xml:space="preserve">2分。（以上项目须提供劳务合同及投标截止日近3个月社保证明，未提供不得分）。 </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color w:val="0000FF"/>
              </w:rPr>
            </w:pPr>
            <w:r>
              <w:rPr>
                <w:rFonts w:hint="eastAsia" w:ascii="仿宋" w:hAnsi="Calibri" w:eastAsia="仿宋"/>
              </w:rPr>
              <w:t>12</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Calibri" w:eastAsia="仿宋"/>
                <w:color w:val="0000FF"/>
              </w:rPr>
            </w:pPr>
            <w:r>
              <w:rPr>
                <w:rFonts w:hint="eastAsia" w:ascii="仿宋" w:hAnsi="Calibri" w:eastAsia="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7</w:t>
            </w:r>
          </w:p>
        </w:tc>
        <w:tc>
          <w:tcPr>
            <w:tcW w:w="823" w:type="dxa"/>
            <w:tcBorders>
              <w:top w:val="single" w:color="auto" w:sz="4" w:space="0"/>
              <w:left w:val="single" w:color="auto" w:sz="4" w:space="0"/>
              <w:bottom w:val="single" w:color="auto" w:sz="4" w:space="0"/>
              <w:right w:val="single" w:color="auto" w:sz="4" w:space="0"/>
            </w:tcBorders>
            <w:vAlign w:val="top"/>
          </w:tcPr>
          <w:p>
            <w:pPr>
              <w:pStyle w:val="31"/>
              <w:spacing w:before="156" w:after="156"/>
              <w:rPr>
                <w:rFonts w:ascii="仿宋" w:hAnsi="仿宋" w:eastAsia="仿宋" w:cs="仿宋"/>
              </w:rPr>
            </w:pPr>
            <w:r>
              <w:rPr>
                <w:rFonts w:hint="eastAsia" w:ascii="仿宋" w:hAnsi="仿宋" w:eastAsia="仿宋" w:cs="仿宋"/>
              </w:rPr>
              <w:t>商务资 信</w:t>
            </w:r>
          </w:p>
        </w:tc>
        <w:tc>
          <w:tcPr>
            <w:tcW w:w="6154"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1.运输能力：</w:t>
            </w:r>
          </w:p>
          <w:p>
            <w:pPr>
              <w:widowControl/>
              <w:spacing w:line="360" w:lineRule="auto"/>
              <w:jc w:val="both"/>
              <w:rPr>
                <w:rFonts w:ascii="仿宋" w:hAnsi="仿宋" w:eastAsia="仿宋" w:cs="仿宋"/>
                <w:sz w:val="24"/>
                <w:szCs w:val="24"/>
              </w:rPr>
            </w:pPr>
            <w:r>
              <w:rPr>
                <w:rFonts w:hint="eastAsia" w:ascii="仿宋" w:hAnsi="仿宋" w:eastAsia="仿宋" w:cs="仿宋"/>
                <w:b w:val="0"/>
                <w:bCs w:val="0"/>
                <w:color w:val="auto"/>
                <w:sz w:val="24"/>
                <w:szCs w:val="24"/>
                <w:highlight w:val="none"/>
              </w:rPr>
              <w:t>投标人应具有符合采购人工作要求的物流运输实力，或提供与具有该物流运输实力单位签订的物流运输合作业务协议的承诺书</w:t>
            </w:r>
            <w:r>
              <w:rPr>
                <w:rFonts w:hint="eastAsia" w:ascii="仿宋" w:hAnsi="仿宋" w:eastAsia="仿宋" w:cs="仿宋"/>
                <w:b w:val="0"/>
                <w:bCs w:val="0"/>
                <w:color w:val="auto"/>
                <w:sz w:val="24"/>
                <w:szCs w:val="24"/>
              </w:rPr>
              <w:t>（</w:t>
            </w:r>
            <w:r>
              <w:rPr>
                <w:rFonts w:hint="eastAsia" w:ascii="仿宋" w:hAnsi="仿宋" w:eastAsia="仿宋" w:cs="仿宋"/>
                <w:sz w:val="24"/>
                <w:szCs w:val="24"/>
                <w:lang w:eastAsia="zh-CN"/>
              </w:rPr>
              <w:t>满足</w:t>
            </w:r>
            <w:r>
              <w:rPr>
                <w:rFonts w:hint="eastAsia" w:ascii="仿宋" w:hAnsi="仿宋" w:eastAsia="仿宋" w:cs="仿宋"/>
                <w:sz w:val="24"/>
                <w:szCs w:val="24"/>
              </w:rPr>
              <w:t>得3分，不满足不得分）。</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2.资质要求：</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（1）ISO9001质量管理体系认证证书及全国认证认可信息公共服务平台网站截图证明</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（2）ISO27001信息安全管理体系认证证书及全国认证认可信息公共服务平台网站截图证明</w:t>
            </w:r>
          </w:p>
          <w:p>
            <w:pPr>
              <w:widowControl/>
              <w:spacing w:line="360" w:lineRule="auto"/>
              <w:jc w:val="both"/>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（3）ISO20000IT服务管理体系认证证书</w:t>
            </w:r>
            <w:r>
              <w:rPr>
                <w:rFonts w:hint="eastAsia" w:ascii="仿宋" w:hAnsi="仿宋" w:eastAsia="仿宋" w:cs="仿宋"/>
                <w:sz w:val="24"/>
                <w:szCs w:val="24"/>
              </w:rPr>
              <w:t>及全国认证认可信息公共服务平台网站截图证明</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每提供一个得1分，最多3分。</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3.技术能力：</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（1）投标人与本项目相关的自建系统具有国家认可的信息系统安全等级保护二级备案证明，提供有效证明材料的得2分;</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（2）具有国家认可的信息系统安全等级保护三级及以上备案证明，提供有效证明材料的得4分；</w:t>
            </w:r>
          </w:p>
          <w:p>
            <w:pPr>
              <w:widowControl/>
              <w:spacing w:line="360" w:lineRule="auto"/>
              <w:jc w:val="both"/>
              <w:rPr>
                <w:rFonts w:ascii="仿宋" w:hAnsi="仿宋" w:eastAsia="仿宋" w:cs="仿宋"/>
                <w:sz w:val="24"/>
                <w:szCs w:val="24"/>
              </w:rPr>
            </w:pPr>
            <w:r>
              <w:rPr>
                <w:rFonts w:hint="eastAsia" w:ascii="仿宋" w:hAnsi="仿宋" w:eastAsia="仿宋" w:cs="仿宋"/>
                <w:sz w:val="24"/>
                <w:szCs w:val="24"/>
              </w:rPr>
              <w:t>注：提供有效期内的证书复印件加盖投标人公章。未提供或提供不清晰导致无法判断的不得分。</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仿宋" w:eastAsia="仿宋" w:cs="仿宋"/>
              </w:rPr>
            </w:pPr>
            <w:r>
              <w:rPr>
                <w:rFonts w:hint="eastAsia" w:ascii="仿宋" w:hAnsi="仿宋" w:eastAsia="仿宋" w:cs="仿宋"/>
              </w:rPr>
              <w:t>10</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仿宋" w:eastAsia="仿宋" w:cs="仿宋"/>
              </w:rPr>
            </w:pPr>
            <w:r>
              <w:rPr>
                <w:rFonts w:hint="eastAsia" w:ascii="仿宋" w:hAnsi="仿宋" w:eastAsia="仿宋" w:cs="仿宋"/>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eastAsia="仿宋"/>
                <w:sz w:val="24"/>
                <w:szCs w:val="24"/>
              </w:rPr>
            </w:pPr>
            <w:r>
              <w:rPr>
                <w:rFonts w:hint="eastAsia" w:ascii="仿宋" w:eastAsia="仿宋"/>
                <w:sz w:val="24"/>
                <w:szCs w:val="24"/>
              </w:rPr>
              <w:t>8</w:t>
            </w:r>
          </w:p>
        </w:tc>
        <w:tc>
          <w:tcPr>
            <w:tcW w:w="823" w:type="dxa"/>
            <w:tcBorders>
              <w:top w:val="single" w:color="auto" w:sz="4" w:space="0"/>
              <w:left w:val="single" w:color="auto" w:sz="4" w:space="0"/>
              <w:bottom w:val="single" w:color="auto" w:sz="4" w:space="0"/>
              <w:right w:val="single" w:color="auto" w:sz="4" w:space="0"/>
            </w:tcBorders>
            <w:vAlign w:val="top"/>
          </w:tcPr>
          <w:p>
            <w:pPr>
              <w:pStyle w:val="31"/>
              <w:spacing w:before="156" w:after="156"/>
              <w:rPr>
                <w:rFonts w:ascii="仿宋" w:hAnsi="仿宋" w:eastAsia="仿宋" w:cs="仿宋"/>
              </w:rPr>
            </w:pPr>
            <w:r>
              <w:rPr>
                <w:rFonts w:hint="eastAsia" w:ascii="仿宋" w:hAnsi="仿宋" w:eastAsia="仿宋" w:cs="仿宋"/>
              </w:rPr>
              <w:t>商务资 信</w:t>
            </w:r>
          </w:p>
        </w:tc>
        <w:tc>
          <w:tcPr>
            <w:tcW w:w="6154" w:type="dxa"/>
            <w:tcBorders>
              <w:top w:val="single" w:color="auto" w:sz="4" w:space="0"/>
              <w:left w:val="single" w:color="auto" w:sz="4" w:space="0"/>
              <w:bottom w:val="single" w:color="auto" w:sz="4" w:space="0"/>
              <w:right w:val="single" w:color="auto" w:sz="4" w:space="0"/>
            </w:tcBorders>
            <w:vAlign w:val="top"/>
          </w:tcPr>
          <w:p>
            <w:pPr>
              <w:spacing w:line="360" w:lineRule="auto"/>
              <w:rPr>
                <w:rFonts w:ascii="仿宋" w:hAnsi="仿宋" w:eastAsia="仿宋" w:cs="仿宋"/>
                <w:sz w:val="24"/>
                <w:szCs w:val="24"/>
              </w:rPr>
            </w:pPr>
            <w:r>
              <w:rPr>
                <w:rFonts w:hint="eastAsia" w:ascii="仿宋" w:hAnsi="仿宋" w:eastAsia="仿宋" w:cs="仿宋"/>
                <w:sz w:val="24"/>
                <w:szCs w:val="24"/>
              </w:rPr>
              <w:t>提供自2021年1月1日以来的类似业绩，每提供一个得1分，最多2分。</w:t>
            </w:r>
          </w:p>
          <w:p>
            <w:pPr>
              <w:spacing w:line="360" w:lineRule="auto"/>
              <w:rPr>
                <w:rFonts w:ascii="仿宋" w:hAnsi="仿宋" w:eastAsia="仿宋" w:cs="仿宋"/>
                <w:sz w:val="24"/>
                <w:szCs w:val="24"/>
              </w:rPr>
            </w:pPr>
            <w:r>
              <w:rPr>
                <w:rFonts w:hint="eastAsia" w:ascii="仿宋" w:hAnsi="仿宋" w:eastAsia="仿宋" w:cs="仿宋"/>
                <w:sz w:val="24"/>
                <w:szCs w:val="24"/>
              </w:rPr>
              <w:t>注:1、同一业主签订的多个合同不累计得分，仅计分一次。</w:t>
            </w:r>
          </w:p>
          <w:p>
            <w:pPr>
              <w:spacing w:line="360" w:lineRule="auto"/>
              <w:rPr>
                <w:rFonts w:ascii="仿宋" w:hAnsi="仿宋" w:eastAsia="仿宋" w:cs="仿宋"/>
                <w:sz w:val="24"/>
                <w:szCs w:val="24"/>
              </w:rPr>
            </w:pPr>
            <w:r>
              <w:rPr>
                <w:rFonts w:hint="eastAsia" w:ascii="仿宋" w:hAnsi="仿宋" w:eastAsia="仿宋" w:cs="仿宋"/>
                <w:sz w:val="24"/>
                <w:szCs w:val="24"/>
              </w:rPr>
              <w:t>2、投标文件中提供业绩合同扫描件，如合同中无法体现合同签订时间项目内容等关键评审因素的，须另附业主(合同甲方)证明等相关证明材料。</w:t>
            </w:r>
          </w:p>
          <w:p>
            <w:pPr>
              <w:spacing w:line="360" w:lineRule="auto"/>
              <w:rPr>
                <w:rFonts w:ascii="仿宋" w:hAnsi="仿宋" w:eastAsia="仿宋" w:cs="仿宋"/>
                <w:sz w:val="24"/>
                <w:szCs w:val="24"/>
              </w:rPr>
            </w:pPr>
            <w:r>
              <w:rPr>
                <w:rFonts w:hint="eastAsia" w:ascii="仿宋" w:hAnsi="仿宋" w:eastAsia="仿宋" w:cs="仿宋"/>
                <w:sz w:val="24"/>
                <w:szCs w:val="24"/>
              </w:rPr>
              <w:t>3、正在履约的业绩或履约已经完成的业绩均予认可。</w:t>
            </w:r>
          </w:p>
        </w:tc>
        <w:tc>
          <w:tcPr>
            <w:tcW w:w="581"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仿宋" w:eastAsia="仿宋" w:cs="仿宋"/>
              </w:rPr>
            </w:pPr>
            <w:r>
              <w:rPr>
                <w:rFonts w:ascii="仿宋" w:hAnsi="仿宋" w:eastAsia="仿宋" w:cs="仿宋"/>
              </w:rPr>
              <w:t>2</w:t>
            </w:r>
          </w:p>
        </w:tc>
        <w:tc>
          <w:tcPr>
            <w:tcW w:w="1017" w:type="dxa"/>
            <w:tcBorders>
              <w:top w:val="single" w:color="auto" w:sz="4" w:space="0"/>
              <w:left w:val="single" w:color="auto" w:sz="4" w:space="0"/>
              <w:bottom w:val="single" w:color="auto" w:sz="4" w:space="0"/>
              <w:right w:val="single" w:color="auto" w:sz="4" w:space="0"/>
            </w:tcBorders>
            <w:vAlign w:val="center"/>
          </w:tcPr>
          <w:p>
            <w:pPr>
              <w:pStyle w:val="31"/>
              <w:spacing w:before="156" w:after="156"/>
              <w:jc w:val="center"/>
              <w:rPr>
                <w:rFonts w:ascii="仿宋" w:hAnsi="仿宋" w:eastAsia="仿宋" w:cs="仿宋"/>
              </w:rPr>
            </w:pPr>
            <w:r>
              <w:rPr>
                <w:rFonts w:hint="eastAsia" w:ascii="仿宋" w:hAnsi="仿宋" w:eastAsia="仿宋" w:cs="仿宋"/>
              </w:rPr>
              <w:t>客观分</w:t>
            </w:r>
          </w:p>
        </w:tc>
      </w:tr>
    </w:tbl>
    <w:p>
      <w:pPr>
        <w:spacing w:before="93" w:beforeLines="30" w:after="93" w:afterLines="30"/>
        <w:textAlignment w:val="baseline"/>
        <w:rPr>
          <w:rFonts w:ascii="仿宋" w:hAnsi="仿宋" w:eastAsia="仿宋" w:cs="仿宋"/>
          <w:bCs/>
          <w:color w:val="000000"/>
          <w:kern w:val="0"/>
          <w:sz w:val="24"/>
          <w:szCs w:val="24"/>
        </w:rPr>
      </w:pPr>
      <w:r>
        <w:rPr>
          <w:rFonts w:hint="eastAsia" w:ascii="仿宋" w:hAnsi="仿宋" w:eastAsia="仿宋" w:cs="仿宋"/>
          <w:bCs/>
          <w:color w:val="000000"/>
          <w:sz w:val="28"/>
          <w:szCs w:val="28"/>
        </w:rPr>
        <w:br w:type="page"/>
      </w:r>
    </w:p>
    <w:bookmarkEnd w:id="16"/>
    <w:p>
      <w:pPr>
        <w:widowControl/>
        <w:jc w:val="center"/>
        <w:rPr>
          <w:rFonts w:hAnsi="宋体"/>
          <w:b/>
          <w:color w:val="000000"/>
          <w:sz w:val="36"/>
          <w:szCs w:val="36"/>
        </w:rPr>
      </w:pPr>
      <w:r>
        <w:rPr>
          <w:rFonts w:hint="eastAsia" w:hAnsi="宋体"/>
          <w:b/>
          <w:color w:val="000000"/>
          <w:sz w:val="36"/>
          <w:szCs w:val="36"/>
        </w:rPr>
        <w:t>第四章  招标需求</w:t>
      </w:r>
    </w:p>
    <w:p>
      <w:pPr>
        <w:snapToGrid w:val="0"/>
        <w:spacing w:before="156" w:beforeLines="50" w:after="156" w:afterLines="50"/>
        <w:rPr>
          <w:rFonts w:ascii="宋体" w:hAnsi="宋体" w:eastAsia="宋体"/>
          <w:b/>
          <w:color w:val="000000"/>
          <w:spacing w:val="40"/>
          <w:kern w:val="0"/>
          <w:sz w:val="36"/>
          <w:szCs w:val="36"/>
        </w:rPr>
      </w:pPr>
    </w:p>
    <w:p>
      <w:pPr>
        <w:spacing w:before="156" w:beforeLines="50" w:after="156" w:afterLines="50" w:line="500" w:lineRule="exact"/>
        <w:rPr>
          <w:rFonts w:ascii="仿宋" w:hAnsi="仿宋" w:eastAsia="仿宋"/>
          <w:b/>
          <w:color w:val="auto"/>
          <w:spacing w:val="40"/>
          <w:kern w:val="0"/>
          <w:sz w:val="28"/>
          <w:szCs w:val="28"/>
        </w:rPr>
      </w:pPr>
      <w:r>
        <w:rPr>
          <w:rFonts w:hint="eastAsia" w:ascii="仿宋" w:hAnsi="仿宋" w:eastAsia="仿宋"/>
          <w:b/>
          <w:color w:val="auto"/>
          <w:spacing w:val="40"/>
          <w:kern w:val="0"/>
          <w:sz w:val="28"/>
          <w:szCs w:val="28"/>
        </w:rPr>
        <w:t>特别说明：</w:t>
      </w:r>
    </w:p>
    <w:p>
      <w:pPr>
        <w:spacing w:before="50" w:after="50" w:line="500" w:lineRule="exact"/>
        <w:ind w:firstLine="562" w:firstLineChars="200"/>
        <w:rPr>
          <w:rFonts w:ascii="仿宋" w:hAnsi="仿宋" w:eastAsia="仿宋"/>
          <w:b/>
          <w:color w:val="0000FF"/>
          <w:sz w:val="28"/>
          <w:szCs w:val="28"/>
        </w:rPr>
      </w:pPr>
      <w:r>
        <w:rPr>
          <w:rFonts w:hint="eastAsia" w:ascii="仿宋" w:hAnsi="仿宋" w:eastAsia="仿宋"/>
          <w:b/>
          <w:color w:val="auto"/>
          <w:sz w:val="28"/>
          <w:szCs w:val="28"/>
        </w:rPr>
        <w:t>1.需求中不允许偏离的实质性要求和条件，以“▲”号标明，如投标人未响应的，将被视为无效</w:t>
      </w:r>
      <w:r>
        <w:rPr>
          <w:rFonts w:hint="eastAsia" w:ascii="仿宋" w:hAnsi="仿宋" w:eastAsia="仿宋"/>
          <w:b/>
          <w:color w:val="0000FF"/>
          <w:sz w:val="28"/>
          <w:szCs w:val="28"/>
        </w:rPr>
        <w:t>。</w:t>
      </w:r>
    </w:p>
    <w:p>
      <w:pPr>
        <w:spacing w:before="156" w:beforeLines="50" w:after="156" w:afterLines="5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2.供应商承诺提供赠品、回扣、采购预算中本身不包含的其他商品或服务，视作无效承诺。</w:t>
      </w:r>
    </w:p>
    <w:p>
      <w:pPr>
        <w:pStyle w:val="31"/>
        <w:spacing w:before="156" w:after="156" w:line="240" w:lineRule="auto"/>
        <w:contextualSpacing/>
        <w:jc w:val="center"/>
        <w:rPr>
          <w:rFonts w:hAnsi="宋体"/>
          <w:b/>
          <w:color w:val="000000"/>
          <w:sz w:val="36"/>
          <w:szCs w:val="36"/>
        </w:rPr>
      </w:pPr>
    </w:p>
    <w:p>
      <w:pPr>
        <w:pStyle w:val="31"/>
        <w:spacing w:before="156" w:after="156" w:line="240" w:lineRule="auto"/>
        <w:contextualSpacing/>
        <w:jc w:val="center"/>
        <w:rPr>
          <w:rFonts w:hAnsi="宋体"/>
          <w:b/>
          <w:color w:val="000000"/>
          <w:sz w:val="36"/>
          <w:szCs w:val="36"/>
        </w:rPr>
      </w:pPr>
    </w:p>
    <w:p>
      <w:pPr>
        <w:pStyle w:val="31"/>
        <w:spacing w:before="156" w:after="156" w:line="240" w:lineRule="auto"/>
        <w:contextualSpacing/>
        <w:jc w:val="center"/>
        <w:rPr>
          <w:rFonts w:hAnsi="宋体"/>
          <w:b/>
          <w:color w:val="000000"/>
          <w:sz w:val="36"/>
          <w:szCs w:val="36"/>
        </w:rPr>
      </w:pPr>
    </w:p>
    <w:p>
      <w:pPr>
        <w:pStyle w:val="31"/>
        <w:spacing w:before="312" w:beforeLines="100" w:after="312" w:afterLines="100" w:line="240" w:lineRule="auto"/>
        <w:contextualSpacing/>
        <w:jc w:val="center"/>
        <w:rPr>
          <w:rFonts w:hAnsi="宋体"/>
          <w:b/>
          <w:color w:val="000000"/>
          <w:sz w:val="36"/>
          <w:szCs w:val="36"/>
        </w:rPr>
      </w:pPr>
      <w:r>
        <w:rPr>
          <w:rFonts w:hint="eastAsia" w:hAnsi="宋体"/>
          <w:b/>
          <w:color w:val="000000"/>
          <w:sz w:val="36"/>
          <w:szCs w:val="36"/>
        </w:rPr>
        <w:t>2024年浙江省体育彩票管理中心即开型体育彩票高效运营服务项目招标需求</w:t>
      </w:r>
    </w:p>
    <w:p>
      <w:pPr>
        <w:pStyle w:val="31"/>
        <w:spacing w:before="156" w:after="156" w:line="240" w:lineRule="auto"/>
        <w:contextualSpacing/>
        <w:rPr>
          <w:rFonts w:ascii="Times New Roman" w:hAnsi="黑体"/>
          <w:b/>
          <w:bCs/>
          <w:color w:val="000000"/>
          <w:sz w:val="28"/>
          <w:szCs w:val="28"/>
        </w:rPr>
      </w:pPr>
    </w:p>
    <w:bookmarkEnd w:id="14"/>
    <w:p>
      <w:pPr>
        <w:snapToGrid w:val="0"/>
        <w:spacing w:line="420" w:lineRule="exact"/>
        <w:ind w:firstLine="562" w:firstLineChars="200"/>
        <w:jc w:val="left"/>
        <w:rPr>
          <w:rFonts w:ascii="仿宋_GB2312" w:hAnsi="Arial" w:eastAsia="仿宋_GB2312" w:cs="Arial"/>
          <w:b/>
          <w:color w:val="000000"/>
          <w:sz w:val="28"/>
          <w:szCs w:val="28"/>
        </w:rPr>
      </w:pPr>
      <w:r>
        <w:rPr>
          <w:rFonts w:hint="eastAsia" w:ascii="仿宋_GB2312" w:hAnsi="Arial" w:eastAsia="仿宋_GB2312" w:cs="Arial"/>
          <w:b/>
          <w:color w:val="000000"/>
          <w:sz w:val="28"/>
          <w:szCs w:val="28"/>
        </w:rPr>
        <w:t>一、采购内容</w:t>
      </w:r>
    </w:p>
    <w:p>
      <w:pPr>
        <w:snapToGrid w:val="0"/>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纸质即开型体育彩票（以下简称“即开票”）是经财政部批准，由国家体育总局体育彩票管理中心发行，根据预先确定的规则，在纸介质上印有兑奖符号,并经保密覆盖，刮开覆盖膜后即产生开奖结果的彩票。</w:t>
      </w:r>
    </w:p>
    <w:p>
      <w:pPr>
        <w:snapToGrid w:val="0"/>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本次采购为浙江省体育彩票管理中心即开型体育彩票（以下简称“浙江体彩即开票”）高效运营服务，共1个包。报价若有遗漏则视为包含在其他单价或合价中，中标人均应提供。</w:t>
      </w:r>
    </w:p>
    <w:p>
      <w:pPr>
        <w:snapToGrid w:val="0"/>
        <w:spacing w:line="420" w:lineRule="exact"/>
        <w:ind w:firstLine="562" w:firstLineChars="200"/>
        <w:jc w:val="left"/>
        <w:rPr>
          <w:rFonts w:ascii="仿宋_GB2312" w:hAnsi="Arial" w:eastAsia="仿宋_GB2312" w:cs="Arial"/>
          <w:b/>
          <w:color w:val="000000"/>
          <w:sz w:val="28"/>
          <w:szCs w:val="28"/>
        </w:rPr>
      </w:pPr>
      <w:r>
        <w:rPr>
          <w:rFonts w:hint="eastAsia" w:ascii="仿宋_GB2312" w:hAnsi="Arial" w:eastAsia="仿宋_GB2312" w:cs="Arial"/>
          <w:b/>
          <w:color w:val="000000"/>
          <w:sz w:val="28"/>
          <w:szCs w:val="28"/>
        </w:rPr>
        <w:t>二、采购要求</w:t>
      </w:r>
    </w:p>
    <w:p>
      <w:pPr>
        <w:snapToGrid w:val="0"/>
        <w:spacing w:line="420" w:lineRule="exact"/>
        <w:ind w:firstLine="560" w:firstLineChars="200"/>
        <w:rPr>
          <w:rFonts w:ascii="仿宋_GB2312" w:hAnsi="Arial" w:eastAsia="仿宋_GB2312" w:cs="Arial"/>
          <w:color w:val="auto"/>
          <w:sz w:val="28"/>
          <w:szCs w:val="28"/>
          <w:highlight w:val="none"/>
        </w:rPr>
      </w:pP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、项目内容：浙江体彩即开票项目包括全省即开票仓储管理、订购配送、市场数据分析等服务。需通过电话、网站、微信及</w:t>
      </w:r>
      <w:r>
        <w:rPr>
          <w:rFonts w:ascii="仿宋_GB2312" w:hAnsi="Arial" w:eastAsia="仿宋_GB2312" w:cs="Arial"/>
          <w:color w:val="auto"/>
          <w:sz w:val="28"/>
          <w:szCs w:val="28"/>
          <w:highlight w:val="none"/>
        </w:rPr>
        <w:t>APP</w:t>
      </w:r>
      <w:r>
        <w:rPr>
          <w:rFonts w:hint="eastAsia" w:ascii="仿宋_GB2312" w:hAnsi="Arial" w:eastAsia="仿宋_GB2312" w:cs="Arial"/>
          <w:color w:val="auto"/>
          <w:sz w:val="28"/>
          <w:szCs w:val="28"/>
          <w:highlight w:val="none"/>
        </w:rPr>
        <w:t>等系统功能向全省体育彩票实体店提供订票、配送、业务咨询等即开订票服务</w:t>
      </w:r>
      <w:r>
        <w:rPr>
          <w:rFonts w:hint="eastAsia" w:ascii="仿宋_GB2312" w:hAnsi="Arial" w:eastAsia="仿宋_GB2312" w:cs="Arial"/>
          <w:color w:val="auto"/>
          <w:sz w:val="28"/>
          <w:szCs w:val="28"/>
          <w:highlight w:val="none"/>
          <w:lang w:eastAsia="zh-CN"/>
        </w:rPr>
        <w:t>。</w:t>
      </w:r>
      <w:r>
        <w:rPr>
          <w:rFonts w:hint="eastAsia" w:ascii="仿宋_GB2312" w:hAnsi="Arial" w:eastAsia="仿宋_GB2312" w:cs="Arial"/>
          <w:color w:val="auto"/>
          <w:sz w:val="28"/>
          <w:szCs w:val="28"/>
          <w:highlight w:val="none"/>
        </w:rPr>
        <w:t>为省市彩票管理机构提供人员考核管理、产品营销、市场调研、数据查询分析等服务，开发及维护先进的系统功能，建立完备的安全保障策略，切实保障项目服务质量与安全。</w:t>
      </w:r>
    </w:p>
    <w:p>
      <w:pPr>
        <w:snapToGrid w:val="0"/>
        <w:spacing w:line="420" w:lineRule="exact"/>
        <w:ind w:firstLine="560" w:firstLineChars="200"/>
        <w:rPr>
          <w:rFonts w:ascii="仿宋_GB2312" w:hAnsi="Arial" w:eastAsia="仿宋_GB2312" w:cs="Arial"/>
          <w:color w:val="auto"/>
          <w:sz w:val="28"/>
          <w:szCs w:val="28"/>
          <w:highlight w:val="none"/>
        </w:rPr>
      </w:pPr>
      <w:r>
        <w:rPr>
          <w:rFonts w:ascii="仿宋_GB2312" w:hAnsi="Arial" w:eastAsia="仿宋_GB2312" w:cs="Arial"/>
          <w:color w:val="auto"/>
          <w:sz w:val="28"/>
          <w:szCs w:val="28"/>
          <w:highlight w:val="none"/>
        </w:rPr>
        <w:t>2</w:t>
      </w:r>
      <w:r>
        <w:rPr>
          <w:rFonts w:hint="eastAsia" w:ascii="仿宋_GB2312" w:hAnsi="Arial" w:eastAsia="仿宋_GB2312" w:cs="Arial"/>
          <w:color w:val="auto"/>
          <w:sz w:val="28"/>
          <w:szCs w:val="28"/>
          <w:highlight w:val="none"/>
        </w:rPr>
        <w:t>、中标人需建设配套业务系统，并与国家体育总局体育彩票管理中心体彩第三代体育彩票全业务统一运营支撑平台（以下简称国家中心</w:t>
      </w:r>
      <w:r>
        <w:rPr>
          <w:rFonts w:ascii="仿宋_GB2312" w:hAnsi="Arial" w:eastAsia="仿宋_GB2312" w:cs="Arial"/>
          <w:color w:val="auto"/>
          <w:sz w:val="28"/>
          <w:szCs w:val="28"/>
          <w:highlight w:val="none"/>
        </w:rPr>
        <w:t>G3</w:t>
      </w:r>
      <w:r>
        <w:rPr>
          <w:rFonts w:hint="eastAsia" w:ascii="仿宋_GB2312" w:hAnsi="Arial" w:eastAsia="仿宋_GB2312" w:cs="Arial"/>
          <w:color w:val="auto"/>
          <w:sz w:val="28"/>
          <w:szCs w:val="28"/>
          <w:highlight w:val="none"/>
        </w:rPr>
        <w:t>系统）实现系统对接，接入国家中心</w:t>
      </w:r>
      <w:r>
        <w:rPr>
          <w:rFonts w:ascii="仿宋_GB2312" w:hAnsi="Arial" w:eastAsia="仿宋_GB2312" w:cs="Arial"/>
          <w:color w:val="auto"/>
          <w:sz w:val="28"/>
          <w:szCs w:val="28"/>
          <w:highlight w:val="none"/>
        </w:rPr>
        <w:t>G3</w:t>
      </w:r>
      <w:r>
        <w:rPr>
          <w:rFonts w:hint="eastAsia" w:ascii="仿宋_GB2312" w:hAnsi="Arial" w:eastAsia="仿宋_GB2312" w:cs="Arial"/>
          <w:color w:val="auto"/>
          <w:sz w:val="28"/>
          <w:szCs w:val="28"/>
          <w:highlight w:val="none"/>
        </w:rPr>
        <w:t>系统的销售、出入库等业务模板。</w:t>
      </w:r>
      <w:r>
        <w:rPr>
          <w:rFonts w:hint="eastAsia" w:ascii="仿宋_GB2312" w:hAnsi="Arial" w:eastAsia="仿宋_GB2312" w:cs="Arial"/>
          <w:color w:val="auto"/>
          <w:sz w:val="28"/>
          <w:szCs w:val="28"/>
          <w:highlight w:val="none"/>
          <w:lang w:eastAsia="zh-CN"/>
        </w:rPr>
        <w:t>若</w:t>
      </w:r>
      <w:r>
        <w:rPr>
          <w:rFonts w:hint="eastAsia" w:ascii="仿宋_GB2312" w:hAnsi="Arial" w:eastAsia="仿宋_GB2312" w:cs="Arial"/>
          <w:color w:val="auto"/>
          <w:sz w:val="28"/>
          <w:szCs w:val="28"/>
          <w:highlight w:val="none"/>
        </w:rPr>
        <w:t>具备接入资格但尚未接入国家中心</w:t>
      </w:r>
      <w:r>
        <w:rPr>
          <w:rFonts w:ascii="仿宋_GB2312" w:hAnsi="Arial" w:eastAsia="仿宋_GB2312" w:cs="Arial"/>
          <w:color w:val="auto"/>
          <w:sz w:val="28"/>
          <w:szCs w:val="28"/>
          <w:highlight w:val="none"/>
        </w:rPr>
        <w:t>G3</w:t>
      </w:r>
      <w:r>
        <w:rPr>
          <w:rFonts w:hint="eastAsia" w:ascii="仿宋_GB2312" w:hAnsi="Arial" w:eastAsia="仿宋_GB2312" w:cs="Arial"/>
          <w:color w:val="auto"/>
          <w:sz w:val="28"/>
          <w:szCs w:val="28"/>
          <w:highlight w:val="none"/>
        </w:rPr>
        <w:t>系统情况，需承诺中标之日起</w:t>
      </w:r>
      <w:r>
        <w:rPr>
          <w:rFonts w:ascii="仿宋_GB2312" w:hAnsi="Arial" w:eastAsia="仿宋_GB2312" w:cs="Arial"/>
          <w:color w:val="auto"/>
          <w:sz w:val="28"/>
          <w:szCs w:val="28"/>
          <w:highlight w:val="none"/>
        </w:rPr>
        <w:t>30</w:t>
      </w:r>
      <w:r>
        <w:rPr>
          <w:rFonts w:hint="eastAsia" w:ascii="仿宋_GB2312" w:hAnsi="Arial" w:eastAsia="仿宋_GB2312" w:cs="Arial"/>
          <w:color w:val="auto"/>
          <w:sz w:val="28"/>
          <w:szCs w:val="28"/>
          <w:highlight w:val="none"/>
        </w:rPr>
        <w:t>天内接入系统、建设管理系统，并完成试运行。系统上线后，中标人要根据采购人要求继续建设并完善系统。</w:t>
      </w:r>
    </w:p>
    <w:p>
      <w:pPr>
        <w:snapToGrid w:val="0"/>
        <w:spacing w:line="420" w:lineRule="exact"/>
        <w:ind w:firstLine="560" w:firstLineChars="200"/>
        <w:rPr>
          <w:rFonts w:hint="eastAsia"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3、仓库</w:t>
      </w:r>
      <w:r>
        <w:rPr>
          <w:rFonts w:hint="eastAsia" w:ascii="仿宋_GB2312" w:hAnsi="Arial" w:eastAsia="仿宋_GB2312" w:cs="Arial"/>
          <w:color w:val="auto"/>
          <w:sz w:val="28"/>
          <w:szCs w:val="28"/>
          <w:highlight w:val="none"/>
          <w:lang w:val="en-US" w:eastAsia="zh-CN"/>
        </w:rPr>
        <w:t>只能作</w:t>
      </w:r>
      <w:r>
        <w:rPr>
          <w:rFonts w:hint="eastAsia" w:ascii="仿宋_GB2312" w:hAnsi="Arial" w:eastAsia="仿宋_GB2312" w:cs="Arial"/>
          <w:color w:val="auto"/>
          <w:sz w:val="28"/>
          <w:szCs w:val="28"/>
          <w:highlight w:val="none"/>
        </w:rPr>
        <w:t>为浙江体彩即开票专用仓库，并由专门团队管理，</w:t>
      </w:r>
      <w:r>
        <w:rPr>
          <w:rFonts w:hint="eastAsia" w:ascii="仿宋_GB2312" w:hAnsi="Arial" w:eastAsia="仿宋_GB2312" w:cs="Arial"/>
          <w:color w:val="auto"/>
          <w:sz w:val="28"/>
          <w:szCs w:val="28"/>
          <w:highlight w:val="none"/>
          <w:lang w:val="en-US" w:eastAsia="zh-CN"/>
        </w:rPr>
        <w:t>不能</w:t>
      </w:r>
      <w:r>
        <w:rPr>
          <w:rFonts w:hint="eastAsia" w:ascii="仿宋_GB2312" w:hAnsi="Arial" w:eastAsia="仿宋_GB2312" w:cs="Arial"/>
          <w:color w:val="auto"/>
          <w:sz w:val="28"/>
          <w:szCs w:val="28"/>
          <w:highlight w:val="none"/>
        </w:rPr>
        <w:t>与其</w:t>
      </w:r>
      <w:r>
        <w:rPr>
          <w:rFonts w:hint="eastAsia" w:ascii="仿宋_GB2312" w:hAnsi="Arial" w:eastAsia="仿宋_GB2312" w:cs="Arial"/>
          <w:color w:val="auto"/>
          <w:sz w:val="28"/>
          <w:szCs w:val="28"/>
          <w:highlight w:val="none"/>
          <w:lang w:val="en-US" w:eastAsia="zh-CN"/>
        </w:rPr>
        <w:t>它</w:t>
      </w:r>
      <w:r>
        <w:rPr>
          <w:rFonts w:hint="eastAsia" w:ascii="仿宋_GB2312" w:hAnsi="Arial" w:eastAsia="仿宋_GB2312" w:cs="Arial"/>
          <w:color w:val="auto"/>
          <w:sz w:val="28"/>
          <w:szCs w:val="28"/>
          <w:highlight w:val="none"/>
        </w:rPr>
        <w:t>地区</w:t>
      </w:r>
      <w:r>
        <w:rPr>
          <w:rFonts w:hint="eastAsia" w:ascii="仿宋_GB2312" w:hAnsi="Arial" w:eastAsia="仿宋_GB2312" w:cs="Arial"/>
          <w:color w:val="auto"/>
          <w:sz w:val="28"/>
          <w:szCs w:val="28"/>
          <w:highlight w:val="none"/>
          <w:lang w:val="en-US" w:eastAsia="zh-CN"/>
        </w:rPr>
        <w:t>或其它业务</w:t>
      </w:r>
      <w:r>
        <w:rPr>
          <w:rFonts w:hint="eastAsia" w:ascii="仿宋_GB2312" w:hAnsi="Arial" w:eastAsia="仿宋_GB2312" w:cs="Arial"/>
          <w:color w:val="auto"/>
          <w:sz w:val="28"/>
          <w:szCs w:val="28"/>
          <w:highlight w:val="none"/>
        </w:rPr>
        <w:t>共用仓储资源。</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4、该项目服务期</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年，预算</w:t>
      </w:r>
      <w:r>
        <w:rPr>
          <w:rFonts w:ascii="仿宋_GB2312" w:hAnsi="Arial" w:eastAsia="仿宋_GB2312" w:cs="Arial"/>
          <w:color w:val="000000"/>
          <w:sz w:val="28"/>
          <w:szCs w:val="28"/>
          <w:highlight w:val="none"/>
        </w:rPr>
        <w:t>3000</w:t>
      </w:r>
      <w:r>
        <w:rPr>
          <w:rFonts w:hint="eastAsia" w:ascii="仿宋_GB2312" w:hAnsi="Arial" w:eastAsia="仿宋_GB2312" w:cs="Arial"/>
          <w:color w:val="000000"/>
          <w:sz w:val="28"/>
          <w:szCs w:val="28"/>
          <w:highlight w:val="none"/>
        </w:rPr>
        <w:t>万元。服务于本项目产生的所有费用，包括但不限于集中管理费用、仓储及配送费用、系统研发费用、人员工资（包括社保费用、五险一金）、税金等，投标人报价应充分考虑相关成本变化以及即开票销售额波动的风险。</w:t>
      </w:r>
    </w:p>
    <w:p>
      <w:pPr>
        <w:snapToGrid w:val="0"/>
        <w:spacing w:line="420" w:lineRule="exact"/>
        <w:ind w:firstLine="560" w:firstLineChars="200"/>
        <w:rPr>
          <w:rFonts w:ascii="仿宋_GB2312" w:hAnsi="Arial" w:eastAsia="仿宋_GB2312" w:cs="Arial"/>
          <w:sz w:val="28"/>
          <w:szCs w:val="28"/>
          <w:highlight w:val="none"/>
        </w:rPr>
      </w:pPr>
      <w:r>
        <w:rPr>
          <w:rFonts w:hint="eastAsia" w:ascii="仿宋_GB2312" w:hAnsi="Arial" w:eastAsia="仿宋_GB2312" w:cs="Arial"/>
          <w:color w:val="000000"/>
          <w:sz w:val="28"/>
          <w:szCs w:val="28"/>
          <w:highlight w:val="none"/>
        </w:rPr>
        <w:t>5、</w:t>
      </w:r>
      <w:r>
        <w:rPr>
          <w:rFonts w:hint="eastAsia" w:ascii="仿宋_GB2312" w:hAnsi="Arial" w:eastAsia="仿宋_GB2312" w:cs="Arial"/>
          <w:b/>
          <w:bCs/>
          <w:sz w:val="28"/>
          <w:szCs w:val="28"/>
          <w:highlight w:val="none"/>
        </w:rPr>
        <w:t>实体店</w:t>
      </w:r>
      <w:r>
        <w:rPr>
          <w:rFonts w:hint="eastAsia" w:ascii="仿宋_GB2312" w:hAnsi="Arial" w:eastAsia="仿宋_GB2312" w:cs="Arial"/>
          <w:b/>
          <w:bCs/>
          <w:sz w:val="28"/>
          <w:szCs w:val="28"/>
          <w:highlight w:val="none"/>
          <w:lang w:eastAsia="zh-CN"/>
        </w:rPr>
        <w:t>配送</w:t>
      </w:r>
      <w:r>
        <w:rPr>
          <w:rFonts w:hint="eastAsia" w:ascii="仿宋_GB2312" w:hAnsi="Arial" w:eastAsia="仿宋_GB2312" w:cs="Arial"/>
          <w:b/>
          <w:bCs/>
          <w:sz w:val="28"/>
          <w:szCs w:val="28"/>
          <w:highlight w:val="none"/>
        </w:rPr>
        <w:t>服务费</w:t>
      </w:r>
      <w:r>
        <w:rPr>
          <w:rFonts w:hint="eastAsia" w:ascii="仿宋_GB2312" w:hAnsi="Arial" w:eastAsia="仿宋_GB2312" w:cs="Arial"/>
          <w:sz w:val="28"/>
          <w:szCs w:val="28"/>
          <w:highlight w:val="none"/>
        </w:rPr>
        <w:t>：投标人服务费按照配送的即开票金额的固定提点比率进行报价，</w:t>
      </w:r>
      <w:r>
        <w:rPr>
          <w:rFonts w:hint="eastAsia" w:ascii="仿宋" w:eastAsia="仿宋"/>
          <w:b/>
          <w:bCs/>
          <w:sz w:val="24"/>
          <w:szCs w:val="24"/>
          <w:highlight w:val="none"/>
        </w:rPr>
        <w:t>报价不高于</w:t>
      </w:r>
      <w:r>
        <w:rPr>
          <w:rFonts w:ascii="仿宋" w:eastAsia="仿宋"/>
          <w:b/>
          <w:bCs/>
          <w:sz w:val="24"/>
          <w:szCs w:val="24"/>
          <w:highlight w:val="none"/>
        </w:rPr>
        <w:t>0.6%</w:t>
      </w:r>
      <w:r>
        <w:rPr>
          <w:rFonts w:hint="eastAsia" w:ascii="仿宋" w:eastAsia="仿宋"/>
          <w:b/>
          <w:bCs/>
          <w:sz w:val="24"/>
          <w:szCs w:val="24"/>
          <w:highlight w:val="none"/>
        </w:rPr>
        <w:t>。</w:t>
      </w:r>
      <w:r>
        <w:rPr>
          <w:rFonts w:hint="eastAsia" w:ascii="仿宋_GB2312" w:hAnsi="Arial" w:eastAsia="仿宋_GB2312" w:cs="Arial"/>
          <w:sz w:val="28"/>
          <w:szCs w:val="28"/>
          <w:highlight w:val="none"/>
        </w:rPr>
        <w:t>配送即开票的累计出库量在</w:t>
      </w:r>
      <w:r>
        <w:rPr>
          <w:rFonts w:ascii="仿宋_GB2312" w:hAnsi="Arial" w:eastAsia="仿宋_GB2312" w:cs="Arial"/>
          <w:sz w:val="28"/>
          <w:szCs w:val="28"/>
          <w:highlight w:val="none"/>
        </w:rPr>
        <w:t>15</w:t>
      </w:r>
      <w:r>
        <w:rPr>
          <w:rFonts w:hint="eastAsia" w:ascii="仿宋_GB2312" w:hAnsi="Arial" w:eastAsia="仿宋_GB2312" w:cs="Arial"/>
          <w:sz w:val="28"/>
          <w:szCs w:val="28"/>
          <w:highlight w:val="none"/>
        </w:rPr>
        <w:t>亿元（含）以内的，投标人以</w:t>
      </w:r>
      <w:r>
        <w:rPr>
          <w:rFonts w:ascii="仿宋_GB2312" w:hAnsi="Arial" w:eastAsia="仿宋_GB2312" w:cs="Arial"/>
          <w:sz w:val="28"/>
          <w:szCs w:val="28"/>
          <w:highlight w:val="none"/>
        </w:rPr>
        <w:t>0.01%</w:t>
      </w:r>
      <w:r>
        <w:rPr>
          <w:rFonts w:hint="eastAsia" w:ascii="仿宋_GB2312" w:hAnsi="Arial" w:eastAsia="仿宋_GB2312" w:cs="Arial"/>
          <w:sz w:val="28"/>
          <w:szCs w:val="28"/>
          <w:highlight w:val="none"/>
        </w:rPr>
        <w:t>为单位进行投标报价；超过</w:t>
      </w:r>
      <w:r>
        <w:rPr>
          <w:rFonts w:ascii="仿宋_GB2312" w:hAnsi="Arial" w:eastAsia="仿宋_GB2312" w:cs="Arial"/>
          <w:sz w:val="28"/>
          <w:szCs w:val="28"/>
          <w:highlight w:val="none"/>
        </w:rPr>
        <w:t>15</w:t>
      </w:r>
      <w:r>
        <w:rPr>
          <w:rFonts w:hint="eastAsia" w:ascii="仿宋_GB2312" w:hAnsi="Arial" w:eastAsia="仿宋_GB2312" w:cs="Arial"/>
          <w:sz w:val="28"/>
          <w:szCs w:val="28"/>
          <w:highlight w:val="none"/>
        </w:rPr>
        <w:t>亿元的部分，对计提比例的下浮幅度进行报价（每</w:t>
      </w:r>
      <w:r>
        <w:rPr>
          <w:rFonts w:ascii="仿宋_GB2312" w:hAnsi="Arial" w:eastAsia="仿宋_GB2312" w:cs="Arial"/>
          <w:sz w:val="28"/>
          <w:szCs w:val="28"/>
          <w:highlight w:val="none"/>
        </w:rPr>
        <w:t>5</w:t>
      </w:r>
      <w:r>
        <w:rPr>
          <w:rFonts w:hint="eastAsia" w:ascii="仿宋_GB2312" w:hAnsi="Arial" w:eastAsia="仿宋_GB2312" w:cs="Arial"/>
          <w:sz w:val="28"/>
          <w:szCs w:val="28"/>
          <w:highlight w:val="none"/>
        </w:rPr>
        <w:t>亿元一档，超过</w:t>
      </w:r>
      <w:r>
        <w:rPr>
          <w:rFonts w:ascii="仿宋_GB2312" w:hAnsi="Arial" w:eastAsia="仿宋_GB2312" w:cs="Arial"/>
          <w:sz w:val="28"/>
          <w:szCs w:val="28"/>
          <w:highlight w:val="none"/>
        </w:rPr>
        <w:t>35</w:t>
      </w:r>
      <w:r>
        <w:rPr>
          <w:rFonts w:hint="eastAsia" w:ascii="仿宋_GB2312" w:hAnsi="Arial" w:eastAsia="仿宋_GB2312" w:cs="Arial"/>
          <w:sz w:val="28"/>
          <w:szCs w:val="28"/>
          <w:highlight w:val="none"/>
        </w:rPr>
        <w:t>亿元后可不再下浮），以</w:t>
      </w:r>
      <w:r>
        <w:rPr>
          <w:rFonts w:ascii="仿宋_GB2312" w:hAnsi="Arial" w:eastAsia="仿宋_GB2312" w:cs="Arial"/>
          <w:sz w:val="28"/>
          <w:szCs w:val="28"/>
          <w:highlight w:val="none"/>
        </w:rPr>
        <w:t>0.001%</w:t>
      </w:r>
      <w:r>
        <w:rPr>
          <w:rFonts w:hint="eastAsia" w:ascii="仿宋_GB2312" w:hAnsi="Arial" w:eastAsia="仿宋_GB2312" w:cs="Arial"/>
          <w:sz w:val="28"/>
          <w:szCs w:val="28"/>
          <w:highlight w:val="none"/>
        </w:rPr>
        <w:t>为单位，下浮幅度不得低于</w:t>
      </w:r>
      <w:r>
        <w:rPr>
          <w:rFonts w:ascii="仿宋_GB2312" w:hAnsi="Arial" w:eastAsia="仿宋_GB2312" w:cs="Arial"/>
          <w:sz w:val="28"/>
          <w:szCs w:val="28"/>
          <w:highlight w:val="none"/>
        </w:rPr>
        <w:t>0.005%</w:t>
      </w:r>
      <w:r>
        <w:rPr>
          <w:rFonts w:hint="eastAsia" w:ascii="仿宋_GB2312" w:hAnsi="Arial" w:eastAsia="仿宋_GB2312" w:cs="Arial"/>
          <w:sz w:val="28"/>
          <w:szCs w:val="28"/>
          <w:highlight w:val="none"/>
        </w:rPr>
        <w:t>。投标人自行计算出即开票模拟累计出库量为</w:t>
      </w:r>
      <w:r>
        <w:rPr>
          <w:rFonts w:ascii="仿宋_GB2312" w:hAnsi="Arial" w:eastAsia="仿宋_GB2312" w:cs="Arial"/>
          <w:sz w:val="28"/>
          <w:szCs w:val="28"/>
          <w:highlight w:val="none"/>
        </w:rPr>
        <w:t>35</w:t>
      </w:r>
      <w:r>
        <w:rPr>
          <w:rFonts w:hint="eastAsia" w:ascii="仿宋_GB2312" w:hAnsi="Arial" w:eastAsia="仿宋_GB2312" w:cs="Arial"/>
          <w:sz w:val="28"/>
          <w:szCs w:val="28"/>
          <w:highlight w:val="none"/>
        </w:rPr>
        <w:t>亿元时的服务费总金额，以此作为报价评分标准。</w:t>
      </w:r>
    </w:p>
    <w:p>
      <w:pPr>
        <w:snapToGrid w:val="0"/>
        <w:spacing w:line="420" w:lineRule="exact"/>
        <w:ind w:firstLine="560" w:firstLineChars="200"/>
        <w:rPr>
          <w:rFonts w:ascii="仿宋_GB2312" w:hAnsi="Arial" w:eastAsia="仿宋_GB2312" w:cs="Arial"/>
          <w:sz w:val="28"/>
          <w:szCs w:val="28"/>
          <w:highlight w:val="none"/>
        </w:rPr>
      </w:pPr>
      <w:r>
        <w:rPr>
          <w:rFonts w:hint="eastAsia" w:ascii="仿宋_GB2312" w:hAnsi="Arial" w:eastAsia="仿宋_GB2312" w:cs="Arial"/>
          <w:sz w:val="28"/>
          <w:szCs w:val="28"/>
          <w:highlight w:val="none"/>
        </w:rPr>
        <w:t>6、</w:t>
      </w:r>
      <w:r>
        <w:rPr>
          <w:rFonts w:hint="eastAsia" w:ascii="仿宋_GB2312" w:hAnsi="Arial" w:eastAsia="仿宋_GB2312" w:cs="Arial"/>
          <w:b/>
          <w:bCs/>
          <w:sz w:val="28"/>
          <w:szCs w:val="28"/>
          <w:highlight w:val="none"/>
          <w:lang w:eastAsia="zh-CN"/>
        </w:rPr>
        <w:t>指定库房配送</w:t>
      </w:r>
      <w:r>
        <w:rPr>
          <w:rFonts w:hint="eastAsia" w:ascii="仿宋_GB2312" w:hAnsi="Arial" w:eastAsia="仿宋_GB2312" w:cs="Arial"/>
          <w:b/>
          <w:bCs/>
          <w:sz w:val="28"/>
          <w:szCs w:val="28"/>
          <w:highlight w:val="none"/>
        </w:rPr>
        <w:t>服务费</w:t>
      </w:r>
      <w:r>
        <w:rPr>
          <w:rFonts w:hint="eastAsia" w:ascii="仿宋_GB2312" w:hAnsi="Arial" w:eastAsia="仿宋_GB2312" w:cs="Arial"/>
          <w:sz w:val="28"/>
          <w:szCs w:val="28"/>
          <w:highlight w:val="none"/>
        </w:rPr>
        <w:t>：投标人服务费按照配送的即开票金额的固定提点比率进行报价，</w:t>
      </w:r>
      <w:r>
        <w:rPr>
          <w:rFonts w:hint="eastAsia" w:ascii="仿宋" w:eastAsia="仿宋"/>
          <w:b/>
          <w:bCs/>
          <w:sz w:val="24"/>
          <w:szCs w:val="24"/>
          <w:highlight w:val="none"/>
        </w:rPr>
        <w:t>报价不高于</w:t>
      </w:r>
      <w:r>
        <w:rPr>
          <w:rFonts w:ascii="仿宋" w:eastAsia="仿宋"/>
          <w:b/>
          <w:bCs/>
          <w:sz w:val="24"/>
          <w:szCs w:val="24"/>
          <w:highlight w:val="none"/>
        </w:rPr>
        <w:t>0.2%</w:t>
      </w:r>
      <w:r>
        <w:rPr>
          <w:rFonts w:hint="eastAsia" w:ascii="仿宋" w:eastAsia="仿宋"/>
          <w:b/>
          <w:bCs/>
          <w:sz w:val="24"/>
          <w:szCs w:val="24"/>
          <w:highlight w:val="none"/>
        </w:rPr>
        <w:t>。</w:t>
      </w:r>
      <w:r>
        <w:rPr>
          <w:rFonts w:hint="eastAsia" w:ascii="仿宋_GB2312" w:hAnsi="Arial" w:eastAsia="仿宋_GB2312" w:cs="Arial"/>
          <w:sz w:val="28"/>
          <w:szCs w:val="28"/>
          <w:highlight w:val="none"/>
        </w:rPr>
        <w:t>配送即开票的累计出库量在</w:t>
      </w:r>
      <w:r>
        <w:rPr>
          <w:rFonts w:ascii="仿宋_GB2312" w:hAnsi="Arial" w:eastAsia="仿宋_GB2312" w:cs="Arial"/>
          <w:sz w:val="28"/>
          <w:szCs w:val="28"/>
          <w:highlight w:val="none"/>
        </w:rPr>
        <w:t>5</w:t>
      </w:r>
      <w:r>
        <w:rPr>
          <w:rFonts w:hint="eastAsia" w:ascii="仿宋_GB2312" w:hAnsi="Arial" w:eastAsia="仿宋_GB2312" w:cs="Arial"/>
          <w:sz w:val="28"/>
          <w:szCs w:val="28"/>
          <w:highlight w:val="none"/>
        </w:rPr>
        <w:t>亿元（含）以内的，投标人以</w:t>
      </w:r>
      <w:r>
        <w:rPr>
          <w:rFonts w:ascii="仿宋_GB2312" w:hAnsi="Arial" w:eastAsia="仿宋_GB2312" w:cs="Arial"/>
          <w:sz w:val="28"/>
          <w:szCs w:val="28"/>
          <w:highlight w:val="none"/>
        </w:rPr>
        <w:t>0.01%</w:t>
      </w:r>
      <w:r>
        <w:rPr>
          <w:rFonts w:hint="eastAsia" w:ascii="仿宋_GB2312" w:hAnsi="Arial" w:eastAsia="仿宋_GB2312" w:cs="Arial"/>
          <w:sz w:val="28"/>
          <w:szCs w:val="28"/>
          <w:highlight w:val="none"/>
        </w:rPr>
        <w:t>为单位进行投标报价；超过</w:t>
      </w:r>
      <w:r>
        <w:rPr>
          <w:rFonts w:ascii="仿宋_GB2312" w:hAnsi="Arial" w:eastAsia="仿宋_GB2312" w:cs="Arial"/>
          <w:sz w:val="28"/>
          <w:szCs w:val="28"/>
          <w:highlight w:val="none"/>
        </w:rPr>
        <w:t>5</w:t>
      </w:r>
      <w:r>
        <w:rPr>
          <w:rFonts w:hint="eastAsia" w:ascii="仿宋_GB2312" w:hAnsi="Arial" w:eastAsia="仿宋_GB2312" w:cs="Arial"/>
          <w:sz w:val="28"/>
          <w:szCs w:val="28"/>
          <w:highlight w:val="none"/>
        </w:rPr>
        <w:t>亿元的部分，对计提比例的下浮幅度进行报价（每</w:t>
      </w:r>
      <w:r>
        <w:rPr>
          <w:rFonts w:ascii="仿宋_GB2312" w:hAnsi="Arial" w:eastAsia="仿宋_GB2312" w:cs="Arial"/>
          <w:sz w:val="28"/>
          <w:szCs w:val="28"/>
          <w:highlight w:val="none"/>
        </w:rPr>
        <w:t>1</w:t>
      </w:r>
      <w:r>
        <w:rPr>
          <w:rFonts w:hint="eastAsia" w:ascii="仿宋_GB2312" w:hAnsi="Arial" w:eastAsia="仿宋_GB2312" w:cs="Arial"/>
          <w:sz w:val="28"/>
          <w:szCs w:val="28"/>
          <w:highlight w:val="none"/>
        </w:rPr>
        <w:t>亿元一档，超过</w:t>
      </w:r>
      <w:r>
        <w:rPr>
          <w:rFonts w:ascii="仿宋_GB2312" w:hAnsi="Arial" w:eastAsia="仿宋_GB2312" w:cs="Arial"/>
          <w:sz w:val="28"/>
          <w:szCs w:val="28"/>
          <w:highlight w:val="none"/>
        </w:rPr>
        <w:t>10</w:t>
      </w:r>
      <w:r>
        <w:rPr>
          <w:rFonts w:hint="eastAsia" w:ascii="仿宋_GB2312" w:hAnsi="Arial" w:eastAsia="仿宋_GB2312" w:cs="Arial"/>
          <w:sz w:val="28"/>
          <w:szCs w:val="28"/>
          <w:highlight w:val="none"/>
        </w:rPr>
        <w:t>亿元后可不再下浮），以</w:t>
      </w:r>
      <w:r>
        <w:rPr>
          <w:rFonts w:ascii="仿宋_GB2312" w:hAnsi="Arial" w:eastAsia="仿宋_GB2312" w:cs="Arial"/>
          <w:sz w:val="28"/>
          <w:szCs w:val="28"/>
          <w:highlight w:val="none"/>
        </w:rPr>
        <w:t>0.001%</w:t>
      </w:r>
      <w:r>
        <w:rPr>
          <w:rFonts w:hint="eastAsia" w:ascii="仿宋_GB2312" w:hAnsi="Arial" w:eastAsia="仿宋_GB2312" w:cs="Arial"/>
          <w:sz w:val="28"/>
          <w:szCs w:val="28"/>
          <w:highlight w:val="none"/>
        </w:rPr>
        <w:t>为单位，下浮幅度不得低于</w:t>
      </w:r>
      <w:r>
        <w:rPr>
          <w:rFonts w:ascii="仿宋_GB2312" w:hAnsi="Arial" w:eastAsia="仿宋_GB2312" w:cs="Arial"/>
          <w:sz w:val="28"/>
          <w:szCs w:val="28"/>
          <w:highlight w:val="none"/>
        </w:rPr>
        <w:t>0.005%</w:t>
      </w:r>
      <w:r>
        <w:rPr>
          <w:rFonts w:hint="eastAsia" w:ascii="仿宋_GB2312" w:hAnsi="Arial" w:eastAsia="仿宋_GB2312" w:cs="Arial"/>
          <w:sz w:val="28"/>
          <w:szCs w:val="28"/>
          <w:highlight w:val="none"/>
        </w:rPr>
        <w:t>。投标人自行计算出即开票模拟累计出库量为</w:t>
      </w:r>
      <w:r>
        <w:rPr>
          <w:rFonts w:ascii="仿宋_GB2312" w:hAnsi="Arial" w:eastAsia="仿宋_GB2312" w:cs="Arial"/>
          <w:sz w:val="28"/>
          <w:szCs w:val="28"/>
          <w:highlight w:val="none"/>
        </w:rPr>
        <w:t>10</w:t>
      </w:r>
      <w:r>
        <w:rPr>
          <w:rFonts w:hint="eastAsia" w:ascii="仿宋_GB2312" w:hAnsi="Arial" w:eastAsia="仿宋_GB2312" w:cs="Arial"/>
          <w:sz w:val="28"/>
          <w:szCs w:val="28"/>
          <w:highlight w:val="none"/>
        </w:rPr>
        <w:t>亿元时的服务费总金额，以此作为报价评分标准。</w:t>
      </w:r>
    </w:p>
    <w:p>
      <w:pPr>
        <w:snapToGrid w:val="0"/>
        <w:spacing w:line="420" w:lineRule="exact"/>
        <w:ind w:firstLine="560" w:firstLineChars="200"/>
        <w:rPr>
          <w:rFonts w:ascii="仿宋_GB2312" w:hAnsi="Arial" w:eastAsia="仿宋_GB2312" w:cs="Arial"/>
          <w:sz w:val="28"/>
          <w:szCs w:val="28"/>
          <w:highlight w:val="none"/>
        </w:rPr>
      </w:pPr>
      <w:r>
        <w:rPr>
          <w:rFonts w:hint="eastAsia" w:ascii="仿宋_GB2312" w:hAnsi="Arial" w:eastAsia="仿宋_GB2312" w:cs="Arial"/>
          <w:sz w:val="28"/>
          <w:szCs w:val="28"/>
          <w:highlight w:val="none"/>
        </w:rPr>
        <w:t>7、合同期内，若全省超过20%的实体店不满意中标人服务（</w:t>
      </w:r>
      <w:r>
        <w:rPr>
          <w:rFonts w:hint="eastAsia" w:ascii="仿宋_GB2312" w:hAnsi="Arial" w:eastAsia="仿宋_GB2312" w:cs="Arial"/>
          <w:color w:val="000000"/>
          <w:sz w:val="28"/>
          <w:szCs w:val="28"/>
          <w:highlight w:val="none"/>
        </w:rPr>
        <w:t>满意度调查以省体彩中心组织的为准</w:t>
      </w:r>
      <w:r>
        <w:rPr>
          <w:rFonts w:hint="eastAsia" w:ascii="仿宋_GB2312" w:hAnsi="Arial" w:eastAsia="仿宋_GB2312" w:cs="Arial"/>
          <w:color w:val="000000"/>
          <w:sz w:val="28"/>
          <w:szCs w:val="28"/>
          <w:highlight w:val="none"/>
          <w:lang w:eastAsia="zh-CN"/>
        </w:rPr>
        <w:t>，实体店数量以实际送达点数量为准</w:t>
      </w:r>
      <w:r>
        <w:rPr>
          <w:rFonts w:hint="eastAsia" w:ascii="仿宋_GB2312" w:hAnsi="Arial" w:eastAsia="仿宋_GB2312" w:cs="Arial"/>
          <w:sz w:val="28"/>
          <w:szCs w:val="28"/>
          <w:highlight w:val="none"/>
        </w:rPr>
        <w:t>），采购人有权终止合同。</w:t>
      </w:r>
    </w:p>
    <w:p>
      <w:pPr>
        <w:snapToGrid w:val="0"/>
        <w:spacing w:line="420" w:lineRule="exact"/>
        <w:ind w:firstLine="562" w:firstLineChars="200"/>
        <w:jc w:val="left"/>
        <w:rPr>
          <w:rFonts w:ascii="仿宋_GB2312" w:hAnsi="Arial" w:eastAsia="仿宋_GB2312" w:cs="Arial"/>
          <w:b/>
          <w:bCs/>
          <w:color w:val="000000"/>
          <w:sz w:val="28"/>
          <w:szCs w:val="28"/>
          <w:highlight w:val="none"/>
        </w:rPr>
      </w:pPr>
    </w:p>
    <w:p>
      <w:pPr>
        <w:snapToGrid w:val="0"/>
        <w:spacing w:line="420" w:lineRule="exact"/>
        <w:ind w:firstLine="562" w:firstLineChars="200"/>
        <w:jc w:val="left"/>
        <w:rPr>
          <w:rFonts w:ascii="仿宋_GB2312" w:hAnsi="Arial" w:eastAsia="仿宋_GB2312" w:cs="Arial"/>
          <w:b/>
          <w:bCs/>
          <w:color w:val="000000"/>
          <w:sz w:val="28"/>
          <w:szCs w:val="28"/>
          <w:highlight w:val="none"/>
        </w:rPr>
      </w:pPr>
      <w:r>
        <w:rPr>
          <w:rFonts w:hint="eastAsia" w:ascii="仿宋_GB2312" w:hAnsi="Arial" w:eastAsia="仿宋_GB2312" w:cs="Arial"/>
          <w:b/>
          <w:bCs/>
          <w:color w:val="000000"/>
          <w:sz w:val="28"/>
          <w:szCs w:val="28"/>
          <w:highlight w:val="none"/>
        </w:rPr>
        <w:t>三、项目需求</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投标人需建设一体化线上线下运营体系，包含客服中心、仓储物流、信息化系统等方面。须具有</w:t>
      </w:r>
      <w:r>
        <w:rPr>
          <w:rFonts w:hint="eastAsia" w:ascii="仿宋_GB2312" w:hAnsi="Arial" w:eastAsia="仿宋_GB2312" w:cs="Arial"/>
          <w:color w:val="auto"/>
          <w:sz w:val="28"/>
          <w:szCs w:val="28"/>
          <w:highlight w:val="none"/>
        </w:rPr>
        <w:t>订票系统、仓储管理系统、订单分拣系统、数据分析平台等即开票业务软件系统，提供统计结算配套系统，提供各类数据报表查询。需准备完毕或承诺</w:t>
      </w:r>
      <w:r>
        <w:rPr>
          <w:rFonts w:hint="eastAsia" w:ascii="仿宋_GB2312" w:hAnsi="Arial" w:eastAsia="仿宋_GB2312" w:cs="Arial"/>
          <w:color w:val="000000"/>
          <w:sz w:val="28"/>
          <w:szCs w:val="28"/>
          <w:highlight w:val="none"/>
        </w:rPr>
        <w:t>中标之日起</w:t>
      </w:r>
      <w:r>
        <w:rPr>
          <w:rFonts w:ascii="仿宋_GB2312" w:hAnsi="Arial" w:eastAsia="仿宋_GB2312" w:cs="Arial"/>
          <w:color w:val="000000"/>
          <w:sz w:val="28"/>
          <w:szCs w:val="28"/>
          <w:highlight w:val="none"/>
        </w:rPr>
        <w:t>30</w:t>
      </w:r>
      <w:r>
        <w:rPr>
          <w:rFonts w:hint="eastAsia" w:ascii="仿宋_GB2312" w:hAnsi="Arial" w:eastAsia="仿宋_GB2312" w:cs="Arial"/>
          <w:color w:val="000000"/>
          <w:sz w:val="28"/>
          <w:szCs w:val="28"/>
          <w:highlight w:val="none"/>
        </w:rPr>
        <w:t>天内开发上线，系统需具有良好的可扩展性及完备的安全防护策略，如政策调整，中标人应按新政策要求对系统进行调整，并满足以下业务需求：</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、提供电话、电脑端、移动端订票服务</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建立专门的即开彩票订票系统（含电话、电脑端和手机端（</w:t>
      </w:r>
      <w:r>
        <w:rPr>
          <w:rFonts w:ascii="仿宋_GB2312" w:hAnsi="Arial" w:eastAsia="仿宋_GB2312" w:cs="Arial"/>
          <w:color w:val="000000"/>
          <w:sz w:val="28"/>
          <w:szCs w:val="28"/>
          <w:highlight w:val="none"/>
        </w:rPr>
        <w:t>APP</w:t>
      </w:r>
      <w:r>
        <w:rPr>
          <w:rFonts w:hint="eastAsia" w:ascii="仿宋_GB2312" w:hAnsi="Arial" w:eastAsia="仿宋_GB2312" w:cs="Arial"/>
          <w:color w:val="000000"/>
          <w:sz w:val="28"/>
          <w:szCs w:val="28"/>
          <w:highlight w:val="none"/>
        </w:rPr>
        <w:t>或微信小程序）等），安排足量专业客服人员以保障通讯线路畅通，满足全省各销售实体店订票需求。</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）订票功能主要指即开票订单受理各个环节的功能设置，包括但不限于登录、即开票展示、订票、信息查询、密码管理等功能。</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）订票系统应具有订单自动审核功能，包括实体店额度、实时库存、订票金额等。</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3</w:t>
      </w:r>
      <w:r>
        <w:rPr>
          <w:rFonts w:hint="eastAsia" w:ascii="仿宋_GB2312" w:hAnsi="Arial" w:eastAsia="仿宋_GB2312" w:cs="Arial"/>
          <w:color w:val="000000"/>
          <w:sz w:val="28"/>
          <w:szCs w:val="28"/>
          <w:highlight w:val="none"/>
        </w:rPr>
        <w:t>）订票系统应支持套餐、限购等订购模式，并能快速响应采购人要求，无条件对订票系统进行开发迭代，根据各类营销场景实现个性化订票服务。</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4</w:t>
      </w:r>
      <w:r>
        <w:rPr>
          <w:rFonts w:hint="eastAsia" w:ascii="仿宋_GB2312" w:hAnsi="Arial" w:eastAsia="仿宋_GB2312" w:cs="Arial"/>
          <w:color w:val="000000"/>
          <w:sz w:val="28"/>
          <w:szCs w:val="28"/>
          <w:highlight w:val="none"/>
        </w:rPr>
        <w:t>）订票系统需具备完备的后台管理功能，如在售商品管理、商品资料管理、支付方式管理、宣传资讯管理等功能。</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5</w:t>
      </w:r>
      <w:r>
        <w:rPr>
          <w:rFonts w:hint="eastAsia" w:ascii="仿宋_GB2312" w:hAnsi="Arial" w:eastAsia="仿宋_GB2312" w:cs="Arial"/>
          <w:color w:val="000000"/>
          <w:sz w:val="28"/>
          <w:szCs w:val="28"/>
          <w:highlight w:val="none"/>
        </w:rPr>
        <w:t>）订票系统需接入国家中心</w:t>
      </w:r>
      <w:r>
        <w:rPr>
          <w:rFonts w:ascii="仿宋_GB2312" w:hAnsi="Arial" w:eastAsia="仿宋_GB2312" w:cs="Arial"/>
          <w:color w:val="000000"/>
          <w:sz w:val="28"/>
          <w:szCs w:val="28"/>
          <w:highlight w:val="none"/>
        </w:rPr>
        <w:t>G3</w:t>
      </w:r>
      <w:r>
        <w:rPr>
          <w:rFonts w:hint="eastAsia" w:ascii="仿宋_GB2312" w:hAnsi="Arial" w:eastAsia="仿宋_GB2312" w:cs="Arial"/>
          <w:color w:val="000000"/>
          <w:sz w:val="28"/>
          <w:szCs w:val="28"/>
          <w:highlight w:val="none"/>
        </w:rPr>
        <w:t>系统，能够统一收集并处理实体店在高效订票系统、销售终端、代销者</w:t>
      </w:r>
      <w:r>
        <w:rPr>
          <w:rFonts w:ascii="仿宋_GB2312" w:hAnsi="Arial" w:eastAsia="仿宋_GB2312" w:cs="Arial"/>
          <w:color w:val="000000"/>
          <w:sz w:val="28"/>
          <w:szCs w:val="28"/>
          <w:highlight w:val="none"/>
        </w:rPr>
        <w:t>APP</w:t>
      </w:r>
      <w:r>
        <w:rPr>
          <w:rFonts w:hint="eastAsia" w:ascii="仿宋_GB2312" w:hAnsi="Arial" w:eastAsia="仿宋_GB2312" w:cs="Arial"/>
          <w:color w:val="000000"/>
          <w:sz w:val="28"/>
          <w:szCs w:val="28"/>
          <w:highlight w:val="none"/>
        </w:rPr>
        <w:t>上的即开订单。</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6</w:t>
      </w:r>
      <w:r>
        <w:rPr>
          <w:rFonts w:hint="eastAsia" w:ascii="仿宋_GB2312" w:hAnsi="Arial" w:eastAsia="仿宋_GB2312" w:cs="Arial"/>
          <w:color w:val="000000"/>
          <w:sz w:val="28"/>
          <w:szCs w:val="28"/>
          <w:highlight w:val="none"/>
        </w:rPr>
        <w:t>）电话订票系统在电话接通后</w:t>
      </w:r>
      <w:r>
        <w:rPr>
          <w:rFonts w:ascii="仿宋_GB2312" w:hAnsi="Arial" w:eastAsia="仿宋_GB2312" w:cs="Arial"/>
          <w:color w:val="000000"/>
          <w:sz w:val="28"/>
          <w:szCs w:val="28"/>
          <w:highlight w:val="none"/>
        </w:rPr>
        <w:t>10</w:t>
      </w:r>
      <w:r>
        <w:rPr>
          <w:rFonts w:hint="eastAsia" w:ascii="仿宋_GB2312" w:hAnsi="Arial" w:eastAsia="仿宋_GB2312" w:cs="Arial"/>
          <w:color w:val="000000"/>
          <w:sz w:val="28"/>
          <w:szCs w:val="28"/>
          <w:highlight w:val="none"/>
        </w:rPr>
        <w:t>秒内客服人员进行应答（如客服座席全满则有等待提示，等待时间不超过</w:t>
      </w:r>
      <w:r>
        <w:rPr>
          <w:rFonts w:ascii="仿宋_GB2312" w:hAnsi="Arial" w:eastAsia="仿宋_GB2312" w:cs="Arial"/>
          <w:color w:val="000000"/>
          <w:sz w:val="28"/>
          <w:szCs w:val="28"/>
          <w:highlight w:val="none"/>
        </w:rPr>
        <w:t>30</w:t>
      </w:r>
      <w:r>
        <w:rPr>
          <w:rFonts w:hint="eastAsia" w:ascii="仿宋_GB2312" w:hAnsi="Arial" w:eastAsia="仿宋_GB2312" w:cs="Arial"/>
          <w:color w:val="000000"/>
          <w:sz w:val="28"/>
          <w:szCs w:val="28"/>
          <w:highlight w:val="none"/>
        </w:rPr>
        <w:t>秒），客服电话应全程录音，每周提供不低于</w:t>
      </w:r>
      <w:r>
        <w:rPr>
          <w:rFonts w:ascii="仿宋_GB2312" w:hAnsi="Arial" w:eastAsia="仿宋_GB2312" w:cs="Arial"/>
          <w:color w:val="000000"/>
          <w:sz w:val="28"/>
          <w:szCs w:val="28"/>
          <w:highlight w:val="none"/>
        </w:rPr>
        <w:t>7</w:t>
      </w:r>
      <w:r>
        <w:rPr>
          <w:rFonts w:hint="cs" w:ascii="仿宋_GB2312" w:hAnsi="Arial" w:eastAsia="仿宋_GB2312" w:cs="Arial"/>
          <w:color w:val="000000"/>
          <w:sz w:val="28"/>
          <w:szCs w:val="28"/>
          <w:highlight w:val="none"/>
          <w:cs/>
        </w:rPr>
        <w:t>×</w:t>
      </w:r>
      <w:r>
        <w:rPr>
          <w:rFonts w:ascii="仿宋_GB2312" w:hAnsi="Arial" w:eastAsia="仿宋_GB2312" w:cs="Arial"/>
          <w:color w:val="000000"/>
          <w:sz w:val="28"/>
          <w:szCs w:val="28"/>
          <w:highlight w:val="none"/>
        </w:rPr>
        <w:t>9</w:t>
      </w:r>
      <w:r>
        <w:rPr>
          <w:rFonts w:hint="eastAsia" w:ascii="仿宋_GB2312" w:hAnsi="Arial" w:eastAsia="仿宋_GB2312" w:cs="Arial"/>
          <w:color w:val="000000"/>
          <w:sz w:val="28"/>
          <w:szCs w:val="28"/>
          <w:highlight w:val="none"/>
        </w:rPr>
        <w:t>小时的服务（</w:t>
      </w:r>
      <w:r>
        <w:rPr>
          <w:rFonts w:ascii="仿宋_GB2312" w:hAnsi="Arial" w:eastAsia="仿宋_GB2312" w:cs="Arial"/>
          <w:color w:val="000000"/>
          <w:sz w:val="28"/>
          <w:szCs w:val="28"/>
          <w:highlight w:val="none"/>
        </w:rPr>
        <w:t>8</w:t>
      </w:r>
      <w:r>
        <w:rPr>
          <w:rFonts w:hint="eastAsia" w:ascii="仿宋_GB2312" w:hAnsi="Arial" w:eastAsia="仿宋_GB2312" w:cs="Arial"/>
          <w:color w:val="000000"/>
          <w:sz w:val="28"/>
          <w:szCs w:val="28"/>
          <w:highlight w:val="none"/>
        </w:rPr>
        <w:t>点</w:t>
      </w:r>
      <w:r>
        <w:rPr>
          <w:rFonts w:ascii="仿宋_GB2312" w:hAnsi="Arial" w:eastAsia="仿宋_GB2312" w:cs="Arial"/>
          <w:color w:val="000000"/>
          <w:sz w:val="28"/>
          <w:szCs w:val="28"/>
          <w:highlight w:val="none"/>
        </w:rPr>
        <w:t>00</w:t>
      </w:r>
      <w:r>
        <w:rPr>
          <w:rFonts w:hint="eastAsia" w:ascii="仿宋_GB2312" w:hAnsi="Arial" w:eastAsia="仿宋_GB2312" w:cs="Arial"/>
          <w:color w:val="000000"/>
          <w:sz w:val="28"/>
          <w:szCs w:val="28"/>
          <w:highlight w:val="none"/>
        </w:rPr>
        <w:t>分至</w:t>
      </w:r>
      <w:r>
        <w:rPr>
          <w:rFonts w:ascii="仿宋_GB2312" w:hAnsi="Arial" w:eastAsia="仿宋_GB2312" w:cs="Arial"/>
          <w:color w:val="000000"/>
          <w:sz w:val="28"/>
          <w:szCs w:val="28"/>
          <w:highlight w:val="none"/>
        </w:rPr>
        <w:t>17</w:t>
      </w:r>
      <w:r>
        <w:rPr>
          <w:rFonts w:hint="eastAsia" w:ascii="仿宋_GB2312" w:hAnsi="Arial" w:eastAsia="仿宋_GB2312" w:cs="Arial"/>
          <w:color w:val="000000"/>
          <w:sz w:val="28"/>
          <w:szCs w:val="28"/>
          <w:highlight w:val="none"/>
        </w:rPr>
        <w:t>点</w:t>
      </w:r>
      <w:r>
        <w:rPr>
          <w:rFonts w:ascii="仿宋_GB2312" w:hAnsi="Arial" w:eastAsia="仿宋_GB2312" w:cs="Arial"/>
          <w:color w:val="000000"/>
          <w:sz w:val="28"/>
          <w:szCs w:val="28"/>
          <w:highlight w:val="none"/>
        </w:rPr>
        <w:t>00</w:t>
      </w:r>
      <w:r>
        <w:rPr>
          <w:rFonts w:hint="eastAsia" w:ascii="仿宋_GB2312" w:hAnsi="Arial" w:eastAsia="仿宋_GB2312" w:cs="Arial"/>
          <w:color w:val="000000"/>
          <w:sz w:val="28"/>
          <w:szCs w:val="28"/>
          <w:highlight w:val="none"/>
        </w:rPr>
        <w:t>分），并提供</w:t>
      </w:r>
      <w:r>
        <w:rPr>
          <w:rFonts w:ascii="仿宋_GB2312" w:hAnsi="Arial" w:eastAsia="仿宋_GB2312" w:cs="Arial"/>
          <w:color w:val="000000"/>
          <w:sz w:val="28"/>
          <w:szCs w:val="28"/>
          <w:highlight w:val="none"/>
        </w:rPr>
        <w:t>7x24</w:t>
      </w:r>
      <w:r>
        <w:rPr>
          <w:rFonts w:hint="eastAsia" w:ascii="仿宋_GB2312" w:hAnsi="Arial" w:eastAsia="仿宋_GB2312" w:cs="Arial"/>
          <w:color w:val="000000"/>
          <w:sz w:val="28"/>
          <w:szCs w:val="28"/>
          <w:highlight w:val="none"/>
        </w:rPr>
        <w:t>小时全天候智能语音电话服务，满足实体店基础查询及咨询服务，包括但不局限于物流查询、订单查询、账户查询等。</w:t>
      </w:r>
    </w:p>
    <w:p>
      <w:pPr>
        <w:spacing w:line="420" w:lineRule="exact"/>
        <w:ind w:firstLine="700" w:firstLineChars="25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7</w:t>
      </w:r>
      <w:r>
        <w:rPr>
          <w:rFonts w:hint="eastAsia" w:ascii="仿宋_GB2312" w:hAnsi="Arial" w:eastAsia="仿宋_GB2312" w:cs="Arial"/>
          <w:color w:val="000000"/>
          <w:sz w:val="28"/>
          <w:szCs w:val="28"/>
          <w:highlight w:val="none"/>
        </w:rPr>
        <w:t>）投标人需具备电话营销从业经验，具有专业的客户服务团队、满足采购人需求的数据处理能力和主动营销意识。在本项目中投标人不得租用第三方呼叫中心平台系统实现电话订票。</w:t>
      </w:r>
    </w:p>
    <w:p>
      <w:pPr>
        <w:spacing w:line="420" w:lineRule="exact"/>
        <w:ind w:firstLine="700" w:firstLineChars="25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8</w:t>
      </w:r>
      <w:r>
        <w:rPr>
          <w:rFonts w:hint="eastAsia" w:ascii="仿宋_GB2312" w:hAnsi="Arial" w:eastAsia="仿宋_GB2312" w:cs="Arial"/>
          <w:color w:val="000000"/>
          <w:sz w:val="28"/>
          <w:szCs w:val="28"/>
          <w:highlight w:val="none"/>
        </w:rPr>
        <w:t>）中标人应每周至少提交一次客服工作报告，报告应包含收集的实体店意见反馈汇总及下阶段工作建议方案，供采购人进一步做好对全省销售实体店的服务工作。</w:t>
      </w:r>
    </w:p>
    <w:p>
      <w:pPr>
        <w:spacing w:line="420" w:lineRule="exact"/>
        <w:ind w:firstLine="700" w:firstLineChars="250"/>
        <w:rPr>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9</w:t>
      </w:r>
      <w:r>
        <w:rPr>
          <w:rFonts w:hint="eastAsia" w:ascii="仿宋_GB2312" w:hAnsi="Arial" w:eastAsia="仿宋_GB2312" w:cs="Arial"/>
          <w:color w:val="000000"/>
          <w:sz w:val="28"/>
          <w:szCs w:val="28"/>
          <w:highlight w:val="none"/>
        </w:rPr>
        <w:t>）中标人不得通过任何形式向实体店收取彩票订购款。</w:t>
      </w:r>
    </w:p>
    <w:p>
      <w:pPr>
        <w:spacing w:line="420" w:lineRule="exact"/>
        <w:ind w:firstLine="700" w:firstLineChars="250"/>
        <w:rPr>
          <w:rFonts w:hint="eastAsia" w:ascii="仿宋_GB2312" w:hAnsi="Arial" w:eastAsia="仿宋_GB2312" w:cs="Arial"/>
          <w:color w:val="000000"/>
          <w:sz w:val="28"/>
          <w:szCs w:val="28"/>
          <w:highlight w:val="none"/>
          <w:lang w:eastAsia="zh-CN"/>
        </w:rPr>
      </w:pP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、即开票仓储配送服务</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仓储配送管理主要指即开票入库、库存管理、包裹出库、物流配送等过程，需建立即开票仓储配送管理系统及本地化仓储物流团队，保障即开票安全存储，确保实体店订单及时、准确配送到位。</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中标人应建立完备的仓储管理系统及仓储现场管理制度，配备本项目所需的各类仓储及配送设施，包括仓储场地、配送设备、监控设备、报警设备、消防设备等。允许中标人在合作过程中使用第三方拥有良好信誉且具有保密意识的物流公司或仓储供应商完成即开票配送或仓储。</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2</w:t>
      </w:r>
      <w:r>
        <w:rPr>
          <w:rFonts w:hint="eastAsia" w:ascii="仿宋_GB2312" w:hAnsi="Arial" w:eastAsia="仿宋_GB2312" w:cs="Arial"/>
          <w:color w:val="auto"/>
          <w:sz w:val="28"/>
          <w:szCs w:val="28"/>
          <w:highlight w:val="none"/>
        </w:rPr>
        <w:t>）仓库</w:t>
      </w:r>
      <w:r>
        <w:rPr>
          <w:rFonts w:hint="eastAsia" w:ascii="仿宋_GB2312" w:hAnsi="Arial" w:eastAsia="仿宋_GB2312" w:cs="Arial"/>
          <w:color w:val="auto"/>
          <w:sz w:val="28"/>
          <w:szCs w:val="28"/>
          <w:highlight w:val="none"/>
          <w:lang w:val="en-US" w:eastAsia="zh-CN"/>
        </w:rPr>
        <w:t>只能作</w:t>
      </w:r>
      <w:r>
        <w:rPr>
          <w:rFonts w:hint="eastAsia" w:ascii="仿宋_GB2312" w:hAnsi="Arial" w:eastAsia="仿宋_GB2312" w:cs="Arial"/>
          <w:color w:val="auto"/>
          <w:sz w:val="28"/>
          <w:szCs w:val="28"/>
          <w:highlight w:val="none"/>
        </w:rPr>
        <w:t>为浙江体彩即开票专用仓库，并由专门团队管理，</w:t>
      </w:r>
      <w:r>
        <w:rPr>
          <w:rFonts w:hint="eastAsia" w:ascii="仿宋_GB2312" w:hAnsi="Arial" w:eastAsia="仿宋_GB2312" w:cs="Arial"/>
          <w:color w:val="auto"/>
          <w:sz w:val="28"/>
          <w:szCs w:val="28"/>
          <w:highlight w:val="none"/>
          <w:lang w:val="en-US" w:eastAsia="zh-CN"/>
        </w:rPr>
        <w:t>不能</w:t>
      </w:r>
      <w:r>
        <w:rPr>
          <w:rFonts w:hint="eastAsia" w:ascii="仿宋_GB2312" w:hAnsi="Arial" w:eastAsia="仿宋_GB2312" w:cs="Arial"/>
          <w:color w:val="auto"/>
          <w:sz w:val="28"/>
          <w:szCs w:val="28"/>
          <w:highlight w:val="none"/>
        </w:rPr>
        <w:t>与其</w:t>
      </w:r>
      <w:r>
        <w:rPr>
          <w:rFonts w:hint="eastAsia" w:ascii="仿宋_GB2312" w:hAnsi="Arial" w:eastAsia="仿宋_GB2312" w:cs="Arial"/>
          <w:color w:val="auto"/>
          <w:sz w:val="28"/>
          <w:szCs w:val="28"/>
          <w:highlight w:val="none"/>
          <w:lang w:val="en-US" w:eastAsia="zh-CN"/>
        </w:rPr>
        <w:t>它</w:t>
      </w:r>
      <w:r>
        <w:rPr>
          <w:rFonts w:hint="eastAsia" w:ascii="仿宋_GB2312" w:hAnsi="Arial" w:eastAsia="仿宋_GB2312" w:cs="Arial"/>
          <w:color w:val="auto"/>
          <w:sz w:val="28"/>
          <w:szCs w:val="28"/>
          <w:highlight w:val="none"/>
        </w:rPr>
        <w:t>地区</w:t>
      </w:r>
      <w:r>
        <w:rPr>
          <w:rFonts w:hint="eastAsia" w:ascii="仿宋_GB2312" w:hAnsi="Arial" w:eastAsia="仿宋_GB2312" w:cs="Arial"/>
          <w:color w:val="auto"/>
          <w:sz w:val="28"/>
          <w:szCs w:val="28"/>
          <w:highlight w:val="none"/>
          <w:lang w:val="en-US" w:eastAsia="zh-CN"/>
        </w:rPr>
        <w:t>或其它业务</w:t>
      </w:r>
      <w:r>
        <w:rPr>
          <w:rFonts w:hint="eastAsia" w:ascii="仿宋_GB2312" w:hAnsi="Arial" w:eastAsia="仿宋_GB2312" w:cs="Arial"/>
          <w:color w:val="auto"/>
          <w:sz w:val="28"/>
          <w:szCs w:val="28"/>
          <w:highlight w:val="none"/>
        </w:rPr>
        <w:t>共用仓储资源。仓储结构</w:t>
      </w:r>
      <w:r>
        <w:rPr>
          <w:rFonts w:hint="eastAsia" w:ascii="仿宋_GB2312" w:hAnsi="Arial" w:eastAsia="仿宋_GB2312" w:cs="Arial"/>
          <w:color w:val="auto"/>
          <w:sz w:val="28"/>
          <w:szCs w:val="28"/>
          <w:highlight w:val="none"/>
          <w:lang w:val="en-US" w:eastAsia="zh-CN"/>
        </w:rPr>
        <w:t>设计合理</w:t>
      </w:r>
      <w:r>
        <w:rPr>
          <w:rFonts w:hint="eastAsia" w:ascii="仿宋_GB2312" w:hAnsi="Arial" w:eastAsia="仿宋_GB2312" w:cs="Arial"/>
          <w:color w:val="auto"/>
          <w:sz w:val="28"/>
          <w:szCs w:val="28"/>
          <w:highlight w:val="none"/>
        </w:rPr>
        <w:t>，符合即开票仓储要求，包含库存区、作业区等，可满足不少于</w:t>
      </w:r>
      <w:r>
        <w:rPr>
          <w:rFonts w:ascii="仿宋_GB2312" w:hAnsi="Arial" w:eastAsia="仿宋_GB2312" w:cs="Arial"/>
          <w:color w:val="auto"/>
          <w:sz w:val="28"/>
          <w:szCs w:val="28"/>
          <w:highlight w:val="none"/>
        </w:rPr>
        <w:t>4</w:t>
      </w:r>
      <w:r>
        <w:rPr>
          <w:rFonts w:hint="eastAsia" w:ascii="仿宋_GB2312" w:hAnsi="Arial" w:eastAsia="仿宋_GB2312" w:cs="Arial"/>
          <w:color w:val="auto"/>
          <w:sz w:val="28"/>
          <w:szCs w:val="28"/>
          <w:highlight w:val="none"/>
        </w:rPr>
        <w:t>万箱即开票入库、储存、包装、装卸、移位、出库等业务操作。仓库应出入方便，仓库前道路应容纳</w:t>
      </w:r>
      <w:r>
        <w:rPr>
          <w:rFonts w:ascii="仿宋_GB2312" w:hAnsi="Arial" w:eastAsia="仿宋_GB2312" w:cs="Arial"/>
          <w:color w:val="auto"/>
          <w:sz w:val="28"/>
          <w:szCs w:val="28"/>
          <w:highlight w:val="none"/>
        </w:rPr>
        <w:t>45</w:t>
      </w:r>
      <w:r>
        <w:rPr>
          <w:rFonts w:hint="eastAsia" w:ascii="仿宋_GB2312" w:hAnsi="Arial" w:eastAsia="仿宋_GB2312" w:cs="Arial"/>
          <w:color w:val="auto"/>
          <w:sz w:val="28"/>
          <w:szCs w:val="28"/>
          <w:highlight w:val="none"/>
        </w:rPr>
        <w:t>英尺大货柜车通行。为预防洪涝灾害，库房区不能处于低洼地带，库房应设置在二楼及以上（离地面</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米以上）。</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）仓库须符合国家消防安全标准、当地消防管理部门的相关要求，配备无死角监控及报警系统，监控记录保存期不低于</w:t>
      </w:r>
      <w:r>
        <w:rPr>
          <w:rFonts w:ascii="仿宋_GB2312" w:hAnsi="Arial" w:eastAsia="仿宋_GB2312" w:cs="Arial"/>
          <w:color w:val="auto"/>
          <w:sz w:val="28"/>
          <w:szCs w:val="28"/>
          <w:highlight w:val="none"/>
        </w:rPr>
        <w:t>12</w:t>
      </w:r>
      <w:r>
        <w:rPr>
          <w:rFonts w:hint="eastAsia" w:ascii="仿宋_GB2312" w:hAnsi="Arial" w:eastAsia="仿宋_GB2312" w:cs="Arial"/>
          <w:color w:val="auto"/>
          <w:sz w:val="28"/>
          <w:szCs w:val="28"/>
          <w:highlight w:val="none"/>
        </w:rPr>
        <w:t>个月，仓库具备防火、防水、防潮、防盗、防尘、防虫（鼠）等保证即开票安全的存储功能。</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4</w:t>
      </w:r>
      <w:r>
        <w:rPr>
          <w:rFonts w:hint="eastAsia" w:ascii="仿宋_GB2312" w:hAnsi="Arial" w:eastAsia="仿宋_GB2312" w:cs="Arial"/>
          <w:color w:val="auto"/>
          <w:sz w:val="28"/>
          <w:szCs w:val="28"/>
          <w:highlight w:val="none"/>
        </w:rPr>
        <w:t>）按采购人要求做好即开票的到货清点、验收、入库、盘点、统计、保管等工作，并负责仓库保管及记录留存工作（保存期需在</w:t>
      </w:r>
      <w:r>
        <w:rPr>
          <w:rFonts w:ascii="仿宋_GB2312" w:hAnsi="Arial" w:eastAsia="仿宋_GB2312" w:cs="Arial"/>
          <w:color w:val="auto"/>
          <w:sz w:val="28"/>
          <w:szCs w:val="28"/>
          <w:highlight w:val="none"/>
        </w:rPr>
        <w:t>60</w:t>
      </w:r>
      <w:r>
        <w:rPr>
          <w:rFonts w:hint="eastAsia" w:ascii="仿宋_GB2312" w:hAnsi="Arial" w:eastAsia="仿宋_GB2312" w:cs="Arial"/>
          <w:color w:val="auto"/>
          <w:sz w:val="28"/>
          <w:szCs w:val="28"/>
          <w:highlight w:val="none"/>
        </w:rPr>
        <w:t>个月以上）。中标人应每日盘点，检查仓库的即开票，确保账实一致。</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5</w:t>
      </w:r>
      <w:r>
        <w:rPr>
          <w:rFonts w:hint="eastAsia" w:ascii="仿宋_GB2312" w:hAnsi="Arial" w:eastAsia="仿宋_GB2312" w:cs="Arial"/>
          <w:color w:val="auto"/>
          <w:sz w:val="28"/>
          <w:szCs w:val="28"/>
          <w:highlight w:val="none"/>
        </w:rPr>
        <w:t>）中标人具备仓储管理</w:t>
      </w:r>
      <w:r>
        <w:rPr>
          <w:rFonts w:hint="eastAsia" w:ascii="仿宋_GB2312" w:hAnsi="Arial" w:eastAsia="仿宋_GB2312" w:cs="Arial"/>
          <w:color w:val="auto"/>
          <w:sz w:val="28"/>
          <w:szCs w:val="28"/>
          <w:highlight w:val="none"/>
          <w:lang w:val="en-US" w:eastAsia="zh-CN"/>
        </w:rPr>
        <w:t>能力</w:t>
      </w:r>
      <w:r>
        <w:rPr>
          <w:rFonts w:hint="eastAsia" w:ascii="仿宋_GB2312" w:hAnsi="Arial" w:eastAsia="仿宋_GB2312" w:cs="Arial"/>
          <w:color w:val="auto"/>
          <w:sz w:val="28"/>
          <w:szCs w:val="28"/>
          <w:highlight w:val="none"/>
        </w:rPr>
        <w:t>，</w:t>
      </w:r>
      <w:r>
        <w:rPr>
          <w:rFonts w:hint="eastAsia" w:ascii="仿宋_GB2312" w:hAnsi="Arial" w:eastAsia="仿宋_GB2312" w:cs="Arial"/>
          <w:color w:val="auto"/>
          <w:sz w:val="28"/>
          <w:szCs w:val="28"/>
          <w:highlight w:val="none"/>
          <w:lang w:val="en-US" w:eastAsia="zh-CN"/>
        </w:rPr>
        <w:t>能实时提供仓储及销售数据</w:t>
      </w:r>
      <w:r>
        <w:rPr>
          <w:rFonts w:hint="eastAsia" w:ascii="仿宋_GB2312" w:hAnsi="Arial" w:eastAsia="仿宋_GB2312" w:cs="Arial"/>
          <w:color w:val="auto"/>
          <w:sz w:val="28"/>
          <w:szCs w:val="28"/>
          <w:highlight w:val="none"/>
        </w:rPr>
        <w:t>分析，为</w:t>
      </w:r>
      <w:r>
        <w:rPr>
          <w:rFonts w:hint="eastAsia" w:ascii="仿宋_GB2312" w:hAnsi="Arial" w:eastAsia="仿宋_GB2312" w:cs="Arial"/>
          <w:color w:val="auto"/>
          <w:sz w:val="28"/>
          <w:szCs w:val="28"/>
          <w:highlight w:val="none"/>
          <w:lang w:val="en-US" w:eastAsia="zh-CN"/>
        </w:rPr>
        <w:t>省市机构</w:t>
      </w:r>
      <w:r>
        <w:rPr>
          <w:rFonts w:hint="eastAsia" w:ascii="仿宋_GB2312" w:hAnsi="Arial" w:eastAsia="仿宋_GB2312" w:cs="Arial"/>
          <w:color w:val="auto"/>
          <w:sz w:val="28"/>
          <w:szCs w:val="28"/>
          <w:highlight w:val="none"/>
        </w:rPr>
        <w:t>即开票</w:t>
      </w:r>
      <w:r>
        <w:rPr>
          <w:rFonts w:hint="eastAsia" w:ascii="仿宋_GB2312" w:hAnsi="Arial" w:eastAsia="仿宋_GB2312" w:cs="Arial"/>
          <w:color w:val="auto"/>
          <w:sz w:val="28"/>
          <w:szCs w:val="28"/>
          <w:highlight w:val="none"/>
          <w:lang w:val="en-US" w:eastAsia="zh-CN"/>
        </w:rPr>
        <w:t>销售运营工作提供</w:t>
      </w:r>
      <w:r>
        <w:rPr>
          <w:rFonts w:hint="eastAsia" w:ascii="仿宋_GB2312" w:hAnsi="Arial" w:eastAsia="仿宋_GB2312" w:cs="Arial"/>
          <w:color w:val="auto"/>
          <w:sz w:val="28"/>
          <w:szCs w:val="28"/>
          <w:highlight w:val="none"/>
        </w:rPr>
        <w:t>决策依据。</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6</w:t>
      </w:r>
      <w:r>
        <w:rPr>
          <w:rFonts w:hint="eastAsia" w:ascii="仿宋_GB2312" w:hAnsi="Arial" w:eastAsia="仿宋_GB2312" w:cs="Arial"/>
          <w:color w:val="auto"/>
          <w:sz w:val="28"/>
          <w:szCs w:val="28"/>
          <w:highlight w:val="none"/>
        </w:rPr>
        <w:t>）中标人收到实体店即开票订单后，应与国家中心</w:t>
      </w:r>
      <w:r>
        <w:rPr>
          <w:rFonts w:ascii="仿宋_GB2312" w:hAnsi="Arial" w:eastAsia="仿宋_GB2312" w:cs="Arial"/>
          <w:color w:val="auto"/>
          <w:sz w:val="28"/>
          <w:szCs w:val="28"/>
          <w:highlight w:val="none"/>
        </w:rPr>
        <w:t>G3</w:t>
      </w:r>
      <w:r>
        <w:rPr>
          <w:rFonts w:hint="eastAsia" w:ascii="仿宋_GB2312" w:hAnsi="Arial" w:eastAsia="仿宋_GB2312" w:cs="Arial"/>
          <w:color w:val="auto"/>
          <w:sz w:val="28"/>
          <w:szCs w:val="28"/>
          <w:highlight w:val="none"/>
        </w:rPr>
        <w:t>系统完成订单出库等信息的交互，按系统收货信息向实体店配送即开票。</w:t>
      </w:r>
    </w:p>
    <w:p>
      <w:pPr>
        <w:spacing w:line="420" w:lineRule="exact"/>
        <w:ind w:firstLine="560"/>
        <w:rPr>
          <w:rFonts w:hint="eastAsia" w:ascii="仿宋_GB2312" w:hAnsi="Arial" w:eastAsia="仿宋_GB2312" w:cs="Arial"/>
          <w:b w:val="0"/>
          <w:bCs w:val="0"/>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7</w:t>
      </w:r>
      <w:r>
        <w:rPr>
          <w:rFonts w:hint="eastAsia" w:ascii="仿宋_GB2312" w:hAnsi="Arial" w:eastAsia="仿宋_GB2312" w:cs="Arial"/>
          <w:color w:val="auto"/>
          <w:sz w:val="28"/>
          <w:szCs w:val="28"/>
          <w:highlight w:val="none"/>
        </w:rPr>
        <w:t>）送达或发货时间要求</w:t>
      </w:r>
      <w:r>
        <w:rPr>
          <w:rFonts w:hint="eastAsia" w:ascii="仿宋_GB2312" w:hAnsi="Arial" w:eastAsia="仿宋_GB2312" w:cs="Arial"/>
          <w:color w:val="auto"/>
          <w:sz w:val="28"/>
          <w:szCs w:val="28"/>
          <w:highlight w:val="none"/>
          <w:lang w:eastAsia="zh-CN"/>
        </w:rPr>
        <w:t>：</w:t>
      </w:r>
      <w:r>
        <w:rPr>
          <w:rFonts w:hint="eastAsia" w:ascii="仿宋_GB2312" w:hAnsi="Arial" w:eastAsia="仿宋_GB2312" w:cs="Arial"/>
          <w:color w:val="auto"/>
          <w:sz w:val="28"/>
          <w:szCs w:val="28"/>
          <w:highlight w:val="none"/>
        </w:rPr>
        <w:t>当日</w:t>
      </w:r>
      <w:r>
        <w:rPr>
          <w:rFonts w:ascii="仿宋_GB2312" w:hAnsi="Arial" w:eastAsia="仿宋_GB2312" w:cs="Arial"/>
          <w:color w:val="auto"/>
          <w:sz w:val="28"/>
          <w:szCs w:val="28"/>
          <w:highlight w:val="none"/>
        </w:rPr>
        <w:t>16:00</w:t>
      </w:r>
      <w:r>
        <w:rPr>
          <w:rFonts w:hint="eastAsia" w:ascii="仿宋_GB2312" w:hAnsi="Arial" w:eastAsia="仿宋_GB2312" w:cs="Arial"/>
          <w:color w:val="auto"/>
          <w:sz w:val="28"/>
          <w:szCs w:val="28"/>
          <w:highlight w:val="none"/>
        </w:rPr>
        <w:t>（含）前的订单（</w:t>
      </w:r>
      <w:r>
        <w:rPr>
          <w:rFonts w:ascii="仿宋_GB2312" w:hAnsi="Arial" w:eastAsia="仿宋_GB2312" w:cs="Arial"/>
          <w:color w:val="auto"/>
          <w:sz w:val="28"/>
          <w:szCs w:val="28"/>
          <w:highlight w:val="none"/>
        </w:rPr>
        <w:t>16:00</w:t>
      </w:r>
      <w:r>
        <w:rPr>
          <w:rFonts w:hint="eastAsia" w:ascii="仿宋_GB2312" w:hAnsi="Arial" w:eastAsia="仿宋_GB2312" w:cs="Arial"/>
          <w:color w:val="auto"/>
          <w:sz w:val="28"/>
          <w:szCs w:val="28"/>
          <w:highlight w:val="none"/>
        </w:rPr>
        <w:t>以后的订单视为次日</w:t>
      </w:r>
      <w:r>
        <w:rPr>
          <w:rFonts w:ascii="仿宋_GB2312" w:hAnsi="Arial" w:eastAsia="仿宋_GB2312" w:cs="Arial"/>
          <w:color w:val="auto"/>
          <w:sz w:val="28"/>
          <w:szCs w:val="28"/>
          <w:highlight w:val="none"/>
        </w:rPr>
        <w:t>8:00</w:t>
      </w:r>
      <w:r>
        <w:rPr>
          <w:rFonts w:hint="eastAsia" w:ascii="仿宋_GB2312" w:hAnsi="Arial" w:eastAsia="仿宋_GB2312" w:cs="Arial"/>
          <w:color w:val="auto"/>
          <w:sz w:val="28"/>
          <w:szCs w:val="28"/>
          <w:highlight w:val="none"/>
        </w:rPr>
        <w:t>的订单），需次日送达；部分邻近实体店（以采购人提供的名单为准）当日上午</w:t>
      </w:r>
      <w:r>
        <w:rPr>
          <w:rFonts w:ascii="仿宋_GB2312" w:hAnsi="Arial" w:eastAsia="仿宋_GB2312" w:cs="Arial"/>
          <w:color w:val="auto"/>
          <w:sz w:val="28"/>
          <w:szCs w:val="28"/>
          <w:highlight w:val="none"/>
        </w:rPr>
        <w:t>10</w:t>
      </w:r>
      <w:r>
        <w:rPr>
          <w:rFonts w:hint="eastAsia" w:ascii="仿宋_GB2312" w:hAnsi="Arial" w:eastAsia="仿宋_GB2312" w:cs="Arial"/>
          <w:color w:val="auto"/>
          <w:sz w:val="28"/>
          <w:szCs w:val="28"/>
          <w:highlight w:val="none"/>
        </w:rPr>
        <w:t>:0</w:t>
      </w:r>
      <w:r>
        <w:rPr>
          <w:rFonts w:ascii="仿宋_GB2312" w:hAnsi="Arial" w:eastAsia="仿宋_GB2312" w:cs="Arial"/>
          <w:color w:val="auto"/>
          <w:sz w:val="28"/>
          <w:szCs w:val="28"/>
          <w:highlight w:val="none"/>
        </w:rPr>
        <w:t>0</w:t>
      </w:r>
      <w:r>
        <w:rPr>
          <w:rFonts w:hint="eastAsia" w:ascii="仿宋_GB2312" w:hAnsi="Arial" w:eastAsia="仿宋_GB2312" w:cs="Arial"/>
          <w:color w:val="auto"/>
          <w:sz w:val="28"/>
          <w:szCs w:val="28"/>
          <w:highlight w:val="none"/>
        </w:rPr>
        <w:t>（含）前的订单，需当日中午</w:t>
      </w:r>
      <w:r>
        <w:rPr>
          <w:rFonts w:ascii="仿宋_GB2312" w:hAnsi="Arial" w:eastAsia="仿宋_GB2312" w:cs="Arial"/>
          <w:color w:val="auto"/>
          <w:sz w:val="28"/>
          <w:szCs w:val="28"/>
          <w:highlight w:val="none"/>
        </w:rPr>
        <w:t>12</w:t>
      </w:r>
      <w:r>
        <w:rPr>
          <w:rFonts w:hint="eastAsia" w:ascii="仿宋_GB2312" w:hAnsi="Arial" w:eastAsia="仿宋_GB2312" w:cs="Arial"/>
          <w:color w:val="auto"/>
          <w:sz w:val="28"/>
          <w:szCs w:val="28"/>
          <w:highlight w:val="none"/>
        </w:rPr>
        <w:t>:0</w:t>
      </w:r>
      <w:r>
        <w:rPr>
          <w:rFonts w:ascii="仿宋_GB2312" w:hAnsi="Arial" w:eastAsia="仿宋_GB2312" w:cs="Arial"/>
          <w:color w:val="auto"/>
          <w:sz w:val="28"/>
          <w:szCs w:val="28"/>
          <w:highlight w:val="none"/>
        </w:rPr>
        <w:t>0</w:t>
      </w:r>
      <w:r>
        <w:rPr>
          <w:rFonts w:hint="eastAsia" w:ascii="仿宋_GB2312" w:hAnsi="Arial" w:eastAsia="仿宋_GB2312" w:cs="Arial"/>
          <w:color w:val="auto"/>
          <w:sz w:val="28"/>
          <w:szCs w:val="28"/>
          <w:highlight w:val="none"/>
        </w:rPr>
        <w:t>前完成发货；部分偏远实体店（以采购人提供的名单为准）当日</w:t>
      </w:r>
      <w:r>
        <w:rPr>
          <w:rFonts w:ascii="仿宋_GB2312" w:hAnsi="Arial" w:eastAsia="仿宋_GB2312" w:cs="Arial"/>
          <w:color w:val="auto"/>
          <w:sz w:val="28"/>
          <w:szCs w:val="28"/>
          <w:highlight w:val="none"/>
        </w:rPr>
        <w:t>16:00</w:t>
      </w:r>
      <w:r>
        <w:rPr>
          <w:rFonts w:hint="eastAsia" w:ascii="仿宋_GB2312" w:hAnsi="Arial" w:eastAsia="仿宋_GB2312" w:cs="Arial"/>
          <w:color w:val="auto"/>
          <w:sz w:val="28"/>
          <w:szCs w:val="28"/>
          <w:highlight w:val="none"/>
        </w:rPr>
        <w:t>（含）前的订单，需隔日前送达。</w:t>
      </w:r>
      <w:r>
        <w:rPr>
          <w:rFonts w:hint="eastAsia" w:ascii="仿宋_GB2312" w:hAnsi="Arial" w:eastAsia="仿宋_GB2312" w:cs="Arial"/>
          <w:b w:val="0"/>
          <w:bCs w:val="0"/>
          <w:color w:val="auto"/>
          <w:sz w:val="28"/>
          <w:szCs w:val="28"/>
          <w:highlight w:val="none"/>
        </w:rPr>
        <w:t>除休市期间指定时间外，中标人全年均须</w:t>
      </w:r>
      <w:r>
        <w:rPr>
          <w:rFonts w:hint="eastAsia" w:ascii="仿宋_GB2312" w:eastAsia="仿宋_GB2312"/>
          <w:b w:val="0"/>
          <w:bCs w:val="0"/>
          <w:color w:val="auto"/>
          <w:sz w:val="28"/>
          <w:szCs w:val="28"/>
          <w:highlight w:val="none"/>
        </w:rPr>
        <w:t>提供即开票订票及配送服务</w:t>
      </w:r>
      <w:r>
        <w:rPr>
          <w:rFonts w:hint="eastAsia" w:ascii="仿宋_GB2312" w:hAnsi="Arial" w:eastAsia="仿宋_GB2312" w:cs="Arial"/>
          <w:b w:val="0"/>
          <w:bCs w:val="0"/>
          <w:color w:val="auto"/>
          <w:sz w:val="28"/>
          <w:szCs w:val="28"/>
          <w:highlight w:val="none"/>
        </w:rPr>
        <w:t>。</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8</w:t>
      </w:r>
      <w:r>
        <w:rPr>
          <w:rFonts w:hint="eastAsia" w:ascii="仿宋_GB2312" w:hAnsi="Arial" w:eastAsia="仿宋_GB2312" w:cs="Arial"/>
          <w:color w:val="auto"/>
          <w:sz w:val="28"/>
          <w:szCs w:val="28"/>
          <w:highlight w:val="none"/>
        </w:rPr>
        <w:t>）</w:t>
      </w:r>
      <w:r>
        <w:rPr>
          <w:rFonts w:hint="eastAsia" w:ascii="仿宋_GB2312" w:hAnsi="Arial" w:eastAsia="仿宋_GB2312" w:cs="Arial"/>
          <w:color w:val="auto"/>
          <w:sz w:val="28"/>
          <w:szCs w:val="28"/>
          <w:highlight w:val="none"/>
          <w:lang w:eastAsia="zh-CN"/>
        </w:rPr>
        <w:t>指定</w:t>
      </w:r>
      <w:r>
        <w:rPr>
          <w:rFonts w:hint="eastAsia" w:ascii="仿宋_GB2312" w:hAnsi="Arial" w:eastAsia="仿宋_GB2312" w:cs="Arial"/>
          <w:color w:val="auto"/>
          <w:sz w:val="28"/>
          <w:szCs w:val="28"/>
          <w:highlight w:val="none"/>
        </w:rPr>
        <w:t>库房配送要求：按照采购人需求，中标人须提供从省仓库到</w:t>
      </w:r>
      <w:r>
        <w:rPr>
          <w:rFonts w:hint="eastAsia" w:ascii="仿宋_GB2312" w:hAnsi="Arial" w:eastAsia="仿宋_GB2312" w:cs="Arial"/>
          <w:color w:val="auto"/>
          <w:sz w:val="28"/>
          <w:szCs w:val="28"/>
          <w:highlight w:val="none"/>
          <w:lang w:val="en-US" w:eastAsia="zh-CN"/>
        </w:rPr>
        <w:t>市县</w:t>
      </w:r>
      <w:r>
        <w:rPr>
          <w:rFonts w:hint="eastAsia" w:ascii="仿宋_GB2312" w:hAnsi="Arial" w:eastAsia="仿宋_GB2312" w:cs="Arial"/>
          <w:color w:val="auto"/>
          <w:sz w:val="28"/>
          <w:szCs w:val="28"/>
          <w:highlight w:val="none"/>
          <w:lang w:eastAsia="zh-CN"/>
        </w:rPr>
        <w:t>体彩机构</w:t>
      </w:r>
      <w:r>
        <w:rPr>
          <w:rFonts w:hint="eastAsia" w:ascii="仿宋_GB2312" w:hAnsi="Arial" w:eastAsia="仿宋_GB2312" w:cs="Arial"/>
          <w:color w:val="auto"/>
          <w:sz w:val="28"/>
          <w:szCs w:val="28"/>
          <w:highlight w:val="none"/>
          <w:lang w:val="en-US" w:eastAsia="zh-CN"/>
        </w:rPr>
        <w:t>即开</w:t>
      </w:r>
      <w:r>
        <w:rPr>
          <w:rFonts w:hint="eastAsia" w:ascii="仿宋_GB2312" w:hAnsi="Arial" w:eastAsia="仿宋_GB2312" w:cs="Arial"/>
          <w:color w:val="auto"/>
          <w:sz w:val="28"/>
          <w:szCs w:val="28"/>
          <w:highlight w:val="none"/>
          <w:lang w:eastAsia="zh-CN"/>
        </w:rPr>
        <w:t>仓库</w:t>
      </w:r>
      <w:r>
        <w:rPr>
          <w:rFonts w:hint="eastAsia" w:ascii="仿宋_GB2312" w:hAnsi="Arial" w:eastAsia="仿宋_GB2312" w:cs="Arial"/>
          <w:color w:val="auto"/>
          <w:sz w:val="28"/>
          <w:szCs w:val="28"/>
          <w:highlight w:val="none"/>
        </w:rPr>
        <w:t>、指定</w:t>
      </w:r>
      <w:r>
        <w:rPr>
          <w:rFonts w:hint="eastAsia" w:ascii="仿宋_GB2312" w:hAnsi="Arial" w:eastAsia="仿宋_GB2312" w:cs="Arial"/>
          <w:color w:val="auto"/>
          <w:sz w:val="28"/>
          <w:szCs w:val="28"/>
          <w:highlight w:val="none"/>
          <w:lang w:eastAsia="zh-CN"/>
        </w:rPr>
        <w:t>行业渠道</w:t>
      </w:r>
      <w:r>
        <w:rPr>
          <w:rFonts w:hint="eastAsia" w:ascii="仿宋_GB2312" w:hAnsi="Arial" w:eastAsia="仿宋_GB2312" w:cs="Arial"/>
          <w:color w:val="auto"/>
          <w:sz w:val="28"/>
          <w:szCs w:val="28"/>
          <w:highlight w:val="none"/>
          <w:lang w:val="en-US" w:eastAsia="zh-CN"/>
        </w:rPr>
        <w:t>即开</w:t>
      </w:r>
      <w:r>
        <w:rPr>
          <w:rFonts w:hint="eastAsia" w:ascii="仿宋_GB2312" w:hAnsi="Arial" w:eastAsia="仿宋_GB2312" w:cs="Arial"/>
          <w:color w:val="auto"/>
          <w:sz w:val="28"/>
          <w:szCs w:val="28"/>
          <w:highlight w:val="none"/>
          <w:lang w:eastAsia="zh-CN"/>
        </w:rPr>
        <w:t>仓库</w:t>
      </w:r>
      <w:r>
        <w:rPr>
          <w:rFonts w:hint="eastAsia" w:ascii="仿宋_GB2312" w:hAnsi="Arial" w:eastAsia="仿宋_GB2312" w:cs="Arial"/>
          <w:color w:val="auto"/>
          <w:sz w:val="28"/>
          <w:szCs w:val="28"/>
          <w:highlight w:val="none"/>
        </w:rPr>
        <w:t>的即开票配送服务。为确保安全，配送量在</w:t>
      </w:r>
      <w:r>
        <w:rPr>
          <w:rFonts w:ascii="仿宋_GB2312" w:hAnsi="Arial" w:eastAsia="仿宋_GB2312" w:cs="Arial"/>
          <w:color w:val="auto"/>
          <w:sz w:val="28"/>
          <w:szCs w:val="28"/>
          <w:highlight w:val="none"/>
        </w:rPr>
        <w:t>50</w:t>
      </w:r>
      <w:r>
        <w:rPr>
          <w:rFonts w:hint="eastAsia" w:ascii="仿宋_GB2312" w:hAnsi="Arial" w:eastAsia="仿宋_GB2312" w:cs="Arial"/>
          <w:color w:val="auto"/>
          <w:sz w:val="28"/>
          <w:szCs w:val="28"/>
          <w:highlight w:val="none"/>
        </w:rPr>
        <w:t>箱及以上的，须采用专车配送（同一物流公司的专车，不得使用社会车辆），少于</w:t>
      </w:r>
      <w:r>
        <w:rPr>
          <w:rFonts w:ascii="仿宋_GB2312" w:hAnsi="Arial" w:eastAsia="仿宋_GB2312" w:cs="Arial"/>
          <w:color w:val="auto"/>
          <w:sz w:val="28"/>
          <w:szCs w:val="28"/>
          <w:highlight w:val="none"/>
        </w:rPr>
        <w:t>50</w:t>
      </w:r>
      <w:r>
        <w:rPr>
          <w:rFonts w:hint="eastAsia" w:ascii="仿宋_GB2312" w:hAnsi="Arial" w:eastAsia="仿宋_GB2312" w:cs="Arial"/>
          <w:color w:val="auto"/>
          <w:sz w:val="28"/>
          <w:szCs w:val="28"/>
          <w:highlight w:val="none"/>
        </w:rPr>
        <w:t>箱的，可采用实体店配送方式。</w:t>
      </w:r>
    </w:p>
    <w:p>
      <w:pPr>
        <w:pStyle w:val="21"/>
        <w:spacing w:line="420" w:lineRule="exact"/>
        <w:ind w:firstLine="560" w:firstLineChars="200"/>
        <w:rPr>
          <w:rFonts w:hint="eastAsia" w:ascii="仿宋_GB2312" w:hAnsi="Arial" w:eastAsia="仿宋_GB2312" w:cs="Arial"/>
          <w:color w:val="000000"/>
          <w:sz w:val="28"/>
          <w:szCs w:val="28"/>
          <w:highlight w:val="none"/>
        </w:rPr>
      </w:pPr>
      <w:r>
        <w:rPr>
          <w:rFonts w:hint="eastAsia" w:ascii="仿宋_GB2312" w:hAnsi="Arial" w:eastAsia="仿宋_GB2312" w:cs="Arial"/>
          <w:color w:val="auto"/>
          <w:sz w:val="28"/>
          <w:szCs w:val="28"/>
          <w:highlight w:val="none"/>
          <w:lang w:eastAsia="zh-CN"/>
        </w:rPr>
        <w:t>（</w:t>
      </w:r>
      <w:r>
        <w:rPr>
          <w:rFonts w:hint="eastAsia" w:ascii="仿宋_GB2312" w:hAnsi="Arial" w:eastAsia="仿宋_GB2312" w:cs="Arial"/>
          <w:color w:val="auto"/>
          <w:sz w:val="28"/>
          <w:szCs w:val="28"/>
          <w:highlight w:val="none"/>
          <w:lang w:val="en-US" w:eastAsia="zh-CN"/>
        </w:rPr>
        <w:t>9</w:t>
      </w:r>
      <w:r>
        <w:rPr>
          <w:rFonts w:hint="eastAsia" w:ascii="仿宋_GB2312" w:hAnsi="Arial" w:eastAsia="仿宋_GB2312" w:cs="Arial"/>
          <w:color w:val="auto"/>
          <w:sz w:val="28"/>
          <w:szCs w:val="28"/>
          <w:highlight w:val="none"/>
          <w:lang w:eastAsia="zh-CN"/>
        </w:rPr>
        <w:t>）</w:t>
      </w:r>
      <w:r>
        <w:rPr>
          <w:rFonts w:hint="eastAsia" w:ascii="仿宋_GB2312" w:hAnsi="Arial" w:eastAsia="仿宋_GB2312" w:cs="Arial"/>
          <w:color w:val="auto"/>
          <w:sz w:val="28"/>
          <w:szCs w:val="28"/>
          <w:highlight w:val="none"/>
        </w:rPr>
        <w:t>中标人应提供统计结算配套系统，该系统须配</w:t>
      </w:r>
      <w:r>
        <w:rPr>
          <w:rFonts w:hint="eastAsia" w:ascii="仿宋_GB2312" w:hAnsi="Arial" w:eastAsia="仿宋_GB2312" w:cs="Arial"/>
          <w:sz w:val="28"/>
          <w:szCs w:val="28"/>
          <w:highlight w:val="none"/>
        </w:rPr>
        <w:t>合采购人的结算需求，根据采购人的实际要求定制，应提供查询每笔订单的包裹信息（包括网点实体店编号、票种、面值、数量、订单确认时间、配送时间、签收时间等），并能通过系统自动统计结算金额。该统计结算配套系统须向采购人开放对账权限及督查技术操作日志权限。</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hint="eastAsia" w:ascii="仿宋_GB2312" w:hAnsi="Arial" w:eastAsia="仿宋_GB2312" w:cs="Arial"/>
          <w:color w:val="000000"/>
          <w:sz w:val="28"/>
          <w:szCs w:val="28"/>
          <w:highlight w:val="none"/>
          <w:lang w:val="en-US" w:eastAsia="zh-CN"/>
        </w:rPr>
        <w:t>10</w:t>
      </w:r>
      <w:r>
        <w:rPr>
          <w:rFonts w:hint="eastAsia" w:ascii="仿宋_GB2312" w:hAnsi="Arial" w:eastAsia="仿宋_GB2312" w:cs="Arial"/>
          <w:color w:val="000000"/>
          <w:sz w:val="28"/>
          <w:szCs w:val="28"/>
          <w:highlight w:val="none"/>
        </w:rPr>
        <w:t>）中标人需承诺按国家中心要求建立相应的管理方案并严格执行仓储运输安全管理制度，需具备抗运输风险能力和运输安全保障能力。建立仓储运输突发事件应急预案，针对仓储运输突发事件应急预案定期组织演练和培训。在仓储、配送过程中，如出现即开票丢失、盗抢、损坏、淋湿等影响实体店正常销售的情况，由中标人承担全部责任。其中对实体店的赔偿要在</w:t>
      </w:r>
      <w:r>
        <w:rPr>
          <w:rFonts w:ascii="仿宋_GB2312" w:hAnsi="Arial" w:eastAsia="仿宋_GB2312" w:cs="Arial"/>
          <w:color w:val="000000"/>
          <w:sz w:val="28"/>
          <w:szCs w:val="28"/>
          <w:highlight w:val="none"/>
        </w:rPr>
        <w:t>5</w:t>
      </w:r>
      <w:r>
        <w:rPr>
          <w:rFonts w:hint="eastAsia" w:ascii="仿宋_GB2312" w:hAnsi="Arial" w:eastAsia="仿宋_GB2312" w:cs="Arial"/>
          <w:color w:val="000000"/>
          <w:sz w:val="28"/>
          <w:szCs w:val="28"/>
          <w:highlight w:val="none"/>
        </w:rPr>
        <w:t>个工作日内按丢一赔一的原则，先行赔付，对彩票机构的赔偿按国家中心有关要求及合同约定执行。</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sz w:val="28"/>
          <w:szCs w:val="28"/>
          <w:highlight w:val="none"/>
        </w:rPr>
        <w:t>（</w:t>
      </w:r>
      <w:r>
        <w:rPr>
          <w:rFonts w:ascii="仿宋_GB2312" w:hAnsi="Arial" w:eastAsia="仿宋_GB2312" w:cs="Arial"/>
          <w:sz w:val="28"/>
          <w:szCs w:val="28"/>
          <w:highlight w:val="none"/>
        </w:rPr>
        <w:t>1</w:t>
      </w:r>
      <w:r>
        <w:rPr>
          <w:rFonts w:hint="eastAsia" w:ascii="仿宋_GB2312" w:hAnsi="Arial" w:eastAsia="仿宋_GB2312" w:cs="Arial"/>
          <w:sz w:val="28"/>
          <w:szCs w:val="28"/>
          <w:highlight w:val="none"/>
          <w:lang w:val="en-US" w:eastAsia="zh-CN"/>
        </w:rPr>
        <w:t>1</w:t>
      </w:r>
      <w:r>
        <w:rPr>
          <w:rFonts w:hint="eastAsia" w:ascii="仿宋_GB2312" w:hAnsi="Arial" w:eastAsia="仿宋_GB2312" w:cs="Arial"/>
          <w:sz w:val="28"/>
          <w:szCs w:val="28"/>
          <w:highlight w:val="none"/>
        </w:rPr>
        <w:t>）投标人目前不符合本项目要求仓储条件的，须承诺中标后</w:t>
      </w:r>
      <w:r>
        <w:rPr>
          <w:rFonts w:ascii="仿宋_GB2312" w:hAnsi="Arial" w:eastAsia="仿宋_GB2312" w:cs="Arial"/>
          <w:sz w:val="28"/>
          <w:szCs w:val="28"/>
          <w:highlight w:val="none"/>
        </w:rPr>
        <w:t>30</w:t>
      </w:r>
      <w:r>
        <w:rPr>
          <w:rFonts w:hint="eastAsia" w:ascii="仿宋_GB2312" w:hAnsi="Arial" w:eastAsia="仿宋_GB2312" w:cs="Arial"/>
          <w:sz w:val="28"/>
          <w:szCs w:val="28"/>
          <w:highlight w:val="none"/>
        </w:rPr>
        <w:t>天内，</w:t>
      </w:r>
      <w:r>
        <w:rPr>
          <w:rFonts w:hint="eastAsia" w:ascii="仿宋_GB2312" w:hAnsi="Arial" w:eastAsia="仿宋_GB2312" w:cs="Arial"/>
          <w:color w:val="000000"/>
          <w:sz w:val="28"/>
          <w:szCs w:val="28"/>
          <w:highlight w:val="none"/>
        </w:rPr>
        <w:t>满足本项目要求的仓储条件。项目执行过程中，如需变更仓库位置，需经采购人书面同意后才能变更。</w:t>
      </w:r>
    </w:p>
    <w:p>
      <w:pPr>
        <w:spacing w:line="420" w:lineRule="exact"/>
        <w:ind w:firstLine="560" w:firstLineChars="200"/>
        <w:rPr>
          <w:rFonts w:hint="eastAsia"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lang w:val="en-US" w:eastAsia="zh-CN"/>
        </w:rPr>
        <w:t>2</w:t>
      </w:r>
      <w:r>
        <w:rPr>
          <w:rFonts w:hint="eastAsia" w:ascii="仿宋_GB2312" w:hAnsi="Arial" w:eastAsia="仿宋_GB2312" w:cs="Arial"/>
          <w:color w:val="000000"/>
          <w:sz w:val="28"/>
          <w:szCs w:val="28"/>
          <w:highlight w:val="none"/>
        </w:rPr>
        <w:t>）中标人应按照采购人要求，负责原仓库即开票物资的搬迁转场作业。</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lang w:val="en-US" w:eastAsia="zh-CN"/>
        </w:rPr>
        <w:t>3</w:t>
      </w:r>
      <w:r>
        <w:rPr>
          <w:rFonts w:hint="eastAsia" w:ascii="仿宋_GB2312" w:hAnsi="Arial" w:eastAsia="仿宋_GB2312" w:cs="Arial"/>
          <w:color w:val="000000"/>
          <w:sz w:val="28"/>
          <w:szCs w:val="28"/>
          <w:highlight w:val="none"/>
        </w:rPr>
        <w:t>）合同期内，中标人严格执行国家、省及采购人对于彩票管理、配送服务、技术系统等相关标准、规范及要求。</w:t>
      </w:r>
    </w:p>
    <w:p>
      <w:pPr>
        <w:spacing w:line="560" w:lineRule="exact"/>
        <w:ind w:firstLine="48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lang w:val="en-US" w:eastAsia="zh-CN"/>
        </w:rPr>
        <w:t>4</w:t>
      </w:r>
      <w:r>
        <w:rPr>
          <w:rFonts w:hint="eastAsia" w:ascii="仿宋_GB2312" w:hAnsi="Arial" w:eastAsia="仿宋_GB2312" w:cs="Arial"/>
          <w:color w:val="000000"/>
          <w:sz w:val="28"/>
          <w:szCs w:val="28"/>
          <w:highlight w:val="none"/>
        </w:rPr>
        <w:t>）合同期内，若全省超过20%的实体店不满意中标人服务（满意度调查以省体彩中心组织的为准</w:t>
      </w:r>
      <w:r>
        <w:rPr>
          <w:rFonts w:hint="eastAsia" w:ascii="仿宋_GB2312" w:hAnsi="Arial" w:eastAsia="仿宋_GB2312" w:cs="Arial"/>
          <w:color w:val="000000"/>
          <w:sz w:val="28"/>
          <w:szCs w:val="28"/>
          <w:highlight w:val="none"/>
          <w:lang w:eastAsia="zh-CN"/>
        </w:rPr>
        <w:t>，实体店数量以实际送达点数量为准</w:t>
      </w:r>
      <w:r>
        <w:rPr>
          <w:rFonts w:hint="eastAsia" w:ascii="仿宋_GB2312" w:hAnsi="Arial" w:eastAsia="仿宋_GB2312" w:cs="Arial"/>
          <w:color w:val="000000"/>
          <w:sz w:val="28"/>
          <w:szCs w:val="28"/>
          <w:highlight w:val="none"/>
        </w:rPr>
        <w:t>），采购人有权终止合同。</w:t>
      </w:r>
    </w:p>
    <w:p>
      <w:pPr>
        <w:spacing w:line="420" w:lineRule="exact"/>
        <w:ind w:firstLine="562" w:firstLineChars="200"/>
        <w:rPr>
          <w:rFonts w:ascii="仿宋_GB2312" w:hAnsi="Arial" w:eastAsia="仿宋_GB2312" w:cs="Arial"/>
          <w:b/>
          <w:bCs/>
          <w:color w:val="000000"/>
          <w:sz w:val="28"/>
          <w:szCs w:val="28"/>
          <w:highlight w:val="none"/>
        </w:rPr>
      </w:pPr>
    </w:p>
    <w:p>
      <w:pPr>
        <w:spacing w:line="420" w:lineRule="exact"/>
        <w:ind w:firstLine="560"/>
        <w:rPr>
          <w:rFonts w:ascii="仿宋_GB2312" w:hAnsi="Arial" w:eastAsia="仿宋_GB2312" w:cs="Arial"/>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sz w:val="28"/>
          <w:szCs w:val="28"/>
          <w:highlight w:val="none"/>
        </w:rPr>
        <w:t>3</w:t>
      </w:r>
      <w:r>
        <w:rPr>
          <w:rFonts w:hint="eastAsia" w:ascii="仿宋_GB2312" w:hAnsi="Arial" w:eastAsia="仿宋_GB2312" w:cs="Arial"/>
          <w:sz w:val="28"/>
          <w:szCs w:val="28"/>
          <w:highlight w:val="none"/>
        </w:rPr>
        <w:t>、即开票订单分拣服务</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sz w:val="28"/>
          <w:szCs w:val="28"/>
          <w:highlight w:val="none"/>
        </w:rPr>
        <w:t>订单分拣是指按照实体店的订</w:t>
      </w:r>
      <w:r>
        <w:rPr>
          <w:rFonts w:hint="eastAsia" w:ascii="仿宋_GB2312" w:hAnsi="Arial" w:eastAsia="仿宋_GB2312" w:cs="Arial"/>
          <w:color w:val="000000"/>
          <w:sz w:val="28"/>
          <w:szCs w:val="28"/>
          <w:highlight w:val="none"/>
        </w:rPr>
        <w:t>单</w:t>
      </w:r>
      <w:r>
        <w:rPr>
          <w:rFonts w:ascii="仿宋_GB2312" w:hAnsi="Arial" w:eastAsia="仿宋_GB2312" w:cs="Arial"/>
          <w:color w:val="000000"/>
          <w:sz w:val="28"/>
          <w:szCs w:val="28"/>
          <w:highlight w:val="none"/>
        </w:rPr>
        <w:t>,</w:t>
      </w:r>
      <w:r>
        <w:rPr>
          <w:rFonts w:hint="eastAsia" w:ascii="仿宋_GB2312" w:hAnsi="Arial" w:eastAsia="仿宋_GB2312" w:cs="Arial"/>
          <w:color w:val="000000"/>
          <w:sz w:val="28"/>
          <w:szCs w:val="28"/>
          <w:highlight w:val="none"/>
        </w:rPr>
        <w:t>及时、准确地将即开票从其储位或其他区位拣取出来，并按一定的方式进行分类、集中、打包的作业过程。</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中标人需建立订单分拣系统，包含但不限于订单查询、分拣、退票、领票出库等功能，实时对接各类渠道订单。系统需对分拣包裹及内部所有即开票序列号进行详细记录、溯源，以确保出现意外情况时，能够及时跟进后期的阻断兑奖、系统注销等工作。</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）需配合采购人制定产品营销方案，响应方案策略，定制化开发、维护订单分拣功能，确保符合业务需求。</w:t>
      </w:r>
    </w:p>
    <w:p>
      <w:pPr>
        <w:spacing w:line="420" w:lineRule="exact"/>
        <w:ind w:firstLine="560"/>
        <w:rPr>
          <w:rFonts w:hint="default" w:ascii="仿宋_GB2312" w:hAnsi="Arial" w:eastAsia="仿宋_GB2312" w:cs="Arial"/>
          <w:color w:val="auto"/>
          <w:sz w:val="28"/>
          <w:szCs w:val="28"/>
          <w:highlight w:val="none"/>
          <w:lang w:val="en-US" w:eastAsia="zh-CN"/>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）单个订单的起送即开票金额不低于</w:t>
      </w:r>
      <w:r>
        <w:rPr>
          <w:rFonts w:ascii="仿宋_GB2312" w:hAnsi="Arial" w:eastAsia="仿宋_GB2312" w:cs="Arial"/>
          <w:color w:val="auto"/>
          <w:sz w:val="28"/>
          <w:szCs w:val="28"/>
          <w:highlight w:val="none"/>
        </w:rPr>
        <w:t>1800</w:t>
      </w:r>
      <w:r>
        <w:rPr>
          <w:rFonts w:hint="eastAsia" w:ascii="仿宋_GB2312" w:hAnsi="Arial" w:eastAsia="仿宋_GB2312" w:cs="Arial"/>
          <w:color w:val="auto"/>
          <w:sz w:val="28"/>
          <w:szCs w:val="28"/>
          <w:highlight w:val="none"/>
        </w:rPr>
        <w:t>元，服务过程中视采购人的要求可降低至</w:t>
      </w:r>
      <w:r>
        <w:rPr>
          <w:rFonts w:ascii="仿宋_GB2312" w:hAnsi="Arial" w:eastAsia="仿宋_GB2312" w:cs="Arial"/>
          <w:color w:val="auto"/>
          <w:sz w:val="28"/>
          <w:szCs w:val="28"/>
          <w:highlight w:val="none"/>
        </w:rPr>
        <w:t>1200</w:t>
      </w:r>
      <w:r>
        <w:rPr>
          <w:rFonts w:hint="eastAsia" w:ascii="仿宋_GB2312" w:hAnsi="Arial" w:eastAsia="仿宋_GB2312" w:cs="Arial"/>
          <w:color w:val="auto"/>
          <w:sz w:val="28"/>
          <w:szCs w:val="28"/>
          <w:highlight w:val="none"/>
        </w:rPr>
        <w:t>元。</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4</w:t>
      </w:r>
      <w:r>
        <w:rPr>
          <w:rFonts w:hint="eastAsia" w:ascii="仿宋_GB2312" w:hAnsi="Arial" w:eastAsia="仿宋_GB2312" w:cs="Arial"/>
          <w:color w:val="auto"/>
          <w:sz w:val="28"/>
          <w:szCs w:val="28"/>
          <w:highlight w:val="none"/>
        </w:rPr>
        <w:t>）中标人需具备符合配送时效要求的分拣</w:t>
      </w:r>
      <w:r>
        <w:rPr>
          <w:rFonts w:hint="eastAsia" w:ascii="仿宋_GB2312" w:hAnsi="Arial" w:eastAsia="仿宋_GB2312" w:cs="Arial"/>
          <w:color w:val="auto"/>
          <w:sz w:val="28"/>
          <w:szCs w:val="28"/>
          <w:highlight w:val="none"/>
          <w:lang w:val="en-US" w:eastAsia="zh-CN"/>
        </w:rPr>
        <w:t>和配送</w:t>
      </w:r>
      <w:r>
        <w:rPr>
          <w:rFonts w:hint="eastAsia" w:ascii="仿宋_GB2312" w:hAnsi="Arial" w:eastAsia="仿宋_GB2312" w:cs="Arial"/>
          <w:color w:val="auto"/>
          <w:sz w:val="28"/>
          <w:szCs w:val="28"/>
          <w:highlight w:val="none"/>
        </w:rPr>
        <w:t>能力，如遇恶劣天气、营销活动和限购等引发现日订单数超过常规处理能力情况，中标人应及时增加人员及设备，须</w:t>
      </w:r>
      <w:r>
        <w:rPr>
          <w:rFonts w:hint="eastAsia" w:ascii="仿宋_GB2312" w:hAnsi="Arial" w:eastAsia="仿宋_GB2312" w:cs="Arial"/>
          <w:b/>
          <w:bCs/>
          <w:color w:val="auto"/>
          <w:sz w:val="28"/>
          <w:szCs w:val="28"/>
          <w:highlight w:val="none"/>
        </w:rPr>
        <w:t>在五个自然日内</w:t>
      </w:r>
      <w:r>
        <w:rPr>
          <w:rFonts w:hint="eastAsia" w:ascii="仿宋_GB2312" w:hAnsi="Arial" w:eastAsia="仿宋_GB2312" w:cs="Arial"/>
          <w:color w:val="auto"/>
          <w:sz w:val="28"/>
          <w:szCs w:val="28"/>
          <w:highlight w:val="none"/>
        </w:rPr>
        <w:t>完成应急分拣</w:t>
      </w:r>
      <w:r>
        <w:rPr>
          <w:rFonts w:hint="eastAsia" w:ascii="仿宋_GB2312" w:hAnsi="Arial" w:eastAsia="仿宋_GB2312" w:cs="Arial"/>
          <w:color w:val="auto"/>
          <w:sz w:val="28"/>
          <w:szCs w:val="28"/>
          <w:highlight w:val="none"/>
          <w:lang w:val="en-US" w:eastAsia="zh-CN"/>
        </w:rPr>
        <w:t>发货</w:t>
      </w:r>
      <w:r>
        <w:rPr>
          <w:rFonts w:hint="eastAsia" w:ascii="仿宋_GB2312" w:hAnsi="Arial" w:eastAsia="仿宋_GB2312" w:cs="Arial"/>
          <w:color w:val="auto"/>
          <w:sz w:val="28"/>
          <w:szCs w:val="28"/>
          <w:highlight w:val="none"/>
        </w:rPr>
        <w:t>工作。</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hint="eastAsia" w:ascii="仿宋_GB2312" w:hAnsi="Arial" w:eastAsia="仿宋_GB2312" w:cs="Arial"/>
          <w:color w:val="auto"/>
          <w:sz w:val="28"/>
          <w:szCs w:val="28"/>
          <w:highlight w:val="none"/>
          <w:lang w:val="en-US" w:eastAsia="zh-CN"/>
        </w:rPr>
        <w:t>5</w:t>
      </w:r>
      <w:r>
        <w:rPr>
          <w:rFonts w:hint="eastAsia" w:ascii="仿宋_GB2312" w:hAnsi="Arial" w:eastAsia="仿宋_GB2312" w:cs="Arial"/>
          <w:color w:val="auto"/>
          <w:sz w:val="28"/>
          <w:szCs w:val="28"/>
          <w:highlight w:val="none"/>
        </w:rPr>
        <w:t>）需有针对性的分析即开票订单属性及规格，制定适合的包装方式，包装物需采用专用的防水、防磨、防窥、密封材料。</w:t>
      </w:r>
    </w:p>
    <w:p>
      <w:pPr>
        <w:spacing w:line="420" w:lineRule="exact"/>
        <w:ind w:firstLine="560"/>
        <w:rPr>
          <w:rFonts w:ascii="仿宋_GB2312" w:hAnsi="Arial" w:eastAsia="仿宋_GB2312" w:cs="Arial"/>
          <w:color w:val="auto"/>
          <w:sz w:val="28"/>
          <w:szCs w:val="28"/>
        </w:rPr>
      </w:pPr>
      <w:r>
        <w:rPr>
          <w:rFonts w:hint="eastAsia" w:ascii="仿宋_GB2312" w:hAnsi="Arial" w:eastAsia="仿宋_GB2312" w:cs="Arial"/>
          <w:color w:val="auto"/>
          <w:sz w:val="28"/>
          <w:szCs w:val="28"/>
        </w:rPr>
        <w:t>★4、即开票客户服务中心</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建立即开票客户服务中心，为省市彩票管理机构及实体店统一提供咨询热线接听、业务咨询、通知提醒、电话外呼等服务。</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）中标人需在采购人要求的办公场地组建不少于</w:t>
      </w:r>
      <w:r>
        <w:rPr>
          <w:rFonts w:ascii="仿宋_GB2312" w:hAnsi="Arial" w:eastAsia="仿宋_GB2312" w:cs="Arial"/>
          <w:color w:val="auto"/>
          <w:sz w:val="28"/>
          <w:szCs w:val="28"/>
          <w:highlight w:val="none"/>
        </w:rPr>
        <w:t>4</w:t>
      </w:r>
      <w:r>
        <w:rPr>
          <w:rFonts w:hint="eastAsia" w:ascii="仿宋_GB2312" w:hAnsi="Arial" w:eastAsia="仿宋_GB2312" w:cs="Arial"/>
          <w:color w:val="auto"/>
          <w:sz w:val="28"/>
          <w:szCs w:val="28"/>
          <w:highlight w:val="none"/>
        </w:rPr>
        <w:t>人的客户服务团队，安排至少</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人在采购方指定地点开展客服支持，安排至少</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人在采购方指定地点进行驻场支持，需制定人员培训及运营管理制度，严格执行人员管理规范。</w:t>
      </w:r>
    </w:p>
    <w:p>
      <w:pPr>
        <w:spacing w:line="420" w:lineRule="exact"/>
        <w:ind w:firstLine="560"/>
        <w:rPr>
          <w:rFonts w:hint="eastAsia" w:ascii="仿宋_GB2312" w:hAnsi="Arial" w:eastAsia="仿宋_GB2312" w:cs="Arial"/>
          <w:color w:val="000000"/>
          <w:sz w:val="28"/>
          <w:szCs w:val="28"/>
          <w:highlight w:val="none"/>
        </w:rPr>
      </w:pPr>
      <w:r>
        <w:rPr>
          <w:rFonts w:hint="eastAsia" w:ascii="仿宋_GB2312" w:hAnsi="Arial" w:eastAsia="仿宋_GB2312" w:cs="Arial"/>
          <w:color w:val="auto"/>
          <w:sz w:val="28"/>
          <w:szCs w:val="28"/>
          <w:highlight w:val="none"/>
        </w:rPr>
        <w:t>（2）搭建电话客服系统，满足不少于30路电</w:t>
      </w:r>
      <w:r>
        <w:rPr>
          <w:rFonts w:hint="eastAsia" w:ascii="仿宋_GB2312" w:hAnsi="Arial" w:eastAsia="仿宋_GB2312" w:cs="Arial"/>
          <w:color w:val="000000"/>
          <w:sz w:val="28"/>
          <w:szCs w:val="28"/>
          <w:highlight w:val="none"/>
        </w:rPr>
        <w:t>话同时通话的使用需求，IVR平均响应时间在1秒以内。系统能够智能调节话务分配策略，能够自动识别来电对象，可基于历史数据、客户声纹，判断来电身份准确性。</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3</w:t>
      </w:r>
      <w:r>
        <w:rPr>
          <w:rFonts w:hint="eastAsia" w:ascii="仿宋_GB2312" w:hAnsi="Arial" w:eastAsia="仿宋_GB2312" w:cs="Arial"/>
          <w:color w:val="000000"/>
          <w:sz w:val="28"/>
          <w:szCs w:val="28"/>
          <w:highlight w:val="none"/>
        </w:rPr>
        <w:t>）在电话接通后</w:t>
      </w:r>
      <w:r>
        <w:rPr>
          <w:rFonts w:ascii="仿宋_GB2312" w:hAnsi="Arial" w:eastAsia="仿宋_GB2312" w:cs="Arial"/>
          <w:color w:val="000000"/>
          <w:sz w:val="28"/>
          <w:szCs w:val="28"/>
          <w:highlight w:val="none"/>
        </w:rPr>
        <w:t>10</w:t>
      </w:r>
      <w:r>
        <w:rPr>
          <w:rFonts w:hint="eastAsia" w:ascii="仿宋_GB2312" w:hAnsi="Arial" w:eastAsia="仿宋_GB2312" w:cs="Arial"/>
          <w:color w:val="000000"/>
          <w:sz w:val="28"/>
          <w:szCs w:val="28"/>
          <w:highlight w:val="none"/>
        </w:rPr>
        <w:t>秒内客服人员进行应答（如客服座席全满则有等待提示，等待时间不超过</w:t>
      </w:r>
      <w:r>
        <w:rPr>
          <w:rFonts w:ascii="仿宋_GB2312" w:hAnsi="Arial" w:eastAsia="仿宋_GB2312" w:cs="Arial"/>
          <w:color w:val="000000"/>
          <w:sz w:val="28"/>
          <w:szCs w:val="28"/>
          <w:highlight w:val="none"/>
        </w:rPr>
        <w:t>30</w:t>
      </w:r>
      <w:r>
        <w:rPr>
          <w:rFonts w:hint="eastAsia" w:ascii="仿宋_GB2312" w:hAnsi="Arial" w:eastAsia="仿宋_GB2312" w:cs="Arial"/>
          <w:color w:val="000000"/>
          <w:sz w:val="28"/>
          <w:szCs w:val="28"/>
          <w:highlight w:val="none"/>
        </w:rPr>
        <w:t>秒），客服电话应全程录音，每周提供不低于</w:t>
      </w:r>
      <w:r>
        <w:rPr>
          <w:rFonts w:ascii="仿宋_GB2312" w:hAnsi="Arial" w:eastAsia="仿宋_GB2312" w:cs="Arial"/>
          <w:color w:val="000000"/>
          <w:sz w:val="28"/>
          <w:szCs w:val="28"/>
          <w:highlight w:val="none"/>
        </w:rPr>
        <w:t>7</w:t>
      </w:r>
      <w:r>
        <w:rPr>
          <w:rFonts w:hint="cs" w:ascii="仿宋_GB2312" w:hAnsi="Arial" w:eastAsia="仿宋_GB2312" w:cs="Arial"/>
          <w:color w:val="000000"/>
          <w:sz w:val="28"/>
          <w:szCs w:val="28"/>
          <w:highlight w:val="none"/>
          <w:cs/>
        </w:rPr>
        <w:t>×</w:t>
      </w:r>
      <w:r>
        <w:rPr>
          <w:rFonts w:ascii="仿宋_GB2312" w:hAnsi="Arial" w:eastAsia="仿宋_GB2312" w:cs="Arial"/>
          <w:color w:val="000000"/>
          <w:sz w:val="28"/>
          <w:szCs w:val="28"/>
          <w:highlight w:val="none"/>
        </w:rPr>
        <w:t>9</w:t>
      </w:r>
      <w:r>
        <w:rPr>
          <w:rFonts w:hint="eastAsia" w:ascii="仿宋_GB2312" w:hAnsi="Arial" w:eastAsia="仿宋_GB2312" w:cs="Arial"/>
          <w:color w:val="000000"/>
          <w:sz w:val="28"/>
          <w:szCs w:val="28"/>
          <w:highlight w:val="none"/>
        </w:rPr>
        <w:t>小时的人工服务（</w:t>
      </w:r>
      <w:r>
        <w:rPr>
          <w:rFonts w:ascii="仿宋_GB2312" w:hAnsi="Arial" w:eastAsia="仿宋_GB2312" w:cs="Arial"/>
          <w:color w:val="000000"/>
          <w:sz w:val="28"/>
          <w:szCs w:val="28"/>
          <w:highlight w:val="none"/>
        </w:rPr>
        <w:t>8</w:t>
      </w:r>
      <w:r>
        <w:rPr>
          <w:rFonts w:hint="eastAsia" w:ascii="仿宋_GB2312" w:hAnsi="Arial" w:eastAsia="仿宋_GB2312" w:cs="Arial"/>
          <w:color w:val="000000"/>
          <w:sz w:val="28"/>
          <w:szCs w:val="28"/>
          <w:highlight w:val="none"/>
        </w:rPr>
        <w:t>点</w:t>
      </w:r>
      <w:r>
        <w:rPr>
          <w:rFonts w:ascii="仿宋_GB2312" w:hAnsi="Arial" w:eastAsia="仿宋_GB2312" w:cs="Arial"/>
          <w:color w:val="000000"/>
          <w:sz w:val="28"/>
          <w:szCs w:val="28"/>
          <w:highlight w:val="none"/>
        </w:rPr>
        <w:t>00</w:t>
      </w:r>
      <w:r>
        <w:rPr>
          <w:rFonts w:hint="eastAsia" w:ascii="仿宋_GB2312" w:hAnsi="Arial" w:eastAsia="仿宋_GB2312" w:cs="Arial"/>
          <w:color w:val="000000"/>
          <w:sz w:val="28"/>
          <w:szCs w:val="28"/>
          <w:highlight w:val="none"/>
        </w:rPr>
        <w:t>分至</w:t>
      </w:r>
      <w:r>
        <w:rPr>
          <w:rFonts w:ascii="仿宋_GB2312" w:hAnsi="Arial" w:eastAsia="仿宋_GB2312" w:cs="Arial"/>
          <w:color w:val="000000"/>
          <w:sz w:val="28"/>
          <w:szCs w:val="28"/>
          <w:highlight w:val="none"/>
        </w:rPr>
        <w:t>17</w:t>
      </w:r>
      <w:r>
        <w:rPr>
          <w:rFonts w:hint="eastAsia" w:ascii="仿宋_GB2312" w:hAnsi="Arial" w:eastAsia="仿宋_GB2312" w:cs="Arial"/>
          <w:color w:val="000000"/>
          <w:sz w:val="28"/>
          <w:szCs w:val="28"/>
          <w:highlight w:val="none"/>
        </w:rPr>
        <w:t>点</w:t>
      </w:r>
      <w:r>
        <w:rPr>
          <w:rFonts w:ascii="仿宋_GB2312" w:hAnsi="Arial" w:eastAsia="仿宋_GB2312" w:cs="Arial"/>
          <w:color w:val="000000"/>
          <w:sz w:val="28"/>
          <w:szCs w:val="28"/>
          <w:highlight w:val="none"/>
        </w:rPr>
        <w:t>00</w:t>
      </w:r>
      <w:r>
        <w:rPr>
          <w:rFonts w:hint="eastAsia" w:ascii="仿宋_GB2312" w:hAnsi="Arial" w:eastAsia="仿宋_GB2312" w:cs="Arial"/>
          <w:color w:val="000000"/>
          <w:sz w:val="28"/>
          <w:szCs w:val="28"/>
          <w:highlight w:val="none"/>
        </w:rPr>
        <w:t>分，休市期间根据采购人需求安排），并</w:t>
      </w:r>
      <w:r>
        <w:rPr>
          <w:rFonts w:ascii="仿宋_GB2312" w:hAnsi="Arial" w:eastAsia="仿宋_GB2312" w:cs="Arial"/>
          <w:color w:val="000000"/>
          <w:sz w:val="28"/>
          <w:szCs w:val="28"/>
          <w:highlight w:val="none"/>
        </w:rPr>
        <w:t>7x24</w:t>
      </w:r>
      <w:r>
        <w:rPr>
          <w:rFonts w:hint="eastAsia" w:ascii="仿宋_GB2312" w:hAnsi="Arial" w:eastAsia="仿宋_GB2312" w:cs="Arial"/>
          <w:color w:val="000000"/>
          <w:sz w:val="28"/>
          <w:szCs w:val="28"/>
          <w:highlight w:val="none"/>
        </w:rPr>
        <w:t>小时全天候提供智能语音电话服务，满足客户智能查询及咨询服务需求，包括但不局限于物流查询、订单查询、账户查询等。</w:t>
      </w:r>
    </w:p>
    <w:p>
      <w:pPr>
        <w:spacing w:line="420" w:lineRule="exact"/>
        <w:ind w:firstLine="56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4</w:t>
      </w:r>
      <w:r>
        <w:rPr>
          <w:rFonts w:hint="eastAsia" w:ascii="仿宋_GB2312" w:hAnsi="Arial" w:eastAsia="仿宋_GB2312" w:cs="Arial"/>
          <w:color w:val="000000"/>
          <w:sz w:val="28"/>
          <w:szCs w:val="28"/>
          <w:highlight w:val="none"/>
        </w:rPr>
        <w:t>）客服人员应具备以下基本要求：政治素养良好</w:t>
      </w:r>
      <w:r>
        <w:rPr>
          <w:rFonts w:ascii="仿宋_GB2312" w:hAnsi="Arial" w:eastAsia="仿宋_GB2312" w:cs="Arial"/>
          <w:color w:val="000000"/>
          <w:sz w:val="28"/>
          <w:szCs w:val="28"/>
          <w:highlight w:val="none"/>
        </w:rPr>
        <w:t>,</w:t>
      </w:r>
      <w:r>
        <w:rPr>
          <w:rFonts w:hint="eastAsia" w:ascii="仿宋_GB2312" w:hAnsi="Arial" w:eastAsia="仿宋_GB2312" w:cs="Arial"/>
          <w:color w:val="000000"/>
          <w:sz w:val="28"/>
          <w:szCs w:val="28"/>
          <w:highlight w:val="none"/>
        </w:rPr>
        <w:t>严格遵守采购人各项规章制度、保密制度、服务规范等；普通话发音标准、表达流畅；有较强的服务意识和团队意识；人员上岗前需通过业务培训</w:t>
      </w:r>
      <w:r>
        <w:rPr>
          <w:rFonts w:ascii="仿宋_GB2312" w:hAnsi="Arial" w:eastAsia="仿宋_GB2312" w:cs="Arial"/>
          <w:color w:val="000000"/>
          <w:sz w:val="28"/>
          <w:szCs w:val="28"/>
          <w:highlight w:val="none"/>
        </w:rPr>
        <w:t>,</w:t>
      </w:r>
      <w:r>
        <w:rPr>
          <w:rFonts w:hint="eastAsia" w:ascii="仿宋_GB2312" w:hAnsi="Arial" w:eastAsia="仿宋_GB2312" w:cs="Arial"/>
          <w:color w:val="000000"/>
          <w:sz w:val="28"/>
          <w:szCs w:val="28"/>
          <w:highlight w:val="none"/>
        </w:rPr>
        <w:t>业务水平、服务标准符合客服中心基本工作要求后方可上岗。</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5</w:t>
      </w:r>
      <w:r>
        <w:rPr>
          <w:rFonts w:hint="eastAsia" w:ascii="仿宋_GB2312" w:hAnsi="Arial" w:eastAsia="仿宋_GB2312" w:cs="Arial"/>
          <w:color w:val="auto"/>
          <w:sz w:val="28"/>
          <w:szCs w:val="28"/>
          <w:highlight w:val="none"/>
        </w:rPr>
        <w:t>）设立主动客服岗，负责追踪查询即开彩票订单异常信息，主动发现运营质量问题，主动启动问题邮件处理流程，将质量补救工作做在实体店关注之前。定时反馈邮件妥投信息，可能出现邮件全程延误或丢损问题的，主动客服应主导联系处理或发起服务工单处理，保障服务质量及责任彩票形象。</w:t>
      </w:r>
    </w:p>
    <w:p>
      <w:pPr>
        <w:spacing w:line="420" w:lineRule="exact"/>
        <w:ind w:firstLine="560"/>
        <w:rPr>
          <w:rFonts w:ascii="仿宋_GB2312" w:hAnsi="Arial" w:eastAsia="仿宋_GB2312" w:cs="Arial"/>
          <w:color w:val="auto"/>
          <w:sz w:val="28"/>
          <w:szCs w:val="28"/>
          <w:highlight w:val="none"/>
        </w:rPr>
      </w:pPr>
      <w:r>
        <w:rPr>
          <w:rFonts w:ascii="仿宋_GB2312" w:hAnsi="Arial" w:eastAsia="仿宋_GB2312" w:cs="Arial"/>
          <w:color w:val="auto"/>
          <w:sz w:val="28"/>
          <w:szCs w:val="28"/>
          <w:highlight w:val="none"/>
        </w:rPr>
        <w:t>5</w:t>
      </w:r>
      <w:r>
        <w:rPr>
          <w:rFonts w:hint="eastAsia" w:ascii="仿宋_GB2312" w:hAnsi="Arial" w:eastAsia="仿宋_GB2312" w:cs="Arial"/>
          <w:color w:val="auto"/>
          <w:sz w:val="28"/>
          <w:szCs w:val="28"/>
          <w:highlight w:val="none"/>
        </w:rPr>
        <w:t>、仓储配送管理方案</w:t>
      </w:r>
    </w:p>
    <w:p>
      <w:pPr>
        <w:spacing w:line="420" w:lineRule="exact"/>
        <w:ind w:firstLine="56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）仓库总面积不少于</w:t>
      </w:r>
      <w:r>
        <w:rPr>
          <w:rFonts w:ascii="仿宋_GB2312" w:hAnsi="Arial" w:eastAsia="仿宋_GB2312" w:cs="Arial"/>
          <w:color w:val="auto"/>
          <w:sz w:val="28"/>
          <w:szCs w:val="28"/>
          <w:highlight w:val="none"/>
        </w:rPr>
        <w:t>1800</w:t>
      </w:r>
      <w:r>
        <w:rPr>
          <w:rFonts w:hint="eastAsia" w:ascii="仿宋_GB2312" w:hAnsi="Arial" w:eastAsia="仿宋_GB2312" w:cs="Arial"/>
          <w:color w:val="auto"/>
          <w:sz w:val="28"/>
          <w:szCs w:val="28"/>
          <w:highlight w:val="none"/>
        </w:rPr>
        <w:t>平方米，其中仓储面积不少于</w:t>
      </w:r>
      <w:r>
        <w:rPr>
          <w:rFonts w:ascii="仿宋_GB2312" w:hAnsi="Arial" w:eastAsia="仿宋_GB2312" w:cs="Arial"/>
          <w:color w:val="auto"/>
          <w:sz w:val="28"/>
          <w:szCs w:val="28"/>
          <w:highlight w:val="none"/>
        </w:rPr>
        <w:t>1200</w:t>
      </w:r>
      <w:r>
        <w:rPr>
          <w:rFonts w:hint="eastAsia" w:ascii="仿宋_GB2312" w:hAnsi="Arial" w:eastAsia="仿宋_GB2312" w:cs="Arial"/>
          <w:color w:val="auto"/>
          <w:sz w:val="28"/>
          <w:szCs w:val="28"/>
          <w:highlight w:val="none"/>
        </w:rPr>
        <w:t>平方米（投标文件中需提供相应证明）。项目实施过程中，如因业务需要需增加仓库面积，中标人应承诺无条件按同样标准予以增加。</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2</w:t>
      </w:r>
      <w:r>
        <w:rPr>
          <w:rFonts w:hint="eastAsia" w:ascii="仿宋_GB2312" w:hAnsi="Arial" w:eastAsia="仿宋_GB2312" w:cs="Arial"/>
          <w:color w:val="auto"/>
          <w:sz w:val="28"/>
          <w:szCs w:val="28"/>
          <w:highlight w:val="none"/>
        </w:rPr>
        <w:t>）中标人应对即开票配送全过程（包括出库、配送、实体店签收等）进行跟踪、监控与管理，并提供查询工具，供省、市体彩中心及实体店按照各自权限实时查询相应信息。</w:t>
      </w:r>
    </w:p>
    <w:p>
      <w:pPr>
        <w:spacing w:line="420" w:lineRule="exact"/>
        <w:ind w:firstLine="560"/>
        <w:rPr>
          <w:rFonts w:ascii="仿宋_GB2312" w:hAnsi="Arial" w:eastAsia="仿宋_GB2312" w:cs="Arial"/>
          <w:color w:val="auto"/>
          <w:sz w:val="28"/>
          <w:szCs w:val="28"/>
        </w:rPr>
      </w:pPr>
    </w:p>
    <w:p>
      <w:pPr>
        <w:spacing w:line="420" w:lineRule="exact"/>
        <w:ind w:firstLine="560" w:firstLineChars="200"/>
        <w:rPr>
          <w:rFonts w:ascii="仿宋_GB2312" w:hAnsi="Arial" w:eastAsia="仿宋_GB2312" w:cs="Arial"/>
          <w:color w:val="auto"/>
          <w:sz w:val="28"/>
          <w:szCs w:val="28"/>
        </w:rPr>
      </w:pPr>
      <w:r>
        <w:rPr>
          <w:rFonts w:hint="eastAsia" w:ascii="仿宋_GB2312" w:hAnsi="Arial" w:eastAsia="仿宋_GB2312" w:cs="Arial"/>
          <w:color w:val="auto"/>
          <w:sz w:val="28"/>
          <w:szCs w:val="28"/>
        </w:rPr>
        <w:t>6、数据加工与分析</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中标人需汇总即开票高效运营过程中产生的业务数据，形成数据资产库。实现与采购人其他即开票相关的信息化系统建立连接，并通过提供人工录入界面，最终将数据汇总至数据中心，由数据中心进行加工、处理、分析、存储。需制定完善的数据质量管理制度，通过信息化手段保障数据安全、稳定、高效。</w:t>
      </w:r>
    </w:p>
    <w:p>
      <w:pPr>
        <w:spacing w:line="420" w:lineRule="exact"/>
        <w:ind w:firstLine="560" w:firstLineChars="200"/>
        <w:rPr>
          <w:rFonts w:hint="eastAsia"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2</w:t>
      </w:r>
      <w:r>
        <w:rPr>
          <w:rFonts w:hint="eastAsia" w:ascii="仿宋_GB2312" w:hAnsi="Arial" w:eastAsia="仿宋_GB2312" w:cs="Arial"/>
          <w:color w:val="auto"/>
          <w:sz w:val="28"/>
          <w:szCs w:val="28"/>
          <w:highlight w:val="none"/>
        </w:rPr>
        <w:t>）建立数据查询分析系统，能够对订票、销量、兑奖及销售信息等多维度进行分析，持续维护基础数据资源；数据分析系统需涵盖仓储管理、营销管理、库存分析、票种分析、市场分析、渠道建设、考核管理等模块，能够根据不同地市、不同场景需求提供定制化建设服务。</w:t>
      </w:r>
    </w:p>
    <w:p>
      <w:pPr>
        <w:spacing w:line="420" w:lineRule="exact"/>
        <w:ind w:firstLine="0" w:firstLineChars="0"/>
        <w:rPr>
          <w:rFonts w:hint="eastAsia" w:ascii="仿宋_GB2312" w:hAnsi="Arial" w:eastAsia="仿宋_GB2312" w:cs="Arial"/>
          <w:color w:val="auto"/>
          <w:sz w:val="28"/>
          <w:szCs w:val="28"/>
          <w:highlight w:val="none"/>
        </w:rPr>
      </w:pP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）提供智能化推送服务，根据省市彩票机构工作人员所管辖区域、职位等信息差异化设定数据系统权限，根据采购人的要求持续完善，系统应支持电脑端和移动端等使用途径。</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4</w:t>
      </w:r>
      <w:r>
        <w:rPr>
          <w:rFonts w:hint="eastAsia" w:ascii="仿宋_GB2312" w:hAnsi="Arial" w:eastAsia="仿宋_GB2312" w:cs="Arial"/>
          <w:color w:val="auto"/>
          <w:sz w:val="28"/>
          <w:szCs w:val="28"/>
          <w:highlight w:val="none"/>
        </w:rPr>
        <w:t>）建立数据服务团队，负责数据分析及系统开发维护工作，提供</w:t>
      </w:r>
      <w:r>
        <w:rPr>
          <w:rFonts w:ascii="仿宋_GB2312" w:hAnsi="Arial" w:eastAsia="仿宋_GB2312" w:cs="Arial"/>
          <w:color w:val="auto"/>
          <w:sz w:val="28"/>
          <w:szCs w:val="28"/>
          <w:highlight w:val="none"/>
        </w:rPr>
        <w:t>7x24</w:t>
      </w:r>
      <w:r>
        <w:rPr>
          <w:rFonts w:hint="eastAsia" w:ascii="仿宋_GB2312" w:hAnsi="Arial" w:eastAsia="仿宋_GB2312" w:cs="Arial"/>
          <w:color w:val="auto"/>
          <w:sz w:val="28"/>
          <w:szCs w:val="28"/>
          <w:highlight w:val="none"/>
        </w:rPr>
        <w:t>小时全天候数据维护、数据分析服务。</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5</w:t>
      </w:r>
      <w:r>
        <w:rPr>
          <w:rFonts w:hint="eastAsia" w:ascii="仿宋_GB2312" w:hAnsi="Arial" w:eastAsia="仿宋_GB2312" w:cs="Arial"/>
          <w:color w:val="auto"/>
          <w:sz w:val="28"/>
          <w:szCs w:val="28"/>
          <w:highlight w:val="none"/>
        </w:rPr>
        <w:t>）提供营销活动数据支持服务。根据采购人需求，中标人需提供营销活动和日常管理的技术支持及数据服务。汇总即开票运营过程中产生的日常业务数据和营销活动数据，形成数据资产库，打通国家数据接口，实现与</w:t>
      </w:r>
      <w:r>
        <w:rPr>
          <w:rFonts w:ascii="仿宋_GB2312" w:hAnsi="Arial" w:eastAsia="仿宋_GB2312" w:cs="Arial"/>
          <w:color w:val="auto"/>
          <w:sz w:val="28"/>
          <w:szCs w:val="28"/>
          <w:highlight w:val="none"/>
        </w:rPr>
        <w:t>G3</w:t>
      </w:r>
      <w:r>
        <w:rPr>
          <w:rFonts w:hint="eastAsia" w:ascii="仿宋_GB2312" w:hAnsi="Arial" w:eastAsia="仿宋_GB2312" w:cs="Arial"/>
          <w:color w:val="auto"/>
          <w:sz w:val="28"/>
          <w:szCs w:val="28"/>
          <w:highlight w:val="none"/>
        </w:rPr>
        <w:t>系统对接，实时获取销量、订单等信息。建立数据查询分析系统，能够以业务数据为依据，结合订票、销量、兑奖及销售实体店信息等多维度进行分析，为采购人提供营销活动复盘与预测功能，协助采购人制定切实可行的销售管理计划和营销活动方案。</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6</w:t>
      </w:r>
      <w:r>
        <w:rPr>
          <w:rFonts w:hint="eastAsia" w:ascii="仿宋_GB2312" w:hAnsi="Arial" w:eastAsia="仿宋_GB2312" w:cs="Arial"/>
          <w:color w:val="auto"/>
          <w:sz w:val="28"/>
          <w:szCs w:val="28"/>
          <w:highlight w:val="none"/>
        </w:rPr>
        <w:t>）中标人应完整保存服务期内的原始数据及其他所有数据，服务期满后全部移交采购人，并严格遵守过程数据保密协议。</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7</w:t>
      </w:r>
      <w:r>
        <w:rPr>
          <w:rFonts w:hint="eastAsia" w:ascii="仿宋_GB2312" w:hAnsi="Arial" w:eastAsia="仿宋_GB2312" w:cs="Arial"/>
          <w:color w:val="auto"/>
          <w:sz w:val="28"/>
          <w:szCs w:val="28"/>
          <w:highlight w:val="none"/>
        </w:rPr>
        <w:t>）由专人负责跟踪即开票市场整体状况，制定周期性调研计划及实施方案。通过数据分析平台、电话、微信平台等手段开展市场调研，形成总结分析报告，为省市即开票业务运营管理提供决策性改进建议，主动优化高效运营服务质量。需搭建智能语外呼系统，所产生的通话费用均包含在该项目服务费报价中，中标人不得另行收费。</w:t>
      </w:r>
    </w:p>
    <w:p>
      <w:pPr>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auto"/>
          <w:sz w:val="28"/>
          <w:szCs w:val="28"/>
          <w:highlight w:val="none"/>
        </w:rPr>
        <w:t>（</w:t>
      </w:r>
      <w:r>
        <w:rPr>
          <w:rFonts w:ascii="仿宋_GB2312" w:hAnsi="Arial" w:eastAsia="仿宋_GB2312" w:cs="Arial"/>
          <w:color w:val="auto"/>
          <w:sz w:val="28"/>
          <w:szCs w:val="28"/>
          <w:highlight w:val="none"/>
        </w:rPr>
        <w:t>8</w:t>
      </w:r>
      <w:r>
        <w:rPr>
          <w:rFonts w:hint="eastAsia" w:ascii="仿宋_GB2312" w:hAnsi="Arial" w:eastAsia="仿宋_GB2312" w:cs="Arial"/>
          <w:color w:val="auto"/>
          <w:sz w:val="28"/>
          <w:szCs w:val="28"/>
          <w:highlight w:val="none"/>
        </w:rPr>
        <w:t>）即开票实体店库存优化，通过系统数据对实体店库存状况进行分析，采用短信推送、智能外呼、人工外呼等方式在实体店即开票库存不足前及时提供订票提醒服务，对实体店的库存提供优化改进建议，并根据各类即开票销售情况，为实体店做好新票种推荐服务。</w:t>
      </w:r>
    </w:p>
    <w:p>
      <w:pPr>
        <w:snapToGrid w:val="0"/>
        <w:spacing w:line="420" w:lineRule="exact"/>
        <w:ind w:firstLine="560" w:firstLineChars="200"/>
        <w:rPr>
          <w:rFonts w:ascii="仿宋_GB2312" w:hAnsi="Arial" w:eastAsia="仿宋_GB2312" w:cs="Arial"/>
          <w:color w:val="auto"/>
          <w:sz w:val="28"/>
          <w:szCs w:val="28"/>
          <w:highlight w:val="none"/>
        </w:rPr>
      </w:pPr>
      <w:r>
        <w:rPr>
          <w:rFonts w:ascii="仿宋_GB2312" w:hAnsi="Arial" w:eastAsia="仿宋_GB2312" w:cs="Arial"/>
          <w:color w:val="auto"/>
          <w:sz w:val="28"/>
          <w:szCs w:val="28"/>
          <w:highlight w:val="none"/>
        </w:rPr>
        <w:t>7</w:t>
      </w:r>
      <w:r>
        <w:rPr>
          <w:rFonts w:hint="eastAsia" w:ascii="仿宋_GB2312" w:hAnsi="Arial" w:eastAsia="仿宋_GB2312" w:cs="Arial"/>
          <w:color w:val="auto"/>
          <w:sz w:val="28"/>
          <w:szCs w:val="28"/>
          <w:highlight w:val="none"/>
        </w:rPr>
        <w:t>、系统监测及应急预案</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1）建立系统运维服务管理制度规范和应急服务响应措施，包括但不限于网络安全系统运维服务、主机和存储器运维服务、数据库系统运维服务、中间件运维服务相关方案。并在此基础上提供个性化服务。具体运维服务内容如下：</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①实时监控各项软件系统运行情况，保障业务稳定运行，在系统及相关设备出现问题时，能够第一时间进行评估、解决和反馈；</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②建立监控预警管理平台，对服务器、网络等基础设施环境进行实时监控，及时发现潜在问题并有效处理解决；</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③负责对外接口的需求分析、技术方案制定，经采购人审核通过后，进行相关接口的开发及运维工作，并提供相关技术文档；</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④提供系统培训服务，及时对接并解决省市业务人员及实体店销售人员在系统使用过程中遇到的问题，并制定优化提升措施。</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（2）提供现场及远程运维服务，具体运维方式与要求如下：</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①本地值守：关于运维人员的要求，派遣符合要求的技术人员在服务期内驻守在约定的办公地点，响应采购方提出的系统维护、数据保障和咨询服务；</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②远程服务：技术服务人员须</w:t>
      </w:r>
      <w:r>
        <w:rPr>
          <w:rFonts w:ascii="仿宋_GB2312" w:hAnsi="Arial" w:eastAsia="仿宋_GB2312" w:cs="Arial"/>
          <w:color w:val="000000"/>
          <w:sz w:val="28"/>
          <w:szCs w:val="28"/>
          <w:highlight w:val="none"/>
        </w:rPr>
        <w:t>7x24</w:t>
      </w:r>
      <w:r>
        <w:rPr>
          <w:rFonts w:hint="eastAsia" w:ascii="仿宋_GB2312" w:hAnsi="Arial" w:eastAsia="仿宋_GB2312" w:cs="Arial"/>
          <w:color w:val="000000"/>
          <w:sz w:val="28"/>
          <w:szCs w:val="28"/>
          <w:highlight w:val="none"/>
        </w:rPr>
        <w:t>小时电话在线，提供咨询服务和受理各类故障报修服务。</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（3）中标人须服务期内安排技术人员对订票、仓储配送管理、数据分析等系统提供</w:t>
      </w:r>
      <w:r>
        <w:rPr>
          <w:rFonts w:ascii="仿宋_GB2312" w:hAnsi="Arial" w:eastAsia="仿宋_GB2312" w:cs="Arial"/>
          <w:color w:val="000000"/>
          <w:sz w:val="28"/>
          <w:szCs w:val="28"/>
          <w:highlight w:val="none"/>
        </w:rPr>
        <w:t>7x24</w:t>
      </w:r>
      <w:r>
        <w:rPr>
          <w:rFonts w:hint="eastAsia" w:ascii="仿宋_GB2312" w:hAnsi="Arial" w:eastAsia="仿宋_GB2312" w:cs="Arial"/>
          <w:color w:val="000000"/>
          <w:sz w:val="28"/>
          <w:szCs w:val="28"/>
          <w:highlight w:val="none"/>
        </w:rPr>
        <w:t>小时技术保障，及时分析系统存在的问题，并及时给予解决。中标人对系统故障在承诺时间做出响应，并达到可用性承诺，如短时间内无法排除系统障碍应承诺及时提供人工处理服务等应急措施；在事故解除后，中标人为采购人提供事故报告，报告说明事故发生时间、业务恢复时间、影响程度、解决过程、事故根本原因调查结果及改进方案。系统故障处理时间要求如下：</w:t>
      </w:r>
    </w:p>
    <w:tbl>
      <w:tblPr>
        <w:tblStyle w:val="59"/>
        <w:tblW w:w="8842"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48"/>
        <w:gridCol w:w="1426"/>
        <w:gridCol w:w="1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5448" w:type="dxa"/>
            <w:vAlign w:val="top"/>
          </w:tcPr>
          <w:p>
            <w:pPr>
              <w:spacing w:line="420" w:lineRule="exact"/>
              <w:jc w:val="center"/>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故障级别及定义</w:t>
            </w:r>
          </w:p>
        </w:tc>
        <w:tc>
          <w:tcPr>
            <w:tcW w:w="1426" w:type="dxa"/>
            <w:vAlign w:val="top"/>
          </w:tcPr>
          <w:p>
            <w:pPr>
              <w:spacing w:line="420" w:lineRule="exact"/>
              <w:jc w:val="left"/>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响应时间</w:t>
            </w:r>
          </w:p>
        </w:tc>
        <w:tc>
          <w:tcPr>
            <w:tcW w:w="1968" w:type="dxa"/>
            <w:vAlign w:val="top"/>
          </w:tcPr>
          <w:p>
            <w:pPr>
              <w:spacing w:line="420" w:lineRule="exact"/>
              <w:jc w:val="left"/>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目标解决时间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544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级：网站前台或后台无法正常访问</w:t>
            </w:r>
          </w:p>
        </w:tc>
        <w:tc>
          <w:tcPr>
            <w:tcW w:w="1426"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10</w:t>
            </w:r>
            <w:r>
              <w:rPr>
                <w:rFonts w:hint="eastAsia" w:ascii="仿宋_GB2312" w:hAnsi="Arial" w:eastAsia="仿宋_GB2312" w:cs="Arial"/>
                <w:color w:val="000000"/>
                <w:sz w:val="28"/>
                <w:szCs w:val="28"/>
                <w:highlight w:val="none"/>
              </w:rPr>
              <w:t>分钟</w:t>
            </w:r>
          </w:p>
        </w:tc>
        <w:tc>
          <w:tcPr>
            <w:tcW w:w="196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544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级：核心业务重要功能不可用，大面积影响用户体验</w:t>
            </w:r>
          </w:p>
        </w:tc>
        <w:tc>
          <w:tcPr>
            <w:tcW w:w="1426"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10</w:t>
            </w:r>
            <w:r>
              <w:rPr>
                <w:rFonts w:hint="eastAsia" w:ascii="仿宋_GB2312" w:hAnsi="Arial" w:eastAsia="仿宋_GB2312" w:cs="Arial"/>
                <w:color w:val="000000"/>
                <w:sz w:val="28"/>
                <w:szCs w:val="28"/>
                <w:highlight w:val="none"/>
              </w:rPr>
              <w:t>分钟</w:t>
            </w:r>
          </w:p>
        </w:tc>
        <w:tc>
          <w:tcPr>
            <w:tcW w:w="196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9" w:hRule="atLeast"/>
        </w:trPr>
        <w:tc>
          <w:tcPr>
            <w:tcW w:w="544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3</w:t>
            </w:r>
            <w:r>
              <w:rPr>
                <w:rFonts w:hint="eastAsia" w:ascii="仿宋_GB2312" w:hAnsi="Arial" w:eastAsia="仿宋_GB2312" w:cs="Arial"/>
                <w:color w:val="000000"/>
                <w:sz w:val="28"/>
                <w:szCs w:val="28"/>
                <w:highlight w:val="none"/>
              </w:rPr>
              <w:t>级：核心业务周边功能不可用，轻微影响用户体验</w:t>
            </w:r>
          </w:p>
        </w:tc>
        <w:tc>
          <w:tcPr>
            <w:tcW w:w="1426"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20</w:t>
            </w:r>
            <w:r>
              <w:rPr>
                <w:rFonts w:hint="eastAsia" w:ascii="仿宋_GB2312" w:hAnsi="Arial" w:eastAsia="仿宋_GB2312" w:cs="Arial"/>
                <w:color w:val="000000"/>
                <w:sz w:val="28"/>
                <w:szCs w:val="28"/>
                <w:highlight w:val="none"/>
              </w:rPr>
              <w:t>分钟</w:t>
            </w:r>
          </w:p>
        </w:tc>
        <w:tc>
          <w:tcPr>
            <w:tcW w:w="196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544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4</w:t>
            </w:r>
            <w:r>
              <w:rPr>
                <w:rFonts w:hint="eastAsia" w:ascii="仿宋_GB2312" w:hAnsi="Arial" w:eastAsia="仿宋_GB2312" w:cs="Arial"/>
                <w:color w:val="000000"/>
                <w:sz w:val="28"/>
                <w:szCs w:val="28"/>
                <w:highlight w:val="none"/>
              </w:rPr>
              <w:t>级：周边功能不可用，基本不影响用户体验</w:t>
            </w:r>
          </w:p>
        </w:tc>
        <w:tc>
          <w:tcPr>
            <w:tcW w:w="1426"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20</w:t>
            </w:r>
            <w:r>
              <w:rPr>
                <w:rFonts w:hint="eastAsia" w:ascii="仿宋_GB2312" w:hAnsi="Arial" w:eastAsia="仿宋_GB2312" w:cs="Arial"/>
                <w:color w:val="000000"/>
                <w:sz w:val="28"/>
                <w:szCs w:val="28"/>
                <w:highlight w:val="none"/>
              </w:rPr>
              <w:t>分钟</w:t>
            </w:r>
          </w:p>
        </w:tc>
        <w:tc>
          <w:tcPr>
            <w:tcW w:w="1968" w:type="dxa"/>
            <w:vAlign w:val="top"/>
          </w:tcPr>
          <w:p>
            <w:pPr>
              <w:spacing w:line="420" w:lineRule="exact"/>
              <w:jc w:val="left"/>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小时</w:t>
            </w:r>
          </w:p>
        </w:tc>
      </w:tr>
    </w:tbl>
    <w:p>
      <w:pPr>
        <w:snapToGrid w:val="0"/>
        <w:spacing w:line="420" w:lineRule="exact"/>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（注：响应时间自中标人接到采购人通知或接到实体店反映之时起计算。）</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4</w:t>
      </w:r>
      <w:r>
        <w:rPr>
          <w:rFonts w:hint="eastAsia" w:ascii="仿宋_GB2312" w:hAnsi="Arial" w:eastAsia="仿宋_GB2312" w:cs="Arial"/>
          <w:color w:val="000000"/>
          <w:sz w:val="28"/>
          <w:szCs w:val="28"/>
          <w:highlight w:val="none"/>
        </w:rPr>
        <w:t>）中标人须承诺做好技术衔接工作，确保采购人业务连续性及系统安全稳定运行。</w:t>
      </w:r>
    </w:p>
    <w:p>
      <w:pPr>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5</w:t>
      </w:r>
      <w:r>
        <w:rPr>
          <w:rFonts w:hint="eastAsia" w:ascii="仿宋_GB2312" w:hAnsi="Arial" w:eastAsia="仿宋_GB2312" w:cs="Arial"/>
          <w:color w:val="000000"/>
          <w:sz w:val="28"/>
          <w:szCs w:val="28"/>
          <w:highlight w:val="none"/>
        </w:rPr>
        <w:t>）因为体彩业务所产生、掌握、存储和保管的数据、资料等有形或无形资产所有权归属采购人所有。中标人应积极配合采购人管理要求进行报告，归集或上报相关数据。在项目终止时，应采取有效措施予以销毁，并承诺公司及员工不以任何方式留存或使用。</w:t>
      </w:r>
    </w:p>
    <w:p>
      <w:pPr>
        <w:spacing w:line="420" w:lineRule="exact"/>
        <w:ind w:firstLine="560"/>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8</w:t>
      </w:r>
      <w:r>
        <w:rPr>
          <w:rFonts w:hint="eastAsia" w:ascii="仿宋_GB2312" w:hAnsi="Arial" w:eastAsia="仿宋_GB2312" w:cs="Arial"/>
          <w:color w:val="000000"/>
          <w:sz w:val="28"/>
          <w:szCs w:val="28"/>
          <w:highlight w:val="none"/>
        </w:rPr>
        <w:t>、网络和信息系统安全保障</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中标人须建立完备的网络和信息系统安全管理制度及系统策略，按照国家政策、国家及省体彩中心要求做好网络和信息系统安全保障。</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）接入总局中心生产系统的，应按照总局中心相关要求做好网络安全防护、备案，并定期检测。</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2</w:t>
      </w:r>
      <w:r>
        <w:rPr>
          <w:rFonts w:hint="eastAsia" w:ascii="仿宋_GB2312" w:hAnsi="Arial" w:eastAsia="仿宋_GB2312" w:cs="Arial"/>
          <w:color w:val="000000"/>
          <w:sz w:val="28"/>
          <w:szCs w:val="28"/>
          <w:highlight w:val="none"/>
        </w:rPr>
        <w:t>）信息系统上线前应经过第三方安全检测，根据安全检测情况进行安全加固，对信息系统配置、参数等进行优化设置。</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3</w:t>
      </w:r>
      <w:r>
        <w:rPr>
          <w:rFonts w:hint="eastAsia" w:ascii="仿宋_GB2312" w:hAnsi="Arial" w:eastAsia="仿宋_GB2312" w:cs="Arial"/>
          <w:color w:val="000000"/>
          <w:sz w:val="28"/>
          <w:szCs w:val="28"/>
          <w:highlight w:val="none"/>
        </w:rPr>
        <w:t>）面向互联网提供服务的系统、网站、对外信息发布渠道，开放端口采取最小化原则，无需开放的系统或组件不开。</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4</w:t>
      </w:r>
      <w:r>
        <w:rPr>
          <w:rFonts w:hint="eastAsia" w:ascii="仿宋_GB2312" w:hAnsi="Arial" w:eastAsia="仿宋_GB2312" w:cs="Arial"/>
          <w:color w:val="000000"/>
          <w:sz w:val="28"/>
          <w:szCs w:val="28"/>
          <w:highlight w:val="none"/>
        </w:rPr>
        <w:t>）做好信息系统的防病毒、防篡改、防泄密、防攻击等事项，保证业务系统</w:t>
      </w:r>
      <w:r>
        <w:rPr>
          <w:rFonts w:ascii="仿宋_GB2312" w:hAnsi="Arial" w:eastAsia="仿宋_GB2312" w:cs="Arial"/>
          <w:color w:val="000000"/>
          <w:sz w:val="28"/>
          <w:szCs w:val="28"/>
          <w:highlight w:val="none"/>
        </w:rPr>
        <w:t>7*24</w:t>
      </w:r>
      <w:r>
        <w:rPr>
          <w:rFonts w:hint="eastAsia" w:ascii="仿宋_GB2312" w:hAnsi="Arial" w:eastAsia="仿宋_GB2312" w:cs="Arial"/>
          <w:color w:val="000000"/>
          <w:sz w:val="28"/>
          <w:szCs w:val="28"/>
          <w:highlight w:val="none"/>
        </w:rPr>
        <w:t>小时业务服务可用性。</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5</w:t>
      </w:r>
      <w:r>
        <w:rPr>
          <w:rFonts w:hint="eastAsia" w:ascii="仿宋_GB2312" w:hAnsi="Arial" w:eastAsia="仿宋_GB2312" w:cs="Arial"/>
          <w:color w:val="000000"/>
          <w:sz w:val="28"/>
          <w:szCs w:val="28"/>
          <w:highlight w:val="none"/>
        </w:rPr>
        <w:t>）定期进行系统及数据的备份，并定期检测备份数据有效性、可用性。</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6</w:t>
      </w:r>
      <w:r>
        <w:rPr>
          <w:rFonts w:hint="eastAsia" w:ascii="仿宋_GB2312" w:hAnsi="Arial" w:eastAsia="仿宋_GB2312" w:cs="Arial"/>
          <w:color w:val="000000"/>
          <w:sz w:val="28"/>
          <w:szCs w:val="28"/>
          <w:highlight w:val="none"/>
        </w:rPr>
        <w:t>）应加强对系统管理员和操作员的管理，与相关人签订保密协议。明确系统的数据管理办法，确定数据访问、查询、修改事项的权限、申请和审批。任何人未经允许，不得泄露系统数据内容。</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7</w:t>
      </w:r>
      <w:r>
        <w:rPr>
          <w:rFonts w:hint="eastAsia" w:ascii="仿宋_GB2312" w:hAnsi="Arial" w:eastAsia="仿宋_GB2312" w:cs="Arial"/>
          <w:color w:val="000000"/>
          <w:sz w:val="28"/>
          <w:szCs w:val="28"/>
          <w:highlight w:val="none"/>
        </w:rPr>
        <w:t>）按照《个人信息保护法》做好个人信息的保护。</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8</w:t>
      </w:r>
      <w:r>
        <w:rPr>
          <w:rFonts w:hint="eastAsia" w:ascii="仿宋_GB2312" w:hAnsi="Arial" w:eastAsia="仿宋_GB2312" w:cs="Arial"/>
          <w:color w:val="000000"/>
          <w:sz w:val="28"/>
          <w:szCs w:val="28"/>
          <w:highlight w:val="none"/>
        </w:rPr>
        <w:t>）及时升级操作系统、数据库、中间件漏洞补丁，系统应有日志审计功能，能够对各类操作进行记录。</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9</w:t>
      </w:r>
      <w:r>
        <w:rPr>
          <w:rFonts w:hint="eastAsia" w:ascii="仿宋_GB2312" w:hAnsi="Arial" w:eastAsia="仿宋_GB2312" w:cs="Arial"/>
          <w:color w:val="000000"/>
          <w:sz w:val="28"/>
          <w:szCs w:val="28"/>
          <w:highlight w:val="none"/>
        </w:rPr>
        <w:t>）对访问信息系统的账号进行权限控制，加强账号口令管理，设置密码策略、锁定策略，定期梳理账号，无用账号删除或禁用。</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10</w:t>
      </w:r>
      <w:r>
        <w:rPr>
          <w:rFonts w:hint="eastAsia" w:ascii="仿宋_GB2312" w:hAnsi="Arial" w:eastAsia="仿宋_GB2312" w:cs="Arial"/>
          <w:color w:val="000000"/>
          <w:sz w:val="28"/>
          <w:szCs w:val="28"/>
          <w:highlight w:val="none"/>
        </w:rPr>
        <w:t>）业务系统登录须设置双认证、校验码等机制进行登陆验证，用户密码有复杂度校验机制、用户登录失败处置机制。</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11</w:t>
      </w:r>
      <w:r>
        <w:rPr>
          <w:rFonts w:hint="eastAsia" w:ascii="仿宋_GB2312" w:hAnsi="Arial" w:eastAsia="仿宋_GB2312" w:cs="Arial"/>
          <w:color w:val="000000"/>
          <w:sz w:val="28"/>
          <w:szCs w:val="28"/>
          <w:highlight w:val="none"/>
        </w:rPr>
        <w:t>）设置系统会话过期时间限制，对系统最大并发会话连接数进行限制，对单个用户的多重并发会话进行限制。</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12</w:t>
      </w:r>
      <w:r>
        <w:rPr>
          <w:rFonts w:hint="eastAsia" w:ascii="仿宋_GB2312" w:hAnsi="Arial" w:eastAsia="仿宋_GB2312" w:cs="Arial"/>
          <w:color w:val="000000"/>
          <w:sz w:val="28"/>
          <w:szCs w:val="28"/>
          <w:highlight w:val="none"/>
        </w:rPr>
        <w:t>）实时监控网络攻击行为及事件情况，对产生不良影响的事件，第一时间通报体彩中心。</w:t>
      </w:r>
    </w:p>
    <w:p>
      <w:pPr>
        <w:tabs>
          <w:tab w:val="left" w:pos="1050"/>
        </w:tabs>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13</w:t>
      </w:r>
      <w:r>
        <w:rPr>
          <w:rFonts w:hint="eastAsia" w:ascii="仿宋_GB2312" w:hAnsi="Arial" w:eastAsia="仿宋_GB2312" w:cs="Arial"/>
          <w:color w:val="000000"/>
          <w:sz w:val="28"/>
          <w:szCs w:val="28"/>
          <w:highlight w:val="none"/>
        </w:rPr>
        <w:t>）根据系统情况提供应急预案，定期进行预案演练，对于发现的安全隐患，应及时根据要求进行整改、测试和排除。</w:t>
      </w:r>
    </w:p>
    <w:p>
      <w:pPr>
        <w:tabs>
          <w:tab w:val="left" w:pos="1050"/>
        </w:tabs>
        <w:spacing w:line="420" w:lineRule="exact"/>
        <w:ind w:firstLine="560" w:firstLineChars="200"/>
        <w:rPr>
          <w:rFonts w:ascii="仿宋_GB2312" w:hAnsi="Arial" w:eastAsia="仿宋_GB2312" w:cs="Arial"/>
          <w:sz w:val="28"/>
          <w:szCs w:val="28"/>
          <w:highlight w:val="none"/>
        </w:rPr>
      </w:pPr>
      <w:r>
        <w:rPr>
          <w:rFonts w:hint="eastAsia" w:ascii="仿宋_GB2312" w:hAnsi="Arial" w:eastAsia="仿宋_GB2312" w:cs="Arial"/>
          <w:sz w:val="28"/>
          <w:szCs w:val="28"/>
          <w:highlight w:val="none"/>
        </w:rPr>
        <w:t>9、项目管理能力</w:t>
      </w:r>
    </w:p>
    <w:p>
      <w:pPr>
        <w:numPr>
          <w:ilvl w:val="0"/>
          <w:numId w:val="0"/>
        </w:numPr>
        <w:tabs>
          <w:tab w:val="left" w:pos="1050"/>
        </w:tabs>
        <w:spacing w:line="420" w:lineRule="exact"/>
        <w:ind w:firstLine="560" w:firstLineChars="200"/>
        <w:rPr>
          <w:rFonts w:ascii="仿宋_GB2312" w:hAnsi="Arial" w:eastAsia="仿宋_GB2312" w:cs="Arial"/>
          <w:sz w:val="28"/>
          <w:szCs w:val="28"/>
          <w:highlight w:val="none"/>
        </w:rPr>
      </w:pPr>
      <w:r>
        <w:rPr>
          <w:rFonts w:hint="eastAsia" w:ascii="仿宋_GB2312" w:hAnsi="Arial" w:eastAsia="仿宋_GB2312" w:cs="Arial"/>
          <w:sz w:val="28"/>
          <w:szCs w:val="28"/>
          <w:highlight w:val="none"/>
        </w:rPr>
        <w:t>投标人对采购人相关即开业务现状、服务要求应理解把握准确，切实可行。投标人应提供针对本项目的实施方案和推进计划，包括但不限于订票服务、仓储管理服务、配送管理服务、订单分拣服务、客服中心建设、精细化营销服务、数据分析平台建设、团队保障等方面的详细实施方案；同时提供完善的项目整体运营管理措施，包括规范的运营流程、日常管理、风险管理、应急方案等。</w:t>
      </w:r>
    </w:p>
    <w:p>
      <w:pPr>
        <w:snapToGrid w:val="0"/>
        <w:spacing w:line="420" w:lineRule="exact"/>
        <w:ind w:firstLine="560" w:firstLineChars="200"/>
        <w:rPr>
          <w:rFonts w:ascii="仿宋_GB2312" w:hAnsi="Arial" w:cs="Arial"/>
          <w:color w:val="000000"/>
          <w:sz w:val="28"/>
          <w:szCs w:val="28"/>
          <w:highlight w:val="none"/>
        </w:rPr>
      </w:pPr>
      <w:r>
        <w:rPr>
          <w:rFonts w:hint="eastAsia" w:ascii="仿宋_GB2312" w:hAnsi="Arial" w:eastAsia="仿宋_GB2312" w:cs="Arial"/>
          <w:color w:val="000000"/>
          <w:sz w:val="28"/>
          <w:szCs w:val="28"/>
          <w:highlight w:val="none"/>
        </w:rPr>
        <w:t>10、总局中心系统对接</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中标人提供的即开票高效运营管理系统，应按照采购人及国家中心的管理要求，与国家中心</w:t>
      </w:r>
      <w:r>
        <w:rPr>
          <w:rFonts w:ascii="仿宋_GB2312" w:hAnsi="Arial" w:eastAsia="仿宋_GB2312" w:cs="Arial"/>
          <w:color w:val="000000"/>
          <w:sz w:val="28"/>
          <w:szCs w:val="28"/>
          <w:highlight w:val="none"/>
        </w:rPr>
        <w:t>G3</w:t>
      </w:r>
      <w:r>
        <w:rPr>
          <w:rFonts w:hint="eastAsia" w:ascii="仿宋_GB2312" w:hAnsi="Arial" w:eastAsia="仿宋_GB2312" w:cs="Arial"/>
          <w:color w:val="000000"/>
          <w:sz w:val="28"/>
          <w:szCs w:val="28"/>
          <w:highlight w:val="none"/>
        </w:rPr>
        <w:t>系统实现系统对接，完成订单、打包和出库等信息的交互。</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为保障体彩各项业务安全、稳定、高效的运营，为核心交易支持体系构建、综合运营支持体系构建提供基础服务能力。按照体彩技术规划要求，国家中心</w:t>
      </w:r>
      <w:r>
        <w:rPr>
          <w:rFonts w:ascii="仿宋_GB2312" w:hAnsi="Arial" w:eastAsia="仿宋_GB2312" w:cs="Arial"/>
          <w:color w:val="000000"/>
          <w:sz w:val="28"/>
          <w:szCs w:val="28"/>
          <w:highlight w:val="none"/>
        </w:rPr>
        <w:t>G3</w:t>
      </w:r>
      <w:r>
        <w:rPr>
          <w:rFonts w:hint="eastAsia" w:ascii="仿宋_GB2312" w:hAnsi="Arial" w:eastAsia="仿宋_GB2312" w:cs="Arial"/>
          <w:color w:val="000000"/>
          <w:sz w:val="28"/>
          <w:szCs w:val="28"/>
          <w:highlight w:val="none"/>
        </w:rPr>
        <w:t>系统由体彩开放平台提供统一管理和发布体彩服务能力，为体彩外部合作伙伴提供统一快速灵活的服务接入能力。外部系统可通过互联网方式，按照体彩开放平台技术标准，通过开放平台</w:t>
      </w:r>
      <w:r>
        <w:rPr>
          <w:rFonts w:ascii="仿宋_GB2312" w:hAnsi="Arial" w:eastAsia="仿宋_GB2312" w:cs="Arial"/>
          <w:color w:val="000000"/>
          <w:sz w:val="28"/>
          <w:szCs w:val="28"/>
          <w:highlight w:val="none"/>
        </w:rPr>
        <w:t>SDK</w:t>
      </w:r>
      <w:r>
        <w:rPr>
          <w:rFonts w:hint="eastAsia" w:ascii="仿宋_GB2312" w:hAnsi="Arial" w:eastAsia="仿宋_GB2312" w:cs="Arial"/>
          <w:color w:val="000000"/>
          <w:sz w:val="28"/>
          <w:szCs w:val="28"/>
          <w:highlight w:val="none"/>
        </w:rPr>
        <w:t>接入。安全加密方面，需在链路层和报文层分别做加密处理，链路层使用</w:t>
      </w:r>
      <w:r>
        <w:rPr>
          <w:rFonts w:ascii="仿宋_GB2312" w:hAnsi="Arial" w:eastAsia="仿宋_GB2312" w:cs="Arial"/>
          <w:color w:val="000000"/>
          <w:sz w:val="28"/>
          <w:szCs w:val="28"/>
          <w:highlight w:val="none"/>
        </w:rPr>
        <w:t>HTTPS</w:t>
      </w:r>
      <w:r>
        <w:rPr>
          <w:rFonts w:hint="eastAsia" w:ascii="仿宋_GB2312" w:hAnsi="Arial" w:eastAsia="仿宋_GB2312" w:cs="Arial"/>
          <w:color w:val="000000"/>
          <w:sz w:val="28"/>
          <w:szCs w:val="28"/>
          <w:highlight w:val="none"/>
        </w:rPr>
        <w:t>协议，报文层加密算法支持</w:t>
      </w:r>
      <w:r>
        <w:rPr>
          <w:rFonts w:ascii="仿宋_GB2312" w:hAnsi="Arial" w:eastAsia="仿宋_GB2312" w:cs="Arial"/>
          <w:color w:val="000000"/>
          <w:sz w:val="28"/>
          <w:szCs w:val="28"/>
          <w:highlight w:val="none"/>
        </w:rPr>
        <w:t>DES</w:t>
      </w: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AES</w:t>
      </w: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DESede</w:t>
      </w: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SM4</w:t>
      </w:r>
      <w:r>
        <w:rPr>
          <w:rFonts w:hint="eastAsia" w:ascii="仿宋_GB2312" w:hAnsi="Arial" w:eastAsia="仿宋_GB2312" w:cs="Arial"/>
          <w:color w:val="000000"/>
          <w:sz w:val="28"/>
          <w:szCs w:val="28"/>
          <w:highlight w:val="none"/>
        </w:rPr>
        <w:t>（国密）。报文签名验签方面，合作机构在报文交互时做签名验签，以保证报文在传输链路未丢失或被篡改，支持</w:t>
      </w:r>
      <w:r>
        <w:rPr>
          <w:rFonts w:ascii="仿宋_GB2312" w:hAnsi="Arial" w:eastAsia="仿宋_GB2312" w:cs="Arial"/>
          <w:color w:val="000000"/>
          <w:sz w:val="28"/>
          <w:szCs w:val="28"/>
          <w:highlight w:val="none"/>
        </w:rPr>
        <w:t>hmac_sha1</w:t>
      </w:r>
      <w:r>
        <w:rPr>
          <w:rFonts w:hint="eastAsia" w:ascii="仿宋_GB2312" w:hAnsi="Arial" w:eastAsia="仿宋_GB2312" w:cs="Arial"/>
          <w:color w:val="000000"/>
          <w:sz w:val="28"/>
          <w:szCs w:val="28"/>
          <w:highlight w:val="none"/>
        </w:rPr>
        <w:t>。</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投标人具备国家中心认可对接资格但尚未与与国家中心</w:t>
      </w:r>
      <w:r>
        <w:rPr>
          <w:rFonts w:ascii="仿宋_GB2312" w:hAnsi="Arial" w:eastAsia="仿宋_GB2312" w:cs="Arial"/>
          <w:color w:val="000000"/>
          <w:sz w:val="28"/>
          <w:szCs w:val="28"/>
          <w:highlight w:val="none"/>
        </w:rPr>
        <w:t>G3</w:t>
      </w:r>
      <w:r>
        <w:rPr>
          <w:rFonts w:hint="eastAsia" w:ascii="仿宋_GB2312" w:hAnsi="Arial" w:eastAsia="仿宋_GB2312" w:cs="Arial"/>
          <w:color w:val="000000"/>
          <w:sz w:val="28"/>
          <w:szCs w:val="28"/>
          <w:highlight w:val="none"/>
        </w:rPr>
        <w:t>系统实现系统对接的，须承诺中标之日起</w:t>
      </w:r>
      <w:r>
        <w:rPr>
          <w:rFonts w:ascii="仿宋_GB2312" w:hAnsi="Arial" w:eastAsia="仿宋_GB2312" w:cs="Arial"/>
          <w:sz w:val="28"/>
          <w:szCs w:val="28"/>
          <w:highlight w:val="none"/>
        </w:rPr>
        <w:t>30</w:t>
      </w:r>
      <w:r>
        <w:rPr>
          <w:rFonts w:hint="eastAsia" w:ascii="仿宋_GB2312" w:hAnsi="Arial" w:eastAsia="仿宋_GB2312" w:cs="Arial"/>
          <w:color w:val="000000"/>
          <w:sz w:val="28"/>
          <w:szCs w:val="28"/>
          <w:highlight w:val="none"/>
        </w:rPr>
        <w:t>天内实现系统对接，并完成试运行，省体彩中心积极协助向总局中心申报相关事项；如已与国家中心</w:t>
      </w:r>
      <w:r>
        <w:rPr>
          <w:rFonts w:ascii="仿宋_GB2312" w:hAnsi="Arial" w:eastAsia="仿宋_GB2312" w:cs="Arial"/>
          <w:color w:val="000000"/>
          <w:sz w:val="28"/>
          <w:szCs w:val="28"/>
          <w:highlight w:val="none"/>
        </w:rPr>
        <w:t>G3</w:t>
      </w:r>
      <w:r>
        <w:rPr>
          <w:rFonts w:hint="eastAsia" w:ascii="仿宋_GB2312" w:hAnsi="Arial" w:eastAsia="仿宋_GB2312" w:cs="Arial"/>
          <w:color w:val="000000"/>
          <w:sz w:val="28"/>
          <w:szCs w:val="28"/>
          <w:highlight w:val="none"/>
        </w:rPr>
        <w:t>系统实现系统对接的，则提供省级体育彩票管理中心的证明原件（或合作协议）。</w:t>
      </w:r>
    </w:p>
    <w:p>
      <w:pPr>
        <w:snapToGrid w:val="0"/>
        <w:spacing w:line="420" w:lineRule="exact"/>
        <w:ind w:firstLine="560" w:firstLineChars="200"/>
        <w:rPr>
          <w:rFonts w:ascii="仿宋_GB2312" w:hAnsi="Arial" w:eastAsia="仿宋_GB2312" w:cs="Arial"/>
          <w:color w:val="auto"/>
          <w:sz w:val="28"/>
          <w:szCs w:val="28"/>
          <w:highlight w:val="none"/>
        </w:rPr>
      </w:pPr>
      <w:r>
        <w:rPr>
          <w:rFonts w:hint="eastAsia" w:ascii="仿宋_GB2312" w:hAnsi="Arial" w:eastAsia="仿宋_GB2312" w:cs="Arial"/>
          <w:color w:val="000000"/>
          <w:sz w:val="28"/>
          <w:szCs w:val="28"/>
          <w:highlight w:val="none"/>
        </w:rPr>
        <w:t>1</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投标人机构和人员基本要求：投标人应在项目实施地建立项目服务机构，目前不符合的，须承诺在中标后一周内建立项目服务机构，配备项目运营所需的场地、设备、人员等，包括但不限于办公电脑、网络设备、安全设施等</w:t>
      </w:r>
      <w:r>
        <w:rPr>
          <w:rFonts w:hint="eastAsia" w:ascii="仿宋_GB2312" w:hAnsi="Arial" w:eastAsia="仿宋_GB2312" w:cs="Arial"/>
          <w:color w:val="auto"/>
          <w:sz w:val="28"/>
          <w:szCs w:val="28"/>
          <w:highlight w:val="none"/>
        </w:rPr>
        <w:t>；项目运营服务驻地（省内）运营人员不少于</w:t>
      </w:r>
      <w:r>
        <w:rPr>
          <w:rFonts w:ascii="仿宋_GB2312" w:hAnsi="Arial" w:eastAsia="仿宋_GB2312" w:cs="Arial"/>
          <w:color w:val="auto"/>
          <w:sz w:val="28"/>
          <w:szCs w:val="28"/>
          <w:highlight w:val="none"/>
        </w:rPr>
        <w:t>20</w:t>
      </w:r>
      <w:r>
        <w:rPr>
          <w:rFonts w:hint="eastAsia" w:ascii="仿宋_GB2312" w:hAnsi="Arial" w:eastAsia="仿宋_GB2312" w:cs="Arial"/>
          <w:color w:val="auto"/>
          <w:sz w:val="28"/>
          <w:szCs w:val="28"/>
          <w:highlight w:val="none"/>
        </w:rPr>
        <w:t>人（能提供相关的社保缴纳证明材料），其中仓库所在地专职人员不少于15人，中标人须派不少于</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名具有</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年以上工作经验的员工为采购方提供驻场支持，不少于</w:t>
      </w:r>
      <w:r>
        <w:rPr>
          <w:rFonts w:ascii="仿宋_GB2312" w:hAnsi="Arial" w:eastAsia="仿宋_GB2312" w:cs="Arial"/>
          <w:color w:val="auto"/>
          <w:sz w:val="28"/>
          <w:szCs w:val="28"/>
          <w:highlight w:val="none"/>
        </w:rPr>
        <w:t>3</w:t>
      </w:r>
      <w:r>
        <w:rPr>
          <w:rFonts w:hint="eastAsia" w:ascii="仿宋_GB2312" w:hAnsi="Arial" w:eastAsia="仿宋_GB2312" w:cs="Arial"/>
          <w:color w:val="auto"/>
          <w:sz w:val="28"/>
          <w:szCs w:val="28"/>
          <w:highlight w:val="none"/>
        </w:rPr>
        <w:t>名具有1年以上客服相关从业经验和专业技术能力的人员；系统运维及技术支持人员需具有</w:t>
      </w:r>
      <w:r>
        <w:rPr>
          <w:rFonts w:ascii="仿宋_GB2312" w:hAnsi="Arial" w:eastAsia="仿宋_GB2312" w:cs="Arial"/>
          <w:color w:val="auto"/>
          <w:sz w:val="28"/>
          <w:szCs w:val="28"/>
          <w:highlight w:val="none"/>
        </w:rPr>
        <w:t>1</w:t>
      </w:r>
      <w:r>
        <w:rPr>
          <w:rFonts w:hint="eastAsia" w:ascii="仿宋_GB2312" w:hAnsi="Arial" w:eastAsia="仿宋_GB2312" w:cs="Arial"/>
          <w:color w:val="auto"/>
          <w:sz w:val="28"/>
          <w:szCs w:val="28"/>
          <w:highlight w:val="none"/>
        </w:rPr>
        <w:t>年以上数据及统计相关经验和专业技术能力；项目经理需具有</w:t>
      </w:r>
      <w:r>
        <w:rPr>
          <w:rFonts w:ascii="仿宋_GB2312" w:hAnsi="Arial" w:eastAsia="仿宋_GB2312" w:cs="Arial"/>
          <w:color w:val="auto"/>
          <w:sz w:val="28"/>
          <w:szCs w:val="28"/>
          <w:highlight w:val="none"/>
        </w:rPr>
        <w:t>5</w:t>
      </w:r>
      <w:r>
        <w:rPr>
          <w:rFonts w:hint="eastAsia" w:ascii="仿宋_GB2312" w:hAnsi="Arial" w:eastAsia="仿宋_GB2312" w:cs="Arial"/>
          <w:color w:val="auto"/>
          <w:sz w:val="28"/>
          <w:szCs w:val="28"/>
          <w:highlight w:val="none"/>
        </w:rPr>
        <w:t>年以上相关项目运营经验，且不可兼职其他岗位。</w:t>
      </w:r>
      <w:r>
        <w:rPr>
          <w:rFonts w:ascii="仿宋_GB2312" w:hAnsi="Arial" w:eastAsia="仿宋_GB2312" w:cs="Arial"/>
          <w:color w:val="auto"/>
          <w:sz w:val="28"/>
          <w:szCs w:val="28"/>
          <w:highlight w:val="none"/>
        </w:rPr>
        <w:t>(</w:t>
      </w:r>
      <w:r>
        <w:rPr>
          <w:rFonts w:hint="eastAsia" w:ascii="仿宋_GB2312" w:hAnsi="Arial" w:eastAsia="仿宋_GB2312" w:cs="Arial"/>
          <w:color w:val="auto"/>
          <w:sz w:val="28"/>
          <w:szCs w:val="28"/>
          <w:highlight w:val="none"/>
        </w:rPr>
        <w:t>由投标人出具相关证明材料）</w:t>
      </w:r>
    </w:p>
    <w:p>
      <w:pPr>
        <w:snapToGrid w:val="0"/>
        <w:spacing w:line="420" w:lineRule="exact"/>
        <w:ind w:firstLine="560" w:firstLineChars="200"/>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12</w:t>
      </w:r>
      <w:r>
        <w:rPr>
          <w:rFonts w:hint="eastAsia" w:ascii="仿宋_GB2312" w:hAnsi="Arial" w:eastAsia="仿宋_GB2312" w:cs="Arial"/>
          <w:color w:val="000000"/>
          <w:sz w:val="28"/>
          <w:szCs w:val="28"/>
          <w:highlight w:val="none"/>
        </w:rPr>
        <w:t>、投标人应具有符合采购人工作要求的物流运输实力。</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color w:val="000000"/>
          <w:sz w:val="28"/>
          <w:szCs w:val="28"/>
          <w:highlight w:val="none"/>
        </w:rPr>
        <w:t>（</w:t>
      </w:r>
      <w:r>
        <w:rPr>
          <w:rFonts w:ascii="仿宋_GB2312" w:hAnsi="Arial" w:eastAsia="仿宋_GB2312" w:cs="Arial"/>
          <w:color w:val="000000"/>
          <w:sz w:val="28"/>
          <w:szCs w:val="28"/>
          <w:highlight w:val="none"/>
        </w:rPr>
        <w:t>1</w:t>
      </w:r>
      <w:r>
        <w:rPr>
          <w:rFonts w:hint="eastAsia" w:ascii="仿宋_GB2312" w:hAnsi="Arial" w:eastAsia="仿宋_GB2312" w:cs="Arial"/>
          <w:color w:val="000000"/>
          <w:sz w:val="28"/>
          <w:szCs w:val="28"/>
          <w:highlight w:val="none"/>
        </w:rPr>
        <w:t>）投标人应具有符合采购人工作要求的物流运输实力并提供相关证明材料；</w:t>
      </w:r>
    </w:p>
    <w:p>
      <w:pPr>
        <w:snapToGrid w:val="0"/>
        <w:spacing w:line="420" w:lineRule="exact"/>
        <w:ind w:firstLine="560" w:firstLineChars="200"/>
        <w:rPr>
          <w:rFonts w:ascii="仿宋_GB2312" w:hAnsi="Arial" w:eastAsia="仿宋_GB2312" w:cs="Arial"/>
          <w:color w:val="000000"/>
          <w:sz w:val="28"/>
          <w:szCs w:val="28"/>
          <w:highlight w:val="none"/>
        </w:rPr>
      </w:pPr>
      <w:r>
        <w:rPr>
          <w:rFonts w:hint="eastAsia" w:ascii="仿宋_GB2312" w:hAnsi="Arial" w:eastAsia="仿宋_GB2312" w:cs="Arial"/>
          <w:b w:val="0"/>
          <w:bCs w:val="0"/>
          <w:color w:val="000000"/>
          <w:sz w:val="28"/>
          <w:szCs w:val="28"/>
          <w:highlight w:val="none"/>
        </w:rPr>
        <w:t>（</w:t>
      </w:r>
      <w:r>
        <w:rPr>
          <w:rFonts w:ascii="仿宋_GB2312" w:hAnsi="Arial" w:eastAsia="仿宋_GB2312" w:cs="Arial"/>
          <w:b w:val="0"/>
          <w:bCs w:val="0"/>
          <w:color w:val="000000"/>
          <w:sz w:val="28"/>
          <w:szCs w:val="28"/>
          <w:highlight w:val="none"/>
        </w:rPr>
        <w:t>2</w:t>
      </w:r>
      <w:r>
        <w:rPr>
          <w:rFonts w:hint="eastAsia" w:ascii="仿宋_GB2312" w:hAnsi="Arial" w:eastAsia="仿宋_GB2312" w:cs="Arial"/>
          <w:b w:val="0"/>
          <w:bCs w:val="0"/>
          <w:color w:val="000000"/>
          <w:sz w:val="28"/>
          <w:szCs w:val="28"/>
          <w:highlight w:val="none"/>
        </w:rPr>
        <w:t>）投标人若采用物流外包方式，须提供签订外包业务协议的承诺书，系统</w:t>
      </w:r>
      <w:r>
        <w:rPr>
          <w:rFonts w:hint="eastAsia" w:ascii="仿宋_GB2312" w:hAnsi="Arial" w:eastAsia="仿宋_GB2312" w:cs="Arial"/>
          <w:color w:val="000000"/>
          <w:sz w:val="28"/>
          <w:szCs w:val="28"/>
          <w:highlight w:val="none"/>
        </w:rPr>
        <w:t>启动前应提供该项目外包业务协议、该单位有效的《企业营业执照》副本复印件和相关证明材料。</w:t>
      </w:r>
    </w:p>
    <w:p>
      <w:pPr>
        <w:snapToGrid w:val="0"/>
        <w:spacing w:line="420" w:lineRule="exact"/>
        <w:ind w:firstLine="560" w:firstLineChars="200"/>
        <w:rPr>
          <w:rFonts w:ascii="仿宋_GB2312" w:hAnsi="Arial" w:eastAsia="仿宋_GB2312" w:cs="Arial"/>
          <w:color w:val="000000"/>
          <w:sz w:val="28"/>
          <w:szCs w:val="28"/>
          <w:highlight w:val="none"/>
        </w:rPr>
      </w:pPr>
      <w:r>
        <w:rPr>
          <w:rFonts w:ascii="仿宋_GB2312" w:hAnsi="Arial" w:eastAsia="仿宋_GB2312" w:cs="Arial"/>
          <w:color w:val="000000"/>
          <w:sz w:val="28"/>
          <w:szCs w:val="28"/>
          <w:highlight w:val="none"/>
        </w:rPr>
        <w:t>13</w:t>
      </w:r>
      <w:r>
        <w:rPr>
          <w:rFonts w:hint="eastAsia" w:ascii="仿宋_GB2312" w:hAnsi="Arial" w:eastAsia="仿宋_GB2312" w:cs="Arial"/>
          <w:color w:val="000000"/>
          <w:sz w:val="28"/>
          <w:szCs w:val="28"/>
          <w:highlight w:val="none"/>
        </w:rPr>
        <w:t>、投标人应对采购人的数据和信息负有保密义务作出承诺，中标后与采购人签订保密协议。</w:t>
      </w:r>
    </w:p>
    <w:p>
      <w:pPr>
        <w:snapToGrid w:val="0"/>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参考数据</w:t>
      </w:r>
    </w:p>
    <w:p>
      <w:pPr>
        <w:pStyle w:val="53"/>
        <w:spacing w:before="0" w:beforeAutospacing="0" w:after="0" w:afterAutospacing="0" w:line="420" w:lineRule="exact"/>
        <w:ind w:firstLine="480"/>
        <w:rPr>
          <w:rFonts w:ascii="仿宋_GB2312" w:hAnsi="Arial" w:eastAsia="仿宋_GB2312" w:cs="Arial"/>
          <w:color w:val="000000"/>
          <w:kern w:val="2"/>
          <w:sz w:val="28"/>
          <w:szCs w:val="28"/>
        </w:rPr>
      </w:pPr>
      <w:r>
        <w:rPr>
          <w:rFonts w:hint="eastAsia" w:ascii="仿宋_GB2312" w:hAnsi="Arial" w:eastAsia="仿宋_GB2312" w:cs="Arial"/>
          <w:color w:val="000000"/>
          <w:kern w:val="2"/>
          <w:sz w:val="28"/>
          <w:szCs w:val="28"/>
        </w:rPr>
        <w:t>（1）即开票参数（若后续工作中有参数规格更改，更改后包装参数为准）</w:t>
      </w:r>
    </w:p>
    <w:p>
      <w:pPr>
        <w:pStyle w:val="53"/>
        <w:spacing w:before="0" w:beforeAutospacing="0" w:after="0" w:afterAutospacing="0" w:line="420" w:lineRule="exact"/>
        <w:rPr>
          <w:rFonts w:cs="Times New Roman"/>
          <w:color w:val="000000"/>
        </w:rPr>
      </w:pPr>
    </w:p>
    <w:tbl>
      <w:tblPr>
        <w:tblStyle w:val="5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23"/>
        <w:gridCol w:w="1015"/>
        <w:gridCol w:w="886"/>
        <w:gridCol w:w="709"/>
        <w:gridCol w:w="851"/>
        <w:gridCol w:w="992"/>
        <w:gridCol w:w="1276"/>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56" w:type="dxa"/>
            <w:gridSpan w:val="10"/>
            <w:vMerge w:val="restart"/>
            <w:vAlign w:val="center"/>
          </w:tcPr>
          <w:p>
            <w:pPr>
              <w:spacing w:line="420" w:lineRule="exact"/>
              <w:jc w:val="center"/>
              <w:rPr>
                <w:rFonts w:ascii="仿宋" w:hAnsi="仿宋" w:eastAsia="仿宋" w:cs="仿宋"/>
                <w:b/>
                <w:bCs/>
                <w:sz w:val="32"/>
                <w:szCs w:val="32"/>
              </w:rPr>
            </w:pPr>
            <w:r>
              <w:rPr>
                <w:rFonts w:hint="eastAsia" w:ascii="仿宋" w:hAnsi="仿宋" w:eastAsia="仿宋" w:cs="仿宋"/>
                <w:b/>
                <w:bCs/>
                <w:sz w:val="32"/>
                <w:szCs w:val="32"/>
              </w:rPr>
              <w:t>即 开 票 包 装 参 数 （常规包装）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56" w:type="dxa"/>
            <w:gridSpan w:val="10"/>
            <w:vMerge w:val="continue"/>
            <w:vAlign w:val="center"/>
          </w:tcPr>
          <w:p>
            <w:pPr>
              <w:spacing w:line="420" w:lineRule="exact"/>
              <w:jc w:val="center"/>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Merge w:val="restart"/>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面值</w:t>
            </w:r>
          </w:p>
        </w:tc>
        <w:tc>
          <w:tcPr>
            <w:tcW w:w="2624" w:type="dxa"/>
            <w:gridSpan w:val="3"/>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每包参数</w:t>
            </w:r>
          </w:p>
        </w:tc>
        <w:tc>
          <w:tcPr>
            <w:tcW w:w="5954" w:type="dxa"/>
            <w:gridSpan w:val="6"/>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每箱参数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778" w:type="dxa"/>
            <w:vMerge w:val="continue"/>
            <w:vAlign w:val="center"/>
          </w:tcPr>
          <w:p>
            <w:pPr>
              <w:spacing w:line="420" w:lineRule="exact"/>
              <w:jc w:val="center"/>
              <w:rPr>
                <w:rFonts w:ascii="仿宋" w:hAnsi="仿宋" w:eastAsia="仿宋" w:cs="仿宋"/>
                <w:b/>
                <w:bCs/>
                <w:sz w:val="24"/>
              </w:rPr>
            </w:pPr>
          </w:p>
        </w:tc>
        <w:tc>
          <w:tcPr>
            <w:tcW w:w="723"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张数</w:t>
            </w:r>
          </w:p>
        </w:tc>
        <w:tc>
          <w:tcPr>
            <w:tcW w:w="1015"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金额（元）</w:t>
            </w:r>
          </w:p>
        </w:tc>
        <w:tc>
          <w:tcPr>
            <w:tcW w:w="886"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包重量（g）</w:t>
            </w:r>
          </w:p>
        </w:tc>
        <w:tc>
          <w:tcPr>
            <w:tcW w:w="709"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包数</w:t>
            </w:r>
          </w:p>
        </w:tc>
        <w:tc>
          <w:tcPr>
            <w:tcW w:w="851"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张数</w:t>
            </w:r>
          </w:p>
        </w:tc>
        <w:tc>
          <w:tcPr>
            <w:tcW w:w="992"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金额（元）</w:t>
            </w:r>
          </w:p>
        </w:tc>
        <w:tc>
          <w:tcPr>
            <w:tcW w:w="1276"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尺寸（CM）</w:t>
            </w:r>
          </w:p>
        </w:tc>
        <w:tc>
          <w:tcPr>
            <w:tcW w:w="992"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包装箱重（g）</w:t>
            </w:r>
          </w:p>
        </w:tc>
        <w:tc>
          <w:tcPr>
            <w:tcW w:w="1134" w:type="dxa"/>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整体箱重（g）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2元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336</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50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15000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50*23*27</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590</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17390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3元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200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277</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40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8000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24000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34*33*22</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474</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11554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5元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120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278</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50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34*33*28</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485</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10元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60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208</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50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48*22*18</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448</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20元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30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140</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50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1500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25*22*22</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335</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7335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30元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20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2000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60000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34*23*22</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474</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78" w:type="dxa"/>
            <w:vAlign w:val="center"/>
          </w:tcPr>
          <w:p>
            <w:pPr>
              <w:spacing w:line="420" w:lineRule="exact"/>
              <w:jc w:val="center"/>
              <w:rPr>
                <w:rFonts w:ascii="仿宋" w:hAnsi="仿宋" w:eastAsia="仿宋" w:cs="仿宋"/>
                <w:sz w:val="24"/>
              </w:rPr>
            </w:pPr>
            <w:r>
              <w:rPr>
                <w:rFonts w:hint="eastAsia" w:ascii="仿宋" w:hAnsi="仿宋" w:eastAsia="仿宋" w:cs="仿宋"/>
                <w:sz w:val="24"/>
              </w:rPr>
              <w:t>50元</w:t>
            </w:r>
          </w:p>
        </w:tc>
        <w:tc>
          <w:tcPr>
            <w:tcW w:w="723" w:type="dxa"/>
            <w:vAlign w:val="center"/>
          </w:tcPr>
          <w:p>
            <w:pPr>
              <w:spacing w:line="420" w:lineRule="exact"/>
              <w:jc w:val="center"/>
              <w:rPr>
                <w:rFonts w:ascii="仿宋" w:hAnsi="仿宋" w:eastAsia="仿宋" w:cs="仿宋"/>
                <w:sz w:val="24"/>
              </w:rPr>
            </w:pPr>
            <w:r>
              <w:rPr>
                <w:rFonts w:hint="eastAsia" w:ascii="仿宋" w:hAnsi="仿宋" w:eastAsia="仿宋" w:cs="仿宋"/>
                <w:sz w:val="24"/>
              </w:rPr>
              <w:t>20</w:t>
            </w:r>
          </w:p>
        </w:tc>
        <w:tc>
          <w:tcPr>
            <w:tcW w:w="1015" w:type="dxa"/>
            <w:vAlign w:val="center"/>
          </w:tcPr>
          <w:p>
            <w:pPr>
              <w:spacing w:line="420" w:lineRule="exact"/>
              <w:jc w:val="center"/>
              <w:rPr>
                <w:rFonts w:ascii="仿宋" w:hAnsi="仿宋" w:eastAsia="仿宋" w:cs="仿宋"/>
                <w:sz w:val="24"/>
              </w:rPr>
            </w:pPr>
            <w:r>
              <w:rPr>
                <w:rFonts w:hint="eastAsia" w:ascii="仿宋" w:hAnsi="仿宋" w:eastAsia="仿宋" w:cs="仿宋"/>
                <w:sz w:val="24"/>
              </w:rPr>
              <w:t>1000</w:t>
            </w:r>
          </w:p>
        </w:tc>
        <w:tc>
          <w:tcPr>
            <w:tcW w:w="886" w:type="dxa"/>
            <w:vAlign w:val="center"/>
          </w:tcPr>
          <w:p>
            <w:pPr>
              <w:spacing w:line="420" w:lineRule="exact"/>
              <w:jc w:val="center"/>
              <w:rPr>
                <w:rFonts w:ascii="仿宋" w:hAnsi="仿宋" w:eastAsia="仿宋" w:cs="仿宋"/>
                <w:sz w:val="24"/>
              </w:rPr>
            </w:pPr>
            <w:r>
              <w:rPr>
                <w:rFonts w:hint="eastAsia" w:ascii="仿宋" w:hAnsi="仿宋" w:eastAsia="仿宋" w:cs="仿宋"/>
                <w:sz w:val="24"/>
              </w:rPr>
              <w:t>278</w:t>
            </w:r>
          </w:p>
        </w:tc>
        <w:tc>
          <w:tcPr>
            <w:tcW w:w="709" w:type="dxa"/>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851" w:type="dxa"/>
            <w:vAlign w:val="center"/>
          </w:tcPr>
          <w:p>
            <w:pPr>
              <w:spacing w:line="420" w:lineRule="exact"/>
              <w:jc w:val="center"/>
              <w:rPr>
                <w:rFonts w:ascii="仿宋" w:hAnsi="仿宋" w:eastAsia="仿宋" w:cs="仿宋"/>
                <w:sz w:val="24"/>
              </w:rPr>
            </w:pPr>
            <w:r>
              <w:rPr>
                <w:rFonts w:hint="eastAsia" w:ascii="仿宋" w:hAnsi="仿宋" w:eastAsia="仿宋" w:cs="仿宋"/>
                <w:sz w:val="24"/>
              </w:rPr>
              <w:t>2000</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100000</w:t>
            </w:r>
          </w:p>
        </w:tc>
        <w:tc>
          <w:tcPr>
            <w:tcW w:w="1276" w:type="dxa"/>
            <w:vAlign w:val="center"/>
          </w:tcPr>
          <w:p>
            <w:pPr>
              <w:spacing w:line="420" w:lineRule="exact"/>
              <w:jc w:val="center"/>
              <w:rPr>
                <w:rFonts w:ascii="仿宋" w:hAnsi="仿宋" w:eastAsia="仿宋" w:cs="仿宋"/>
                <w:sz w:val="24"/>
              </w:rPr>
            </w:pPr>
            <w:r>
              <w:rPr>
                <w:rFonts w:hint="eastAsia" w:ascii="仿宋" w:hAnsi="仿宋" w:eastAsia="仿宋" w:cs="仿宋"/>
                <w:sz w:val="24"/>
              </w:rPr>
              <w:t>34*33*28</w:t>
            </w:r>
          </w:p>
        </w:tc>
        <w:tc>
          <w:tcPr>
            <w:tcW w:w="992" w:type="dxa"/>
            <w:vAlign w:val="center"/>
          </w:tcPr>
          <w:p>
            <w:pPr>
              <w:spacing w:line="420" w:lineRule="exact"/>
              <w:jc w:val="center"/>
              <w:rPr>
                <w:rFonts w:ascii="仿宋" w:hAnsi="仿宋" w:eastAsia="仿宋" w:cs="仿宋"/>
                <w:sz w:val="24"/>
              </w:rPr>
            </w:pPr>
            <w:r>
              <w:rPr>
                <w:rFonts w:hint="eastAsia" w:ascii="仿宋" w:hAnsi="仿宋" w:eastAsia="仿宋" w:cs="仿宋"/>
                <w:sz w:val="24"/>
              </w:rPr>
              <w:t>485</w:t>
            </w:r>
          </w:p>
        </w:tc>
        <w:tc>
          <w:tcPr>
            <w:tcW w:w="1134" w:type="dxa"/>
            <w:vAlign w:val="center"/>
          </w:tcPr>
          <w:p>
            <w:pPr>
              <w:spacing w:line="420" w:lineRule="exact"/>
              <w:jc w:val="center"/>
              <w:rPr>
                <w:rFonts w:ascii="仿宋" w:hAnsi="仿宋" w:eastAsia="仿宋" w:cs="仿宋"/>
                <w:sz w:val="24"/>
              </w:rPr>
            </w:pPr>
            <w:r>
              <w:rPr>
                <w:rFonts w:hint="eastAsia" w:ascii="仿宋" w:hAnsi="仿宋" w:eastAsia="仿宋" w:cs="仿宋"/>
                <w:sz w:val="24"/>
              </w:rPr>
              <w:t>14385</w:t>
            </w:r>
          </w:p>
        </w:tc>
      </w:tr>
    </w:tbl>
    <w:p>
      <w:pPr>
        <w:pStyle w:val="208"/>
        <w:snapToGrid w:val="0"/>
        <w:spacing w:line="420" w:lineRule="exact"/>
        <w:ind w:left="420" w:firstLine="0" w:firstLineChars="0"/>
        <w:jc w:val="left"/>
        <w:rPr>
          <w:rFonts w:ascii="仿宋" w:hAnsi="仿宋" w:eastAsia="仿宋" w:cs="仿宋"/>
          <w:b/>
          <w:sz w:val="24"/>
        </w:rPr>
      </w:pPr>
    </w:p>
    <w:tbl>
      <w:tblPr>
        <w:tblStyle w:val="59"/>
        <w:tblW w:w="9356" w:type="dxa"/>
        <w:tblInd w:w="108" w:type="dxa"/>
        <w:tblLayout w:type="fixed"/>
        <w:tblCellMar>
          <w:top w:w="0" w:type="dxa"/>
          <w:left w:w="108" w:type="dxa"/>
          <w:bottom w:w="0" w:type="dxa"/>
          <w:right w:w="108" w:type="dxa"/>
        </w:tblCellMar>
      </w:tblPr>
      <w:tblGrid>
        <w:gridCol w:w="709"/>
        <w:gridCol w:w="709"/>
        <w:gridCol w:w="1134"/>
        <w:gridCol w:w="850"/>
        <w:gridCol w:w="709"/>
        <w:gridCol w:w="851"/>
        <w:gridCol w:w="992"/>
        <w:gridCol w:w="1417"/>
        <w:gridCol w:w="851"/>
        <w:gridCol w:w="1134"/>
      </w:tblGrid>
      <w:tr>
        <w:tblPrEx>
          <w:tblCellMar>
            <w:top w:w="0" w:type="dxa"/>
            <w:left w:w="108" w:type="dxa"/>
            <w:bottom w:w="0" w:type="dxa"/>
            <w:right w:w="108" w:type="dxa"/>
          </w:tblCellMar>
        </w:tblPrEx>
        <w:trPr>
          <w:trHeight w:val="624" w:hRule="atLeast"/>
        </w:trPr>
        <w:tc>
          <w:tcPr>
            <w:tcW w:w="9356" w:type="dxa"/>
            <w:gridSpan w:val="10"/>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32"/>
                <w:szCs w:val="32"/>
              </w:rPr>
            </w:pPr>
            <w:r>
              <w:rPr>
                <w:rFonts w:hint="eastAsia" w:ascii="仿宋" w:hAnsi="仿宋" w:eastAsia="仿宋" w:cs="仿宋"/>
                <w:b/>
                <w:bCs/>
                <w:sz w:val="32"/>
                <w:szCs w:val="32"/>
              </w:rPr>
              <w:t>即 开 票 包 装 参 数 （300元小包装）</w:t>
            </w:r>
          </w:p>
        </w:tc>
      </w:tr>
      <w:tr>
        <w:tblPrEx>
          <w:tblCellMar>
            <w:top w:w="0" w:type="dxa"/>
            <w:left w:w="108" w:type="dxa"/>
            <w:bottom w:w="0" w:type="dxa"/>
            <w:right w:w="108" w:type="dxa"/>
          </w:tblCellMar>
        </w:tblPrEx>
        <w:trPr>
          <w:trHeight w:val="375" w:hRule="atLeast"/>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面值</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每包参数</w:t>
            </w:r>
          </w:p>
        </w:tc>
        <w:tc>
          <w:tcPr>
            <w:tcW w:w="5954" w:type="dxa"/>
            <w:gridSpan w:val="6"/>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每箱参数</w:t>
            </w:r>
          </w:p>
        </w:tc>
      </w:tr>
      <w:tr>
        <w:tblPrEx>
          <w:tblCellMar>
            <w:top w:w="0" w:type="dxa"/>
            <w:left w:w="108" w:type="dxa"/>
            <w:bottom w:w="0" w:type="dxa"/>
            <w:right w:w="108" w:type="dxa"/>
          </w:tblCellMar>
        </w:tblPrEx>
        <w:trPr>
          <w:trHeight w:val="1200"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仿宋" w:hAnsi="仿宋" w:eastAsia="仿宋" w:cs="仿宋"/>
                <w:b/>
                <w:bCs/>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张数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金额（元）</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包重量（g）</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包数</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张数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金额（元）</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尺寸（CM）</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包装箱重（g）</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b/>
                <w:bCs/>
                <w:sz w:val="24"/>
              </w:rPr>
            </w:pPr>
            <w:r>
              <w:rPr>
                <w:rFonts w:hint="eastAsia" w:ascii="仿宋" w:hAnsi="仿宋" w:eastAsia="仿宋" w:cs="仿宋"/>
                <w:b/>
                <w:bCs/>
                <w:sz w:val="24"/>
              </w:rPr>
              <w:t>整体箱重（g）</w:t>
            </w:r>
          </w:p>
        </w:tc>
      </w:tr>
      <w:tr>
        <w:tblPrEx>
          <w:tblCellMar>
            <w:top w:w="0" w:type="dxa"/>
            <w:left w:w="108" w:type="dxa"/>
            <w:bottom w:w="0" w:type="dxa"/>
            <w:right w:w="108"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2元</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150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169</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50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7500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15000</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40*21.5*16</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360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8810</w:t>
            </w:r>
          </w:p>
        </w:tc>
      </w:tr>
      <w:tr>
        <w:tblPrEx>
          <w:tblCellMar>
            <w:top w:w="0" w:type="dxa"/>
            <w:left w:w="108" w:type="dxa"/>
            <w:bottom w:w="0" w:type="dxa"/>
            <w:right w:w="108"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3元</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139</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10000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33*21.5*33</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526</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14426</w:t>
            </w:r>
          </w:p>
        </w:tc>
      </w:tr>
      <w:tr>
        <w:tblPrEx>
          <w:tblCellMar>
            <w:top w:w="0" w:type="dxa"/>
            <w:left w:w="108" w:type="dxa"/>
            <w:bottom w:w="0" w:type="dxa"/>
            <w:right w:w="108"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5元</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60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139</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6000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48*21*21</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520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14420</w:t>
            </w:r>
          </w:p>
        </w:tc>
      </w:tr>
      <w:tr>
        <w:tblPrEx>
          <w:tblCellMar>
            <w:top w:w="0" w:type="dxa"/>
            <w:left w:w="108" w:type="dxa"/>
            <w:bottom w:w="0" w:type="dxa"/>
            <w:right w:w="108"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10元</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100</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30000</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48*21.5*16</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420</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20" w:lineRule="exact"/>
              <w:jc w:val="center"/>
              <w:rPr>
                <w:rFonts w:ascii="仿宋" w:hAnsi="仿宋" w:eastAsia="仿宋" w:cs="仿宋"/>
                <w:sz w:val="24"/>
              </w:rPr>
            </w:pPr>
            <w:r>
              <w:rPr>
                <w:rFonts w:hint="eastAsia" w:ascii="仿宋" w:hAnsi="仿宋" w:eastAsia="仿宋" w:cs="仿宋"/>
                <w:sz w:val="24"/>
              </w:rPr>
              <w:t>10820</w:t>
            </w:r>
          </w:p>
        </w:tc>
      </w:tr>
    </w:tbl>
    <w:p>
      <w:pPr>
        <w:pStyle w:val="53"/>
        <w:spacing w:before="0" w:beforeAutospacing="0" w:after="0" w:afterAutospacing="0" w:line="420" w:lineRule="exact"/>
        <w:rPr>
          <w:rFonts w:cs="Times New Roman"/>
          <w:color w:val="000000"/>
        </w:rPr>
      </w:pPr>
    </w:p>
    <w:p>
      <w:pPr>
        <w:snapToGrid w:val="0"/>
        <w:spacing w:line="420" w:lineRule="exact"/>
        <w:rPr>
          <w:rFonts w:ascii="仿宋_GB2312" w:hAnsi="Arial" w:eastAsia="仿宋_GB2312" w:cs="Arial"/>
          <w:color w:val="000000"/>
          <w:sz w:val="28"/>
          <w:szCs w:val="28"/>
        </w:rPr>
      </w:pPr>
      <w:r>
        <w:rPr>
          <w:rFonts w:hint="eastAsia" w:ascii="仿宋_GB2312" w:hAnsi="Arial" w:eastAsia="仿宋_GB2312" w:cs="Arial"/>
          <w:color w:val="000000"/>
          <w:sz w:val="28"/>
          <w:szCs w:val="28"/>
        </w:rPr>
        <w:t>（2）2021、2022及2023年度浙江省即开票销量等</w:t>
      </w:r>
    </w:p>
    <w:p>
      <w:pPr>
        <w:snapToGrid w:val="0"/>
        <w:spacing w:line="420" w:lineRule="exact"/>
        <w:ind w:firstLine="560" w:firstLineChars="200"/>
        <w:rPr>
          <w:rFonts w:hint="eastAsia" w:ascii="仿宋_GB2312" w:hAnsi="Arial" w:eastAsia="仿宋_GB2312" w:cs="Arial"/>
          <w:color w:val="000000"/>
          <w:sz w:val="28"/>
          <w:szCs w:val="28"/>
        </w:rPr>
      </w:pPr>
      <w:r>
        <w:rPr>
          <w:rFonts w:hint="eastAsia" w:ascii="仿宋_GB2312" w:hAnsi="Arial" w:eastAsia="仿宋_GB2312" w:cs="Arial"/>
          <w:color w:val="000000"/>
          <w:sz w:val="28"/>
          <w:szCs w:val="28"/>
        </w:rPr>
        <w:t>2021年度浙江省即开票销量为19.9亿元：高效仓库向实体店配送即开票19.5亿元、即开票包裹41万件。向指定库房配送即开票1.3亿元、即开票包裹0.4万件。</w:t>
      </w:r>
    </w:p>
    <w:p>
      <w:pPr>
        <w:snapToGrid w:val="0"/>
        <w:spacing w:line="420" w:lineRule="exact"/>
        <w:ind w:firstLine="560" w:firstLineChars="200"/>
        <w:rPr>
          <w:rFonts w:hint="eastAsia" w:ascii="仿宋_GB2312" w:hAnsi="Arial" w:eastAsia="仿宋_GB2312" w:cs="Arial"/>
          <w:color w:val="000000"/>
          <w:sz w:val="28"/>
          <w:szCs w:val="28"/>
        </w:rPr>
      </w:pPr>
      <w:r>
        <w:rPr>
          <w:rFonts w:hint="eastAsia" w:ascii="仿宋_GB2312" w:hAnsi="Arial" w:eastAsia="仿宋_GB2312" w:cs="Arial"/>
          <w:color w:val="000000"/>
          <w:sz w:val="28"/>
          <w:szCs w:val="28"/>
        </w:rPr>
        <w:t>2022年度浙江省即开票销量为26.2亿：高效仓库向实体店配送即开票22.5亿元、即开票包裹41.9万件。向指定库房配送即开票2亿元、即开票包裹0.8万件。</w:t>
      </w:r>
    </w:p>
    <w:p>
      <w:pPr>
        <w:snapToGrid w:val="0"/>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2023年度浙江省即开票销量为48.6亿元：高效仓库向实体店配送即开票41.5亿元、即开票包裹69.4万件。向指定库房配送即开票4.3亿元、即开票包裹1.1万件。</w:t>
      </w:r>
    </w:p>
    <w:p>
      <w:pPr>
        <w:spacing w:line="420" w:lineRule="exact"/>
        <w:ind w:firstLine="565" w:firstLineChars="202"/>
        <w:rPr>
          <w:rFonts w:ascii="仿宋_GB2312" w:hAnsi="Arial" w:eastAsia="仿宋_GB2312" w:cs="Arial"/>
          <w:color w:val="000000"/>
          <w:sz w:val="28"/>
          <w:szCs w:val="28"/>
        </w:rPr>
      </w:pPr>
      <w:r>
        <w:rPr>
          <w:rFonts w:hint="eastAsia" w:ascii="仿宋_GB2312" w:hAnsi="Arial" w:eastAsia="仿宋_GB2312" w:cs="Arial"/>
          <w:color w:val="000000"/>
          <w:sz w:val="28"/>
          <w:szCs w:val="28"/>
        </w:rPr>
        <w:t>1</w:t>
      </w:r>
      <w:r>
        <w:rPr>
          <w:rFonts w:ascii="仿宋_GB2312" w:hAnsi="Arial" w:eastAsia="仿宋_GB2312" w:cs="Arial"/>
          <w:color w:val="000000"/>
          <w:sz w:val="28"/>
          <w:szCs w:val="28"/>
        </w:rPr>
        <w:t>6</w:t>
      </w:r>
      <w:r>
        <w:rPr>
          <w:rFonts w:hint="eastAsia" w:ascii="仿宋_GB2312" w:hAnsi="Arial" w:eastAsia="仿宋_GB2312" w:cs="Arial"/>
          <w:color w:val="000000"/>
          <w:sz w:val="28"/>
          <w:szCs w:val="28"/>
        </w:rPr>
        <w:t>、本项目不接受进口产品投标，不接受联合体投标。</w:t>
      </w:r>
    </w:p>
    <w:p>
      <w:pPr>
        <w:spacing w:line="420" w:lineRule="exact"/>
        <w:ind w:firstLine="565" w:firstLineChars="202"/>
        <w:rPr>
          <w:rFonts w:ascii="仿宋_GB2312" w:hAnsi="Arial" w:eastAsia="仿宋_GB2312" w:cs="Arial"/>
          <w:color w:val="000000"/>
          <w:sz w:val="28"/>
          <w:szCs w:val="28"/>
        </w:rPr>
      </w:pPr>
      <w:r>
        <w:rPr>
          <w:rFonts w:hint="eastAsia" w:ascii="仿宋_GB2312" w:hAnsi="Arial" w:eastAsia="仿宋_GB2312" w:cs="Arial"/>
          <w:color w:val="000000"/>
          <w:sz w:val="28"/>
          <w:szCs w:val="28"/>
        </w:rPr>
        <w:t>1</w:t>
      </w:r>
      <w:r>
        <w:rPr>
          <w:rFonts w:ascii="仿宋_GB2312" w:hAnsi="Arial" w:eastAsia="仿宋_GB2312" w:cs="Arial"/>
          <w:color w:val="000000"/>
          <w:sz w:val="28"/>
          <w:szCs w:val="28"/>
        </w:rPr>
        <w:t>7</w:t>
      </w:r>
      <w:r>
        <w:rPr>
          <w:rFonts w:hint="eastAsia" w:ascii="仿宋_GB2312" w:hAnsi="Arial" w:eastAsia="仿宋_GB2312" w:cs="Arial"/>
          <w:color w:val="000000"/>
          <w:sz w:val="28"/>
          <w:szCs w:val="28"/>
        </w:rPr>
        <w:t>、采购标的对应的中小企业划分标准所属行业一览表</w:t>
      </w:r>
    </w:p>
    <w:tbl>
      <w:tblPr>
        <w:tblStyle w:val="59"/>
        <w:tblW w:w="6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5"/>
        <w:gridCol w:w="3291"/>
        <w:gridCol w:w="2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545" w:type="dxa"/>
            <w:vAlign w:val="center"/>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序号</w:t>
            </w:r>
          </w:p>
        </w:tc>
        <w:tc>
          <w:tcPr>
            <w:tcW w:w="3291" w:type="dxa"/>
            <w:vAlign w:val="center"/>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采购</w:t>
            </w:r>
            <w:r>
              <w:rPr>
                <w:rFonts w:ascii="仿宋_GB2312" w:hAnsi="Arial" w:eastAsia="仿宋_GB2312" w:cs="Arial"/>
                <w:color w:val="000000"/>
                <w:sz w:val="28"/>
                <w:szCs w:val="28"/>
              </w:rPr>
              <w:t>标的</w:t>
            </w:r>
          </w:p>
        </w:tc>
        <w:tc>
          <w:tcPr>
            <w:tcW w:w="2852" w:type="dxa"/>
            <w:vAlign w:val="center"/>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对应中</w:t>
            </w:r>
            <w:r>
              <w:rPr>
                <w:rFonts w:ascii="仿宋_GB2312" w:hAnsi="Arial" w:eastAsia="仿宋_GB2312" w:cs="Arial"/>
                <w:color w:val="000000"/>
                <w:sz w:val="28"/>
                <w:szCs w:val="28"/>
              </w:rPr>
              <w:t>小企业划分标准所属行业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1" w:hRule="atLeast"/>
          <w:jc w:val="center"/>
        </w:trPr>
        <w:tc>
          <w:tcPr>
            <w:tcW w:w="545" w:type="dxa"/>
            <w:vAlign w:val="top"/>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1</w:t>
            </w:r>
          </w:p>
        </w:tc>
        <w:tc>
          <w:tcPr>
            <w:tcW w:w="3291" w:type="dxa"/>
            <w:vAlign w:val="top"/>
          </w:tcPr>
          <w:p>
            <w:pPr>
              <w:spacing w:line="420" w:lineRule="exact"/>
              <w:jc w:val="center"/>
              <w:rPr>
                <w:rFonts w:ascii="仿宋_GB2312" w:hAnsi="Arial" w:eastAsia="仿宋_GB2312" w:cs="Arial"/>
                <w:color w:val="000000"/>
                <w:sz w:val="28"/>
                <w:szCs w:val="28"/>
              </w:rPr>
            </w:pPr>
            <w:r>
              <w:rPr>
                <w:rFonts w:ascii="仿宋_GB2312" w:hAnsi="Arial" w:eastAsia="仿宋_GB2312" w:cs="Arial"/>
                <w:color w:val="000000"/>
                <w:sz w:val="28"/>
                <w:szCs w:val="28"/>
              </w:rPr>
              <w:t>即开彩票高效运营系统服务</w:t>
            </w:r>
          </w:p>
        </w:tc>
        <w:tc>
          <w:tcPr>
            <w:tcW w:w="2852" w:type="dxa"/>
            <w:vAlign w:val="top"/>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lang w:eastAsia="zh-CN"/>
              </w:rPr>
              <w:t>交通运输</w:t>
            </w:r>
            <w:r>
              <w:rPr>
                <w:rFonts w:hint="eastAsia" w:ascii="仿宋_GB2312" w:hAnsi="Arial" w:eastAsia="仿宋_GB2312" w:cs="Arial"/>
                <w:color w:val="000000"/>
                <w:sz w:val="28"/>
                <w:szCs w:val="28"/>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5" w:hRule="atLeast"/>
          <w:jc w:val="center"/>
        </w:trPr>
        <w:tc>
          <w:tcPr>
            <w:tcW w:w="545" w:type="dxa"/>
            <w:vAlign w:val="top"/>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2</w:t>
            </w:r>
          </w:p>
        </w:tc>
        <w:tc>
          <w:tcPr>
            <w:tcW w:w="3291" w:type="dxa"/>
            <w:vAlign w:val="top"/>
          </w:tcPr>
          <w:p>
            <w:pPr>
              <w:spacing w:line="420" w:lineRule="exact"/>
              <w:jc w:val="center"/>
              <w:rPr>
                <w:rFonts w:ascii="仿宋_GB2312" w:hAnsi="Arial" w:eastAsia="仿宋_GB2312" w:cs="Arial"/>
                <w:color w:val="000000"/>
                <w:sz w:val="28"/>
                <w:szCs w:val="28"/>
              </w:rPr>
            </w:pPr>
          </w:p>
        </w:tc>
        <w:tc>
          <w:tcPr>
            <w:tcW w:w="2852" w:type="dxa"/>
            <w:vAlign w:val="top"/>
          </w:tcPr>
          <w:p>
            <w:pPr>
              <w:spacing w:line="420" w:lineRule="exact"/>
              <w:jc w:val="center"/>
              <w:rPr>
                <w:rFonts w:ascii="仿宋_GB2312" w:hAnsi="Arial" w:eastAsia="仿宋_GB2312" w:cs="Arial"/>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2" w:hRule="atLeast"/>
          <w:jc w:val="center"/>
        </w:trPr>
        <w:tc>
          <w:tcPr>
            <w:tcW w:w="545" w:type="dxa"/>
            <w:vAlign w:val="top"/>
          </w:tcPr>
          <w:p>
            <w:pPr>
              <w:spacing w:line="420" w:lineRule="exact"/>
              <w:jc w:val="center"/>
              <w:rPr>
                <w:rFonts w:ascii="仿宋_GB2312" w:hAnsi="Arial" w:eastAsia="仿宋_GB2312" w:cs="Arial"/>
                <w:color w:val="000000"/>
                <w:sz w:val="28"/>
                <w:szCs w:val="28"/>
              </w:rPr>
            </w:pPr>
            <w:r>
              <w:rPr>
                <w:rFonts w:hint="eastAsia" w:ascii="仿宋_GB2312" w:hAnsi="Arial" w:eastAsia="仿宋_GB2312" w:cs="Arial"/>
                <w:color w:val="000000"/>
                <w:sz w:val="28"/>
                <w:szCs w:val="28"/>
              </w:rPr>
              <w:t>3</w:t>
            </w:r>
          </w:p>
        </w:tc>
        <w:tc>
          <w:tcPr>
            <w:tcW w:w="3291" w:type="dxa"/>
            <w:vAlign w:val="top"/>
          </w:tcPr>
          <w:p>
            <w:pPr>
              <w:spacing w:line="420" w:lineRule="exact"/>
              <w:jc w:val="center"/>
              <w:rPr>
                <w:rFonts w:ascii="仿宋_GB2312" w:hAnsi="Arial" w:eastAsia="仿宋_GB2312" w:cs="Arial"/>
                <w:color w:val="000000"/>
                <w:sz w:val="28"/>
                <w:szCs w:val="28"/>
              </w:rPr>
            </w:pPr>
            <w:r>
              <w:rPr>
                <w:rFonts w:ascii="仿宋_GB2312" w:hAnsi="Arial" w:eastAsia="仿宋_GB2312" w:cs="Arial"/>
                <w:color w:val="000000"/>
                <w:sz w:val="28"/>
                <w:szCs w:val="28"/>
              </w:rPr>
              <w:t>……</w:t>
            </w:r>
          </w:p>
        </w:tc>
        <w:tc>
          <w:tcPr>
            <w:tcW w:w="2852" w:type="dxa"/>
            <w:vAlign w:val="top"/>
          </w:tcPr>
          <w:p>
            <w:pPr>
              <w:spacing w:line="420" w:lineRule="exact"/>
              <w:jc w:val="center"/>
              <w:rPr>
                <w:rFonts w:ascii="仿宋_GB2312" w:hAnsi="Arial" w:eastAsia="仿宋_GB2312" w:cs="Arial"/>
                <w:color w:val="000000"/>
                <w:sz w:val="28"/>
                <w:szCs w:val="28"/>
              </w:rPr>
            </w:pPr>
          </w:p>
        </w:tc>
      </w:tr>
    </w:tbl>
    <w:p>
      <w:pPr>
        <w:snapToGrid w:val="0"/>
        <w:spacing w:line="420" w:lineRule="exact"/>
        <w:rPr>
          <w:rFonts w:ascii="仿宋_GB2312" w:hAnsi="Arial" w:eastAsia="仿宋_GB2312" w:cs="Arial"/>
          <w:color w:val="000000"/>
          <w:sz w:val="28"/>
          <w:szCs w:val="28"/>
        </w:rPr>
      </w:pPr>
    </w:p>
    <w:p>
      <w:pPr>
        <w:snapToGrid w:val="0"/>
        <w:spacing w:line="420" w:lineRule="exact"/>
        <w:ind w:firstLine="562" w:firstLineChars="200"/>
        <w:jc w:val="left"/>
        <w:rPr>
          <w:rFonts w:ascii="仿宋_GB2312" w:hAnsi="Arial" w:eastAsia="仿宋_GB2312" w:cs="Arial"/>
          <w:b/>
          <w:bCs/>
          <w:color w:val="000000"/>
          <w:sz w:val="28"/>
          <w:szCs w:val="28"/>
        </w:rPr>
      </w:pPr>
      <w:r>
        <w:rPr>
          <w:rFonts w:hint="eastAsia" w:ascii="仿宋_GB2312" w:hAnsi="Arial" w:eastAsia="仿宋_GB2312" w:cs="Arial"/>
          <w:b/>
          <w:bCs/>
          <w:color w:val="000000"/>
          <w:sz w:val="28"/>
          <w:szCs w:val="28"/>
        </w:rPr>
        <w:t>四、项目实施时间</w:t>
      </w:r>
    </w:p>
    <w:p>
      <w:pPr>
        <w:snapToGrid w:val="0"/>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中标人必须在中标之日起30天内完成本项目所有筹备工作并实现试运行，包括但不限于系统竣工、完成与国家中心G3系统对接、仓储场地、办公场地及设备落实、服务团队配置等；采购方可对项目准备情况进行检查和测试，包括所有的设备、系统调试、运营调试等，确保满足即开票高效运营服务全面上线正式运营的需求。</w:t>
      </w:r>
    </w:p>
    <w:p>
      <w:pPr>
        <w:snapToGrid w:val="0"/>
        <w:spacing w:line="420" w:lineRule="exact"/>
        <w:ind w:firstLine="562" w:firstLineChars="200"/>
        <w:jc w:val="left"/>
        <w:rPr>
          <w:rFonts w:ascii="仿宋_GB2312" w:hAnsi="Arial" w:eastAsia="仿宋_GB2312" w:cs="Arial"/>
          <w:b/>
          <w:bCs/>
          <w:color w:val="000000"/>
          <w:sz w:val="28"/>
          <w:szCs w:val="28"/>
        </w:rPr>
      </w:pPr>
      <w:r>
        <w:rPr>
          <w:rFonts w:hint="eastAsia" w:ascii="仿宋_GB2312" w:hAnsi="Arial" w:eastAsia="仿宋_GB2312" w:cs="Arial"/>
          <w:b/>
          <w:bCs/>
          <w:color w:val="000000"/>
          <w:sz w:val="28"/>
          <w:szCs w:val="28"/>
        </w:rPr>
        <w:t>五、售后</w:t>
      </w:r>
    </w:p>
    <w:p>
      <w:pPr>
        <w:snapToGrid w:val="0"/>
        <w:spacing w:line="420" w:lineRule="exact"/>
        <w:ind w:firstLine="480"/>
        <w:rPr>
          <w:rFonts w:ascii="仿宋_GB2312" w:hAnsi="Arial" w:eastAsia="仿宋_GB2312" w:cs="Arial"/>
          <w:color w:val="000000"/>
          <w:sz w:val="28"/>
          <w:szCs w:val="28"/>
        </w:rPr>
      </w:pPr>
      <w:r>
        <w:rPr>
          <w:rFonts w:hint="eastAsia" w:ascii="仿宋_GB2312" w:hAnsi="Arial" w:eastAsia="仿宋_GB2312" w:cs="Arial"/>
          <w:color w:val="000000"/>
          <w:sz w:val="28"/>
          <w:szCs w:val="28"/>
        </w:rPr>
        <w:t>1、投标人须承诺服务期内提供维护、优化相关业务系统，以更好地满足项目业务需求。</w:t>
      </w:r>
    </w:p>
    <w:p>
      <w:pPr>
        <w:snapToGrid w:val="0"/>
        <w:spacing w:line="420" w:lineRule="exact"/>
        <w:ind w:firstLine="480"/>
        <w:rPr>
          <w:rFonts w:ascii="仿宋_GB2312" w:hAnsi="Arial" w:eastAsia="仿宋_GB2312" w:cs="Arial"/>
          <w:color w:val="000000"/>
          <w:sz w:val="28"/>
          <w:szCs w:val="28"/>
        </w:rPr>
      </w:pPr>
      <w:r>
        <w:rPr>
          <w:rFonts w:hint="eastAsia" w:ascii="仿宋_GB2312" w:hAnsi="Arial" w:eastAsia="仿宋_GB2312" w:cs="Arial"/>
          <w:color w:val="000000"/>
          <w:sz w:val="28"/>
          <w:szCs w:val="28"/>
        </w:rPr>
        <w:t>2、投标人应针对项目全流程制定应急管理预案，包括但不限于仓储、配送等。</w:t>
      </w:r>
    </w:p>
    <w:p>
      <w:pPr>
        <w:snapToGrid w:val="0"/>
        <w:spacing w:line="420" w:lineRule="exact"/>
        <w:ind w:firstLine="562" w:firstLineChars="200"/>
        <w:jc w:val="left"/>
        <w:rPr>
          <w:rFonts w:ascii="仿宋_GB2312" w:hAnsi="Arial" w:eastAsia="仿宋_GB2312" w:cs="Arial"/>
          <w:b/>
          <w:bCs/>
          <w:color w:val="000000"/>
          <w:sz w:val="28"/>
          <w:szCs w:val="28"/>
        </w:rPr>
      </w:pPr>
      <w:r>
        <w:rPr>
          <w:rFonts w:hint="eastAsia" w:ascii="仿宋_GB2312" w:hAnsi="Arial" w:eastAsia="仿宋_GB2312" w:cs="Arial"/>
          <w:b/>
          <w:bCs/>
          <w:color w:val="000000"/>
          <w:sz w:val="28"/>
          <w:szCs w:val="28"/>
        </w:rPr>
        <w:t>六、其他</w:t>
      </w:r>
    </w:p>
    <w:p>
      <w:pPr>
        <w:spacing w:line="420" w:lineRule="exact"/>
        <w:ind w:firstLine="560" w:firstLineChars="200"/>
        <w:rPr>
          <w:rFonts w:ascii="仿宋_GB2312" w:hAnsi="Arial" w:eastAsia="仿宋_GB2312" w:cs="Arial"/>
          <w:color w:val="000000"/>
          <w:sz w:val="28"/>
          <w:szCs w:val="28"/>
        </w:rPr>
      </w:pPr>
      <w:r>
        <w:rPr>
          <w:rFonts w:hint="eastAsia" w:ascii="仿宋_GB2312" w:hAnsi="Arial" w:eastAsia="仿宋_GB2312" w:cs="Arial"/>
          <w:color w:val="000000"/>
          <w:sz w:val="28"/>
          <w:szCs w:val="28"/>
        </w:rPr>
        <w:t>1、投标人应具有成熟可靠的实体店信息处理和保密防护机制，切实保障实体店、代销者和销售人员等信息不向外泄露，不被公司及员工不当使用，更不能提取、处理、发布系统任何信息资源。（提供承诺书原件。）</w:t>
      </w:r>
    </w:p>
    <w:p>
      <w:pPr>
        <w:spacing w:line="420" w:lineRule="exact"/>
        <w:ind w:firstLine="548" w:firstLineChars="196"/>
        <w:rPr>
          <w:rFonts w:ascii="仿宋_GB2312" w:hAnsi="Arial" w:eastAsia="仿宋_GB2312" w:cs="Arial"/>
          <w:color w:val="000000"/>
          <w:sz w:val="28"/>
          <w:szCs w:val="28"/>
        </w:rPr>
      </w:pPr>
      <w:r>
        <w:rPr>
          <w:rFonts w:hint="eastAsia" w:ascii="仿宋_GB2312" w:hAnsi="Arial" w:eastAsia="仿宋_GB2312" w:cs="Arial"/>
          <w:color w:val="000000"/>
          <w:sz w:val="28"/>
          <w:szCs w:val="28"/>
        </w:rPr>
        <w:t>2、如遇体育彩票相关重大政策变化，成交供应商须在半年内配合落实政策、完成调整；如政策变化导致本项目终止，成交供应商不得向采购人进行索赔。</w:t>
      </w:r>
    </w:p>
    <w:p>
      <w:pPr>
        <w:snapToGrid w:val="0"/>
        <w:spacing w:line="420" w:lineRule="exact"/>
        <w:ind w:firstLine="560" w:firstLineChars="200"/>
        <w:jc w:val="left"/>
        <w:rPr>
          <w:rFonts w:ascii="仿宋_GB2312" w:hAnsi="Arial" w:eastAsia="仿宋_GB2312" w:cs="Arial"/>
          <w:sz w:val="28"/>
          <w:szCs w:val="28"/>
        </w:rPr>
      </w:pPr>
      <w:r>
        <w:rPr>
          <w:rFonts w:hint="eastAsia" w:ascii="仿宋_GB2312" w:hAnsi="Arial" w:eastAsia="仿宋_GB2312" w:cs="Arial"/>
          <w:sz w:val="28"/>
          <w:szCs w:val="28"/>
        </w:rPr>
        <w:t>3、本项目中的所有承诺必须是书面承诺并加盖单位公章，中标人应在相应时间进度内满足项目所需，否则，中标人应支付采购人100万的项目违约金，如果因此影响了我省彩票销售，中标人应承担因此带来的一切损失，并承担法律责任。</w:t>
      </w:r>
    </w:p>
    <w:p>
      <w:pPr>
        <w:snapToGrid w:val="0"/>
        <w:spacing w:line="420" w:lineRule="exact"/>
        <w:ind w:firstLine="560" w:firstLineChars="200"/>
        <w:jc w:val="left"/>
        <w:rPr>
          <w:rFonts w:ascii="仿宋_GB2312" w:hAnsi="Arial" w:eastAsia="仿宋_GB2312" w:cs="Arial"/>
          <w:sz w:val="28"/>
          <w:szCs w:val="28"/>
        </w:rPr>
      </w:pPr>
      <w:r>
        <w:rPr>
          <w:rFonts w:hint="eastAsia" w:ascii="仿宋_GB2312" w:hAnsi="Arial" w:eastAsia="仿宋_GB2312" w:cs="Arial"/>
          <w:sz w:val="28"/>
          <w:szCs w:val="28"/>
        </w:rPr>
        <w:t xml:space="preserve">4、项目需提供演示：    </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进行以下系统演示：</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仓储管理系统：具备入库管理、库存盘点、出库管理、退票入库管理等功能模块；</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订票系统：支持电话、电脑端、移动端（APP或微信小程序）多渠道订购，具有订票、订单查询、物流查询、数据分析、资讯宣传、账户管理功能；</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订单分拣系统：支持对自建订票系统订单、终端机订单、代销者APP订单进行分拣、打包、面单打印等，并具备各类数据查询功能；</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配送管理系统：即开票配送全过程含出库、配送、实体店签收等跟踪、监控与管理，提供分级权限查询工具。</w:t>
      </w:r>
    </w:p>
    <w:p>
      <w:pPr>
        <w:snapToGrid w:val="0"/>
        <w:spacing w:line="420" w:lineRule="exact"/>
        <w:ind w:firstLine="560" w:firstLineChars="200"/>
        <w:jc w:val="left"/>
        <w:rPr>
          <w:rFonts w:hint="eastAsia" w:ascii="仿宋_GB2312" w:hAnsi="Arial" w:eastAsia="仿宋_GB2312" w:cs="Arial"/>
          <w:sz w:val="28"/>
          <w:szCs w:val="28"/>
        </w:rPr>
      </w:pPr>
      <w:r>
        <w:rPr>
          <w:rFonts w:hint="eastAsia" w:ascii="仿宋_GB2312" w:hAnsi="Arial" w:eastAsia="仿宋_GB2312" w:cs="Arial"/>
          <w:sz w:val="28"/>
          <w:szCs w:val="28"/>
        </w:rPr>
        <w:t>数据分析平台：包含对门店、游戏、销量、库存、渠道等方面的统计与分析。</w:t>
      </w:r>
    </w:p>
    <w:p>
      <w:pPr>
        <w:snapToGrid w:val="0"/>
        <w:spacing w:line="420" w:lineRule="exact"/>
        <w:ind w:firstLine="560" w:firstLineChars="200"/>
        <w:jc w:val="left"/>
        <w:rPr>
          <w:rFonts w:ascii="仿宋_GB2312" w:hAnsi="Arial" w:eastAsia="仿宋_GB2312" w:cs="Arial"/>
          <w:sz w:val="28"/>
          <w:szCs w:val="28"/>
        </w:rPr>
      </w:pPr>
      <w:r>
        <w:rPr>
          <w:rFonts w:hint="eastAsia" w:ascii="仿宋_GB2312" w:hAnsi="Arial" w:eastAsia="仿宋_GB2312" w:cs="Arial"/>
          <w:sz w:val="28"/>
          <w:szCs w:val="28"/>
        </w:rPr>
        <w:t>演示方式：根据文件要求对以上内容进行系统演示，投标人须按照演示内容逐项介绍演示，实际演示总时长控制在15分钟以内，采用系统demo录屏演示、不演示不得分。</w:t>
      </w:r>
    </w:p>
    <w:p>
      <w:pPr>
        <w:snapToGrid w:val="0"/>
        <w:spacing w:line="420" w:lineRule="exact"/>
        <w:ind w:firstLine="560" w:firstLineChars="200"/>
        <w:jc w:val="left"/>
        <w:rPr>
          <w:rFonts w:ascii="仿宋_GB2312" w:hAnsi="Arial" w:eastAsia="仿宋_GB2312" w:cs="Arial"/>
          <w:sz w:val="28"/>
          <w:szCs w:val="28"/>
        </w:rPr>
      </w:pPr>
    </w:p>
    <w:p>
      <w:pPr>
        <w:spacing w:line="360" w:lineRule="auto"/>
        <w:rPr>
          <w:rFonts w:ascii="仿宋" w:eastAsia="仿宋"/>
          <w:b/>
          <w:bCs/>
          <w:sz w:val="28"/>
          <w:szCs w:val="28"/>
        </w:rPr>
      </w:pPr>
      <w:bookmarkStart w:id="17" w:name="PO_TDCUS_ITEM_PB_REQ_TABLE_11_2"/>
      <w:bookmarkEnd w:id="17"/>
      <w:bookmarkStart w:id="18" w:name="PO_416_PM050"/>
      <w:bookmarkEnd w:id="18"/>
      <w:r>
        <w:rPr>
          <w:rFonts w:hint="eastAsia" w:ascii="仿宋" w:eastAsia="仿宋"/>
          <w:b/>
          <w:bCs/>
          <w:sz w:val="28"/>
          <w:szCs w:val="28"/>
        </w:rPr>
        <w:t>商务要求表</w:t>
      </w:r>
    </w:p>
    <w:tbl>
      <w:tblPr>
        <w:tblStyle w:val="5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263" w:type="dxa"/>
            <w:gridSpan w:val="2"/>
            <w:vAlign w:val="center"/>
          </w:tcPr>
          <w:p>
            <w:pPr>
              <w:rPr>
                <w:rFonts w:ascii="仿宋" w:eastAsia="仿宋"/>
                <w:sz w:val="28"/>
                <w:szCs w:val="28"/>
              </w:rPr>
            </w:pPr>
            <w:r>
              <w:rPr>
                <w:rFonts w:hint="eastAsia" w:ascii="仿宋" w:eastAsia="仿宋" w:cs="仿宋_GB2312"/>
                <w:b/>
                <w:sz w:val="28"/>
                <w:szCs w:val="28"/>
              </w:rPr>
              <w:t>▲项目工期（交货期）及地点</w:t>
            </w:r>
          </w:p>
        </w:tc>
        <w:tc>
          <w:tcPr>
            <w:tcW w:w="6663" w:type="dxa"/>
            <w:vAlign w:val="center"/>
          </w:tcPr>
          <w:p>
            <w:pPr>
              <w:rPr>
                <w:rFonts w:ascii="仿宋" w:eastAsia="仿宋"/>
                <w:sz w:val="28"/>
                <w:szCs w:val="28"/>
              </w:rPr>
            </w:pPr>
            <w:r>
              <w:rPr>
                <w:rFonts w:hint="eastAsia" w:ascii="仿宋" w:eastAsia="仿宋"/>
                <w:sz w:val="28"/>
                <w:szCs w:val="28"/>
              </w:rPr>
              <w:t>时间：本项目服务期限壹年；服务范围见招标文件。地点：按采购人指定的地点要求执行。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263" w:type="dxa"/>
            <w:gridSpan w:val="2"/>
            <w:vAlign w:val="center"/>
          </w:tcPr>
          <w:p>
            <w:pPr>
              <w:rPr>
                <w:rFonts w:ascii="仿宋_GB2312" w:hAnsi="仿宋" w:eastAsia="仿宋_GB2312"/>
                <w:bCs/>
                <w:color w:val="000000"/>
                <w:sz w:val="24"/>
              </w:rPr>
            </w:pPr>
            <w:r>
              <w:rPr>
                <w:rFonts w:hint="eastAsia" w:ascii="仿宋" w:eastAsia="仿宋" w:cs="仿宋_GB2312"/>
                <w:b/>
                <w:sz w:val="28"/>
                <w:szCs w:val="28"/>
              </w:rPr>
              <w:t>▲付款条件（明确是否需要履约保证金）</w:t>
            </w:r>
          </w:p>
        </w:tc>
        <w:tc>
          <w:tcPr>
            <w:tcW w:w="6663" w:type="dxa"/>
            <w:vAlign w:val="center"/>
          </w:tcPr>
          <w:p>
            <w:pPr>
              <w:rPr>
                <w:rFonts w:ascii="仿宋" w:eastAsia="仿宋"/>
                <w:sz w:val="28"/>
                <w:szCs w:val="28"/>
              </w:rPr>
            </w:pPr>
            <w:r>
              <w:rPr>
                <w:rFonts w:hint="eastAsia" w:ascii="仿宋" w:eastAsia="仿宋"/>
                <w:sz w:val="28"/>
                <w:szCs w:val="28"/>
              </w:rPr>
              <w:t>1、付款条件：甲方每月根据乙方即开票实际出库量结算服务费。具体结算规则按照中标人的投标文件的报价规则执行。</w:t>
            </w:r>
          </w:p>
          <w:p>
            <w:pPr>
              <w:rPr>
                <w:rFonts w:ascii="仿宋" w:eastAsia="仿宋"/>
                <w:b/>
                <w:sz w:val="28"/>
                <w:szCs w:val="28"/>
              </w:rPr>
            </w:pPr>
            <w:r>
              <w:rPr>
                <w:rFonts w:hint="eastAsia" w:ascii="仿宋" w:eastAsia="仿宋"/>
                <w:sz w:val="28"/>
                <w:szCs w:val="28"/>
              </w:rPr>
              <w:t>2、履约保证金：合同签订时，采购人依《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263" w:type="dxa"/>
            <w:gridSpan w:val="2"/>
            <w:vAlign w:val="center"/>
          </w:tcPr>
          <w:p>
            <w:pPr>
              <w:rPr>
                <w:rFonts w:ascii="仿宋" w:eastAsia="仿宋"/>
                <w:sz w:val="28"/>
                <w:szCs w:val="28"/>
              </w:rPr>
            </w:pPr>
            <w:r>
              <w:rPr>
                <w:rFonts w:hint="eastAsia" w:ascii="仿宋" w:eastAsia="仿宋" w:cs="仿宋_GB2312"/>
                <w:b/>
                <w:sz w:val="28"/>
                <w:szCs w:val="28"/>
              </w:rPr>
              <w:t>违约责任及争议解决方式</w:t>
            </w:r>
          </w:p>
        </w:tc>
        <w:tc>
          <w:tcPr>
            <w:tcW w:w="6663" w:type="dxa"/>
            <w:vAlign w:val="center"/>
          </w:tcPr>
          <w:p>
            <w:pPr>
              <w:rPr>
                <w:rFonts w:ascii="仿宋" w:eastAsia="仿宋"/>
                <w:sz w:val="28"/>
                <w:szCs w:val="28"/>
              </w:rPr>
            </w:pPr>
            <w:r>
              <w:rPr>
                <w:rFonts w:hint="eastAsia" w:ascii="仿宋" w:eastAsia="仿宋"/>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29" w:type="dxa"/>
            <w:vMerge w:val="restart"/>
            <w:vAlign w:val="center"/>
          </w:tcPr>
          <w:p>
            <w:pPr>
              <w:snapToGrid w:val="0"/>
              <w:jc w:val="left"/>
              <w:rPr>
                <w:rFonts w:ascii="仿宋" w:eastAsia="仿宋" w:cs="仿宋_GB2312"/>
                <w:b/>
                <w:sz w:val="28"/>
                <w:szCs w:val="28"/>
              </w:rPr>
            </w:pPr>
            <w:r>
              <w:rPr>
                <w:rFonts w:hint="eastAsia" w:ascii="仿宋" w:eastAsia="仿宋" w:cs="仿宋_GB2312"/>
                <w:b/>
                <w:sz w:val="28"/>
                <w:szCs w:val="28"/>
              </w:rPr>
              <w:t>投标人情况</w:t>
            </w:r>
          </w:p>
        </w:tc>
        <w:tc>
          <w:tcPr>
            <w:tcW w:w="1134" w:type="dxa"/>
            <w:vAlign w:val="top"/>
          </w:tcPr>
          <w:p>
            <w:pPr>
              <w:spacing w:line="360" w:lineRule="auto"/>
              <w:rPr>
                <w:rFonts w:ascii="仿宋" w:eastAsia="仿宋"/>
                <w:sz w:val="28"/>
                <w:szCs w:val="28"/>
              </w:rPr>
            </w:pPr>
            <w:r>
              <w:rPr>
                <w:rFonts w:hint="eastAsia" w:ascii="仿宋" w:eastAsia="仿宋"/>
                <w:sz w:val="28"/>
                <w:szCs w:val="28"/>
              </w:rPr>
              <w:t>运输能力</w:t>
            </w:r>
          </w:p>
        </w:tc>
        <w:tc>
          <w:tcPr>
            <w:tcW w:w="6663" w:type="dxa"/>
            <w:vAlign w:val="center"/>
          </w:tcPr>
          <w:p>
            <w:pPr>
              <w:widowControl/>
              <w:spacing w:line="360" w:lineRule="auto"/>
              <w:rPr>
                <w:rFonts w:ascii="仿宋" w:eastAsia="仿宋"/>
                <w:sz w:val="28"/>
                <w:szCs w:val="28"/>
              </w:rPr>
            </w:pPr>
            <w:r>
              <w:rPr>
                <w:rFonts w:hint="eastAsia" w:ascii="仿宋" w:hAnsi="仿宋" w:eastAsia="仿宋" w:cs="仿宋"/>
                <w:sz w:val="24"/>
                <w:szCs w:val="24"/>
              </w:rPr>
              <w:t>投标人应具有符合采购人工作要求的物流运输实力，或提供与具有该物流运输实力单位签订的物流运输合作业务协议的承诺书（满足得3分，不满足不得分）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29" w:type="dxa"/>
            <w:vMerge w:val="continue"/>
            <w:vAlign w:val="center"/>
          </w:tcPr>
          <w:p>
            <w:pPr>
              <w:snapToGrid w:val="0"/>
              <w:jc w:val="left"/>
              <w:rPr>
                <w:rFonts w:ascii="仿宋" w:eastAsia="仿宋" w:cs="仿宋_GB2312"/>
                <w:b/>
                <w:sz w:val="28"/>
                <w:szCs w:val="28"/>
              </w:rPr>
            </w:pPr>
          </w:p>
        </w:tc>
        <w:tc>
          <w:tcPr>
            <w:tcW w:w="1134" w:type="dxa"/>
            <w:vAlign w:val="top"/>
          </w:tcPr>
          <w:p>
            <w:pPr>
              <w:spacing w:line="360" w:lineRule="auto"/>
              <w:rPr>
                <w:rFonts w:ascii="仿宋" w:eastAsia="仿宋"/>
                <w:sz w:val="28"/>
                <w:szCs w:val="28"/>
              </w:rPr>
            </w:pPr>
            <w:r>
              <w:rPr>
                <w:rFonts w:hint="eastAsia" w:ascii="仿宋" w:eastAsia="仿宋"/>
                <w:sz w:val="28"/>
                <w:szCs w:val="28"/>
              </w:rPr>
              <w:t>资质要求</w:t>
            </w:r>
          </w:p>
        </w:tc>
        <w:tc>
          <w:tcPr>
            <w:tcW w:w="6663" w:type="dxa"/>
            <w:vAlign w:val="center"/>
          </w:tcPr>
          <w:p>
            <w:pPr>
              <w:pStyle w:val="182"/>
              <w:numPr>
                <w:ilvl w:val="0"/>
                <w:numId w:val="0"/>
              </w:numPr>
              <w:spacing w:line="360" w:lineRule="auto"/>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ISO9001</w:t>
            </w:r>
            <w:r>
              <w:rPr>
                <w:rFonts w:hint="eastAsia" w:ascii="仿宋" w:hAnsi="仿宋" w:eastAsia="仿宋"/>
                <w:sz w:val="28"/>
                <w:szCs w:val="28"/>
              </w:rPr>
              <w:t>质量管理体系认证证书及全国认证认可信息公关服务平台网站截图证明。</w:t>
            </w:r>
          </w:p>
          <w:p>
            <w:pPr>
              <w:widowControl/>
              <w:jc w:val="left"/>
              <w:rPr>
                <w:rFonts w:ascii="仿宋" w:hAnsi="仿宋" w:eastAsia="仿宋" w:cs="Times New Roman"/>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ISO27001</w:t>
            </w:r>
            <w:r>
              <w:rPr>
                <w:rFonts w:hint="eastAsia" w:ascii="仿宋" w:hAnsi="仿宋" w:eastAsia="仿宋"/>
                <w:sz w:val="28"/>
                <w:szCs w:val="28"/>
              </w:rPr>
              <w:t>信息安全管理体系认证证书及全国认证认可信息公关服务平台网站截图证明</w:t>
            </w:r>
          </w:p>
          <w:p>
            <w:pPr>
              <w:widowControl/>
              <w:spacing w:line="360" w:lineRule="auto"/>
              <w:jc w:val="both"/>
              <w:rPr>
                <w:rFonts w:ascii="仿宋" w:hAnsi="仿宋" w:eastAsia="仿宋" w:cs="Times New Roman"/>
                <w:b w:val="0"/>
                <w:bCs w:val="0"/>
                <w:color w:val="auto"/>
                <w:sz w:val="28"/>
                <w:szCs w:val="28"/>
                <w:highlight w:val="none"/>
              </w:rPr>
            </w:pPr>
            <w:r>
              <w:rPr>
                <w:rFonts w:hint="eastAsia" w:ascii="仿宋" w:hAnsi="仿宋" w:eastAsia="仿宋" w:cs="Times New Roman"/>
                <w:sz w:val="28"/>
                <w:szCs w:val="28"/>
              </w:rPr>
              <w:t>（3）ISO20000IT服务管理体系认证证书及全国认证认可信息公共服务平台网站截图证明</w:t>
            </w:r>
          </w:p>
          <w:p>
            <w:pPr>
              <w:rPr>
                <w:rFonts w:ascii="仿宋" w:hAnsi="仿宋" w:eastAsia="仿宋"/>
                <w:sz w:val="28"/>
                <w:szCs w:val="28"/>
              </w:rPr>
            </w:pPr>
            <w:r>
              <w:rPr>
                <w:rFonts w:hint="eastAsia" w:ascii="仿宋" w:hAnsi="仿宋" w:eastAsia="仿宋"/>
                <w:sz w:val="28"/>
                <w:szCs w:val="28"/>
              </w:rPr>
              <w:t>每提供一个得</w:t>
            </w:r>
            <w:r>
              <w:rPr>
                <w:rFonts w:ascii="仿宋" w:hAnsi="仿宋" w:eastAsia="仿宋"/>
                <w:sz w:val="28"/>
                <w:szCs w:val="28"/>
              </w:rPr>
              <w:t>1</w:t>
            </w:r>
            <w:r>
              <w:rPr>
                <w:rFonts w:hint="eastAsia" w:ascii="仿宋" w:hAnsi="仿宋" w:eastAsia="仿宋"/>
                <w:sz w:val="28"/>
                <w:szCs w:val="28"/>
              </w:rPr>
              <w:t>分，最多3分。</w:t>
            </w:r>
          </w:p>
          <w:p>
            <w:pPr>
              <w:spacing w:line="360" w:lineRule="auto"/>
              <w:rPr>
                <w:rFonts w:ascii="仿宋" w:hAnsi="仿宋" w:eastAsia="仿宋"/>
                <w:sz w:val="28"/>
                <w:szCs w:val="28"/>
              </w:rPr>
            </w:pPr>
            <w:r>
              <w:rPr>
                <w:rFonts w:hint="eastAsia" w:ascii="仿宋" w:hAnsi="仿宋" w:eastAsia="仿宋"/>
                <w:sz w:val="28"/>
                <w:szCs w:val="28"/>
              </w:rPr>
              <w:t>注：提供有效期内的证书扫描件加盖投标人公章。未提供或提供不清晰导致无法判断的不得分。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29" w:type="dxa"/>
            <w:vMerge w:val="continue"/>
            <w:vAlign w:val="center"/>
          </w:tcPr>
          <w:p>
            <w:pPr>
              <w:snapToGrid w:val="0"/>
              <w:jc w:val="left"/>
              <w:rPr>
                <w:rFonts w:ascii="仿宋" w:eastAsia="仿宋" w:cs="仿宋_GB2312"/>
                <w:b/>
                <w:sz w:val="28"/>
                <w:szCs w:val="28"/>
              </w:rPr>
            </w:pPr>
          </w:p>
        </w:tc>
        <w:tc>
          <w:tcPr>
            <w:tcW w:w="1134" w:type="dxa"/>
            <w:vAlign w:val="top"/>
          </w:tcPr>
          <w:p>
            <w:pPr>
              <w:spacing w:line="360" w:lineRule="auto"/>
              <w:rPr>
                <w:rFonts w:ascii="仿宋" w:eastAsia="仿宋"/>
                <w:sz w:val="28"/>
                <w:szCs w:val="28"/>
              </w:rPr>
            </w:pPr>
            <w:r>
              <w:rPr>
                <w:rFonts w:hint="eastAsia" w:ascii="仿宋" w:eastAsia="仿宋"/>
                <w:sz w:val="28"/>
                <w:szCs w:val="28"/>
              </w:rPr>
              <w:t>技术能力</w:t>
            </w:r>
          </w:p>
        </w:tc>
        <w:tc>
          <w:tcPr>
            <w:tcW w:w="6663" w:type="dxa"/>
            <w:vAlign w:val="center"/>
          </w:tcPr>
          <w:p>
            <w:pPr>
              <w:widowControl/>
              <w:spacing w:line="360" w:lineRule="auto"/>
              <w:jc w:val="left"/>
              <w:rPr>
                <w:rFonts w:ascii="仿宋" w:hAnsi="仿宋" w:eastAsia="仿宋"/>
                <w:sz w:val="28"/>
                <w:szCs w:val="28"/>
              </w:rPr>
            </w:pPr>
            <w:r>
              <w:rPr>
                <w:rFonts w:hint="eastAsia" w:ascii="仿宋" w:hAnsi="仿宋" w:eastAsia="仿宋"/>
                <w:sz w:val="28"/>
                <w:szCs w:val="28"/>
              </w:rPr>
              <w:t>（1）投标人与本项目相关的自建系统具有国家认可的信息系统安全等级保护二级备案证明，提供有效证明材料的得2分;</w:t>
            </w:r>
          </w:p>
          <w:p>
            <w:pPr>
              <w:widowControl/>
              <w:spacing w:line="360" w:lineRule="auto"/>
              <w:jc w:val="left"/>
              <w:rPr>
                <w:rFonts w:ascii="仿宋" w:hAnsi="仿宋" w:eastAsia="仿宋"/>
                <w:sz w:val="28"/>
                <w:szCs w:val="28"/>
              </w:rPr>
            </w:pPr>
            <w:r>
              <w:rPr>
                <w:rFonts w:hint="eastAsia" w:ascii="仿宋" w:hAnsi="仿宋" w:eastAsia="仿宋"/>
                <w:sz w:val="28"/>
                <w:szCs w:val="28"/>
              </w:rPr>
              <w:t>（2）具有国家认可的信息系统安全等级保护三级及以上备案证明，提供有效证明材料的得4分；</w:t>
            </w:r>
          </w:p>
          <w:p>
            <w:pPr>
              <w:spacing w:line="360" w:lineRule="auto"/>
              <w:rPr>
                <w:rFonts w:ascii="仿宋" w:hAnsi="仿宋" w:eastAsia="仿宋"/>
                <w:sz w:val="28"/>
                <w:szCs w:val="28"/>
              </w:rPr>
            </w:pPr>
            <w:r>
              <w:rPr>
                <w:rFonts w:hint="eastAsia" w:ascii="仿宋" w:hAnsi="仿宋" w:eastAsia="仿宋"/>
                <w:sz w:val="28"/>
                <w:szCs w:val="28"/>
              </w:rPr>
              <w:t>注：提供有效期内的证书复印件加盖投标人公章。未提供或提供不清晰导致无法判断的不得分。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263" w:type="dxa"/>
            <w:gridSpan w:val="2"/>
            <w:vAlign w:val="center"/>
          </w:tcPr>
          <w:p>
            <w:pPr>
              <w:rPr>
                <w:rFonts w:ascii="仿宋" w:eastAsia="仿宋"/>
                <w:sz w:val="28"/>
                <w:szCs w:val="28"/>
              </w:rPr>
            </w:pPr>
            <w:r>
              <w:rPr>
                <w:rFonts w:hint="eastAsia" w:ascii="仿宋" w:eastAsia="仿宋" w:cs="仿宋_GB2312"/>
                <w:b/>
                <w:sz w:val="28"/>
                <w:szCs w:val="28"/>
              </w:rPr>
              <w:t>经验或业绩要求</w:t>
            </w:r>
          </w:p>
        </w:tc>
        <w:tc>
          <w:tcPr>
            <w:tcW w:w="6663" w:type="dxa"/>
            <w:vAlign w:val="center"/>
          </w:tcPr>
          <w:p>
            <w:pPr>
              <w:rPr>
                <w:rFonts w:ascii="仿宋" w:eastAsia="仿宋"/>
                <w:sz w:val="28"/>
                <w:szCs w:val="28"/>
              </w:rPr>
            </w:pPr>
            <w:r>
              <w:rPr>
                <w:rFonts w:hint="eastAsia" w:ascii="仿宋" w:eastAsia="仿宋"/>
                <w:sz w:val="28"/>
                <w:szCs w:val="28"/>
              </w:rPr>
              <w:t>提供自202</w:t>
            </w:r>
            <w:r>
              <w:rPr>
                <w:rFonts w:ascii="仿宋" w:eastAsia="仿宋"/>
                <w:sz w:val="28"/>
                <w:szCs w:val="28"/>
              </w:rPr>
              <w:t>1</w:t>
            </w:r>
            <w:r>
              <w:rPr>
                <w:rFonts w:hint="eastAsia" w:ascii="仿宋" w:eastAsia="仿宋"/>
                <w:sz w:val="28"/>
                <w:szCs w:val="28"/>
              </w:rPr>
              <w:t>年1月1日以来的类似业绩，每提供一个得</w:t>
            </w:r>
            <w:r>
              <w:rPr>
                <w:rFonts w:ascii="仿宋" w:eastAsia="仿宋"/>
                <w:sz w:val="28"/>
                <w:szCs w:val="28"/>
              </w:rPr>
              <w:t>1</w:t>
            </w:r>
            <w:r>
              <w:rPr>
                <w:rFonts w:hint="eastAsia" w:ascii="仿宋" w:eastAsia="仿宋"/>
                <w:sz w:val="28"/>
                <w:szCs w:val="28"/>
              </w:rPr>
              <w:t>分，最多2分。</w:t>
            </w:r>
          </w:p>
          <w:p>
            <w:pPr>
              <w:rPr>
                <w:rFonts w:ascii="仿宋" w:eastAsia="仿宋"/>
                <w:sz w:val="28"/>
                <w:szCs w:val="28"/>
              </w:rPr>
            </w:pPr>
            <w:r>
              <w:rPr>
                <w:rFonts w:hint="eastAsia" w:ascii="仿宋" w:eastAsia="仿宋"/>
                <w:sz w:val="28"/>
                <w:szCs w:val="28"/>
              </w:rPr>
              <w:t>注:1、同一业主签订的多个合同不累计得分，仅计分一次。</w:t>
            </w:r>
          </w:p>
          <w:p>
            <w:pPr>
              <w:rPr>
                <w:rFonts w:ascii="仿宋" w:eastAsia="仿宋"/>
                <w:sz w:val="28"/>
                <w:szCs w:val="28"/>
              </w:rPr>
            </w:pPr>
            <w:r>
              <w:rPr>
                <w:rFonts w:hint="eastAsia" w:ascii="仿宋" w:eastAsia="仿宋"/>
                <w:sz w:val="28"/>
                <w:szCs w:val="28"/>
              </w:rPr>
              <w:t>2、投标文件中提供业绩合同扫描件，如合同中无法体现合同签订时间项目内容等关键评审因素的，须另附业主(合同甲方)证明等相关证明材料。</w:t>
            </w:r>
          </w:p>
          <w:p>
            <w:pPr>
              <w:rPr>
                <w:rFonts w:ascii="仿宋" w:eastAsia="仿宋"/>
                <w:sz w:val="28"/>
                <w:szCs w:val="28"/>
              </w:rPr>
            </w:pPr>
            <w:r>
              <w:rPr>
                <w:rFonts w:hint="eastAsia" w:ascii="仿宋" w:eastAsia="仿宋"/>
                <w:sz w:val="28"/>
                <w:szCs w:val="28"/>
              </w:rPr>
              <w:t>3、正在履约的业绩或履约已经完成的业绩均予认可。</w:t>
            </w:r>
          </w:p>
        </w:tc>
      </w:tr>
    </w:tbl>
    <w:p>
      <w:pPr>
        <w:spacing w:line="360" w:lineRule="auto"/>
        <w:rPr>
          <w:rFonts w:ascii="仿宋" w:eastAsia="仿宋"/>
          <w:b/>
          <w:bCs/>
          <w:sz w:val="28"/>
          <w:szCs w:val="28"/>
        </w:rPr>
      </w:pPr>
    </w:p>
    <w:p>
      <w:pPr>
        <w:rPr>
          <w:rFonts w:hint="default"/>
          <w:lang w:val="en-US" w:eastAsia="zh-CN"/>
        </w:rPr>
      </w:pPr>
    </w:p>
    <w:p>
      <w:pPr>
        <w:pStyle w:val="53"/>
        <w:spacing w:before="156" w:beforeLines="50" w:line="360" w:lineRule="auto"/>
        <w:ind w:firstLine="1446" w:firstLineChars="400"/>
        <w:jc w:val="both"/>
        <w:outlineLvl w:val="0"/>
        <w:rPr>
          <w:b/>
          <w:color w:val="000000" w:themeColor="text1"/>
          <w:sz w:val="36"/>
          <w:szCs w:val="36"/>
          <w:lang w:bidi="ar"/>
          <w14:textFill>
            <w14:solidFill>
              <w14:schemeClr w14:val="tx1"/>
            </w14:solidFill>
          </w14:textFill>
        </w:rPr>
      </w:pPr>
    </w:p>
    <w:p>
      <w:pPr>
        <w:pStyle w:val="53"/>
        <w:spacing w:before="156" w:beforeLines="50" w:line="360" w:lineRule="auto"/>
        <w:ind w:firstLine="1446" w:firstLineChars="400"/>
        <w:jc w:val="both"/>
        <w:outlineLvl w:val="0"/>
        <w:rPr>
          <w:b/>
          <w:color w:val="000000" w:themeColor="text1"/>
          <w:sz w:val="36"/>
          <w:szCs w:val="36"/>
          <w:lang w:bidi="ar"/>
          <w14:textFill>
            <w14:solidFill>
              <w14:schemeClr w14:val="tx1"/>
            </w14:solidFill>
          </w14:textFill>
        </w:rPr>
      </w:pPr>
    </w:p>
    <w:p>
      <w:pPr>
        <w:pStyle w:val="53"/>
        <w:spacing w:before="156" w:beforeLines="50" w:line="360" w:lineRule="auto"/>
        <w:ind w:firstLine="1446" w:firstLineChars="400"/>
        <w:jc w:val="both"/>
        <w:outlineLvl w:val="0"/>
        <w:rPr>
          <w:b/>
          <w:color w:val="000000" w:themeColor="text1"/>
          <w:sz w:val="36"/>
          <w:szCs w:val="36"/>
          <w14:textFill>
            <w14:solidFill>
              <w14:schemeClr w14:val="tx1"/>
            </w14:solidFill>
          </w14:textFill>
        </w:rPr>
      </w:pPr>
      <w:r>
        <w:rPr>
          <w:rFonts w:hint="eastAsia"/>
          <w:b/>
          <w:color w:val="000000" w:themeColor="text1"/>
          <w:sz w:val="36"/>
          <w:szCs w:val="36"/>
          <w:lang w:bidi="ar"/>
          <w14:textFill>
            <w14:solidFill>
              <w14:schemeClr w14:val="tx1"/>
            </w14:solidFill>
          </w14:textFill>
        </w:rPr>
        <w:t>第五章  采购合同主要条款指引</w:t>
      </w:r>
    </w:p>
    <w:p>
      <w:pPr>
        <w:spacing w:after="312" w:afterLines="100"/>
        <w:jc w:val="center"/>
        <w:rPr>
          <w:rFonts w:ascii="宋体" w:hAnsi="宋体" w:cs="仿宋"/>
          <w:color w:val="000000" w:themeColor="text1"/>
          <w:sz w:val="30"/>
          <w:szCs w:val="30"/>
          <w:lang w:bidi="ar"/>
          <w14:textFill>
            <w14:solidFill>
              <w14:schemeClr w14:val="tx1"/>
            </w14:solidFill>
          </w14:textFill>
        </w:rPr>
      </w:pPr>
      <w:r>
        <w:rPr>
          <w:rFonts w:hint="eastAsia" w:ascii="宋体" w:hAnsi="宋体" w:cs="仿宋"/>
          <w:color w:val="000000" w:themeColor="text1"/>
          <w:sz w:val="30"/>
          <w:szCs w:val="30"/>
          <w:lang w:bidi="ar"/>
          <w14:textFill>
            <w14:solidFill>
              <w14:schemeClr w14:val="tx1"/>
            </w14:solidFill>
          </w14:textFill>
        </w:rPr>
        <w:t>（合同的条款以双方最终签订的合同为准）</w:t>
      </w:r>
    </w:p>
    <w:p>
      <w:pPr>
        <w:pStyle w:val="53"/>
        <w:snapToGrid w:val="0"/>
        <w:spacing w:before="156" w:beforeLines="50" w:line="360" w:lineRule="auto"/>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合同编号：Z</w:t>
      </w:r>
      <w:r>
        <w:rPr>
          <w:rFonts w:ascii="仿宋" w:hAnsi="仿宋" w:eastAsia="仿宋" w:cs="仿宋"/>
          <w:color w:val="000000" w:themeColor="text1"/>
          <w:sz w:val="30"/>
          <w:szCs w:val="30"/>
          <w:lang w:bidi="ar"/>
          <w14:textFill>
            <w14:solidFill>
              <w14:schemeClr w14:val="tx1"/>
            </w14:solidFill>
          </w14:textFill>
        </w:rPr>
        <w:t>ZCG202</w:t>
      </w:r>
      <w:r>
        <w:rPr>
          <w:rFonts w:hint="eastAsia" w:ascii="仿宋" w:hAnsi="仿宋" w:eastAsia="仿宋" w:cs="仿宋"/>
          <w:color w:val="000000" w:themeColor="text1"/>
          <w:sz w:val="30"/>
          <w:szCs w:val="30"/>
          <w:lang w:bidi="ar"/>
          <w14:textFill>
            <w14:solidFill>
              <w14:schemeClr w14:val="tx1"/>
            </w14:solidFill>
          </w14:textFill>
        </w:rPr>
        <w:t>4</w:t>
      </w:r>
      <w:r>
        <w:rPr>
          <w:rFonts w:ascii="仿宋" w:hAnsi="仿宋" w:eastAsia="仿宋" w:cs="仿宋"/>
          <w:color w:val="000000" w:themeColor="text1"/>
          <w:sz w:val="30"/>
          <w:szCs w:val="30"/>
          <w:lang w:bidi="ar"/>
          <w14:textFill>
            <w14:solidFill>
              <w14:schemeClr w14:val="tx1"/>
            </w14:solidFill>
          </w14:textFill>
        </w:rPr>
        <w:t>Y-</w:t>
      </w:r>
      <w:r>
        <w:rPr>
          <w:rFonts w:hint="eastAsia" w:ascii="仿宋" w:hAnsi="仿宋" w:eastAsia="仿宋" w:cs="仿宋"/>
          <w:color w:val="000000" w:themeColor="text1"/>
          <w:sz w:val="30"/>
          <w:szCs w:val="30"/>
          <w:lang w:bidi="ar"/>
          <w14:textFill>
            <w14:solidFill>
              <w14:schemeClr w14:val="tx1"/>
            </w14:solidFill>
          </w14:textFill>
        </w:rPr>
        <w:t xml:space="preserve">        </w:t>
      </w:r>
    </w:p>
    <w:p>
      <w:pPr>
        <w:pStyle w:val="53"/>
        <w:snapToGrid w:val="0"/>
        <w:spacing w:before="156" w:beforeLines="50" w:line="360" w:lineRule="auto"/>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确认书号：</w:t>
      </w:r>
    </w:p>
    <w:p>
      <w:pPr>
        <w:spacing w:line="520" w:lineRule="exact"/>
        <w:ind w:firstLine="301"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甲方</w:t>
      </w:r>
      <w:r>
        <w:rPr>
          <w:rFonts w:hint="eastAsia" w:ascii="仿宋" w:hAnsi="仿宋" w:eastAsia="仿宋" w:cs="仿宋"/>
          <w:color w:val="000000" w:themeColor="text1"/>
          <w:sz w:val="30"/>
          <w:szCs w:val="30"/>
          <w:lang w:bidi="ar"/>
          <w14:textFill>
            <w14:solidFill>
              <w14:schemeClr w14:val="tx1"/>
            </w14:solidFill>
          </w14:textFill>
        </w:rPr>
        <w:t xml:space="preserve">（采购人）： </w:t>
      </w:r>
    </w:p>
    <w:p>
      <w:pPr>
        <w:spacing w:line="520" w:lineRule="exact"/>
        <w:ind w:firstLine="301" w:firstLineChars="1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乙方</w:t>
      </w:r>
      <w:r>
        <w:rPr>
          <w:rFonts w:hint="eastAsia" w:ascii="仿宋" w:hAnsi="仿宋" w:eastAsia="仿宋" w:cs="仿宋"/>
          <w:color w:val="000000" w:themeColor="text1"/>
          <w:sz w:val="30"/>
          <w:szCs w:val="30"/>
          <w:lang w:bidi="ar"/>
          <w14:textFill>
            <w14:solidFill>
              <w14:schemeClr w14:val="tx1"/>
            </w14:solidFill>
          </w14:textFill>
        </w:rPr>
        <w:t xml:space="preserve">（供应商）： </w:t>
      </w:r>
    </w:p>
    <w:p>
      <w:pPr>
        <w:pStyle w:val="53"/>
        <w:adjustRightInd w:val="0"/>
        <w:snapToGrid w:val="0"/>
        <w:spacing w:before="156" w:beforeLines="50" w:line="460" w:lineRule="exact"/>
        <w:ind w:firstLine="591" w:firstLineChars="197"/>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甲、乙双方根据浙江省政府采购中心关于项目编号为      的（标项及名称）项目公开招标的结果，签署本合同。</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一、项目内容及合同价格</w:t>
      </w:r>
    </w:p>
    <w:p>
      <w:pPr>
        <w:pStyle w:val="53"/>
        <w:adjustRightInd w:val="0"/>
        <w:snapToGrid w:val="0"/>
        <w:spacing w:before="156" w:beforeLines="50" w:line="460" w:lineRule="exact"/>
        <w:ind w:firstLine="636" w:firstLineChars="212"/>
        <w:jc w:val="righ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金额单位：元 </w:t>
      </w:r>
    </w:p>
    <w:tbl>
      <w:tblPr>
        <w:tblStyle w:val="59"/>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3242"/>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53"/>
              <w:snapToGrid w:val="0"/>
              <w:spacing w:before="156" w:beforeLines="50"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项目名称</w:t>
            </w:r>
          </w:p>
        </w:tc>
        <w:tc>
          <w:tcPr>
            <w:tcW w:w="3242" w:type="dxa"/>
            <w:tcBorders>
              <w:top w:val="single" w:color="auto" w:sz="4" w:space="0"/>
              <w:left w:val="nil"/>
              <w:bottom w:val="single" w:color="auto" w:sz="4" w:space="0"/>
              <w:right w:val="single" w:color="auto" w:sz="4" w:space="0"/>
            </w:tcBorders>
            <w:vAlign w:val="center"/>
          </w:tcPr>
          <w:p>
            <w:pPr>
              <w:pStyle w:val="53"/>
              <w:snapToGrid w:val="0"/>
              <w:spacing w:before="156" w:beforeLines="50"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技术需求</w:t>
            </w:r>
          </w:p>
        </w:tc>
        <w:tc>
          <w:tcPr>
            <w:tcW w:w="1080" w:type="dxa"/>
            <w:tcBorders>
              <w:top w:val="single" w:color="auto" w:sz="4" w:space="0"/>
              <w:left w:val="nil"/>
              <w:bottom w:val="single" w:color="auto" w:sz="4" w:space="0"/>
              <w:right w:val="single" w:color="auto" w:sz="4" w:space="0"/>
            </w:tcBorders>
            <w:vAlign w:val="center"/>
          </w:tcPr>
          <w:p>
            <w:pPr>
              <w:pStyle w:val="53"/>
              <w:snapToGrid w:val="0"/>
              <w:spacing w:before="156" w:beforeLines="50"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数量</w:t>
            </w:r>
          </w:p>
        </w:tc>
        <w:tc>
          <w:tcPr>
            <w:tcW w:w="1260" w:type="dxa"/>
            <w:tcBorders>
              <w:top w:val="single" w:color="auto" w:sz="4" w:space="0"/>
              <w:left w:val="nil"/>
              <w:bottom w:val="single" w:color="auto" w:sz="4" w:space="0"/>
              <w:right w:val="single" w:color="auto" w:sz="4" w:space="0"/>
            </w:tcBorders>
            <w:vAlign w:val="center"/>
          </w:tcPr>
          <w:p>
            <w:pPr>
              <w:pStyle w:val="53"/>
              <w:snapToGrid w:val="0"/>
              <w:spacing w:before="156" w:beforeLines="50"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单价</w:t>
            </w:r>
          </w:p>
        </w:tc>
        <w:tc>
          <w:tcPr>
            <w:tcW w:w="1212" w:type="dxa"/>
            <w:tcBorders>
              <w:top w:val="single" w:color="auto" w:sz="4" w:space="0"/>
              <w:left w:val="nil"/>
              <w:bottom w:val="single" w:color="auto" w:sz="4" w:space="0"/>
              <w:right w:val="single" w:color="auto" w:sz="4" w:space="0"/>
            </w:tcBorders>
            <w:vAlign w:val="center"/>
          </w:tcPr>
          <w:p>
            <w:pPr>
              <w:pStyle w:val="53"/>
              <w:snapToGrid w:val="0"/>
              <w:spacing w:before="156" w:beforeLines="50" w:line="460" w:lineRule="exact"/>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341" w:type="dxa"/>
            <w:tcBorders>
              <w:top w:val="single" w:color="auto" w:sz="4" w:space="0"/>
              <w:left w:val="single" w:color="auto" w:sz="4" w:space="0"/>
              <w:bottom w:val="single" w:color="auto" w:sz="4" w:space="0"/>
              <w:right w:val="single" w:color="auto" w:sz="4" w:space="0"/>
            </w:tcBorders>
          </w:tcPr>
          <w:p>
            <w:pPr>
              <w:spacing w:line="460" w:lineRule="exact"/>
              <w:ind w:firstLine="636" w:firstLineChars="212"/>
              <w:rPr>
                <w:rFonts w:ascii="仿宋" w:hAnsi="仿宋" w:eastAsia="仿宋" w:cs="仿宋"/>
                <w:color w:val="000000" w:themeColor="text1"/>
                <w:sz w:val="30"/>
                <w:szCs w:val="30"/>
                <w14:textFill>
                  <w14:solidFill>
                    <w14:schemeClr w14:val="tx1"/>
                  </w14:solidFill>
                </w14:textFill>
              </w:rPr>
            </w:pPr>
          </w:p>
        </w:tc>
        <w:tc>
          <w:tcPr>
            <w:tcW w:w="3242" w:type="dxa"/>
            <w:tcBorders>
              <w:top w:val="single" w:color="auto" w:sz="4" w:space="0"/>
              <w:left w:val="nil"/>
              <w:bottom w:val="single" w:color="auto" w:sz="4" w:space="0"/>
              <w:right w:val="single" w:color="auto" w:sz="4" w:space="0"/>
            </w:tcBorders>
          </w:tcPr>
          <w:p>
            <w:pPr>
              <w:spacing w:line="4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详见项目对应招投标文件</w:t>
            </w:r>
          </w:p>
        </w:tc>
        <w:tc>
          <w:tcPr>
            <w:tcW w:w="1080" w:type="dxa"/>
            <w:tcBorders>
              <w:top w:val="single" w:color="auto" w:sz="4" w:space="0"/>
              <w:left w:val="nil"/>
              <w:bottom w:val="single" w:color="auto" w:sz="4" w:space="0"/>
              <w:right w:val="single" w:color="auto" w:sz="4" w:space="0"/>
            </w:tcBorders>
          </w:tcPr>
          <w:p>
            <w:pPr>
              <w:spacing w:line="460" w:lineRule="exact"/>
              <w:ind w:firstLine="636" w:firstLineChars="212"/>
              <w:rPr>
                <w:rFonts w:ascii="仿宋" w:hAnsi="仿宋" w:eastAsia="仿宋" w:cs="仿宋"/>
                <w:color w:val="000000" w:themeColor="text1"/>
                <w:sz w:val="30"/>
                <w:szCs w:val="30"/>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tcPr>
          <w:p>
            <w:pPr>
              <w:pStyle w:val="53"/>
              <w:snapToGrid w:val="0"/>
              <w:spacing w:after="120" w:line="460" w:lineRule="exact"/>
              <w:ind w:firstLine="636" w:firstLineChars="212"/>
              <w:rPr>
                <w:rFonts w:ascii="仿宋" w:hAnsi="仿宋" w:eastAsia="仿宋" w:cs="仿宋"/>
                <w:color w:val="000000" w:themeColor="text1"/>
                <w:sz w:val="30"/>
                <w:szCs w:val="30"/>
                <w14:textFill>
                  <w14:solidFill>
                    <w14:schemeClr w14:val="tx1"/>
                  </w14:solidFill>
                </w14:textFill>
              </w:rPr>
            </w:pPr>
          </w:p>
        </w:tc>
        <w:tc>
          <w:tcPr>
            <w:tcW w:w="1212" w:type="dxa"/>
            <w:tcBorders>
              <w:top w:val="single" w:color="auto" w:sz="4" w:space="0"/>
              <w:left w:val="nil"/>
              <w:bottom w:val="single" w:color="auto" w:sz="4" w:space="0"/>
              <w:right w:val="single" w:color="auto" w:sz="4" w:space="0"/>
            </w:tcBorders>
          </w:tcPr>
          <w:p>
            <w:pPr>
              <w:pStyle w:val="53"/>
              <w:snapToGrid w:val="0"/>
              <w:spacing w:after="120" w:line="460" w:lineRule="exact"/>
              <w:ind w:left="570"/>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5583" w:type="dxa"/>
            <w:gridSpan w:val="2"/>
            <w:tcBorders>
              <w:top w:val="single" w:color="auto" w:sz="4" w:space="0"/>
              <w:left w:val="single" w:color="auto" w:sz="4" w:space="0"/>
              <w:bottom w:val="single" w:color="auto" w:sz="4" w:space="0"/>
              <w:right w:val="single" w:color="auto" w:sz="4" w:space="0"/>
            </w:tcBorders>
          </w:tcPr>
          <w:p>
            <w:pPr>
              <w:pStyle w:val="53"/>
              <w:snapToGrid w:val="0"/>
              <w:spacing w:before="156" w:beforeLines="50" w:line="460" w:lineRule="exact"/>
              <w:ind w:firstLine="636" w:firstLineChars="212"/>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合            计</w:t>
            </w:r>
          </w:p>
        </w:tc>
        <w:tc>
          <w:tcPr>
            <w:tcW w:w="1080" w:type="dxa"/>
            <w:tcBorders>
              <w:top w:val="single" w:color="auto" w:sz="4" w:space="0"/>
              <w:left w:val="nil"/>
              <w:bottom w:val="single" w:color="auto" w:sz="4" w:space="0"/>
              <w:right w:val="single" w:color="auto" w:sz="4" w:space="0"/>
            </w:tcBorders>
          </w:tcPr>
          <w:p>
            <w:pPr>
              <w:pStyle w:val="53"/>
              <w:snapToGrid w:val="0"/>
              <w:spacing w:before="156" w:beforeLines="50" w:line="460" w:lineRule="exact"/>
              <w:ind w:firstLine="636" w:firstLineChars="212"/>
              <w:jc w:val="center"/>
              <w:rPr>
                <w:rFonts w:ascii="仿宋" w:hAnsi="仿宋" w:eastAsia="仿宋" w:cs="仿宋"/>
                <w:color w:val="000000" w:themeColor="text1"/>
                <w:sz w:val="30"/>
                <w:szCs w:val="30"/>
                <w14:textFill>
                  <w14:solidFill>
                    <w14:schemeClr w14:val="tx1"/>
                  </w14:solidFill>
                </w14:textFill>
              </w:rPr>
            </w:pPr>
          </w:p>
        </w:tc>
        <w:tc>
          <w:tcPr>
            <w:tcW w:w="2472" w:type="dxa"/>
            <w:gridSpan w:val="2"/>
            <w:tcBorders>
              <w:top w:val="single" w:color="auto" w:sz="4" w:space="0"/>
              <w:left w:val="nil"/>
              <w:bottom w:val="single" w:color="auto" w:sz="4" w:space="0"/>
              <w:right w:val="single" w:color="auto" w:sz="4" w:space="0"/>
            </w:tcBorders>
          </w:tcPr>
          <w:p>
            <w:pPr>
              <w:pStyle w:val="53"/>
              <w:snapToGrid w:val="0"/>
              <w:spacing w:after="120" w:line="460" w:lineRule="exact"/>
              <w:ind w:firstLine="636" w:firstLineChars="212"/>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9135" w:type="dxa"/>
            <w:gridSpan w:val="5"/>
            <w:tcBorders>
              <w:top w:val="single" w:color="auto" w:sz="4" w:space="0"/>
              <w:left w:val="single" w:color="auto" w:sz="4" w:space="0"/>
              <w:bottom w:val="single" w:color="auto" w:sz="4" w:space="0"/>
              <w:right w:val="single" w:color="auto" w:sz="4" w:space="0"/>
            </w:tcBorders>
          </w:tcPr>
          <w:p>
            <w:pPr>
              <w:pStyle w:val="53"/>
              <w:snapToGrid w:val="0"/>
              <w:spacing w:before="156" w:beforeLines="50" w:line="46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合同总价大写：                              小写：￥</w:t>
            </w:r>
          </w:p>
        </w:tc>
      </w:tr>
    </w:tbl>
    <w:p>
      <w:pPr>
        <w:pStyle w:val="53"/>
        <w:snapToGrid w:val="0"/>
        <w:spacing w:before="156" w:beforeLines="50" w:line="460" w:lineRule="exact"/>
        <w:ind w:left="-178" w:leftChars="-85"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注：1.项目具体技术需求及采购人地址等详见招标文件、投标文件以及询标记录。</w:t>
      </w:r>
    </w:p>
    <w:p>
      <w:pPr>
        <w:spacing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2.以上合同总价包含项目达到预期使用效果所需的一切费用。</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二、技术资料</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1.乙方应按招标文件规定的时间向甲方提供使用项目的有关技术资料。</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adjustRightInd w:val="0"/>
        <w:snapToGrid w:val="0"/>
        <w:spacing w:before="156" w:beforeLines="50" w:line="460" w:lineRule="exact"/>
        <w:ind w:firstLine="593" w:firstLineChars="197"/>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三、知识产权</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乙方应保证所提供的货物或其任何一部分均不会侵犯任何第三方的知识产权。</w:t>
      </w:r>
    </w:p>
    <w:p>
      <w:pPr>
        <w:pStyle w:val="53"/>
        <w:adjustRightInd w:val="0"/>
        <w:snapToGrid w:val="0"/>
        <w:spacing w:before="156" w:beforeLines="50" w:line="460" w:lineRule="exact"/>
        <w:ind w:firstLine="593" w:firstLineChars="197"/>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四、产权担保</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乙方保证所交付的货物的所有权完全属于乙方且无任何抵押、查封等产权瑕疵。</w:t>
      </w:r>
    </w:p>
    <w:p>
      <w:pPr>
        <w:pStyle w:val="53"/>
        <w:adjustRightInd w:val="0"/>
        <w:snapToGrid w:val="0"/>
        <w:spacing w:before="156" w:beforeLines="50" w:line="460" w:lineRule="exact"/>
        <w:ind w:firstLine="593" w:firstLineChars="197"/>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五、转包或分包</w:t>
      </w:r>
    </w:p>
    <w:p>
      <w:pPr>
        <w:adjustRightInd w:val="0"/>
        <w:snapToGrid w:val="0"/>
        <w:spacing w:before="156" w:beforeLines="50" w:after="156" w:afterLines="50" w:line="460" w:lineRule="exact"/>
        <w:ind w:firstLine="636" w:firstLineChars="21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不允许转包。</w:t>
      </w:r>
    </w:p>
    <w:p>
      <w:pPr>
        <w:adjustRightInd w:val="0"/>
        <w:snapToGrid w:val="0"/>
        <w:spacing w:before="156" w:beforeLines="50" w:after="156" w:afterLines="50" w:line="460" w:lineRule="exact"/>
        <w:ind w:firstLine="636" w:firstLineChars="212"/>
        <w:rPr>
          <w:rFonts w:ascii="仿宋" w:hAnsi="仿宋" w:eastAsia="仿宋" w:cs="仿宋"/>
          <w:color w:val="000000" w:themeColor="text1"/>
          <w:kern w:val="0"/>
          <w:sz w:val="30"/>
          <w:szCs w:val="30"/>
          <w:u w:val="single"/>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允许分包部分</w:t>
      </w:r>
      <w:r>
        <w:rPr>
          <w:rFonts w:hint="eastAsia" w:ascii="仿宋" w:hAnsi="仿宋" w:eastAsia="仿宋" w:cs="仿宋"/>
          <w:color w:val="000000" w:themeColor="text1"/>
          <w:kern w:val="0"/>
          <w:sz w:val="30"/>
          <w:szCs w:val="30"/>
          <w:u w:val="single"/>
          <w:lang w:bidi="ar"/>
          <w14:textFill>
            <w14:solidFill>
              <w14:schemeClr w14:val="tx1"/>
            </w14:solidFill>
          </w14:textFill>
        </w:rPr>
        <w:t xml:space="preserve">               。</w:t>
      </w:r>
    </w:p>
    <w:p>
      <w:pPr>
        <w:adjustRightInd w:val="0"/>
        <w:snapToGrid w:val="0"/>
        <w:spacing w:before="156" w:beforeLines="50" w:after="156" w:afterLines="50" w:line="460" w:lineRule="exact"/>
        <w:ind w:firstLine="600" w:firstLineChars="200"/>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如乙方将项目转包或将不允许分包部分就行了分包，甲方有权解除合同，没收履约保证金并追究乙方的违约责任。</w:t>
      </w:r>
    </w:p>
    <w:p>
      <w:pPr>
        <w:pStyle w:val="53"/>
        <w:adjustRightInd w:val="0"/>
        <w:snapToGrid w:val="0"/>
        <w:spacing w:before="156" w:beforeLines="50" w:line="460" w:lineRule="exact"/>
        <w:ind w:firstLine="638"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六、质保期</w:t>
      </w:r>
    </w:p>
    <w:p>
      <w:pPr>
        <w:pStyle w:val="53"/>
        <w:adjustRightInd w:val="0"/>
        <w:snapToGrid w:val="0"/>
        <w:spacing w:before="156" w:beforeLines="50" w:line="4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质保期</w:t>
      </w:r>
      <w:r>
        <w:rPr>
          <w:rFonts w:ascii="仿宋" w:hAnsi="仿宋" w:eastAsia="仿宋" w:cs="仿宋"/>
          <w:color w:val="000000" w:themeColor="text1"/>
          <w:sz w:val="30"/>
          <w:szCs w:val="30"/>
          <w:lang w:bidi="ar"/>
          <w14:textFill>
            <w14:solidFill>
              <w14:schemeClr w14:val="tx1"/>
            </w14:solidFill>
          </w14:textFill>
        </w:rPr>
        <w:t>1</w:t>
      </w:r>
      <w:r>
        <w:rPr>
          <w:rFonts w:hint="eastAsia" w:ascii="仿宋" w:hAnsi="仿宋" w:eastAsia="仿宋" w:cs="仿宋"/>
          <w:color w:val="000000" w:themeColor="text1"/>
          <w:sz w:val="30"/>
          <w:szCs w:val="30"/>
          <w:lang w:bidi="ar"/>
          <w14:textFill>
            <w14:solidFill>
              <w14:schemeClr w14:val="tx1"/>
            </w14:solidFill>
          </w14:textFill>
        </w:rPr>
        <w:t>年。（自项目验收合格交付使用之日起计）</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七、项目工期及实施地点</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1.交货期：</w:t>
      </w:r>
    </w:p>
    <w:p>
      <w:pPr>
        <w:pStyle w:val="53"/>
        <w:adjustRightInd w:val="0"/>
        <w:snapToGrid w:val="0"/>
        <w:spacing w:before="156" w:beforeLines="50" w:line="460" w:lineRule="exact"/>
        <w:ind w:firstLine="636"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2.实施地点：</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八、货款支付</w:t>
      </w:r>
    </w:p>
    <w:p>
      <w:pPr>
        <w:ind w:firstLine="560" w:firstLineChars="200"/>
        <w:rPr>
          <w:rFonts w:ascii="仿宋" w:eastAsia="仿宋"/>
          <w:sz w:val="28"/>
          <w:szCs w:val="28"/>
        </w:rPr>
      </w:pPr>
      <w:r>
        <w:rPr>
          <w:rFonts w:hint="eastAsia" w:ascii="仿宋" w:eastAsia="仿宋"/>
          <w:sz w:val="28"/>
          <w:szCs w:val="28"/>
        </w:rPr>
        <w:t>1、付款条件：甲方每月根据乙方即开票实际出库量结算服务费。具体结算规则按照中标人的投标文件的报价规则执行。</w:t>
      </w:r>
    </w:p>
    <w:p>
      <w:pPr>
        <w:adjustRightInd w:val="0"/>
        <w:snapToGrid w:val="0"/>
        <w:spacing w:before="156" w:beforeLines="50" w:after="156" w:afterLines="50" w:line="460" w:lineRule="exact"/>
        <w:ind w:firstLine="593" w:firstLineChars="212"/>
        <w:rPr>
          <w:rFonts w:hint="eastAsia" w:ascii="仿宋" w:eastAsia="仿宋"/>
          <w:sz w:val="28"/>
          <w:szCs w:val="28"/>
          <w:lang w:eastAsia="zh-CN"/>
        </w:rPr>
      </w:pPr>
      <w:r>
        <w:rPr>
          <w:rFonts w:hint="eastAsia" w:ascii="仿宋" w:eastAsia="仿宋"/>
          <w:sz w:val="28"/>
          <w:szCs w:val="28"/>
        </w:rPr>
        <w:t>2、履约保证金：合同签订时，采购人依《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adjustRightInd w:val="0"/>
        <w:snapToGrid w:val="0"/>
        <w:spacing w:before="156" w:beforeLines="50" w:after="156" w:afterLines="50" w:line="460" w:lineRule="exact"/>
        <w:ind w:firstLine="638" w:firstLineChars="212"/>
        <w:rPr>
          <w:rFonts w:ascii="仿宋" w:hAnsi="仿宋" w:eastAsia="仿宋" w:cs="仿宋"/>
          <w:b/>
          <w:color w:val="000000" w:themeColor="text1"/>
          <w:kern w:val="0"/>
          <w:sz w:val="30"/>
          <w:szCs w:val="30"/>
          <w14:textFill>
            <w14:solidFill>
              <w14:schemeClr w14:val="tx1"/>
            </w14:solidFill>
          </w14:textFill>
        </w:rPr>
      </w:pPr>
      <w:r>
        <w:rPr>
          <w:rFonts w:hint="eastAsia" w:ascii="仿宋" w:hAnsi="仿宋" w:eastAsia="仿宋" w:cs="仿宋"/>
          <w:b/>
          <w:color w:val="000000" w:themeColor="text1"/>
          <w:kern w:val="0"/>
          <w:sz w:val="30"/>
          <w:szCs w:val="30"/>
          <w:lang w:bidi="ar"/>
          <w14:textFill>
            <w14:solidFill>
              <w14:schemeClr w14:val="tx1"/>
            </w14:solidFill>
          </w14:textFill>
        </w:rPr>
        <w:t>九、税费</w:t>
      </w:r>
    </w:p>
    <w:p>
      <w:pPr>
        <w:adjustRightInd w:val="0"/>
        <w:snapToGrid w:val="0"/>
        <w:spacing w:before="156" w:beforeLines="50" w:after="156" w:afterLines="50" w:line="460" w:lineRule="exact"/>
        <w:ind w:firstLine="636" w:firstLineChars="212"/>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lang w:bidi="ar"/>
          <w14:textFill>
            <w14:solidFill>
              <w14:schemeClr w14:val="tx1"/>
            </w14:solidFill>
          </w14:textFill>
        </w:rPr>
        <w:t>本合同执行中相关的一切税费均由乙方负担。</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十、质量保证及售后服务</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十一、调试和验收</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十二、货物包装</w:t>
      </w:r>
    </w:p>
    <w:p>
      <w:pPr>
        <w:pStyle w:val="31"/>
        <w:adjustRightInd w:val="0"/>
        <w:snapToGrid w:val="0"/>
        <w:spacing w:before="156" w:after="156" w:line="460" w:lineRule="exact"/>
        <w:ind w:firstLine="641" w:firstLineChars="213"/>
        <w:rPr>
          <w:rFonts w:ascii="仿宋" w:hAnsi="仿宋" w:eastAsia="仿宋" w:cs="仿宋"/>
          <w:b/>
          <w:color w:val="000000" w:themeColor="text1"/>
          <w:sz w:val="30"/>
          <w:szCs w:val="30"/>
          <w:lang w:bidi="ar"/>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详见招标文件、投标文件。</w:t>
      </w:r>
    </w:p>
    <w:p>
      <w:pPr>
        <w:pStyle w:val="31"/>
        <w:adjustRightInd w:val="0"/>
        <w:snapToGrid w:val="0"/>
        <w:spacing w:before="156" w:after="156" w:line="460" w:lineRule="exact"/>
        <w:ind w:firstLine="641" w:firstLineChars="213"/>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十三、违约责任</w:t>
      </w:r>
    </w:p>
    <w:p>
      <w:pPr>
        <w:spacing w:line="500" w:lineRule="exact"/>
        <w:ind w:firstLine="600" w:firstLineChars="200"/>
        <w:contextualSpacing/>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1、甲方无正当理由拒收货物的，甲方向乙方偿付拒收货款总值的百分之五违约金。</w:t>
      </w:r>
    </w:p>
    <w:p>
      <w:pPr>
        <w:spacing w:line="500" w:lineRule="exact"/>
        <w:ind w:firstLine="600" w:firstLineChars="200"/>
        <w:contextualSpacing/>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2、甲方无故逾期验收和办理货款支付手续的,甲方应按逾期付款总额每日万分之五向乙方支付违约金。</w:t>
      </w:r>
    </w:p>
    <w:p>
      <w:pPr>
        <w:spacing w:line="500" w:lineRule="exact"/>
        <w:ind w:firstLine="600" w:firstLineChars="200"/>
        <w:contextualSpacing/>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3、乙方逾期交付货物的，乙方应按逾期交货总额每日千分之六向甲方支付违约金，由甲方从待付货款中扣除。逾期超过约定日期30个工作日仍不能交货的，采购人</w:t>
      </w:r>
      <w:r>
        <w:rPr>
          <w:rFonts w:ascii="仿宋" w:hAnsi="仿宋" w:eastAsia="仿宋" w:cs="仿宋"/>
          <w:color w:val="000000" w:themeColor="text1"/>
          <w:sz w:val="30"/>
          <w:szCs w:val="30"/>
          <w:lang w:bidi="ar"/>
          <w14:textFill>
            <w14:solidFill>
              <w14:schemeClr w14:val="tx1"/>
            </w14:solidFill>
          </w14:textFill>
        </w:rPr>
        <w:t>有权报浙江省政府采购监管部门同意后</w:t>
      </w:r>
      <w:r>
        <w:rPr>
          <w:rFonts w:hint="eastAsia" w:ascii="仿宋" w:hAnsi="仿宋" w:eastAsia="仿宋" w:cs="仿宋"/>
          <w:color w:val="000000" w:themeColor="text1"/>
          <w:sz w:val="30"/>
          <w:szCs w:val="30"/>
          <w:lang w:bidi="ar"/>
          <w14:textFill>
            <w14:solidFill>
              <w14:schemeClr w14:val="tx1"/>
            </w14:solidFill>
          </w14:textFill>
        </w:rPr>
        <w:t>解除本合同，供应商应向采购人支付合同总值5%的违约金，如造成采购人损失超过违约金的，超出部分由供应商继续承担赔偿责任。</w:t>
      </w:r>
    </w:p>
    <w:p>
      <w:pPr>
        <w:spacing w:line="500" w:lineRule="exact"/>
        <w:ind w:firstLine="600" w:firstLineChars="200"/>
        <w:contextualSpacing/>
        <w:rPr>
          <w:rFonts w:ascii="仿宋" w:hAnsi="仿宋" w:eastAsia="仿宋" w:cs="仿宋"/>
          <w:color w:val="000000" w:themeColor="text1"/>
          <w:sz w:val="30"/>
          <w:szCs w:val="30"/>
          <w:lang w:bidi="ar"/>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十四、不可抗力事件处理</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1.在合同有效期内，任何一方因不可抗力事件导致不能履行合同，则合同履行期可延长，其延长期与不可抗力影响期相同。</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2.不可抗力事件发生后，应立即通知对方，并寄送有关权威机构出具的证明。</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3.不可抗力事件延续120天以上，双方应通过友好协商，确定是否继续履行合同。</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十五、诉讼</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双方在执行合同中所发生的一切争议，应通过协商解决。如协商不成，可向甲方所在地法院起诉。</w:t>
      </w:r>
    </w:p>
    <w:p>
      <w:pPr>
        <w:pStyle w:val="53"/>
        <w:adjustRightInd w:val="0"/>
        <w:snapToGrid w:val="0"/>
        <w:spacing w:before="156" w:beforeLines="50" w:line="460" w:lineRule="exact"/>
        <w:ind w:firstLine="638" w:firstLineChars="212"/>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lang w:bidi="ar"/>
          <w14:textFill>
            <w14:solidFill>
              <w14:schemeClr w14:val="tx1"/>
            </w14:solidFill>
          </w14:textFill>
        </w:rPr>
        <w:t>十六、合同生效及其它</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1.合同经甲、乙两方签名并加盖单位公章后生效。</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3.招标文件、投标文件与本合同具有同等法律效力。</w:t>
      </w:r>
    </w:p>
    <w:p>
      <w:pPr>
        <w:pStyle w:val="53"/>
        <w:adjustRightInd w:val="0"/>
        <w:snapToGrid w:val="0"/>
        <w:spacing w:before="156" w:beforeLines="50" w:line="460" w:lineRule="exact"/>
        <w:ind w:firstLine="59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28"/>
          <w:szCs w:val="28"/>
          <w:lang w:bidi="ar"/>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adjustRightInd w:val="0"/>
        <w:snapToGrid w:val="0"/>
        <w:spacing w:before="156" w:beforeLines="50" w:line="460" w:lineRule="exact"/>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5.本合同未尽事宜，遵照《中华人民共和国民法典》有关条文执行。</w:t>
      </w:r>
    </w:p>
    <w:p>
      <w:pPr>
        <w:pStyle w:val="53"/>
        <w:adjustRightInd w:val="0"/>
        <w:snapToGrid w:val="0"/>
        <w:spacing w:before="156" w:beforeLines="50" w:line="460" w:lineRule="exact"/>
        <w:ind w:left="2" w:leftChars="1"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6.本合同一式四份，具有同等法律效力，甲、乙两方各执二份。</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甲方（盖章）：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地址：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法定（授权）代表人：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签名日期：     年   月   日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乙方（盖章）：</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 xml:space="preserve">地址： </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开户行：</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开户帐号：</w:t>
      </w:r>
    </w:p>
    <w:p>
      <w:pPr>
        <w:pStyle w:val="53"/>
        <w:adjustRightInd w:val="0"/>
        <w:snapToGrid w:val="0"/>
        <w:spacing w:before="156" w:beforeLines="50" w:line="460" w:lineRule="exact"/>
        <w:ind w:firstLine="636" w:firstLineChars="212"/>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法定（授权）代表人：</w:t>
      </w:r>
    </w:p>
    <w:p>
      <w:pPr>
        <w:pStyle w:val="31"/>
        <w:snapToGrid w:val="0"/>
        <w:spacing w:before="156" w:afterLines="0" w:line="440" w:lineRule="exact"/>
        <w:ind w:firstLine="600" w:firstLineChars="200"/>
        <w:jc w:val="left"/>
        <w:outlineLvl w:val="0"/>
        <w:rPr>
          <w:rFonts w:ascii="Times New Roman" w:hAnsi="Times New Roman"/>
          <w:b/>
          <w:color w:val="000000" w:themeColor="text1"/>
          <w:sz w:val="36"/>
          <w:szCs w:val="36"/>
          <w14:textFill>
            <w14:solidFill>
              <w14:schemeClr w14:val="tx1"/>
            </w14:solidFill>
          </w14:textFill>
        </w:rPr>
      </w:pPr>
      <w:r>
        <w:rPr>
          <w:rFonts w:hint="eastAsia" w:ascii="仿宋" w:hAnsi="仿宋" w:eastAsia="仿宋" w:cs="仿宋"/>
          <w:color w:val="000000" w:themeColor="text1"/>
          <w:sz w:val="30"/>
          <w:szCs w:val="30"/>
          <w:lang w:bidi="ar"/>
          <w14:textFill>
            <w14:solidFill>
              <w14:schemeClr w14:val="tx1"/>
            </w14:solidFill>
          </w14:textFill>
        </w:rPr>
        <w:t>签名日期：      年   月   日</w:t>
      </w:r>
    </w:p>
    <w:p>
      <w:pPr>
        <w:ind w:firstLine="1807" w:firstLineChars="500"/>
        <w:rPr>
          <w:rFonts w:hint="eastAsia" w:hAnsi="宋体"/>
          <w:b/>
          <w:color w:val="000000" w:themeColor="text1"/>
          <w:sz w:val="36"/>
          <w:szCs w:val="36"/>
          <w14:textFill>
            <w14:solidFill>
              <w14:schemeClr w14:val="tx1"/>
            </w14:solidFill>
          </w14:textFill>
        </w:rPr>
      </w:pPr>
      <w:bookmarkStart w:id="19" w:name="_Toc496796640"/>
    </w:p>
    <w:p>
      <w:pPr>
        <w:ind w:firstLine="1807" w:firstLineChars="500"/>
        <w:rPr>
          <w:rFonts w:hAnsi="宋体"/>
          <w:b/>
          <w:color w:val="000000" w:themeColor="text1"/>
          <w:sz w:val="36"/>
          <w:szCs w:val="36"/>
          <w14:textFill>
            <w14:solidFill>
              <w14:schemeClr w14:val="tx1"/>
            </w14:solidFill>
          </w14:textFill>
        </w:rPr>
      </w:pPr>
      <w:r>
        <w:rPr>
          <w:rFonts w:hint="eastAsia" w:hAnsi="宋体"/>
          <w:b/>
          <w:color w:val="000000" w:themeColor="text1"/>
          <w:sz w:val="36"/>
          <w:szCs w:val="36"/>
          <w14:textFill>
            <w14:solidFill>
              <w14:schemeClr w14:val="tx1"/>
            </w14:solidFill>
          </w14:textFill>
        </w:rPr>
        <w:t>第六章  投标文件格式附件</w:t>
      </w:r>
      <w:bookmarkEnd w:id="19"/>
    </w:p>
    <w:p>
      <w:pPr>
        <w:pStyle w:val="31"/>
        <w:spacing w:before="156" w:after="156" w:line="360" w:lineRule="auto"/>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ind w:left="1" w:firstLine="770" w:firstLineChars="213"/>
        <w:jc w:val="center"/>
        <w:rPr>
          <w:rFonts w:hAnsi="宋体" w:eastAsia="仿宋_GB2312"/>
          <w:b/>
          <w:color w:val="000000" w:themeColor="text1"/>
          <w:sz w:val="36"/>
          <w:szCs w:val="36"/>
          <w14:textFill>
            <w14:solidFill>
              <w14:schemeClr w14:val="tx1"/>
            </w14:solidFill>
          </w14:textFill>
        </w:rPr>
      </w:pPr>
    </w:p>
    <w:p>
      <w:pPr>
        <w:pStyle w:val="31"/>
        <w:adjustRightInd w:val="0"/>
        <w:snapToGrid w:val="0"/>
        <w:spacing w:before="156" w:after="156" w:line="460" w:lineRule="exact"/>
        <w:rPr>
          <w:rFonts w:hAnsi="宋体" w:eastAsia="仿宋_GB2312"/>
          <w:b/>
          <w:color w:val="000000" w:themeColor="text1"/>
          <w:sz w:val="36"/>
          <w:szCs w:val="36"/>
          <w14:textFill>
            <w14:solidFill>
              <w14:schemeClr w14:val="tx1"/>
            </w14:solidFill>
          </w14:textFill>
        </w:rPr>
      </w:pPr>
    </w:p>
    <w:p>
      <w:pPr>
        <w:snapToGrid w:val="0"/>
        <w:spacing w:before="156" w:beforeLines="50" w:after="50"/>
        <w:rPr>
          <w:rFonts w:ascii="仿宋" w:hAnsi="仿宋" w:eastAsia="仿宋"/>
          <w:b/>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附件1</w:t>
      </w:r>
      <w:r>
        <w:rPr>
          <w:rFonts w:hint="eastAsia" w:ascii="仿宋" w:hAnsi="仿宋" w:eastAsia="仿宋"/>
          <w:b/>
          <w:color w:val="000000" w:themeColor="text1"/>
          <w:sz w:val="30"/>
          <w:szCs w:val="30"/>
          <w14:textFill>
            <w14:solidFill>
              <w14:schemeClr w14:val="tx1"/>
            </w14:solidFill>
          </w14:textFill>
        </w:rPr>
        <w:t xml:space="preserve">：                                         </w:t>
      </w:r>
    </w:p>
    <w:p>
      <w:pPr>
        <w:spacing w:before="312" w:beforeLines="100" w:line="360" w:lineRule="auto"/>
        <w:ind w:right="-108"/>
        <w:jc w:val="center"/>
        <w:rPr>
          <w:rFonts w:ascii="仿宋" w:hAnsi="仿宋" w:eastAsia="仿宋" w:cs="仿宋"/>
          <w:b/>
          <w:color w:val="000000"/>
          <w:sz w:val="48"/>
          <w:szCs w:val="48"/>
        </w:rPr>
      </w:pPr>
      <w:r>
        <w:rPr>
          <w:rFonts w:hint="eastAsia" w:ascii="仿宋" w:hAnsi="仿宋" w:eastAsia="仿宋" w:cs="仿宋"/>
          <w:b/>
          <w:color w:val="000000"/>
          <w:sz w:val="48"/>
          <w:szCs w:val="48"/>
        </w:rPr>
        <w:t>浙江省体育彩票管理中心即开型体育彩票高效运营服务项目</w:t>
      </w:r>
    </w:p>
    <w:p>
      <w:pPr>
        <w:spacing w:before="312" w:beforeLines="100" w:line="240" w:lineRule="atLeast"/>
        <w:ind w:firstLine="1080" w:firstLineChars="3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项目编号：ZZCG2024T-GK-</w:t>
      </w:r>
      <w:r>
        <w:rPr>
          <w:rFonts w:hint="eastAsia" w:ascii="仿宋" w:hAnsi="仿宋" w:eastAsia="仿宋"/>
          <w:sz w:val="36"/>
          <w:szCs w:val="36"/>
        </w:rPr>
        <w:t>107</w:t>
      </w:r>
      <w:r>
        <w:rPr>
          <w:rFonts w:hint="eastAsia" w:ascii="仿宋" w:hAnsi="仿宋" w:eastAsia="仿宋"/>
          <w:color w:val="000000" w:themeColor="text1"/>
          <w:sz w:val="36"/>
          <w:szCs w:val="36"/>
          <w14:textFill>
            <w14:solidFill>
              <w14:schemeClr w14:val="tx1"/>
            </w14:solidFill>
          </w14:textFill>
        </w:rPr>
        <w:t>（标项  ）</w:t>
      </w:r>
    </w:p>
    <w:p>
      <w:pPr>
        <w:pStyle w:val="992"/>
        <w:rPr>
          <w:rFonts w:eastAsia="仿宋"/>
          <w:color w:val="000000" w:themeColor="text1"/>
          <w14:textFill>
            <w14:solidFill>
              <w14:schemeClr w14:val="tx1"/>
            </w14:solidFill>
          </w14:textFill>
        </w:rPr>
      </w:pPr>
    </w:p>
    <w:p>
      <w:pPr>
        <w:pStyle w:val="992"/>
        <w:rPr>
          <w:rFonts w:eastAsia="仿宋"/>
          <w:color w:val="000000" w:themeColor="text1"/>
          <w14:textFill>
            <w14:solidFill>
              <w14:schemeClr w14:val="tx1"/>
            </w14:solidFill>
          </w14:textFill>
        </w:rPr>
      </w:pPr>
    </w:p>
    <w:p>
      <w:pPr>
        <w:pStyle w:val="992"/>
        <w:rPr>
          <w:rFonts w:eastAsia="仿宋"/>
          <w:color w:val="000000" w:themeColor="text1"/>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14:textFill>
            <w14:solidFill>
              <w14:schemeClr w14:val="tx1"/>
            </w14:solidFill>
          </w14:textFill>
        </w:rPr>
      </w:pPr>
      <w:r>
        <w:rPr>
          <w:rFonts w:hint="eastAsia" w:ascii="仿宋" w:hAnsi="仿宋" w:eastAsia="仿宋"/>
          <w:b/>
          <w:color w:val="000000" w:themeColor="text1"/>
          <w:spacing w:val="40"/>
          <w:sz w:val="84"/>
          <w:szCs w:val="84"/>
          <w14:textFill>
            <w14:solidFill>
              <w14:schemeClr w14:val="tx1"/>
            </w14:solidFill>
          </w14:textFill>
        </w:rPr>
        <w:t>件</w:t>
      </w:r>
    </w:p>
    <w:p>
      <w:pPr>
        <w:spacing w:line="500" w:lineRule="exact"/>
        <w:ind w:right="532"/>
        <w:rPr>
          <w:rFonts w:ascii="仿宋" w:hAnsi="仿宋" w:eastAsia="仿宋"/>
          <w:color w:val="000000" w:themeColor="text1"/>
          <w:sz w:val="36"/>
          <w:szCs w:val="36"/>
          <w14:textFill>
            <w14:solidFill>
              <w14:schemeClr w14:val="tx1"/>
            </w14:solidFill>
          </w14:textFill>
        </w:rPr>
      </w:pP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14:textFill>
            <w14:solidFill>
              <w14:schemeClr w14:val="tx1"/>
            </w14:solidFill>
          </w14:textFill>
        </w:rPr>
      </w:pPr>
      <w:r>
        <w:rPr>
          <w:rFonts w:hint="eastAsia" w:ascii="仿宋" w:hAnsi="仿宋" w:eastAsia="仿宋"/>
          <w:color w:val="000000" w:themeColor="text1"/>
          <w:sz w:val="36"/>
          <w:szCs w:val="36"/>
          <w14:textFill>
            <w14:solidFill>
              <w14:schemeClr w14:val="tx1"/>
            </w14:solidFill>
          </w14:textFill>
        </w:rPr>
        <w:t>时    间：</w:t>
      </w:r>
    </w:p>
    <w:p>
      <w:pP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br w:type="page"/>
      </w:r>
    </w:p>
    <w:p>
      <w:pPr>
        <w:snapToGrid w:val="0"/>
        <w:spacing w:before="50" w:after="50"/>
        <w:rPr>
          <w:rFonts w:ascii="仿宋" w:hAnsi="仿宋" w:eastAsia="仿宋"/>
          <w:b/>
          <w:bCs/>
          <w:sz w:val="36"/>
          <w:szCs w:val="36"/>
        </w:rPr>
      </w:pP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p>
    <w:p>
      <w:pPr>
        <w:widowControl/>
        <w:jc w:val="left"/>
        <w:rPr>
          <w:rFonts w:ascii="仿宋" w:hAnsi="仿宋" w:eastAsia="仿宋"/>
          <w:bCs/>
          <w:color w:val="000000" w:themeColor="text1"/>
          <w:sz w:val="28"/>
          <w:szCs w:val="28"/>
          <w14:textFill>
            <w14:solidFill>
              <w14:schemeClr w14:val="tx1"/>
            </w14:solidFill>
          </w14:textFill>
        </w:rPr>
      </w:pPr>
      <w:r>
        <w:rPr>
          <w:rFonts w:ascii="仿宋" w:hAnsi="仿宋" w:eastAsia="仿宋"/>
          <w:bCs/>
          <w:color w:val="000000" w:themeColor="text1"/>
          <w:sz w:val="28"/>
          <w:szCs w:val="28"/>
          <w14:textFill>
            <w14:solidFill>
              <w14:schemeClr w14:val="tx1"/>
            </w14:solidFill>
          </w14:textFill>
        </w:rPr>
        <w:br w:type="page"/>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未提供声明书或声明书未盖投标人公章；</w:t>
      </w:r>
    </w:p>
    <w:p>
      <w:pPr>
        <w:snapToGrid w:val="0"/>
        <w:spacing w:line="460" w:lineRule="exact"/>
        <w:ind w:firstLine="602" w:firstLineChars="200"/>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sz w:val="30"/>
          <w:szCs w:val="30"/>
        </w:rPr>
        <w:t>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未提供营业执照或营业执照不在有效期内或未盖投标人公章；</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602" w:firstLineChars="200"/>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投标人的特定条件证明材料：</w:t>
      </w:r>
    </w:p>
    <w:p>
      <w:pPr>
        <w:snapToGrid w:val="0"/>
        <w:spacing w:line="460" w:lineRule="exact"/>
        <w:ind w:firstLine="600" w:firstLineChars="200"/>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r>
        <w:rPr>
          <w:rFonts w:hint="eastAsia" w:ascii="仿宋" w:hAnsi="仿宋" w:eastAsia="仿宋"/>
          <w:sz w:val="30"/>
          <w:szCs w:val="30"/>
        </w:rPr>
        <w:t>或法定代表人（或授权代表）未签章</w:t>
      </w:r>
      <w:r>
        <w:rPr>
          <w:rFonts w:hint="eastAsia" w:ascii="仿宋" w:hAnsi="仿宋" w:eastAsia="仿宋"/>
          <w:bCs/>
          <w:sz w:val="30"/>
          <w:szCs w:val="30"/>
        </w:rPr>
        <w:t>。</w:t>
      </w: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kern w:val="0"/>
          <w:sz w:val="30"/>
          <w:szCs w:val="30"/>
        </w:rPr>
        <w:br w:type="page"/>
      </w:r>
      <w:r>
        <w:rPr>
          <w:rFonts w:hint="eastAsia" w:ascii="仿宋" w:hAnsi="仿宋" w:eastAsia="仿宋"/>
          <w:color w:val="000000" w:themeColor="text1"/>
          <w:sz w:val="30"/>
          <w:szCs w:val="30"/>
          <w14:textFill>
            <w14:solidFill>
              <w14:schemeClr w14:val="tx1"/>
            </w14:solidFill>
          </w14:textFill>
        </w:rPr>
        <w:t>附件2：</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声 明 书</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致浙江省政府采购中心：</w:t>
      </w:r>
    </w:p>
    <w:p>
      <w:pPr>
        <w:spacing w:before="312" w:beforeLines="100" w:line="360" w:lineRule="auto"/>
        <w:ind w:right="-108"/>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我方愿意参加贵方组织的</w:t>
      </w:r>
      <w:r>
        <w:rPr>
          <w:rFonts w:hint="eastAsia" w:ascii="仿宋" w:hAnsi="仿宋" w:eastAsia="仿宋"/>
          <w:b/>
          <w:bCs/>
          <w:color w:val="000000" w:themeColor="text1"/>
          <w:sz w:val="30"/>
          <w:szCs w:val="30"/>
          <w:u w:val="single"/>
          <w14:textFill>
            <w14:solidFill>
              <w14:schemeClr w14:val="tx1"/>
            </w14:solidFill>
          </w14:textFill>
        </w:rPr>
        <w:t xml:space="preserve"> </w:t>
      </w:r>
      <w:r>
        <w:rPr>
          <w:rFonts w:hint="eastAsia" w:ascii="仿宋" w:hAnsi="仿宋" w:eastAsia="仿宋"/>
          <w:b/>
          <w:bCs/>
          <w:color w:val="000000" w:themeColor="text1"/>
          <w:sz w:val="30"/>
          <w:szCs w:val="30"/>
          <w:u w:val="single"/>
          <w:lang w:eastAsia="zh-CN"/>
          <w14:textFill>
            <w14:solidFill>
              <w14:schemeClr w14:val="tx1"/>
            </w14:solidFill>
          </w14:textFill>
        </w:rPr>
        <w:t>浙江省体育彩票管理中心即开型体育彩票高效运营服务项目</w:t>
      </w:r>
      <w:r>
        <w:rPr>
          <w:rFonts w:hint="eastAsia" w:ascii="仿宋" w:hAnsi="仿宋" w:eastAsia="仿宋"/>
          <w:b/>
          <w:bCs/>
          <w:sz w:val="30"/>
          <w:szCs w:val="30"/>
          <w:u w:val="single"/>
        </w:rPr>
        <w:t>（编号为ZZCG2024T-GK-107）</w:t>
      </w:r>
      <w:r>
        <w:rPr>
          <w:rFonts w:hint="eastAsia" w:ascii="仿宋" w:hAnsi="仿宋" w:eastAsia="仿宋"/>
          <w:color w:val="000000" w:themeColor="text1"/>
          <w:sz w:val="30"/>
          <w:szCs w:val="30"/>
          <w14:textFill>
            <w14:solidFill>
              <w14:schemeClr w14:val="tx1"/>
            </w14:solidFill>
          </w14:textFill>
        </w:rPr>
        <w:t>的投标，为此，我方就本次投标有关事项郑重声明如下：</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1.我方已详细审查全部招标文件，同意招标文件的各项要求。</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2.我方向贵方提交的所有投标文件、资料都是准确的和真实的。</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3.若中标，我方将按招标文件规定履行合同责任和义务。</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5.投标文件自开标日起有效期为90天。</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我方承诺已经具备参与采购活动的资格条件；具有独立承担民事责任的能力；具有良好的商业信誉和健全的财务会计制度；具有履行合同所必需的设备和专业技术能力；有依法缴纳税收和社会保障资金的良好记录；参加政府采购活动前3年内，在经营活动中没有重大违法记录；法律、行政法规规定的其他条件。</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我方未被中国政府采购网（www.ccgp.gov.cn）列入政府采购严重违法失信行为记录名单，未在军队采购网（www.plap.mil.cn）军队采购暂停名单处罚范围内或军队采购失信名单禁入处罚期和处罚范围内，以及未被“信用中国”（www.creditchina.gov.cn）列入严重失信主体名单或国家企业信用信息公示系统（www.gsxt.gov.cn）列入严重违法失信名单（处罚期内）。</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我方不存在</w:t>
      </w:r>
      <w:r>
        <w:rPr>
          <w:rFonts w:ascii="仿宋" w:hAnsi="仿宋" w:eastAsia="仿宋"/>
          <w:color w:val="000000" w:themeColor="text1"/>
          <w:sz w:val="30"/>
          <w:szCs w:val="30"/>
          <w14:textFill>
            <w14:solidFill>
              <w14:schemeClr w14:val="tx1"/>
            </w14:solidFill>
          </w14:textFill>
        </w:rPr>
        <w:t>单位负责人为同一人或者存在直接控股、管理关系的不同供应商， 参加同一合同项下的政府采购活动</w:t>
      </w:r>
      <w:r>
        <w:rPr>
          <w:rFonts w:hint="eastAsia" w:ascii="仿宋" w:hAnsi="仿宋" w:eastAsia="仿宋"/>
          <w:color w:val="000000" w:themeColor="text1"/>
          <w:sz w:val="30"/>
          <w:szCs w:val="30"/>
          <w14:textFill>
            <w14:solidFill>
              <w14:schemeClr w14:val="tx1"/>
            </w14:solidFill>
          </w14:textFill>
        </w:rPr>
        <w:t>的情况</w:t>
      </w:r>
      <w:r>
        <w:rPr>
          <w:rFonts w:ascii="仿宋" w:hAnsi="仿宋" w:eastAsia="仿宋"/>
          <w:color w:val="000000" w:themeColor="text1"/>
          <w:sz w:val="30"/>
          <w:szCs w:val="30"/>
          <w14:textFill>
            <w14:solidFill>
              <w14:schemeClr w14:val="tx1"/>
            </w14:solidFill>
          </w14:textFill>
        </w:rPr>
        <w:t>。</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w:t>
      </w:r>
      <w:r>
        <w:rPr>
          <w:rFonts w:ascii="仿宋" w:hAnsi="仿宋" w:eastAsia="仿宋"/>
          <w:color w:val="000000" w:themeColor="text1"/>
          <w:sz w:val="30"/>
          <w:szCs w:val="30"/>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我方不存在</w:t>
      </w:r>
      <w:r>
        <w:rPr>
          <w:rFonts w:ascii="仿宋" w:hAnsi="仿宋" w:eastAsia="仿宋"/>
          <w:color w:val="000000" w:themeColor="text1"/>
          <w:sz w:val="30"/>
          <w:szCs w:val="30"/>
          <w14:textFill>
            <w14:solidFill>
              <w14:schemeClr w14:val="tx1"/>
            </w14:solidFill>
          </w14:textFill>
        </w:rPr>
        <w:t>为采购项目提供整体设计、规范编制或者项目管理、监理、检测等服务</w:t>
      </w:r>
      <w:r>
        <w:rPr>
          <w:rFonts w:hint="eastAsia" w:ascii="仿宋" w:hAnsi="仿宋" w:eastAsia="仿宋"/>
          <w:color w:val="000000" w:themeColor="text1"/>
          <w:sz w:val="30"/>
          <w:szCs w:val="30"/>
          <w14:textFill>
            <w14:solidFill>
              <w14:schemeClr w14:val="tx1"/>
            </w14:solidFill>
          </w14:textFill>
        </w:rPr>
        <w:t>后</w:t>
      </w:r>
      <w:r>
        <w:rPr>
          <w:rFonts w:ascii="仿宋" w:hAnsi="仿宋" w:eastAsia="仿宋"/>
          <w:color w:val="000000" w:themeColor="text1"/>
          <w:sz w:val="30"/>
          <w:szCs w:val="30"/>
          <w14:textFill>
            <w14:solidFill>
              <w14:schemeClr w14:val="tx1"/>
            </w14:solidFill>
          </w14:textFill>
        </w:rPr>
        <w:t>再参加该采购项目的其他采购活动</w:t>
      </w:r>
      <w:r>
        <w:rPr>
          <w:rFonts w:hint="eastAsia" w:ascii="仿宋" w:hAnsi="仿宋" w:eastAsia="仿宋"/>
          <w:color w:val="000000" w:themeColor="text1"/>
          <w:sz w:val="30"/>
          <w:szCs w:val="30"/>
          <w14:textFill>
            <w14:solidFill>
              <w14:schemeClr w14:val="tx1"/>
            </w14:solidFill>
          </w14:textFill>
        </w:rPr>
        <w:t>的情况</w:t>
      </w:r>
      <w:r>
        <w:rPr>
          <w:rFonts w:ascii="仿宋" w:hAnsi="仿宋" w:eastAsia="仿宋"/>
          <w:color w:val="000000" w:themeColor="text1"/>
          <w:sz w:val="30"/>
          <w:szCs w:val="30"/>
          <w14:textFill>
            <w14:solidFill>
              <w14:schemeClr w14:val="tx1"/>
            </w14:solidFill>
          </w14:textFill>
        </w:rPr>
        <w:t>。</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10.我方承诺自愿遵守、执行军队采购管理法规制度及政策规定。</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ind w:right="600" w:firstLine="150" w:firstLineChars="50"/>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ind w:right="600" w:firstLine="150" w:firstLineChars="50"/>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kern w:val="0"/>
          <w:sz w:val="30"/>
          <w:szCs w:val="30"/>
          <w14:textFill>
            <w14:solidFill>
              <w14:schemeClr w14:val="tx1"/>
            </w14:solidFill>
          </w14:textFill>
        </w:rPr>
        <w:br w:type="page"/>
      </w:r>
      <w:r>
        <w:rPr>
          <w:rFonts w:hint="eastAsia" w:ascii="仿宋" w:hAnsi="仿宋" w:eastAsia="仿宋"/>
          <w:color w:val="000000" w:themeColor="text1"/>
          <w:sz w:val="30"/>
          <w:szCs w:val="30"/>
          <w14:textFill>
            <w14:solidFill>
              <w14:schemeClr w14:val="tx1"/>
            </w14:solidFill>
          </w14:textFill>
        </w:rPr>
        <w:t>附件3</w:t>
      </w:r>
      <w:r>
        <w:rPr>
          <w:rFonts w:ascii="仿宋" w:hAnsi="仿宋" w:eastAsia="仿宋"/>
          <w:color w:val="000000" w:themeColor="text1"/>
          <w:sz w:val="30"/>
          <w:szCs w:val="30"/>
          <w14:textFill>
            <w14:solidFill>
              <w14:schemeClr w14:val="tx1"/>
            </w14:solidFill>
          </w14:textFill>
        </w:rPr>
        <w:t>-1</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法定代表人授权委托书</w:t>
      </w:r>
    </w:p>
    <w:p>
      <w:pPr>
        <w:snapToGrid w:val="0"/>
        <w:spacing w:before="156" w:beforeLines="50" w:after="50"/>
        <w:jc w:val="center"/>
        <w:rPr>
          <w:rFonts w:ascii="仿宋" w:hAnsi="仿宋" w:eastAsia="仿宋"/>
          <w:b/>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浙江省政府采购中心：</w:t>
      </w:r>
    </w:p>
    <w:p>
      <w:pPr>
        <w:spacing w:before="312" w:beforeLines="100" w:line="240" w:lineRule="atLeast"/>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我</w:t>
      </w:r>
      <w:r>
        <w:rPr>
          <w:rFonts w:hint="eastAsia" w:ascii="仿宋" w:hAnsi="仿宋" w:eastAsia="仿宋"/>
          <w:color w:val="000000" w:themeColor="text1"/>
          <w:sz w:val="30"/>
          <w:szCs w:val="30"/>
          <w:u w:val="single"/>
          <w14:textFill>
            <w14:solidFill>
              <w14:schemeClr w14:val="tx1"/>
            </w14:solidFill>
          </w14:textFill>
        </w:rPr>
        <w:t>（姓名）</w:t>
      </w:r>
      <w:r>
        <w:rPr>
          <w:rFonts w:hint="eastAsia" w:ascii="仿宋" w:hAnsi="仿宋" w:eastAsia="仿宋"/>
          <w:color w:val="000000" w:themeColor="text1"/>
          <w:sz w:val="30"/>
          <w:szCs w:val="30"/>
          <w14:textFill>
            <w14:solidFill>
              <w14:schemeClr w14:val="tx1"/>
            </w14:solidFill>
          </w14:textFill>
        </w:rPr>
        <w:t>系</w:t>
      </w:r>
      <w:r>
        <w:rPr>
          <w:rFonts w:hint="eastAsia" w:ascii="仿宋" w:hAnsi="仿宋" w:eastAsia="仿宋"/>
          <w:color w:val="000000" w:themeColor="text1"/>
          <w:sz w:val="30"/>
          <w:szCs w:val="30"/>
          <w:u w:val="single"/>
          <w14:textFill>
            <w14:solidFill>
              <w14:schemeClr w14:val="tx1"/>
            </w14:solidFill>
          </w14:textFill>
        </w:rPr>
        <w:t>（投标人名称）</w:t>
      </w:r>
      <w:r>
        <w:rPr>
          <w:rFonts w:hint="eastAsia" w:ascii="仿宋" w:hAnsi="仿宋" w:eastAsia="仿宋"/>
          <w:color w:val="000000" w:themeColor="text1"/>
          <w:sz w:val="30"/>
          <w:szCs w:val="30"/>
          <w14:textFill>
            <w14:solidFill>
              <w14:schemeClr w14:val="tx1"/>
            </w14:solidFill>
          </w14:textFill>
        </w:rPr>
        <w:t>的法定代表人，现授权委托本单位在职职工</w:t>
      </w:r>
      <w:r>
        <w:rPr>
          <w:rFonts w:hint="eastAsia" w:ascii="仿宋" w:hAnsi="仿宋" w:eastAsia="仿宋"/>
          <w:color w:val="000000" w:themeColor="text1"/>
          <w:sz w:val="30"/>
          <w:szCs w:val="30"/>
          <w:u w:val="single"/>
          <w14:textFill>
            <w14:solidFill>
              <w14:schemeClr w14:val="tx1"/>
            </w14:solidFill>
          </w14:textFill>
        </w:rPr>
        <w:t xml:space="preserve"> （姓名）</w:t>
      </w:r>
      <w:r>
        <w:rPr>
          <w:rFonts w:hint="eastAsia" w:ascii="仿宋" w:hAnsi="仿宋" w:eastAsia="仿宋"/>
          <w:color w:val="000000" w:themeColor="text1"/>
          <w:sz w:val="30"/>
          <w:szCs w:val="30"/>
          <w14:textFill>
            <w14:solidFill>
              <w14:schemeClr w14:val="tx1"/>
            </w14:solidFill>
          </w14:textFill>
        </w:rPr>
        <w:t>为授权代表，以我方的名义参加项目名称：项目名称：</w:t>
      </w:r>
      <w:r>
        <w:rPr>
          <w:rFonts w:hint="eastAsia" w:ascii="仿宋" w:hAnsi="仿宋" w:eastAsia="仿宋"/>
          <w:b/>
          <w:bCs/>
          <w:color w:val="000000" w:themeColor="text1"/>
          <w:sz w:val="30"/>
          <w:szCs w:val="30"/>
          <w:u w:val="single"/>
          <w:lang w:eastAsia="zh-CN"/>
          <w14:textFill>
            <w14:solidFill>
              <w14:schemeClr w14:val="tx1"/>
            </w14:solidFill>
          </w14:textFill>
        </w:rPr>
        <w:t>浙江省体育彩票管理中心即开型体育彩票高效运营服务项目</w:t>
      </w:r>
      <w:r>
        <w:rPr>
          <w:rFonts w:hint="eastAsia" w:ascii="仿宋" w:hAnsi="仿宋" w:eastAsia="仿宋"/>
          <w:b/>
          <w:bCs/>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编号：</w:t>
      </w:r>
      <w:r>
        <w:rPr>
          <w:rFonts w:hint="eastAsia" w:ascii="仿宋" w:hAnsi="仿宋" w:eastAsia="仿宋"/>
          <w:b/>
          <w:bCs/>
          <w:color w:val="000000" w:themeColor="text1"/>
          <w:sz w:val="30"/>
          <w:szCs w:val="30"/>
          <w:u w:val="single"/>
          <w14:textFill>
            <w14:solidFill>
              <w14:schemeClr w14:val="tx1"/>
            </w14:solidFill>
          </w14:textFill>
        </w:rPr>
        <w:t>ZZCG2024T-GK-</w:t>
      </w:r>
      <w:r>
        <w:rPr>
          <w:rFonts w:hint="eastAsia" w:ascii="仿宋" w:hAnsi="仿宋" w:eastAsia="仿宋"/>
          <w:b/>
          <w:bCs/>
          <w:sz w:val="30"/>
          <w:szCs w:val="30"/>
          <w:u w:val="single"/>
        </w:rPr>
        <w:t>107</w:t>
      </w:r>
      <w:r>
        <w:rPr>
          <w:rFonts w:hint="eastAsia" w:ascii="仿宋" w:hAnsi="仿宋" w:eastAsia="仿宋"/>
          <w:sz w:val="30"/>
          <w:szCs w:val="30"/>
        </w:rPr>
        <w:t>的</w:t>
      </w:r>
      <w:r>
        <w:rPr>
          <w:rFonts w:hint="eastAsia" w:ascii="仿宋" w:hAnsi="仿宋" w:eastAsia="仿宋"/>
          <w:color w:val="000000" w:themeColor="text1"/>
          <w:sz w:val="30"/>
          <w:szCs w:val="30"/>
          <w14:textFill>
            <w14:solidFill>
              <w14:schemeClr w14:val="tx1"/>
            </w14:solidFill>
          </w14:textFill>
        </w:rPr>
        <w:t>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在撤销授权的书面通知以前，本授权书一直有效。授权代表在授权书有效期内签署的所有文件不因授权的撤销而失效。</w:t>
      </w:r>
    </w:p>
    <w:p>
      <w:pPr>
        <w:snapToGrid w:val="0"/>
        <w:spacing w:before="156" w:beforeLines="50" w:after="50" w:line="46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授权代表无转委托权，特此委托。</w:t>
      </w:r>
    </w:p>
    <w:p>
      <w:pPr>
        <w:snapToGrid w:val="0"/>
        <w:spacing w:before="156" w:beforeLines="50" w:after="50" w:line="460" w:lineRule="exact"/>
        <w:ind w:firstLine="480"/>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联系方式：</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邮箱：</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授权代表身份证号码：</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法定代表人签名（或签名章）：</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联系方式：</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ind w:firstLine="6150" w:firstLineChars="2050"/>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附件3</w:t>
      </w:r>
      <w:r>
        <w:rPr>
          <w:rFonts w:ascii="仿宋" w:hAnsi="仿宋" w:eastAsia="仿宋"/>
          <w:color w:val="000000" w:themeColor="text1"/>
          <w:sz w:val="30"/>
          <w:szCs w:val="30"/>
          <w14:textFill>
            <w14:solidFill>
              <w14:schemeClr w14:val="tx1"/>
            </w14:solidFill>
          </w14:textFill>
        </w:rPr>
        <w:t>-2</w:t>
      </w:r>
      <w:r>
        <w:rPr>
          <w:rFonts w:hint="eastAsia" w:ascii="仿宋" w:hAnsi="仿宋" w:eastAsia="仿宋"/>
          <w:color w:val="000000" w:themeColor="text1"/>
          <w:sz w:val="30"/>
          <w:szCs w:val="30"/>
          <w14:textFill>
            <w14:solidFill>
              <w14:schemeClr w14:val="tx1"/>
            </w14:solidFill>
          </w14:textFill>
        </w:rPr>
        <w:t>：</w:t>
      </w:r>
    </w:p>
    <w:p>
      <w:pPr>
        <w:snapToGrid w:val="0"/>
        <w:spacing w:before="50" w:after="50"/>
        <w:jc w:val="center"/>
        <w:rPr>
          <w:rFonts w:ascii="仿宋" w:hAnsi="仿宋" w:eastAsia="仿宋"/>
          <w:color w:val="000000" w:themeColor="text1"/>
          <w:sz w:val="30"/>
          <w:szCs w:val="30"/>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法定代表人身份证明</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有效的身份证件扫描件、复印件：</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正面：</w:t>
      </w: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反面：</w:t>
      </w: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widowControl/>
        <w:jc w:val="left"/>
        <w:rPr>
          <w:rFonts w:hAnsi="宋体" w:cs="宋体"/>
          <w:bCs/>
          <w:color w:val="000000" w:themeColor="text1"/>
          <w:sz w:val="24"/>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法定代表人签名（或签名章）：</w:t>
      </w:r>
      <w:r>
        <w:rPr>
          <w:rFonts w:hint="eastAsia" w:ascii="仿宋" w:hAnsi="仿宋" w:eastAsia="仿宋"/>
          <w:color w:val="000000" w:themeColor="text1"/>
          <w:sz w:val="30"/>
          <w:szCs w:val="30"/>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联系方式：</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邮箱：</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 xml:space="preserve"> </w:t>
      </w:r>
    </w:p>
    <w:p>
      <w:pPr>
        <w:widowControl/>
        <w:jc w:val="left"/>
        <w:rPr>
          <w:rFonts w:hAnsi="宋体" w:cs="宋体"/>
          <w:bCs/>
          <w:color w:val="000000" w:themeColor="text1"/>
          <w:sz w:val="24"/>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u w:val="single"/>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投标人全称（公章）：</w:t>
      </w:r>
      <w:r>
        <w:rPr>
          <w:rFonts w:hint="eastAsia" w:ascii="仿宋" w:hAnsi="仿宋" w:eastAsia="仿宋"/>
          <w:color w:val="000000" w:themeColor="text1"/>
          <w:sz w:val="30"/>
          <w:szCs w:val="30"/>
          <w:u w:val="single"/>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日  期：</w:t>
      </w:r>
      <w:r>
        <w:rPr>
          <w:rFonts w:hint="eastAsia" w:ascii="仿宋" w:hAnsi="仿宋" w:eastAsia="仿宋"/>
          <w:color w:val="000000" w:themeColor="text1"/>
          <w:sz w:val="30"/>
          <w:szCs w:val="30"/>
          <w:u w:val="single"/>
          <w14:textFill>
            <w14:solidFill>
              <w14:schemeClr w14:val="tx1"/>
            </w14:solidFill>
          </w14:textFill>
        </w:rPr>
        <w:t xml:space="preserve">           </w:t>
      </w:r>
    </w:p>
    <w:p>
      <w:pPr>
        <w:widowControl/>
        <w:jc w:val="left"/>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br w:type="page"/>
      </w:r>
    </w:p>
    <w:p>
      <w:pPr>
        <w:widowControl/>
        <w:jc w:val="lef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before="156" w:beforeLines="50" w:after="50" w:line="4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lang w:val="zh-CN"/>
        </w:rPr>
        <w:t xml:space="preserve"> </w:t>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rPr>
          <w:rFonts w:ascii="仿宋" w:hAnsi="仿宋" w:eastAsia="仿宋"/>
          <w:color w:val="000000" w:themeColor="text1"/>
          <w:sz w:val="30"/>
          <w:szCs w:val="30"/>
          <w14:textFill>
            <w14:solidFill>
              <w14:schemeClr w14:val="tx1"/>
            </w14:solidFill>
          </w14:textFill>
        </w:rPr>
      </w:pPr>
      <w:r>
        <w:rPr>
          <w:rFonts w:hint="eastAsia" w:ascii="仿宋" w:hAnsi="仿宋" w:eastAsia="仿宋"/>
          <w:kern w:val="0"/>
          <w:sz w:val="30"/>
          <w:szCs w:val="30"/>
        </w:rPr>
        <w:br w:type="page"/>
      </w:r>
    </w:p>
    <w:p>
      <w:pPr>
        <w:snapToGrid w:val="0"/>
        <w:spacing w:line="360" w:lineRule="auto"/>
        <w:rPr>
          <w:rFonts w:ascii="仿宋_GB2312" w:eastAsia="仿宋_GB2312"/>
          <w:b/>
          <w:spacing w:val="6"/>
          <w:sz w:val="32"/>
          <w:szCs w:val="32"/>
        </w:rPr>
      </w:pPr>
      <w:r>
        <w:rPr>
          <w:rFonts w:hint="eastAsia" w:ascii="仿宋" w:hAnsi="仿宋" w:eastAsia="仿宋"/>
          <w:sz w:val="30"/>
          <w:szCs w:val="30"/>
        </w:rPr>
        <w:t xml:space="preserve">附件6：           </w:t>
      </w: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bCs/>
          <w:color w:val="000000" w:themeColor="text1"/>
          <w:sz w:val="44"/>
          <w:szCs w:val="44"/>
          <w:lang w:eastAsia="zh-CN"/>
          <w14:textFill>
            <w14:solidFill>
              <w14:schemeClr w14:val="tx1"/>
            </w14:solidFill>
          </w14:textFill>
        </w:rPr>
      </w:pPr>
      <w:r>
        <w:rPr>
          <w:rFonts w:hint="eastAsia" w:ascii="仿宋" w:hAnsi="仿宋" w:eastAsia="仿宋"/>
          <w:b/>
          <w:bCs/>
          <w:color w:val="000000" w:themeColor="text1"/>
          <w:sz w:val="44"/>
          <w:szCs w:val="44"/>
          <w:lang w:eastAsia="zh-CN"/>
          <w14:textFill>
            <w14:solidFill>
              <w14:schemeClr w14:val="tx1"/>
            </w14:solidFill>
          </w14:textFill>
        </w:rPr>
        <w:t>浙江省体育彩票管理中心即开型体育彩票高效运营服务项目</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20" w:name="PO_15528_PM001_4"/>
      <w:r>
        <w:rPr>
          <w:rFonts w:hint="eastAsia" w:ascii="仿宋" w:hAnsi="仿宋" w:eastAsia="仿宋"/>
          <w:color w:val="000000"/>
          <w:sz w:val="36"/>
          <w:szCs w:val="36"/>
        </w:rPr>
        <w:t>ZZCG2024T-GK-</w:t>
      </w:r>
      <w:bookmarkEnd w:id="20"/>
      <w:r>
        <w:rPr>
          <w:rFonts w:hint="eastAsia" w:ascii="仿宋" w:hAnsi="仿宋" w:eastAsia="仿宋"/>
          <w:sz w:val="36"/>
          <w:szCs w:val="36"/>
        </w:rPr>
        <w:t>107</w:t>
      </w:r>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7"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4"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nil"/>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bCs/>
          <w:color w:val="000000" w:themeColor="text1"/>
          <w:sz w:val="44"/>
          <w:szCs w:val="44"/>
          <w:lang w:eastAsia="zh-CN"/>
          <w14:textFill>
            <w14:solidFill>
              <w14:schemeClr w14:val="tx1"/>
            </w14:solidFill>
          </w14:textFill>
        </w:rPr>
      </w:pPr>
      <w:r>
        <w:rPr>
          <w:rFonts w:hint="eastAsia" w:ascii="仿宋" w:hAnsi="仿宋" w:eastAsia="仿宋"/>
          <w:b/>
          <w:bCs/>
          <w:color w:val="000000" w:themeColor="text1"/>
          <w:sz w:val="44"/>
          <w:szCs w:val="44"/>
          <w:lang w:eastAsia="zh-CN"/>
          <w14:textFill>
            <w14:solidFill>
              <w14:schemeClr w14:val="tx1"/>
            </w14:solidFill>
          </w14:textFill>
        </w:rPr>
        <w:t>浙江省体育彩票管理中心即开型体育彩票高效运营服务项目</w:t>
      </w:r>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21" w:name="PO_1000000445_PM001"/>
      <w:r>
        <w:rPr>
          <w:rFonts w:hint="eastAsia" w:ascii="仿宋" w:hAnsi="仿宋" w:eastAsia="仿宋"/>
          <w:b/>
          <w:color w:val="000000"/>
          <w:sz w:val="36"/>
          <w:szCs w:val="36"/>
        </w:rPr>
        <w:t>ZZCG2024T-GK-</w:t>
      </w:r>
      <w:bookmarkEnd w:id="21"/>
      <w:r>
        <w:rPr>
          <w:rFonts w:hint="eastAsia" w:ascii="仿宋" w:hAnsi="仿宋" w:eastAsia="仿宋"/>
          <w:b/>
          <w:sz w:val="36"/>
          <w:szCs w:val="36"/>
        </w:rPr>
        <w:t>107</w:t>
      </w:r>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1"/>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ind w:firstLine="2891" w:firstLineChars="800"/>
        <w:jc w:val="both"/>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color w:val="000000"/>
        </w:rPr>
      </w:pPr>
    </w:p>
    <w:p>
      <w:pPr>
        <w:snapToGrid w:val="0"/>
        <w:spacing w:line="360" w:lineRule="auto"/>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D8DF5"/>
    <w:multiLevelType w:val="singleLevel"/>
    <w:tmpl w:val="8ECD8DF5"/>
    <w:lvl w:ilvl="0" w:tentative="0">
      <w:start w:val="1"/>
      <w:numFmt w:val="decimal"/>
      <w:lvlText w:val="(%1)"/>
      <w:lvlJc w:val="left"/>
      <w:pPr>
        <w:tabs>
          <w:tab w:val="left" w:pos="312"/>
        </w:tabs>
      </w:pPr>
    </w:lvl>
  </w:abstractNum>
  <w:abstractNum w:abstractNumId="1">
    <w:nsid w:val="A423CAFD"/>
    <w:multiLevelType w:val="singleLevel"/>
    <w:tmpl w:val="A423CAFD"/>
    <w:lvl w:ilvl="0" w:tentative="0">
      <w:start w:val="3"/>
      <w:numFmt w:val="chineseCounting"/>
      <w:suff w:val="nothing"/>
      <w:lvlText w:val="%1、"/>
      <w:lvlJc w:val="left"/>
      <w:rPr>
        <w:rFonts w:hint="eastAsia"/>
      </w:rPr>
    </w:lvl>
  </w:abstractNum>
  <w:abstractNum w:abstractNumId="2">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3">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4">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5">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2">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5">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3964197"/>
    <w:multiLevelType w:val="singleLevel"/>
    <w:tmpl w:val="43964197"/>
    <w:lvl w:ilvl="0" w:tentative="0">
      <w:start w:val="1"/>
      <w:numFmt w:val="decimal"/>
      <w:lvlText w:val="%1."/>
      <w:lvlJc w:val="left"/>
      <w:pPr>
        <w:tabs>
          <w:tab w:val="left" w:pos="312"/>
        </w:tabs>
      </w:pPr>
    </w:lvl>
  </w:abstractNum>
  <w:abstractNum w:abstractNumId="22">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3">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2217D81"/>
    <w:multiLevelType w:val="multilevel"/>
    <w:tmpl w:val="52217D8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7">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8">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30">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4"/>
  </w:num>
  <w:num w:numId="2">
    <w:abstractNumId w:val="4"/>
  </w:num>
  <w:num w:numId="3">
    <w:abstractNumId w:val="2"/>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24"/>
  </w:num>
  <w:num w:numId="9">
    <w:abstractNumId w:val="30"/>
    <w:lvlOverride w:ilvl="0">
      <w:startOverride w:val="1"/>
    </w:lvlOverride>
  </w:num>
  <w:num w:numId="10">
    <w:abstractNumId w:val="10"/>
  </w:num>
  <w:num w:numId="11">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8"/>
  </w:num>
  <w:num w:numId="15">
    <w:abstractNumId w:val="20"/>
  </w:num>
  <w:num w:numId="16">
    <w:abstractNumId w:val="17"/>
  </w:num>
  <w:num w:numId="17">
    <w:abstractNumId w:val="6"/>
  </w:num>
  <w:num w:numId="18">
    <w:abstractNumId w:val="26"/>
  </w:num>
  <w:num w:numId="19">
    <w:abstractNumId w:val="8"/>
  </w:num>
  <w:num w:numId="20">
    <w:abstractNumId w:val="15"/>
  </w:num>
  <w:num w:numId="21">
    <w:abstractNumId w:val="13"/>
  </w:num>
  <w:num w:numId="22">
    <w:abstractNumId w:val="22"/>
  </w:num>
  <w:num w:numId="23">
    <w:abstractNumId w:val="9"/>
  </w:num>
  <w:num w:numId="24">
    <w:abstractNumId w:val="32"/>
  </w:num>
  <w:num w:numId="25">
    <w:abstractNumId w:val="5"/>
  </w:num>
  <w:num w:numId="26">
    <w:abstractNumId w:val="29"/>
  </w:num>
  <w:num w:numId="27">
    <w:abstractNumId w:val="23"/>
  </w:num>
  <w:num w:numId="28">
    <w:abstractNumId w:val="12"/>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98F5CBA"/>
    <w:rsid w:val="25FC63DB"/>
    <w:rsid w:val="270C409F"/>
    <w:rsid w:val="38EA628D"/>
    <w:rsid w:val="3DD73903"/>
    <w:rsid w:val="4FDC07D1"/>
    <w:rsid w:val="6B2913BE"/>
    <w:rsid w:val="7686733D"/>
    <w:rsid w:val="7F454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autoRedefine/>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autoRedefine/>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autoRedefine/>
    <w:semiHidden/>
    <w:unhideWhenUsed/>
    <w:qFormat/>
    <w:uiPriority w:val="39"/>
    <w:pPr>
      <w:ind w:left="1260"/>
      <w:jc w:val="left"/>
    </w:pPr>
    <w:rPr>
      <w:rFonts w:ascii="Times New Roman" w:hAnsi="Times New Roman"/>
      <w:sz w:val="18"/>
      <w:szCs w:val="18"/>
    </w:rPr>
  </w:style>
  <w:style w:type="paragraph" w:styleId="13">
    <w:name w:val="List Number 2"/>
    <w:basedOn w:val="1"/>
    <w:autoRedefine/>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autoRedefine/>
    <w:semiHidden/>
    <w:unhideWhenUsed/>
    <w:qFormat/>
    <w:uiPriority w:val="99"/>
    <w:pPr>
      <w:numPr>
        <w:ilvl w:val="0"/>
        <w:numId w:val="2"/>
      </w:numPr>
    </w:pPr>
    <w:rPr>
      <w:rFonts w:ascii="Times New Roman" w:hAnsi="Times New Roman"/>
      <w:szCs w:val="24"/>
    </w:rPr>
  </w:style>
  <w:style w:type="paragraph" w:styleId="16">
    <w:name w:val="List Number"/>
    <w:basedOn w:val="1"/>
    <w:autoRedefine/>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semiHidden/>
    <w:unhideWhenUsed/>
    <w:qFormat/>
    <w:uiPriority w:val="99"/>
    <w:pPr>
      <w:ind w:firstLine="420"/>
    </w:pPr>
    <w:rPr>
      <w:szCs w:val="20"/>
    </w:rPr>
  </w:style>
  <w:style w:type="paragraph" w:styleId="18">
    <w:name w:val="caption"/>
    <w:basedOn w:val="1"/>
    <w:next w:val="1"/>
    <w:link w:val="107"/>
    <w:autoRedefine/>
    <w:semiHidden/>
    <w:unhideWhenUsed/>
    <w:qFormat/>
    <w:uiPriority w:val="35"/>
    <w:pPr>
      <w:spacing w:before="152" w:after="160"/>
    </w:pPr>
    <w:rPr>
      <w:rFonts w:ascii="Arial" w:hAnsi="Arial" w:eastAsia="黑体"/>
      <w:sz w:val="20"/>
      <w:szCs w:val="20"/>
    </w:rPr>
  </w:style>
  <w:style w:type="paragraph" w:styleId="19">
    <w:name w:val="List Bullet"/>
    <w:basedOn w:val="1"/>
    <w:autoRedefine/>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semiHidden/>
    <w:unhideWhenUsed/>
    <w:qFormat/>
    <w:uiPriority w:val="99"/>
    <w:rPr>
      <w:rFonts w:ascii="宋体"/>
      <w:sz w:val="18"/>
      <w:szCs w:val="18"/>
    </w:rPr>
  </w:style>
  <w:style w:type="paragraph" w:styleId="21">
    <w:name w:val="annotation text"/>
    <w:basedOn w:val="1"/>
    <w:link w:val="82"/>
    <w:autoRedefine/>
    <w:semiHidden/>
    <w:unhideWhenUsed/>
    <w:qFormat/>
    <w:uiPriority w:val="99"/>
    <w:pPr>
      <w:jc w:val="left"/>
    </w:pPr>
  </w:style>
  <w:style w:type="paragraph" w:styleId="22">
    <w:name w:val="Salutation"/>
    <w:basedOn w:val="1"/>
    <w:next w:val="1"/>
    <w:link w:val="83"/>
    <w:autoRedefine/>
    <w:semiHidden/>
    <w:unhideWhenUsed/>
    <w:qFormat/>
    <w:uiPriority w:val="99"/>
    <w:rPr>
      <w:rFonts w:ascii="宋体" w:hAnsi="Times New Roman"/>
      <w:b/>
      <w:sz w:val="28"/>
      <w:szCs w:val="20"/>
    </w:rPr>
  </w:style>
  <w:style w:type="paragraph" w:styleId="23">
    <w:name w:val="Body Text 3"/>
    <w:basedOn w:val="1"/>
    <w:link w:val="84"/>
    <w:autoRedefine/>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autoRedefine/>
    <w:semiHidden/>
    <w:unhideWhenUsed/>
    <w:qFormat/>
    <w:uiPriority w:val="99"/>
    <w:pPr>
      <w:spacing w:after="120"/>
    </w:pPr>
    <w:rPr>
      <w:sz w:val="28"/>
      <w:szCs w:val="24"/>
    </w:rPr>
  </w:style>
  <w:style w:type="paragraph" w:styleId="25">
    <w:name w:val="Body Text Indent"/>
    <w:basedOn w:val="1"/>
    <w:link w:val="86"/>
    <w:autoRedefine/>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autoRedefine/>
    <w:semiHidden/>
    <w:unhideWhenUsed/>
    <w:qFormat/>
    <w:uiPriority w:val="99"/>
    <w:pPr>
      <w:numPr>
        <w:ilvl w:val="0"/>
        <w:numId w:val="3"/>
      </w:numPr>
    </w:pPr>
    <w:rPr>
      <w:rFonts w:ascii="Times New Roman" w:hAnsi="Times New Roman"/>
      <w:szCs w:val="24"/>
    </w:rPr>
  </w:style>
  <w:style w:type="paragraph" w:styleId="27">
    <w:name w:val="List 2"/>
    <w:basedOn w:val="1"/>
    <w:autoRedefine/>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autoRedefine/>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autoRedefine/>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autoRedefine/>
    <w:semiHidden/>
    <w:unhideWhenUsed/>
    <w:qFormat/>
    <w:uiPriority w:val="39"/>
    <w:pPr>
      <w:ind w:left="840" w:leftChars="400"/>
    </w:pPr>
  </w:style>
  <w:style w:type="paragraph" w:styleId="31">
    <w:name w:val="Plain Text"/>
    <w:basedOn w:val="1"/>
    <w:link w:val="87"/>
    <w:autoRedefine/>
    <w:semiHidden/>
    <w:unhideWhenUsed/>
    <w:qFormat/>
    <w:uiPriority w:val="99"/>
    <w:pPr>
      <w:spacing w:beforeLines="50" w:afterLines="50" w:line="400" w:lineRule="exact"/>
    </w:pPr>
    <w:rPr>
      <w:rFonts w:ascii="宋体" w:hAnsi="Courier New"/>
      <w:sz w:val="24"/>
      <w:szCs w:val="24"/>
    </w:rPr>
  </w:style>
  <w:style w:type="paragraph" w:styleId="32">
    <w:name w:val="List Bullet 5"/>
    <w:basedOn w:val="1"/>
    <w:autoRedefine/>
    <w:semiHidden/>
    <w:unhideWhenUsed/>
    <w:qFormat/>
    <w:uiPriority w:val="99"/>
    <w:pPr>
      <w:numPr>
        <w:ilvl w:val="0"/>
        <w:numId w:val="4"/>
      </w:numPr>
    </w:pPr>
    <w:rPr>
      <w:rFonts w:ascii="Times New Roman" w:hAnsi="Times New Roman"/>
      <w:szCs w:val="24"/>
    </w:rPr>
  </w:style>
  <w:style w:type="paragraph" w:styleId="33">
    <w:name w:val="toc 8"/>
    <w:basedOn w:val="1"/>
    <w:next w:val="1"/>
    <w:autoRedefine/>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semiHidden/>
    <w:unhideWhenUsed/>
    <w:qFormat/>
    <w:uiPriority w:val="99"/>
    <w:pPr>
      <w:ind w:left="2500" w:leftChars="2500"/>
    </w:pPr>
    <w:rPr>
      <w:rFonts w:eastAsia="楷体_GB2312"/>
      <w:sz w:val="32"/>
      <w:szCs w:val="20"/>
    </w:rPr>
  </w:style>
  <w:style w:type="paragraph" w:styleId="35">
    <w:name w:val="Body Text Indent 2"/>
    <w:basedOn w:val="1"/>
    <w:link w:val="89"/>
    <w:autoRedefine/>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autoRedefine/>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semiHidden/>
    <w:unhideWhenUsed/>
    <w:qFormat/>
    <w:uiPriority w:val="99"/>
    <w:rPr>
      <w:sz w:val="18"/>
      <w:szCs w:val="18"/>
    </w:rPr>
  </w:style>
  <w:style w:type="paragraph" w:styleId="38">
    <w:name w:val="footer"/>
    <w:basedOn w:val="1"/>
    <w:link w:val="245"/>
    <w:autoRedefine/>
    <w:semiHidden/>
    <w:unhideWhenUsed/>
    <w:qFormat/>
    <w:uiPriority w:val="99"/>
    <w:pPr>
      <w:tabs>
        <w:tab w:val="center" w:pos="4153"/>
        <w:tab w:val="right" w:pos="8306"/>
      </w:tabs>
      <w:snapToGrid w:val="0"/>
      <w:jc w:val="left"/>
    </w:pPr>
    <w:rPr>
      <w:sz w:val="18"/>
      <w:szCs w:val="18"/>
    </w:rPr>
  </w:style>
  <w:style w:type="paragraph" w:styleId="39">
    <w:name w:val="header"/>
    <w:basedOn w:val="1"/>
    <w:link w:val="37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autoRedefine/>
    <w:semiHidden/>
    <w:unhideWhenUsed/>
    <w:qFormat/>
    <w:uiPriority w:val="39"/>
    <w:pPr>
      <w:ind w:left="1260" w:leftChars="600"/>
    </w:pPr>
  </w:style>
  <w:style w:type="paragraph" w:styleId="42">
    <w:name w:val="Subtitle"/>
    <w:basedOn w:val="1"/>
    <w:link w:val="94"/>
    <w:autoRedefine/>
    <w:qFormat/>
    <w:uiPriority w:val="11"/>
    <w:pPr>
      <w:spacing w:afterLines="50"/>
      <w:jc w:val="center"/>
    </w:pPr>
    <w:rPr>
      <w:rFonts w:ascii="Times New Roman" w:hAnsi="Times New Roman" w:eastAsia="Times New Roman"/>
      <w:sz w:val="18"/>
      <w:szCs w:val="18"/>
    </w:rPr>
  </w:style>
  <w:style w:type="paragraph" w:styleId="43">
    <w:name w:val="List"/>
    <w:basedOn w:val="1"/>
    <w:autoRedefine/>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autoRedefine/>
    <w:semiHidden/>
    <w:unhideWhenUsed/>
    <w:qFormat/>
    <w:uiPriority w:val="99"/>
    <w:pPr>
      <w:snapToGrid w:val="0"/>
      <w:jc w:val="left"/>
    </w:pPr>
    <w:rPr>
      <w:sz w:val="18"/>
      <w:szCs w:val="18"/>
    </w:rPr>
  </w:style>
  <w:style w:type="paragraph" w:styleId="45">
    <w:name w:val="toc 6"/>
    <w:basedOn w:val="1"/>
    <w:next w:val="1"/>
    <w:autoRedefine/>
    <w:semiHidden/>
    <w:unhideWhenUsed/>
    <w:qFormat/>
    <w:uiPriority w:val="39"/>
    <w:pPr>
      <w:ind w:left="1050"/>
      <w:jc w:val="left"/>
    </w:pPr>
    <w:rPr>
      <w:rFonts w:ascii="Times New Roman" w:hAnsi="Times New Roman"/>
      <w:sz w:val="18"/>
      <w:szCs w:val="18"/>
    </w:rPr>
  </w:style>
  <w:style w:type="paragraph" w:styleId="46">
    <w:name w:val="Body Text Indent 3"/>
    <w:basedOn w:val="1"/>
    <w:link w:val="96"/>
    <w:autoRedefine/>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semiHidden/>
    <w:unhideWhenUsed/>
    <w:qFormat/>
    <w:uiPriority w:val="39"/>
    <w:pPr>
      <w:ind w:left="1680"/>
      <w:jc w:val="left"/>
    </w:pPr>
    <w:rPr>
      <w:rFonts w:ascii="Times New Roman" w:hAnsi="Times New Roman"/>
      <w:sz w:val="18"/>
      <w:szCs w:val="18"/>
    </w:rPr>
  </w:style>
  <w:style w:type="paragraph" w:styleId="50">
    <w:name w:val="Body Text 2"/>
    <w:basedOn w:val="1"/>
    <w:link w:val="97"/>
    <w:autoRedefine/>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semiHidden/>
    <w:unhideWhenUsed/>
    <w:qFormat/>
    <w:uiPriority w:val="99"/>
    <w:rPr>
      <w:rFonts w:ascii="Courier New" w:hAnsi="Courier New"/>
      <w:sz w:val="20"/>
      <w:szCs w:val="20"/>
    </w:rPr>
  </w:style>
  <w:style w:type="paragraph" w:styleId="5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semiHidden/>
    <w:unhideWhenUsed/>
    <w:qFormat/>
    <w:uiPriority w:val="99"/>
    <w:rPr>
      <w:rFonts w:ascii="Times New Roman" w:hAnsi="Times New Roman"/>
      <w:szCs w:val="20"/>
    </w:rPr>
  </w:style>
  <w:style w:type="paragraph" w:styleId="55">
    <w:name w:val="Title"/>
    <w:basedOn w:val="1"/>
    <w:link w:val="99"/>
    <w:autoRedefine/>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autoRedefine/>
    <w:semiHidden/>
    <w:unhideWhenUsed/>
    <w:qFormat/>
    <w:uiPriority w:val="99"/>
    <w:rPr>
      <w:b/>
      <w:bCs/>
    </w:rPr>
  </w:style>
  <w:style w:type="paragraph" w:styleId="57">
    <w:name w:val="Body Text First Indent"/>
    <w:basedOn w:val="24"/>
    <w:link w:val="102"/>
    <w:autoRedefine/>
    <w:semiHidden/>
    <w:unhideWhenUsed/>
    <w:qFormat/>
    <w:uiPriority w:val="99"/>
    <w:pPr>
      <w:ind w:firstLine="420" w:firstLineChars="100"/>
    </w:pPr>
    <w:rPr>
      <w:sz w:val="21"/>
      <w:szCs w:val="22"/>
    </w:rPr>
  </w:style>
  <w:style w:type="paragraph" w:styleId="58">
    <w:name w:val="Body Text First Indent 2"/>
    <w:basedOn w:val="25"/>
    <w:link w:val="964"/>
    <w:autoRedefine/>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22"/>
    <w:rPr>
      <w:b/>
      <w:bCs/>
    </w:rPr>
  </w:style>
  <w:style w:type="character" w:styleId="66">
    <w:name w:val="page number"/>
    <w:basedOn w:val="64"/>
    <w:autoRedefine/>
    <w:semiHidden/>
    <w:unhideWhenUsed/>
    <w:qFormat/>
    <w:uiPriority w:val="99"/>
  </w:style>
  <w:style w:type="character" w:styleId="67">
    <w:name w:val="FollowedHyperlink"/>
    <w:autoRedefine/>
    <w:semiHidden/>
    <w:unhideWhenUsed/>
    <w:qFormat/>
    <w:uiPriority w:val="99"/>
    <w:rPr>
      <w:color w:val="800080"/>
      <w:u w:val="single"/>
    </w:rPr>
  </w:style>
  <w:style w:type="character" w:styleId="68">
    <w:name w:val="Emphasis"/>
    <w:autoRedefine/>
    <w:qFormat/>
    <w:uiPriority w:val="20"/>
    <w:rPr>
      <w:color w:val="CC0033"/>
    </w:rPr>
  </w:style>
  <w:style w:type="character" w:styleId="69">
    <w:name w:val="Hyperlink"/>
    <w:autoRedefine/>
    <w:semiHidden/>
    <w:unhideWhenUsed/>
    <w:qFormat/>
    <w:uiPriority w:val="99"/>
    <w:rPr>
      <w:color w:val="0000FF"/>
      <w:u w:val="single"/>
    </w:rPr>
  </w:style>
  <w:style w:type="character" w:styleId="70">
    <w:name w:val="annotation reference"/>
    <w:autoRedefine/>
    <w:semiHidden/>
    <w:unhideWhenUsed/>
    <w:qFormat/>
    <w:uiPriority w:val="99"/>
    <w:rPr>
      <w:sz w:val="21"/>
      <w:szCs w:val="21"/>
    </w:rPr>
  </w:style>
  <w:style w:type="character" w:styleId="71">
    <w:name w:val="footnote reference"/>
    <w:autoRedefine/>
    <w:semiHidden/>
    <w:unhideWhenUsed/>
    <w:qFormat/>
    <w:uiPriority w:val="99"/>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autoRedefine/>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link w:val="38"/>
    <w:autoRedefine/>
    <w:qFormat/>
    <w:uiPriority w:val="0"/>
    <w:rPr>
      <w:rFonts w:ascii="Calibri" w:hAnsi="Calibri" w:eastAsia="宋体" w:cs="Times New Roman"/>
      <w:sz w:val="18"/>
      <w:szCs w:val="18"/>
    </w:rPr>
  </w:style>
  <w:style w:type="character" w:customStyle="1" w:styleId="93">
    <w:name w:val="页眉 Char"/>
    <w:basedOn w:val="64"/>
    <w:link w:val="39"/>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autoRedefine/>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autoRedefine/>
    <w:qFormat/>
    <w:uiPriority w:val="0"/>
  </w:style>
  <w:style w:type="paragraph" w:styleId="182">
    <w:name w:val="List Paragraph"/>
    <w:basedOn w:val="1"/>
    <w:link w:val="181"/>
    <w:autoRedefine/>
    <w:qFormat/>
    <w:uiPriority w:val="0"/>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autoRedefine/>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autoRedefine/>
    <w:qFormat/>
    <w:uiPriority w:val="0"/>
    <w:rPr>
      <w:rFonts w:ascii="Arial" w:hAnsi="Arial" w:eastAsia="宋体"/>
      <w:sz w:val="24"/>
      <w:szCs w:val="24"/>
    </w:rPr>
  </w:style>
  <w:style w:type="paragraph" w:customStyle="1" w:styleId="353">
    <w:name w:val="大汉方案正文 Char"/>
    <w:basedOn w:val="1"/>
    <w:link w:val="352"/>
    <w:autoRedefine/>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autoRedefine/>
    <w:qFormat/>
    <w:uiPriority w:val="0"/>
    <w:rPr>
      <w:rFonts w:eastAsia="宋体"/>
      <w:b/>
      <w:kern w:val="44"/>
      <w:sz w:val="44"/>
      <w:lang w:bidi="ar-SA"/>
    </w:rPr>
  </w:style>
  <w:style w:type="character" w:customStyle="1" w:styleId="361">
    <w:name w:val="吉奥表格正文 Char"/>
    <w:link w:val="362"/>
    <w:autoRedefine/>
    <w:qFormat/>
    <w:uiPriority w:val="0"/>
    <w:rPr>
      <w:rFonts w:ascii="Times New Roman" w:hAnsi="Times New Roman" w:eastAsia="仿宋_GB2312"/>
      <w:szCs w:val="21"/>
    </w:rPr>
  </w:style>
  <w:style w:type="paragraph" w:customStyle="1" w:styleId="362">
    <w:name w:val="吉奥表格正文"/>
    <w:basedOn w:val="1"/>
    <w:link w:val="361"/>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autoRedefine/>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autoRedefine/>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autoRedefine/>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autoRedefine/>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autoRedefine/>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autoRedefine/>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autoRedefine/>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2"/>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autoRedefine/>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autoRedefine/>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autoRedefine/>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autoRedefine/>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autoRedefine/>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autoRedefine/>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autoRedefine/>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autoRedefine/>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autoRedefine/>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autoRedefine/>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autoRedefine/>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autoRedefine/>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autoRedefine/>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autoRedefine/>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autoRedefine/>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autoRedefine/>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autoRedefine/>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autoRedefine/>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autoRedefine/>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autoRedefine/>
    <w:qFormat/>
    <w:uiPriority w:val="99"/>
    <w:rPr>
      <w:rFonts w:ascii="Tahoma" w:hAnsi="Tahoma"/>
      <w:sz w:val="24"/>
      <w:szCs w:val="20"/>
    </w:rPr>
  </w:style>
  <w:style w:type="paragraph" w:customStyle="1" w:styleId="733">
    <w:name w:val="列表（编号二级）（绿盟科技）"/>
    <w:basedOn w:val="656"/>
    <w:autoRedefine/>
    <w:qFormat/>
    <w:uiPriority w:val="99"/>
    <w:pPr>
      <w:numPr>
        <w:ilvl w:val="1"/>
      </w:numPr>
      <w:spacing w:beforeLines="0"/>
      <w:ind w:left="1260"/>
    </w:pPr>
  </w:style>
  <w:style w:type="paragraph" w:customStyle="1" w:styleId="734">
    <w:name w:val="huide00"/>
    <w:basedOn w:val="1"/>
    <w:autoRedefine/>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autoRedefine/>
    <w:qFormat/>
    <w:uiPriority w:val="99"/>
    <w:pPr>
      <w:spacing w:before="80" w:afterLines="50"/>
      <w:ind w:left="1530"/>
    </w:pPr>
    <w:rPr>
      <w:rFonts w:ascii="宋体" w:hAnsi="Times New Roman"/>
      <w:snapToGrid w:val="0"/>
      <w:kern w:val="0"/>
      <w:szCs w:val="20"/>
    </w:rPr>
  </w:style>
  <w:style w:type="paragraph" w:customStyle="1" w:styleId="737">
    <w:name w:val="正文样式"/>
    <w:basedOn w:val="1"/>
    <w:autoRedefine/>
    <w:qFormat/>
    <w:uiPriority w:val="99"/>
    <w:pPr>
      <w:spacing w:line="360" w:lineRule="auto"/>
      <w:ind w:firstLine="200" w:firstLineChars="200"/>
    </w:pPr>
    <w:rPr>
      <w:rFonts w:ascii="宋体" w:hAnsi="Times New Roman"/>
      <w:sz w:val="24"/>
      <w:szCs w:val="24"/>
    </w:rPr>
  </w:style>
  <w:style w:type="paragraph" w:customStyle="1" w:styleId="738">
    <w:name w:val="xl9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autoRedefine/>
    <w:qFormat/>
    <w:uiPriority w:val="99"/>
    <w:pPr>
      <w:numPr>
        <w:ilvl w:val="0"/>
        <w:numId w:val="26"/>
      </w:numPr>
      <w:tabs>
        <w:tab w:val="clear" w:pos="360"/>
      </w:tabs>
      <w:ind w:left="0" w:firstLine="0"/>
      <w:jc w:val="center"/>
    </w:pPr>
    <w:rPr>
      <w:b/>
      <w:bCs/>
      <w:i/>
      <w:iCs/>
    </w:rPr>
  </w:style>
  <w:style w:type="paragraph" w:customStyle="1" w:styleId="741">
    <w:name w:val="_Style 1181"/>
    <w:basedOn w:val="1"/>
    <w:autoRedefine/>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autoRedefine/>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autoRedefine/>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autoRedefine/>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autoRedefine/>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autoRedefine/>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autoRedefine/>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autoRedefine/>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autoRedefine/>
    <w:qFormat/>
    <w:uiPriority w:val="99"/>
    <w:pPr>
      <w:numPr>
        <w:ilvl w:val="4"/>
        <w:numId w:val="29"/>
      </w:numPr>
    </w:pPr>
    <w:rPr>
      <w:rFonts w:eastAsia="黑体"/>
      <w:kern w:val="0"/>
      <w:sz w:val="24"/>
      <w:szCs w:val="20"/>
    </w:rPr>
  </w:style>
  <w:style w:type="paragraph" w:customStyle="1" w:styleId="763">
    <w:name w:val="Body"/>
    <w:basedOn w:val="1"/>
    <w:autoRedefine/>
    <w:qFormat/>
    <w:uiPriority w:val="99"/>
    <w:pPr>
      <w:widowControl/>
      <w:spacing w:before="120" w:afterLines="50"/>
    </w:pPr>
    <w:rPr>
      <w:rFonts w:ascii="宋体" w:hAnsi="Times New Roman"/>
      <w:snapToGrid w:val="0"/>
      <w:kern w:val="0"/>
      <w:szCs w:val="20"/>
    </w:rPr>
  </w:style>
  <w:style w:type="paragraph" w:customStyle="1" w:styleId="764">
    <w:name w:val="标准标题2"/>
    <w:basedOn w:val="3"/>
    <w:autoRedefine/>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autoRedefine/>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autoRedefine/>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autoRedefine/>
    <w:qFormat/>
    <w:uiPriority w:val="99"/>
    <w:pPr>
      <w:tabs>
        <w:tab w:val="left" w:pos="432"/>
      </w:tabs>
      <w:ind w:left="432" w:hanging="432"/>
    </w:pPr>
    <w:rPr>
      <w:rFonts w:ascii="Tahoma" w:hAnsi="Tahoma"/>
      <w:sz w:val="24"/>
      <w:szCs w:val="20"/>
    </w:rPr>
  </w:style>
  <w:style w:type="paragraph" w:customStyle="1" w:styleId="779">
    <w:name w:val="Table Text"/>
    <w:basedOn w:val="1"/>
    <w:autoRedefine/>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autoRedefine/>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autoRedefine/>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autoRedefine/>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autoRedefine/>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autoRedefine/>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autoRedefine/>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autoRedefine/>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autoRedefine/>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autoRedefine/>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autoRedefine/>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autoRedefine/>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autoRedefine/>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autoRedefine/>
    <w:qFormat/>
    <w:uiPriority w:val="99"/>
    <w:pPr>
      <w:widowControl/>
      <w:jc w:val="left"/>
    </w:pPr>
    <w:rPr>
      <w:rFonts w:ascii="宋体" w:hAnsi="Courier New"/>
    </w:rPr>
  </w:style>
  <w:style w:type="character" w:customStyle="1" w:styleId="810">
    <w:name w:val="列表段落 字符"/>
    <w:link w:val="811"/>
    <w:autoRedefine/>
    <w:qFormat/>
    <w:uiPriority w:val="0"/>
  </w:style>
  <w:style w:type="paragraph" w:customStyle="1" w:styleId="811">
    <w:name w:val="列表段落1"/>
    <w:basedOn w:val="1"/>
    <w:link w:val="810"/>
    <w:autoRedefine/>
    <w:qFormat/>
    <w:uiPriority w:val="0"/>
    <w:pPr>
      <w:ind w:firstLine="420" w:firstLineChars="200"/>
    </w:pPr>
    <w:rPr>
      <w:rFonts w:asciiTheme="minorHAnsi" w:hAnsiTheme="minorHAnsi" w:eastAsiaTheme="minorEastAsia" w:cstheme="minorBidi"/>
    </w:rPr>
  </w:style>
  <w:style w:type="character" w:customStyle="1" w:styleId="812">
    <w:name w:val="正 文 Char"/>
    <w:link w:val="813"/>
    <w:autoRedefine/>
    <w:qFormat/>
    <w:locked/>
    <w:uiPriority w:val="0"/>
    <w:rPr>
      <w:sz w:val="24"/>
      <w:szCs w:val="24"/>
    </w:rPr>
  </w:style>
  <w:style w:type="paragraph" w:customStyle="1" w:styleId="813">
    <w:name w:val="正 文"/>
    <w:basedOn w:val="1"/>
    <w:link w:val="812"/>
    <w:autoRedefine/>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autoRedefine/>
    <w:qFormat/>
    <w:uiPriority w:val="0"/>
    <w:rPr>
      <w:rFonts w:hint="eastAsia" w:ascii="微软雅黑" w:hAnsi="微软雅黑" w:eastAsia="微软雅黑" w:cs="微软雅黑"/>
      <w:b/>
      <w:color w:val="000000"/>
      <w:sz w:val="24"/>
      <w:szCs w:val="24"/>
      <w:u w:val="none"/>
    </w:rPr>
  </w:style>
  <w:style w:type="character" w:customStyle="1" w:styleId="815">
    <w:name w:val="font21"/>
    <w:autoRedefine/>
    <w:qFormat/>
    <w:uiPriority w:val="0"/>
    <w:rPr>
      <w:rFonts w:hint="eastAsia" w:ascii="微软雅黑" w:hAnsi="微软雅黑" w:eastAsia="微软雅黑" w:cs="微软雅黑"/>
      <w:color w:val="000000"/>
      <w:sz w:val="16"/>
      <w:szCs w:val="16"/>
      <w:u w:val="none"/>
    </w:rPr>
  </w:style>
  <w:style w:type="character" w:customStyle="1" w:styleId="816">
    <w:name w:val="font51"/>
    <w:autoRedefine/>
    <w:qFormat/>
    <w:uiPriority w:val="0"/>
    <w:rPr>
      <w:rFonts w:hint="eastAsia" w:ascii="微软雅黑" w:hAnsi="微软雅黑" w:eastAsia="微软雅黑" w:cs="微软雅黑"/>
      <w:b/>
      <w:color w:val="000000"/>
      <w:sz w:val="16"/>
      <w:szCs w:val="16"/>
      <w:u w:val="none"/>
    </w:rPr>
  </w:style>
  <w:style w:type="character" w:customStyle="1" w:styleId="817">
    <w:name w:val="font31"/>
    <w:autoRedefine/>
    <w:qFormat/>
    <w:uiPriority w:val="0"/>
    <w:rPr>
      <w:rFonts w:hint="eastAsia" w:ascii="微软雅黑" w:hAnsi="微软雅黑" w:eastAsia="微软雅黑" w:cs="微软雅黑"/>
      <w:b/>
      <w:color w:val="000000"/>
      <w:sz w:val="16"/>
      <w:szCs w:val="16"/>
      <w:u w:val="none"/>
    </w:rPr>
  </w:style>
  <w:style w:type="character" w:customStyle="1" w:styleId="818">
    <w:name w:val="font41"/>
    <w:autoRedefine/>
    <w:qFormat/>
    <w:uiPriority w:val="0"/>
    <w:rPr>
      <w:rFonts w:hint="eastAsia" w:ascii="微软雅黑" w:hAnsi="微软雅黑" w:eastAsia="微软雅黑" w:cs="微软雅黑"/>
      <w:color w:val="000000"/>
      <w:sz w:val="16"/>
      <w:szCs w:val="16"/>
      <w:u w:val="none"/>
    </w:rPr>
  </w:style>
  <w:style w:type="character" w:customStyle="1" w:styleId="819">
    <w:name w:val="页脚 字符"/>
    <w:autoRedefine/>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autoRedefine/>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autoRedefine/>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autoRedefine/>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autoRedefine/>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autoRedefine/>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autoRedefine/>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autoRedefine/>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autoRedefine/>
    <w:qFormat/>
    <w:uiPriority w:val="31"/>
    <w:rPr>
      <w:smallCaps/>
      <w:color w:val="C0504D"/>
      <w:u w:val="single"/>
    </w:rPr>
  </w:style>
  <w:style w:type="character" w:customStyle="1" w:styleId="866">
    <w:name w:val="Char Char31"/>
    <w:autoRedefine/>
    <w:qFormat/>
    <w:uiPriority w:val="0"/>
    <w:rPr>
      <w:rFonts w:ascii="Arial" w:hAnsi="Arial" w:eastAsia="黑体"/>
      <w:b/>
      <w:kern w:val="2"/>
      <w:sz w:val="32"/>
      <w:lang w:val="en-US" w:eastAsia="zh-CN" w:bidi="ar-SA"/>
    </w:rPr>
  </w:style>
  <w:style w:type="character" w:customStyle="1" w:styleId="867">
    <w:name w:val="Char Char71"/>
    <w:autoRedefine/>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autoRedefine/>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autoRedefine/>
    <w:qFormat/>
    <w:uiPriority w:val="99"/>
  </w:style>
  <w:style w:type="paragraph" w:customStyle="1" w:styleId="878">
    <w:name w:val="Char111"/>
    <w:basedOn w:val="1"/>
    <w:autoRedefine/>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autoRedefine/>
    <w:qFormat/>
    <w:uiPriority w:val="99"/>
    <w:rPr>
      <w:rFonts w:ascii="仿宋_GB2312" w:hAnsi="Times New Roman" w:eastAsia="仿宋_GB2312"/>
      <w:b/>
      <w:sz w:val="32"/>
      <w:szCs w:val="32"/>
    </w:rPr>
  </w:style>
  <w:style w:type="paragraph" w:customStyle="1" w:styleId="883">
    <w:name w:val="正文文本缩进11"/>
    <w:basedOn w:val="1"/>
    <w:autoRedefine/>
    <w:qFormat/>
    <w:uiPriority w:val="99"/>
    <w:pPr>
      <w:spacing w:after="120"/>
      <w:ind w:left="420" w:leftChars="200"/>
    </w:pPr>
    <w:rPr>
      <w:rFonts w:cs="黑体"/>
    </w:rPr>
  </w:style>
  <w:style w:type="paragraph" w:customStyle="1" w:styleId="884">
    <w:name w:val="Char Char Char Char Char Char Char Char Char Char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autoRedefine/>
    <w:qFormat/>
    <w:uiPriority w:val="99"/>
    <w:rPr>
      <w:rFonts w:ascii="仿宋_GB2312" w:hAnsi="Times New Roman" w:eastAsia="仿宋_GB2312"/>
      <w:b/>
      <w:sz w:val="32"/>
      <w:szCs w:val="32"/>
    </w:rPr>
  </w:style>
  <w:style w:type="paragraph" w:customStyle="1" w:styleId="886">
    <w:name w:val="列出段落12"/>
    <w:basedOn w:val="1"/>
    <w:autoRedefine/>
    <w:qFormat/>
    <w:uiPriority w:val="99"/>
    <w:pPr>
      <w:ind w:firstLine="420" w:firstLineChars="200"/>
    </w:pPr>
  </w:style>
  <w:style w:type="paragraph" w:customStyle="1" w:styleId="887">
    <w:name w:val="Char Char Char Char Char 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autoRedefine/>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autoRedefine/>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autoRedefine/>
    <w:qFormat/>
    <w:uiPriority w:val="99"/>
    <w:pPr>
      <w:widowControl/>
      <w:spacing w:after="160" w:line="240" w:lineRule="exact"/>
      <w:jc w:val="left"/>
    </w:pPr>
    <w:rPr>
      <w:rFonts w:ascii="Times New Roman" w:hAnsi="Times New Roman"/>
      <w:szCs w:val="20"/>
    </w:rPr>
  </w:style>
  <w:style w:type="character" w:customStyle="1" w:styleId="893">
    <w:name w:val="Book Title"/>
    <w:autoRedefin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autoRedefine/>
    <w:qFormat/>
    <w:uiPriority w:val="0"/>
    <w:rPr>
      <w:b/>
      <w:sz w:val="24"/>
      <w:u w:val="single"/>
    </w:rPr>
  </w:style>
  <w:style w:type="character" w:customStyle="1" w:styleId="897">
    <w:name w:val="z-窗体顶端 字符2"/>
    <w:link w:val="898"/>
    <w:autoRedefine/>
    <w:qFormat/>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autoRedefin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autoRedefine/>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autoRedefine/>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autoRedefine/>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autoRedefine/>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autoRedefine/>
    <w:qFormat/>
    <w:uiPriority w:val="11"/>
    <w:rPr>
      <w:b/>
      <w:bCs/>
      <w:kern w:val="28"/>
      <w:sz w:val="32"/>
      <w:szCs w:val="32"/>
    </w:rPr>
  </w:style>
  <w:style w:type="paragraph" w:customStyle="1" w:styleId="973">
    <w:name w:val="表格非标题文字"/>
    <w:link w:val="97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书籍标题2"/>
    <w:autoRedefine/>
    <w:qFormat/>
    <w:uiPriority w:val="33"/>
    <w:rPr>
      <w:b/>
      <w:bCs/>
      <w:smallCaps/>
      <w:spacing w:val="5"/>
    </w:rPr>
  </w:style>
  <w:style w:type="paragraph" w:customStyle="1" w:styleId="982">
    <w:name w:val="z-窗体底端2"/>
    <w:basedOn w:val="1"/>
    <w:next w:val="1"/>
    <w:autoRedefine/>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autoRedefine/>
    <w:qFormat/>
    <w:uiPriority w:val="31"/>
    <w:rPr>
      <w:smallCaps/>
      <w:color w:val="C0504D"/>
      <w:u w:val="single"/>
    </w:rPr>
  </w:style>
  <w:style w:type="paragraph" w:customStyle="1" w:styleId="986">
    <w:name w:val="TOC 标题2"/>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autoRedefine/>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autoRedefine/>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autoRedefine/>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样式 3 10 磅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sub-title-info-items-item"/>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35140</Words>
  <Characters>37395</Characters>
  <Lines>1</Lines>
  <Paragraphs>1</Paragraphs>
  <TotalTime>1</TotalTime>
  <ScaleCrop>false</ScaleCrop>
  <LinksUpToDate>false</LinksUpToDate>
  <CharactersWithSpaces>39519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2023-04-28T04:31:00Z</dcterms:created>
  <dc:creator>张嫣</dc:creator>
  <cp:lastModifiedBy>Administrator</cp:lastModifiedBy>
  <cp:lastPrinted>2021-01-25T02:12:00Z</cp:lastPrinted>
  <dcterms:modified xsi:type="dcterms:W3CDTF">2024-03-27T07:27:35Z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B0FBD55CFD8D4F44AA1F06D08C8C7B64_12</vt:lpwstr>
  </property>
</Properties>
</file>