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center"/>
        <w:rPr>
          <w:rFonts w:hint="eastAsia" w:ascii="宋体" w:hAnsi="宋体"/>
          <w:b/>
          <w:bCs/>
          <w:color w:val="000000"/>
          <w:sz w:val="44"/>
          <w:szCs w:val="44"/>
        </w:rPr>
      </w:pPr>
      <w:bookmarkStart w:id="0" w:name="PO_15528_PM002_1"/>
      <w:r>
        <w:rPr>
          <w:rFonts w:hint="eastAsia" w:ascii="宋体" w:hAnsi="宋体"/>
          <w:b/>
          <w:bCs/>
          <w:color w:val="000000"/>
          <w:sz w:val="44"/>
          <w:szCs w:val="44"/>
        </w:rPr>
        <w:t>浙江外国语学院2024-2026年校园安保服务项目</w:t>
      </w:r>
      <w:bookmarkEnd w:id="0"/>
    </w:p>
    <w:p>
      <w:pPr>
        <w:spacing w:before="312" w:beforeLines="100" w:line="360" w:lineRule="auto"/>
        <w:jc w:val="center"/>
        <w:rPr>
          <w:rFonts w:hint="eastAsia" w:ascii="宋体" w:hAnsi="宋体"/>
          <w:b/>
          <w:color w:val="000000"/>
          <w:spacing w:val="40"/>
          <w:sz w:val="84"/>
          <w:szCs w:val="84"/>
        </w:rPr>
      </w:pPr>
      <w:r>
        <w:rPr>
          <w:rFonts w:hint="eastAsia" w:ascii="宋体" w:hAnsi="宋体"/>
          <w:color w:val="000000"/>
          <w:sz w:val="36"/>
          <w:szCs w:val="36"/>
        </w:rPr>
        <w:t>项目编号：</w:t>
      </w:r>
      <w:bookmarkStart w:id="1" w:name="PO_15528_PM001"/>
      <w:r>
        <w:rPr>
          <w:rFonts w:hint="eastAsia" w:ascii="宋体" w:hAnsi="宋体"/>
          <w:color w:val="000000"/>
          <w:sz w:val="36"/>
          <w:szCs w:val="36"/>
        </w:rPr>
        <w:t>ZZCG2024T-GK-119</w:t>
      </w:r>
      <w:bookmarkEnd w:id="1"/>
    </w:p>
    <w:p>
      <w:pPr>
        <w:spacing w:before="312"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址：浙江省杭州市西湖区宝石一路3号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253" w:firstLineChars="90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1"/>
        <w:spacing w:before="156" w:after="156" w:line="360" w:lineRule="auto"/>
        <w:jc w:val="center"/>
        <w:rPr>
          <w:rFonts w:hAnsi="宋体" w:eastAsia="仿宋_GB2312"/>
          <w:color w:val="000000"/>
          <w:sz w:val="32"/>
          <w:szCs w:val="32"/>
        </w:rPr>
      </w:pPr>
    </w:p>
    <w:p>
      <w:pPr>
        <w:pStyle w:val="40"/>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  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  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  评标办法及评分标准</w:t>
      </w:r>
      <w:r>
        <w:tab/>
      </w:r>
      <w:r>
        <w:fldChar w:fldCharType="begin"/>
      </w:r>
      <w:r>
        <w:instrText xml:space="preserve"> PAGEREF _Toc2834 \h </w:instrText>
      </w:r>
      <w:r>
        <w:fldChar w:fldCharType="separate"/>
      </w:r>
      <w:r>
        <w:t>28</w:t>
      </w:r>
      <w:r>
        <w:fldChar w:fldCharType="end"/>
      </w:r>
      <w:r>
        <w:fldChar w:fldCharType="end"/>
      </w:r>
    </w:p>
    <w:p>
      <w:pPr>
        <w:pStyle w:val="40"/>
        <w:tabs>
          <w:tab w:val="right" w:leader="dot" w:pos="8312"/>
        </w:tabs>
      </w:pPr>
      <w:r>
        <w:fldChar w:fldCharType="begin"/>
      </w:r>
      <w:r>
        <w:instrText xml:space="preserve"> HYPERLINK \l "_Toc24960" </w:instrText>
      </w:r>
      <w:r>
        <w:fldChar w:fldCharType="separate"/>
      </w:r>
      <w:r>
        <w:rPr>
          <w:rFonts w:hint="eastAsia" w:hAnsi="宋体"/>
          <w:szCs w:val="36"/>
        </w:rPr>
        <w:t>第四章  招标需求</w:t>
      </w:r>
      <w:r>
        <w:tab/>
      </w:r>
      <w:r>
        <w:fldChar w:fldCharType="begin"/>
      </w:r>
      <w:r>
        <w:instrText xml:space="preserve"> PAGEREF _Toc24960 \h </w:instrText>
      </w:r>
      <w:r>
        <w:fldChar w:fldCharType="separate"/>
      </w:r>
      <w:r>
        <w:t>32</w:t>
      </w:r>
      <w:r>
        <w:fldChar w:fldCharType="end"/>
      </w:r>
      <w:r>
        <w:fldChar w:fldCharType="end"/>
      </w:r>
    </w:p>
    <w:p>
      <w:pPr>
        <w:pStyle w:val="40"/>
        <w:tabs>
          <w:tab w:val="right" w:leader="dot" w:pos="8312"/>
        </w:tabs>
      </w:pPr>
      <w:r>
        <w:fldChar w:fldCharType="begin"/>
      </w:r>
      <w:r>
        <w:instrText xml:space="preserve"> HYPERLINK \l "_Toc26308" </w:instrText>
      </w:r>
      <w:r>
        <w:fldChar w:fldCharType="separate"/>
      </w:r>
      <w:r>
        <w:rPr>
          <w:rFonts w:hint="eastAsia" w:hAnsi="宋体"/>
          <w:szCs w:val="36"/>
        </w:rPr>
        <w:t>第五章  浙江省政府采购合同主要条款指引</w:t>
      </w:r>
      <w:r>
        <w:tab/>
      </w:r>
      <w:r>
        <w:fldChar w:fldCharType="begin"/>
      </w:r>
      <w:r>
        <w:instrText xml:space="preserve"> PAGEREF _Toc26308 \h </w:instrText>
      </w:r>
      <w:r>
        <w:fldChar w:fldCharType="separate"/>
      </w:r>
      <w:r>
        <w:t>49</w:t>
      </w:r>
      <w:r>
        <w:fldChar w:fldCharType="end"/>
      </w:r>
      <w:r>
        <w:fldChar w:fldCharType="end"/>
      </w:r>
    </w:p>
    <w:p>
      <w:pPr>
        <w:pStyle w:val="40"/>
        <w:tabs>
          <w:tab w:val="right" w:leader="dot" w:pos="8312"/>
        </w:tabs>
      </w:pPr>
      <w:r>
        <w:fldChar w:fldCharType="begin"/>
      </w:r>
      <w:r>
        <w:instrText xml:space="preserve"> HYPERLINK \l "_Toc22013" </w:instrText>
      </w:r>
      <w:r>
        <w:fldChar w:fldCharType="separate"/>
      </w:r>
      <w:r>
        <w:rPr>
          <w:rFonts w:hint="eastAsia" w:hAnsi="宋体"/>
          <w:szCs w:val="36"/>
        </w:rPr>
        <w:t>第六章  投标文件格式附件</w:t>
      </w:r>
      <w:r>
        <w:tab/>
      </w:r>
      <w:r>
        <w:fldChar w:fldCharType="begin"/>
      </w:r>
      <w:r>
        <w:instrText xml:space="preserve"> PAGEREF _Toc22013 \h </w:instrText>
      </w:r>
      <w:r>
        <w:fldChar w:fldCharType="separate"/>
      </w:r>
      <w:r>
        <w:t>54</w:t>
      </w:r>
      <w:r>
        <w:fldChar w:fldCharType="end"/>
      </w:r>
      <w:r>
        <w:fldChar w:fldCharType="end"/>
      </w:r>
    </w:p>
    <w:p>
      <w:pPr>
        <w:spacing w:before="156"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1"/>
        <w:spacing w:before="156" w:after="156"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  公开招标采购公告</w:t>
      </w:r>
      <w:bookmarkEnd w:id="2"/>
    </w:p>
    <w:p>
      <w:pPr>
        <w:pStyle w:val="397"/>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rPr>
        <w:t>ZZCG2024T-GK-119</w:t>
      </w:r>
      <w:bookmarkEnd w:id="3"/>
    </w:p>
    <w:p>
      <w:pPr>
        <w:snapToGrid w:val="0"/>
        <w:spacing w:after="156"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56" w:afterLines="50" w:line="460" w:lineRule="exact"/>
        <w:ind w:firstLine="602" w:firstLineChars="200"/>
        <w:rPr>
          <w:rFonts w:hint="eastAsia" w:ascii="仿宋" w:hAnsi="仿宋" w:eastAsia="仿宋" w:cs="Arial"/>
          <w:b/>
          <w:color w:val="000000"/>
          <w:sz w:val="28"/>
          <w:szCs w:val="28"/>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rPr>
        <w:t xml:space="preserve"> </w:t>
      </w:r>
    </w:p>
    <w:tbl>
      <w:tblPr>
        <w:tblStyle w:val="59"/>
        <w:tblW w:w="49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879"/>
        <w:gridCol w:w="900"/>
        <w:gridCol w:w="795"/>
        <w:gridCol w:w="1095"/>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标项序号</w:t>
            </w:r>
          </w:p>
        </w:tc>
        <w:tc>
          <w:tcPr>
            <w:tcW w:w="170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标项名称</w:t>
            </w:r>
          </w:p>
        </w:tc>
        <w:tc>
          <w:tcPr>
            <w:tcW w:w="53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数量</w:t>
            </w:r>
          </w:p>
        </w:tc>
        <w:tc>
          <w:tcPr>
            <w:tcW w:w="470"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单位</w:t>
            </w:r>
          </w:p>
        </w:tc>
        <w:tc>
          <w:tcPr>
            <w:tcW w:w="647"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预算金额(万元)</w:t>
            </w:r>
          </w:p>
        </w:tc>
        <w:tc>
          <w:tcPr>
            <w:tcW w:w="116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1</w:t>
            </w:r>
          </w:p>
        </w:tc>
        <w:tc>
          <w:tcPr>
            <w:tcW w:w="170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浙江外国语学院2024-2026年校园安保服务项目</w:t>
            </w:r>
          </w:p>
        </w:tc>
        <w:tc>
          <w:tcPr>
            <w:tcW w:w="53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2</w:t>
            </w:r>
          </w:p>
        </w:tc>
        <w:tc>
          <w:tcPr>
            <w:tcW w:w="470"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年</w:t>
            </w:r>
          </w:p>
        </w:tc>
        <w:tc>
          <w:tcPr>
            <w:tcW w:w="647"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669.12</w:t>
            </w:r>
          </w:p>
        </w:tc>
        <w:tc>
          <w:tcPr>
            <w:tcW w:w="1162" w:type="pct"/>
            <w:noWrap w:val="0"/>
            <w:vAlign w:val="top"/>
          </w:tcPr>
          <w:p>
            <w:pPr>
              <w:snapToGrid w:val="0"/>
              <w:spacing w:after="156" w:afterLines="50" w:line="460" w:lineRule="exact"/>
              <w:jc w:val="center"/>
              <w:rPr>
                <w:rFonts w:hint="eastAsia" w:ascii="仿宋" w:hAnsi="仿宋" w:eastAsia="仿宋" w:cs="Arial"/>
                <w:b/>
                <w:color w:val="000000"/>
                <w:sz w:val="28"/>
                <w:szCs w:val="28"/>
              </w:rPr>
            </w:pPr>
            <w:r>
              <w:rPr>
                <w:rFonts w:hint="eastAsia" w:ascii="仿宋" w:hAnsi="仿宋" w:eastAsia="仿宋" w:cs="Arial"/>
                <w:b/>
                <w:color w:val="000000"/>
                <w:sz w:val="28"/>
                <w:szCs w:val="28"/>
              </w:rPr>
              <w:t>详见采购文件</w:t>
            </w:r>
          </w:p>
        </w:tc>
      </w:tr>
    </w:tbl>
    <w:p>
      <w:pPr>
        <w:snapToGrid w:val="0"/>
        <w:spacing w:after="156" w:afterLines="50" w:line="460" w:lineRule="exact"/>
        <w:ind w:firstLine="562" w:firstLineChars="200"/>
        <w:rPr>
          <w:rFonts w:hint="eastAsia" w:ascii="仿宋" w:hAnsi="仿宋" w:eastAsia="仿宋" w:cs="Arial"/>
          <w:b/>
          <w:color w:val="000000"/>
          <w:sz w:val="28"/>
          <w:szCs w:val="28"/>
        </w:rPr>
      </w:pPr>
      <w:r>
        <w:rPr>
          <w:rFonts w:hint="eastAsia" w:ascii="仿宋" w:hAnsi="仿宋" w:eastAsia="仿宋" w:cs="Arial"/>
          <w:b/>
          <w:color w:val="000000"/>
          <w:sz w:val="28"/>
          <w:szCs w:val="28"/>
        </w:rPr>
        <w:t xml:space="preserve"> </w:t>
      </w:r>
      <w:bookmarkEnd w:id="4"/>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sz w:val="30"/>
          <w:szCs w:val="30"/>
        </w:rPr>
      </w:pPr>
      <w:r>
        <w:rPr>
          <w:rFonts w:hint="eastAsia" w:ascii="仿宋" w:hAnsi="仿宋" w:eastAsia="仿宋" w:cs="Arial"/>
          <w:b/>
          <w:bCs/>
          <w:color w:val="000000"/>
          <w:sz w:val="30"/>
          <w:szCs w:val="30"/>
        </w:rPr>
        <w:t>投标人的特定条件：</w:t>
      </w:r>
    </w:p>
    <w:p>
      <w:pPr>
        <w:snapToGrid w:val="0"/>
        <w:spacing w:line="48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kern w:val="0"/>
          <w:sz w:val="28"/>
          <w:szCs w:val="28"/>
        </w:rPr>
        <w:t>1.具有公安部门颁发的《保安服务许可证资质》</w:t>
      </w:r>
      <w:r>
        <w:rPr>
          <w:rFonts w:hint="eastAsia" w:ascii="仿宋_GB2312" w:hAnsi="仿宋_GB2312" w:eastAsia="仿宋_GB2312" w:cs="仿宋_GB2312"/>
          <w:color w:val="FF0000"/>
          <w:sz w:val="28"/>
          <w:szCs w:val="28"/>
        </w:rPr>
        <w:t>；</w:t>
      </w:r>
    </w:p>
    <w:p>
      <w:pPr>
        <w:snapToGrid w:val="0"/>
        <w:spacing w:line="480" w:lineRule="exact"/>
        <w:ind w:firstLine="560" w:firstLineChars="200"/>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color w:val="FF0000"/>
          <w:kern w:val="0"/>
          <w:sz w:val="28"/>
          <w:szCs w:val="28"/>
        </w:rPr>
        <w:t>2.供应商为保安服务公司的，取得《保安服务许可证》；供应商为自行招用保安员的单位的，承诺自开始保安服务之日起30日内向所在地设区的市级人民政府公安机关备案（格式自拟）；该特定条件的法律法规依据：《保安服务管理条例》。以联合体形式参加的，联合体各方根据保安从业单位类型，分别提供上述证明材料。</w:t>
      </w:r>
    </w:p>
    <w:p>
      <w:pPr>
        <w:snapToGrid w:val="0"/>
        <w:spacing w:line="500" w:lineRule="exact"/>
        <w:ind w:firstLine="602" w:firstLineChars="200"/>
        <w:rPr>
          <w:rFonts w:hint="eastAsia" w:ascii="仿宋" w:hAnsi="仿宋" w:eastAsia="仿宋"/>
          <w:color w:val="000000"/>
          <w:sz w:val="28"/>
          <w:szCs w:val="28"/>
        </w:rPr>
      </w:pPr>
      <w:bookmarkStart w:id="5" w:name="PO_15528_PM007"/>
      <w:r>
        <w:rPr>
          <w:rFonts w:hint="eastAsia" w:ascii="仿宋" w:hAnsi="仿宋" w:eastAsia="仿宋" w:cs="Arial"/>
          <w:b/>
          <w:bCs/>
          <w:color w:val="000000"/>
          <w:sz w:val="30"/>
          <w:szCs w:val="30"/>
        </w:rPr>
        <w:t>标项1:允许联合体投标</w:t>
      </w:r>
      <w:bookmarkEnd w:id="5"/>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6" w:name="PO_15528_PM009"/>
      <w:r>
        <w:rPr>
          <w:rFonts w:hint="eastAsia" w:ascii="仿宋" w:hAnsi="仿宋" w:eastAsia="仿宋"/>
          <w:color w:val="000000"/>
          <w:kern w:val="0"/>
          <w:sz w:val="30"/>
          <w:szCs w:val="30"/>
          <w:lang w:eastAsia="zh-CN"/>
        </w:rPr>
        <w:t>2024-06-27 09:00:00</w:t>
      </w:r>
      <w:bookmarkEnd w:id="6"/>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1"/>
        <w:adjustRightInd w:val="0"/>
        <w:snapToGrid w:val="0"/>
        <w:spacing w:before="156" w:after="156"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7" w:name="PO_15528_PM015"/>
      <w:r>
        <w:rPr>
          <w:rFonts w:hint="eastAsia" w:ascii="仿宋" w:hAnsi="仿宋" w:eastAsia="仿宋" w:cs="Arial"/>
          <w:color w:val="000000"/>
          <w:sz w:val="30"/>
          <w:szCs w:val="30"/>
          <w:lang w:eastAsia="zh-CN"/>
        </w:rPr>
        <w:t>2024-06-27 09:00:00</w:t>
      </w:r>
      <w:bookmarkEnd w:id="7"/>
      <w:r>
        <w:rPr>
          <w:rFonts w:hint="eastAsia" w:hAnsi="宋体"/>
          <w:b/>
          <w:color w:val="000000"/>
          <w:kern w:val="0"/>
          <w:sz w:val="28"/>
          <w:szCs w:val="28"/>
        </w:rPr>
        <w:t>。</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8" w:name="PO_15528_PM015_1"/>
      <w:r>
        <w:rPr>
          <w:rFonts w:hint="eastAsia" w:ascii="宋体" w:hAnsi="宋体" w:cs="Arial"/>
          <w:b/>
          <w:color w:val="000000"/>
          <w:sz w:val="28"/>
          <w:szCs w:val="28"/>
          <w:lang w:eastAsia="zh-CN"/>
        </w:rPr>
        <w:t>2024-06-27 09:00:00</w:t>
      </w:r>
      <w:bookmarkEnd w:id="8"/>
      <w:r>
        <w:rPr>
          <w:rFonts w:hint="eastAsia" w:ascii="宋体" w:hAnsi="宋体" w:cs="Arial"/>
          <w:b/>
          <w:color w:val="000000"/>
          <w:sz w:val="28"/>
          <w:szCs w:val="28"/>
        </w:rPr>
        <w:t>时整在</w:t>
      </w:r>
      <w:bookmarkStart w:id="9" w:name="PO_15528_PM016_1"/>
      <w:r>
        <w:rPr>
          <w:rFonts w:hint="eastAsia" w:ascii="宋体" w:hAnsi="宋体" w:cs="Arial"/>
          <w:b/>
          <w:color w:val="000000"/>
          <w:sz w:val="28"/>
          <w:szCs w:val="28"/>
          <w:lang w:eastAsia="zh-CN"/>
        </w:rPr>
        <w:t>西湖区浙江省杭州市西湖区宝石一路3号203开标室</w:t>
      </w:r>
      <w:bookmarkEnd w:id="9"/>
      <w:r>
        <w:rPr>
          <w:rFonts w:hint="eastAsia" w:ascii="宋体" w:hAnsi="宋体" w:cs="Arial"/>
          <w:b/>
          <w:color w:val="000000"/>
          <w:sz w:val="28"/>
          <w:szCs w:val="28"/>
        </w:rPr>
        <w:t>开标</w:t>
      </w:r>
      <w:r>
        <w:rPr>
          <w:rFonts w:hint="eastAsia" w:ascii="宋体" w:hAnsi="宋体" w:cs="Arial"/>
          <w:b/>
          <w:color w:val="000000"/>
          <w:sz w:val="28"/>
          <w:szCs w:val="28"/>
          <w:lang w:eastAsia="zh-CN"/>
        </w:rPr>
        <w:t>，</w:t>
      </w:r>
      <w:r>
        <w:rPr>
          <w:rFonts w:hint="eastAsia" w:ascii="宋体" w:hAnsi="宋体" w:cs="Arial"/>
          <w:b/>
          <w:color w:val="000000"/>
          <w:sz w:val="28"/>
          <w:szCs w:val="28"/>
          <w:lang w:val="en-US" w:eastAsia="zh-CN"/>
        </w:rPr>
        <w:t>303开标室开标</w:t>
      </w:r>
      <w:bookmarkStart w:id="47" w:name="_GoBack"/>
      <w:bookmarkEnd w:id="47"/>
      <w:r>
        <w:rPr>
          <w:rFonts w:hint="eastAsia" w:ascii="宋体" w:hAnsi="宋体" w:cs="Arial"/>
          <w:b/>
          <w:color w:val="000000"/>
          <w:sz w:val="28"/>
          <w:szCs w:val="28"/>
        </w:rPr>
        <w:t>。</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3442"/>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889"/>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7652"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765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7652"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33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0" w:name="PO_15528_PM032"/>
            <w:r>
              <w:rPr>
                <w:rFonts w:hint="eastAsia" w:ascii="仿宋" w:hAnsi="仿宋" w:eastAsia="仿宋" w:cs="仿宋"/>
                <w:color w:val="000000"/>
                <w:sz w:val="28"/>
                <w:szCs w:val="28"/>
              </w:rPr>
              <w:t>商</w:t>
            </w:r>
            <w:bookmarkEnd w:id="10"/>
            <w:r>
              <w:rPr>
                <w:rFonts w:hint="eastAsia" w:ascii="仿宋" w:hAnsi="仿宋" w:eastAsia="仿宋" w:cs="仿宋"/>
                <w:color w:val="000000"/>
                <w:sz w:val="28"/>
                <w:szCs w:val="28"/>
              </w:rPr>
              <w:t>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1" w:name="PO_15528_PM033"/>
            <w:r>
              <w:rPr>
                <w:rFonts w:hint="eastAsia" w:ascii="仿宋" w:hAnsi="仿宋" w:eastAsia="仿宋" w:cs="仿宋"/>
                <w:color w:val="000000"/>
                <w:sz w:val="28"/>
                <w:szCs w:val="28"/>
              </w:rPr>
              <w:t>0571-88907706</w:t>
            </w:r>
            <w:bookmarkEnd w:id="11"/>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bookmarkStart w:id="12" w:name="PO_15528_PM034"/>
            <w:r>
              <w:rPr>
                <w:rFonts w:hint="eastAsia" w:ascii="仿宋" w:hAnsi="仿宋" w:eastAsia="仿宋" w:cs="仿宋"/>
                <w:color w:val="000000"/>
                <w:sz w:val="28"/>
                <w:szCs w:val="28"/>
              </w:rPr>
              <w:t xml:space="preserve"> </w:t>
            </w:r>
            <w:bookmarkEnd w:id="12"/>
          </w:p>
        </w:tc>
        <w:tc>
          <w:tcPr>
            <w:tcW w:w="3360"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w:t>
            </w:r>
            <w:bookmarkStart w:id="13" w:name="PO_409_PM001385"/>
            <w:r>
              <w:rPr>
                <w:rFonts w:hint="eastAsia" w:ascii="仿宋" w:hAnsi="仿宋" w:eastAsia="仿宋" w:cs="仿宋"/>
                <w:color w:val="000000"/>
                <w:sz w:val="28"/>
                <w:szCs w:val="28"/>
              </w:rPr>
              <w:t>办公室</w:t>
            </w:r>
            <w:bookmarkEnd w:id="13"/>
            <w:r>
              <w:rPr>
                <w:rFonts w:hint="eastAsia" w:ascii="仿宋" w:hAnsi="仿宋" w:eastAsia="仿宋" w:cs="仿宋"/>
                <w:color w:val="000000"/>
                <w:sz w:val="28"/>
                <w:szCs w:val="28"/>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柯女士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0571-88901833</w:t>
            </w: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高女士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0571-88907717</w:t>
            </w: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r>
    </w:tbl>
    <w:p>
      <w:pPr>
        <w:snapToGrid w:val="0"/>
        <w:spacing w:line="440" w:lineRule="exact"/>
        <w:ind w:firstLine="602" w:firstLineChars="200"/>
        <w:rPr>
          <w:rFonts w:hint="eastAsia" w:ascii="仿宋" w:hAnsi="仿宋" w:eastAsia="仿宋" w:cs="Arial"/>
          <w:b/>
          <w:bCs/>
          <w:color w:val="000000"/>
          <w:sz w:val="30"/>
          <w:szCs w:val="30"/>
        </w:rPr>
      </w:pP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center"/>
        <w:rPr>
          <w:rFonts w:hint="eastAsia" w:ascii="仿宋_GB2312" w:hAnsi="仿宋" w:eastAsia="仿宋_GB2312"/>
          <w:color w:val="000000"/>
          <w:sz w:val="30"/>
          <w:szCs w:val="30"/>
        </w:rPr>
      </w:pPr>
      <w:bookmarkStart w:id="14" w:name="PO_15528_PM001384_1"/>
      <w:r>
        <w:rPr>
          <w:rFonts w:hint="eastAsia" w:ascii="仿宋_GB2312" w:hAnsi="仿宋" w:eastAsia="仿宋_GB2312"/>
          <w:color w:val="000000"/>
          <w:sz w:val="30"/>
          <w:szCs w:val="30"/>
        </w:rPr>
        <w:t xml:space="preserve"> </w:t>
      </w:r>
      <w:bookmarkEnd w:id="14"/>
      <w:bookmarkStart w:id="15" w:name="PO_TDCUS_ITEM_PRC_TABLE_1_1_2"/>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采购单位</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浙江外国语学院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地址</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西湖区留和路299号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咨询事项</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联系人</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郭碧君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联系方式</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0571-88213025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传真</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noWrap w:val="0"/>
            <w:vAlign w:val="top"/>
          </w:tcPr>
          <w:p>
            <w:pPr>
              <w:snapToGrid w:val="0"/>
              <w:spacing w:line="440" w:lineRule="exact"/>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备注</w:t>
            </w:r>
          </w:p>
        </w:tc>
        <w:tc>
          <w:tcPr>
            <w:tcW w:w="2500" w:type="pct"/>
            <w:noWrap w:val="0"/>
            <w:vAlign w:val="top"/>
          </w:tcPr>
          <w:p>
            <w:pPr>
              <w:snapToGrid w:val="0"/>
              <w:spacing w:line="440" w:lineRule="exact"/>
              <w:jc w:val="center"/>
              <w:rPr>
                <w:rFonts w:hint="eastAsia" w:ascii="仿宋_GB2312" w:hAnsi="仿宋" w:eastAsia="仿宋_GB2312"/>
                <w:color w:val="000000"/>
                <w:sz w:val="30"/>
                <w:szCs w:val="30"/>
              </w:rPr>
            </w:pPr>
          </w:p>
        </w:tc>
      </w:tr>
    </w:tbl>
    <w:p>
      <w:pPr>
        <w:snapToGrid w:val="0"/>
        <w:spacing w:line="440" w:lineRule="exact"/>
        <w:ind w:firstLine="600" w:firstLineChars="200"/>
        <w:jc w:val="center"/>
        <w:rPr>
          <w:rFonts w:hint="eastAsia" w:ascii="仿宋_GB2312" w:hAnsi="仿宋" w:eastAsia="仿宋_GB2312"/>
          <w:color w:val="000000"/>
          <w:sz w:val="30"/>
          <w:szCs w:val="30"/>
        </w:rPr>
      </w:pPr>
      <w:r>
        <w:rPr>
          <w:rFonts w:hint="eastAsia" w:ascii="仿宋_GB2312" w:hAnsi="仿宋" w:eastAsia="仿宋_GB2312"/>
          <w:color w:val="000000"/>
          <w:sz w:val="30"/>
          <w:szCs w:val="30"/>
        </w:rPr>
        <w:t xml:space="preserve"> </w:t>
      </w:r>
      <w:bookmarkEnd w:id="15"/>
    </w:p>
    <w:p>
      <w:pPr>
        <w:snapToGrid w:val="0"/>
        <w:spacing w:line="440" w:lineRule="exact"/>
        <w:ind w:firstLine="602" w:firstLineChars="200"/>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1"/>
        <w:tabs>
          <w:tab w:val="left" w:pos="220"/>
        </w:tabs>
        <w:spacing w:before="156" w:after="156" w:line="360" w:lineRule="auto"/>
        <w:outlineLvl w:val="0"/>
        <w:rPr>
          <w:rFonts w:hAnsi="宋体" w:cs="仿宋"/>
          <w:color w:val="000000"/>
          <w:sz w:val="28"/>
          <w:szCs w:val="28"/>
        </w:rPr>
      </w:pPr>
    </w:p>
    <w:p>
      <w:pPr>
        <w:pStyle w:val="31"/>
        <w:spacing w:before="156" w:after="156" w:line="360" w:lineRule="auto"/>
        <w:jc w:val="center"/>
        <w:outlineLvl w:val="0"/>
        <w:rPr>
          <w:rFonts w:hAnsi="宋体"/>
          <w:b/>
          <w:color w:val="000000"/>
          <w:sz w:val="36"/>
          <w:szCs w:val="36"/>
        </w:rPr>
      </w:pPr>
      <w:r>
        <w:rPr>
          <w:rFonts w:hint="eastAsia"/>
          <w:color w:val="000000"/>
        </w:rPr>
        <w:br w:type="page"/>
      </w:r>
      <w:bookmarkStart w:id="16" w:name="_Toc29498"/>
      <w:bookmarkStart w:id="17" w:name="_Toc496796636"/>
      <w:r>
        <w:rPr>
          <w:rFonts w:hint="eastAsia"/>
          <w:color w:val="000000"/>
        </w:rPr>
        <w:t xml:space="preserve"> </w:t>
      </w:r>
      <w:r>
        <w:rPr>
          <w:rFonts w:hint="eastAsia" w:ascii="仿宋" w:hAnsi="仿宋" w:eastAsia="仿宋"/>
          <w:b/>
          <w:color w:val="000000"/>
          <w:sz w:val="36"/>
          <w:szCs w:val="36"/>
        </w:rPr>
        <w:t>第二章</w:t>
      </w:r>
      <w:bookmarkStart w:id="18" w:name="投标人须知"/>
      <w:r>
        <w:rPr>
          <w:rFonts w:hint="eastAsia" w:ascii="仿宋" w:hAnsi="仿宋" w:eastAsia="仿宋"/>
          <w:b/>
          <w:color w:val="000000"/>
          <w:sz w:val="36"/>
          <w:szCs w:val="36"/>
        </w:rPr>
        <w:t xml:space="preserve">  投标人须知</w:t>
      </w:r>
      <w:bookmarkEnd w:id="16"/>
      <w:bookmarkEnd w:id="17"/>
      <w:bookmarkEnd w:id="18"/>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rPr>
              <w:t>不</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项目属性（服务类）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ind w:left="600"/>
              <w:rPr>
                <w:rFonts w:hint="eastAsia" w:ascii="仿宋" w:hAnsi="仿宋" w:eastAsia="仿宋"/>
                <w:b/>
                <w:color w:val="000000"/>
                <w:kern w:val="0"/>
                <w:sz w:val="24"/>
                <w:szCs w:val="24"/>
              </w:rPr>
            </w:pPr>
            <w:r>
              <w:rPr>
                <w:rFonts w:hint="eastAsia" w:ascii="仿宋" w:hAnsi="仿宋" w:eastAsia="仿宋"/>
                <w:b/>
                <w:color w:val="000000"/>
                <w:sz w:val="24"/>
                <w:szCs w:val="24"/>
              </w:rPr>
              <w:t>采购</w:t>
            </w:r>
            <w:r>
              <w:rPr>
                <w:rFonts w:hint="eastAsia" w:ascii="仿宋" w:hAnsi="仿宋" w:eastAsia="仿宋"/>
                <w:b/>
                <w:color w:val="000000"/>
                <w:kern w:val="0"/>
                <w:sz w:val="24"/>
                <w:szCs w:val="24"/>
              </w:rPr>
              <w:t>标的：浙江外国语学院2024-2026年校园安保服务项目  ，所属行业：物业管理</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kern w:val="0"/>
                <w:sz w:val="24"/>
                <w:szCs w:val="24"/>
              </w:rPr>
              <w:t>3.根据财库</w:t>
            </w:r>
            <w:r>
              <w:rPr>
                <w:rFonts w:hint="eastAsia" w:ascii="仿宋" w:hAnsi="仿宋" w:eastAsia="仿宋"/>
                <w:b/>
                <w:color w:val="000000"/>
                <w:sz w:val="24"/>
                <w:szCs w:val="24"/>
              </w:rPr>
              <w:t>〔2020〕46号、〔2022〕19号</w:t>
            </w:r>
            <w:r>
              <w:rPr>
                <w:rFonts w:hint="eastAsia" w:ascii="仿宋" w:hAnsi="仿宋" w:eastAsia="仿宋"/>
                <w:b/>
                <w:color w:val="000000"/>
                <w:kern w:val="0"/>
                <w:sz w:val="24"/>
                <w:szCs w:val="24"/>
              </w:rPr>
              <w:t>的相关规定，在评</w:t>
            </w:r>
            <w:r>
              <w:rPr>
                <w:rFonts w:hint="eastAsia" w:ascii="仿宋" w:hAnsi="仿宋" w:eastAsia="仿宋"/>
                <w:b/>
                <w:color w:val="000000"/>
                <w:sz w:val="24"/>
                <w:szCs w:val="24"/>
              </w:rPr>
              <w:t>审时对符合本办法规定的小微企业报价给予</w:t>
            </w:r>
            <w:r>
              <w:rPr>
                <w:rFonts w:hint="eastAsia" w:ascii="仿宋" w:hAnsi="仿宋" w:eastAsia="仿宋"/>
                <w:b/>
                <w:color w:val="000000"/>
                <w:sz w:val="24"/>
                <w:szCs w:val="24"/>
                <w:u w:val="single"/>
              </w:rPr>
              <w:t xml:space="preserve">  10%  </w:t>
            </w:r>
            <w:r>
              <w:rPr>
                <w:rFonts w:hint="eastAsia" w:ascii="仿宋" w:hAnsi="仿宋" w:eastAsia="仿宋"/>
                <w:b/>
                <w:color w:val="000000"/>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color w:val="000000"/>
                <w:sz w:val="24"/>
                <w:szCs w:val="24"/>
              </w:rPr>
            </w:pPr>
            <w:r>
              <w:rPr>
                <w:rFonts w:hint="eastAsia" w:ascii="仿宋" w:hAnsi="仿宋" w:eastAsia="仿宋"/>
                <w:b/>
                <w:color w:val="000000"/>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color w:val="000000"/>
                <w:sz w:val="24"/>
                <w:szCs w:val="24"/>
                <w:u w:val="single"/>
              </w:rPr>
              <w:t xml:space="preserve">  4%  </w:t>
            </w:r>
            <w:r>
              <w:rPr>
                <w:rFonts w:hint="eastAsia" w:ascii="仿宋" w:hAnsi="仿宋" w:eastAsia="仿宋"/>
                <w:b/>
                <w:color w:val="000000"/>
                <w:sz w:val="24"/>
                <w:szCs w:val="24"/>
              </w:rPr>
              <w:t>的扣除，用扣除后的价格参加评审。</w:t>
            </w:r>
          </w:p>
          <w:p>
            <w:pPr>
              <w:snapToGrid w:val="0"/>
              <w:spacing w:line="460" w:lineRule="exact"/>
              <w:ind w:firstLine="602" w:firstLineChars="250"/>
              <w:rPr>
                <w:rFonts w:ascii="仿宋" w:hAnsi="仿宋" w:eastAsia="仿宋"/>
                <w:b/>
                <w:color w:val="000000"/>
                <w:sz w:val="24"/>
                <w:szCs w:val="24"/>
              </w:rPr>
            </w:pPr>
            <w:r>
              <w:rPr>
                <w:rFonts w:hint="eastAsia" w:ascii="仿宋" w:hAnsi="仿宋" w:eastAsia="仿宋"/>
                <w:b/>
                <w:color w:val="000000"/>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19" w:name="PO_15528_PM042"/>
            <w:r>
              <w:rPr>
                <w:rFonts w:hint="eastAsia" w:ascii="仿宋" w:hAnsi="仿宋" w:eastAsia="仿宋"/>
                <w:color w:val="000000"/>
                <w:sz w:val="24"/>
                <w:szCs w:val="24"/>
              </w:rPr>
              <w:t>不允许进口产品</w:t>
            </w:r>
            <w:bookmarkEnd w:id="19"/>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20" w:name="PO_15528_PM044"/>
            <w:r>
              <w:rPr>
                <w:rFonts w:hint="eastAsia" w:ascii="仿宋_GB2312" w:hAnsi="仿宋" w:eastAsia="仿宋_GB2312"/>
                <w:bCs/>
                <w:color w:val="000000"/>
                <w:sz w:val="24"/>
              </w:rPr>
              <w:t>允许分包</w:t>
            </w:r>
            <w:bookmarkEnd w:id="20"/>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_GB2312" w:hAnsi="仿宋" w:eastAsia="仿宋_GB2312"/>
                <w:bCs/>
                <w:color w:val="000000"/>
                <w:sz w:val="24"/>
              </w:rPr>
            </w:pPr>
            <w:bookmarkStart w:id="21" w:name="PO_15528_PM007_1"/>
            <w:r>
              <w:rPr>
                <w:rFonts w:hint="eastAsia" w:ascii="仿宋_GB2312" w:hAnsi="仿宋" w:eastAsia="仿宋_GB2312"/>
                <w:bCs/>
                <w:color w:val="000000"/>
                <w:sz w:val="24"/>
              </w:rPr>
              <w:t>允许联合体投标</w:t>
            </w:r>
            <w:bookmarkEnd w:id="21"/>
            <w:r>
              <w:rPr>
                <w:rFonts w:hint="eastAsia" w:ascii="仿宋_GB2312" w:hAnsi="仿宋" w:eastAsia="仿宋_GB2312"/>
                <w:bCs/>
                <w:color w:val="000000"/>
                <w:sz w:val="24"/>
              </w:rPr>
              <w:t>。</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1.业绩证明材料</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联合体投标的，按联合体协议约定的分工内容出具相应的业绩证明材料。承担相同工作的各方或工作内容存在部分相同的，业绩数量就低为准。</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2.其他证明材料</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联合体投标的，需按招标文件第三章评标标准要求提供证明文件的，证明材料就低为准。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自行勘查，联系人：周老师，电话：87799018。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2" w:name="PO_1000000445_PM041"/>
            <w:r>
              <w:rPr>
                <w:rFonts w:hint="eastAsia" w:ascii="仿宋" w:hAnsi="仿宋" w:eastAsia="仿宋"/>
                <w:color w:val="000000"/>
                <w:sz w:val="24"/>
                <w:szCs w:val="24"/>
              </w:rPr>
              <w:t>不进行演示</w:t>
            </w:r>
            <w:bookmarkEnd w:id="22"/>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3" w:name="PO_1000000445_PM043"/>
            <w:r>
              <w:rPr>
                <w:rFonts w:hint="eastAsia" w:ascii="仿宋" w:hAnsi="仿宋" w:eastAsia="仿宋"/>
                <w:color w:val="000000"/>
                <w:sz w:val="24"/>
                <w:szCs w:val="24"/>
              </w:rPr>
              <w:t>不要求提供样品</w:t>
            </w:r>
            <w:bookmarkEnd w:id="23"/>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7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56"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56"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b/>
          <w:color w:val="000000"/>
          <w:sz w:val="28"/>
          <w:szCs w:val="28"/>
        </w:rPr>
        <w:t>对采购文件需求及评分细则的以书面形式向采购人提出质疑，对其他内容的以书面形式向招标方提出质疑。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56"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312" w:beforeLines="100" w:after="312"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sz w:val="28"/>
          <w:szCs w:val="28"/>
        </w:rPr>
      </w:pPr>
      <w:r>
        <w:rPr>
          <w:rFonts w:hint="eastAsia" w:ascii="仿宋" w:hAnsi="仿宋" w:eastAsia="仿宋"/>
          <w:b/>
          <w:bCs/>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56" w:beforeLines="50" w:after="156"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6"/>
        <w:tabs>
          <w:tab w:val="clear" w:pos="454"/>
        </w:tabs>
        <w:snapToGrid w:val="0"/>
        <w:spacing w:before="156"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56"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56"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1"/>
        <w:snapToGrid w:val="0"/>
        <w:spacing w:beforeLines="0" w:after="156"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312" w:beforeLines="100" w:after="312"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hAnsi="宋体"/>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1"/>
        <w:snapToGrid w:val="0"/>
        <w:spacing w:before="312" w:beforeLines="100" w:after="312"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1"/>
        <w:snapToGrid w:val="0"/>
        <w:spacing w:before="312" w:beforeLines="100" w:after="312"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1"/>
        <w:snapToGrid w:val="0"/>
        <w:spacing w:before="156" w:after="156"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sz w:val="36"/>
          <w:szCs w:val="36"/>
        </w:rPr>
      </w:pPr>
      <w:r>
        <w:rPr>
          <w:rFonts w:hint="eastAsia" w:hAnsi="宋体"/>
          <w:b/>
          <w:color w:val="000000"/>
          <w:kern w:val="0"/>
          <w:sz w:val="36"/>
          <w:szCs w:val="36"/>
        </w:rPr>
        <w:br w:type="page"/>
      </w:r>
      <w:bookmarkStart w:id="24" w:name="_Toc2834"/>
      <w:bookmarkStart w:id="25" w:name="_Toc496796637"/>
      <w:r>
        <w:rPr>
          <w:rFonts w:hint="eastAsia" w:hAnsi="宋体"/>
          <w:b/>
          <w:color w:val="000000"/>
          <w:sz w:val="36"/>
          <w:szCs w:val="36"/>
        </w:rPr>
        <w:t>第三章</w:t>
      </w:r>
      <w:bookmarkStart w:id="26" w:name="评标办法及评分标准"/>
      <w:r>
        <w:rPr>
          <w:rFonts w:hint="eastAsia" w:hAnsi="宋体"/>
          <w:b/>
          <w:color w:val="000000"/>
          <w:sz w:val="36"/>
          <w:szCs w:val="36"/>
        </w:rPr>
        <w:t xml:space="preserve">  评标办法及评分标准</w:t>
      </w:r>
      <w:bookmarkEnd w:id="24"/>
      <w:bookmarkEnd w:id="25"/>
      <w:bookmarkEnd w:id="26"/>
    </w:p>
    <w:p>
      <w:pPr>
        <w:spacing w:before="156" w:beforeLines="50" w:after="156"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56" w:beforeLines="50" w:after="156"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56" w:beforeLines="50" w:after="156" w:afterLines="50" w:line="46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56" w:beforeLines="50" w:after="156" w:afterLines="50" w:line="460" w:lineRule="exact"/>
        <w:ind w:firstLine="600" w:firstLineChars="200"/>
        <w:rPr>
          <w:rFonts w:hint="eastAsia" w:ascii="仿宋" w:hAnsi="仿宋"/>
          <w:color w:val="000000"/>
          <w:sz w:val="30"/>
          <w:szCs w:val="30"/>
        </w:rPr>
      </w:pPr>
      <w:r>
        <w:rPr>
          <w:rFonts w:hint="eastAsia" w:ascii="仿宋" w:hAnsi="仿宋" w:eastAsia="仿宋"/>
          <w:color w:val="000000"/>
          <w:sz w:val="30"/>
          <w:szCs w:val="30"/>
        </w:rPr>
        <w:t>中标候选人数量: 有效投标供应商数量等于 3 家时，中标候选人数量为 1家: 有效投标供应商数量等于 4家时，中标候选人数量为2家; 有效投标供应商数量大于等于 5家时，中标候选人数量为3家</w:t>
      </w:r>
      <w:r>
        <w:rPr>
          <w:rFonts w:hint="eastAsia"/>
        </w:rPr>
        <w:t>。</w:t>
      </w:r>
    </w:p>
    <w:p>
      <w:pPr>
        <w:spacing w:before="156" w:beforeLines="50" w:after="156"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56" w:beforeLines="50" w:after="156"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56" w:beforeLines="50" w:after="156"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56" w:beforeLines="50" w:after="156"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56" w:beforeLines="50" w:after="156" w:afterLines="50" w:line="460" w:lineRule="exact"/>
        <w:ind w:firstLine="602" w:firstLineChars="200"/>
        <w:rPr>
          <w:rFonts w:ascii="仿宋" w:hAnsi="仿宋" w:eastAsia="仿宋"/>
          <w:b/>
          <w:bCs/>
          <w:color w:val="000000"/>
          <w:sz w:val="30"/>
          <w:szCs w:val="30"/>
        </w:rPr>
      </w:pPr>
    </w:p>
    <w:p>
      <w:pPr>
        <w:spacing w:before="156" w:beforeLines="50" w:after="156"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56" w:beforeLines="50" w:after="156" w:afterLines="50" w:line="460" w:lineRule="exact"/>
        <w:rPr>
          <w:rFonts w:ascii="仿宋" w:hAnsi="仿宋"/>
          <w:bCs/>
          <w:color w:val="000000"/>
          <w:sz w:val="30"/>
          <w:szCs w:val="30"/>
        </w:rPr>
      </w:pPr>
    </w:p>
    <w:p>
      <w:pPr>
        <w:spacing w:before="156" w:beforeLines="50" w:after="156" w:afterLines="50" w:line="320" w:lineRule="exact"/>
        <w:rPr>
          <w:rFonts w:ascii="仿宋" w:hAnsi="仿宋" w:eastAsia="仿宋_GB2312"/>
          <w:b/>
          <w:color w:val="000000"/>
          <w:sz w:val="30"/>
          <w:szCs w:val="30"/>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7" w:name="_Toc496796638"/>
    </w:p>
    <w:tbl>
      <w:tblPr>
        <w:tblStyle w:val="59"/>
        <w:tblW w:w="50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824"/>
        <w:gridCol w:w="5688"/>
        <w:gridCol w:w="72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96" w:type="pct"/>
            <w:noWrap w:val="0"/>
            <w:vAlign w:val="top"/>
          </w:tcPr>
          <w:p>
            <w:pPr>
              <w:spacing w:line="320" w:lineRule="exact"/>
              <w:jc w:val="center"/>
              <w:rPr>
                <w:rFonts w:hint="eastAsia" w:ascii="仿宋" w:hAnsi="仿宋" w:eastAsia="仿宋" w:cs="仿宋"/>
                <w:b/>
                <w:color w:val="000000"/>
                <w:sz w:val="28"/>
                <w:szCs w:val="28"/>
              </w:rPr>
            </w:pPr>
            <w:bookmarkStart w:id="28" w:name="PO_TDCUS_ITEM_SM_TABLE_1_1"/>
            <w:r>
              <w:rPr>
                <w:rFonts w:hint="eastAsia" w:ascii="仿宋" w:hAnsi="仿宋" w:eastAsia="仿宋" w:cs="仿宋"/>
                <w:b/>
                <w:color w:val="000000"/>
                <w:sz w:val="28"/>
                <w:szCs w:val="28"/>
              </w:rPr>
              <w:t>序号</w:t>
            </w:r>
          </w:p>
        </w:tc>
        <w:tc>
          <w:tcPr>
            <w:tcW w:w="477" w:type="pct"/>
            <w:noWrap w:val="0"/>
            <w:vAlign w:val="top"/>
          </w:tcPr>
          <w:p>
            <w:pPr>
              <w:spacing w:line="320" w:lineRule="exact"/>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评分类型</w:t>
            </w:r>
          </w:p>
        </w:tc>
        <w:tc>
          <w:tcPr>
            <w:tcW w:w="3296" w:type="pct"/>
            <w:noWrap w:val="0"/>
            <w:vAlign w:val="top"/>
          </w:tcPr>
          <w:p>
            <w:pPr>
              <w:spacing w:line="320" w:lineRule="exact"/>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评分标准</w:t>
            </w:r>
          </w:p>
        </w:tc>
        <w:tc>
          <w:tcPr>
            <w:tcW w:w="417" w:type="pct"/>
            <w:noWrap w:val="0"/>
            <w:vAlign w:val="top"/>
          </w:tcPr>
          <w:p>
            <w:pPr>
              <w:spacing w:line="320" w:lineRule="exact"/>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分值</w:t>
            </w:r>
          </w:p>
        </w:tc>
        <w:tc>
          <w:tcPr>
            <w:tcW w:w="512" w:type="pct"/>
            <w:noWrap w:val="0"/>
            <w:vAlign w:val="top"/>
          </w:tcPr>
          <w:p>
            <w:pPr>
              <w:spacing w:line="320" w:lineRule="exact"/>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1</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报价</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(评标基准价／有效投标报价)*最大分值</w:t>
            </w:r>
          </w:p>
        </w:tc>
        <w:tc>
          <w:tcPr>
            <w:tcW w:w="41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15</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0" w:hRule="atLeast"/>
        </w:trPr>
        <w:tc>
          <w:tcPr>
            <w:tcW w:w="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1</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技术</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1.分析本项目的特点提出针对性方案。包括安保服务总体方案：包括但不限于服务位置、服务时间、排班情况等情况（3分）</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2.针对本项目制定的岗位分配方案，包括对岗位职责的理解（2分）、各个岗位的人员架构（2分）</w:t>
            </w:r>
          </w:p>
          <w:p>
            <w:pPr>
              <w:spacing w:line="320" w:lineRule="exact"/>
              <w:rPr>
                <w:rFonts w:ascii="仿宋" w:hAnsi="仿宋" w:eastAsia="仿宋" w:cs="仿宋"/>
                <w:bCs/>
                <w:color w:val="000000"/>
                <w:sz w:val="28"/>
                <w:szCs w:val="28"/>
              </w:rPr>
            </w:pPr>
            <w:r>
              <w:rPr>
                <w:rFonts w:hint="eastAsia" w:ascii="仿宋" w:hAnsi="仿宋" w:eastAsia="仿宋" w:cs="仿宋"/>
                <w:bCs/>
                <w:color w:val="000000"/>
                <w:sz w:val="28"/>
                <w:szCs w:val="28"/>
              </w:rPr>
              <w:t>3.针对服务单位的治安、消防、车辆管理服务方案质量情况（3分）</w:t>
            </w:r>
          </w:p>
          <w:p>
            <w:pPr>
              <w:spacing w:line="320" w:lineRule="exact"/>
              <w:rPr>
                <w:rFonts w:ascii="仿宋" w:hAnsi="仿宋" w:eastAsia="仿宋" w:cs="仿宋"/>
                <w:bCs/>
                <w:color w:val="auto"/>
                <w:sz w:val="28"/>
                <w:szCs w:val="28"/>
              </w:rPr>
            </w:pPr>
            <w:r>
              <w:rPr>
                <w:rFonts w:hint="eastAsia" w:ascii="仿宋" w:hAnsi="仿宋" w:eastAsia="仿宋" w:cs="仿宋"/>
                <w:bCs/>
                <w:color w:val="000000"/>
                <w:sz w:val="28"/>
                <w:szCs w:val="28"/>
              </w:rPr>
              <w:t>4.针对本项目制定的维护日常教学秩序方案</w:t>
            </w:r>
            <w:r>
              <w:rPr>
                <w:rFonts w:hint="eastAsia" w:ascii="仿宋" w:hAnsi="仿宋" w:eastAsia="仿宋" w:cs="仿宋"/>
                <w:bCs/>
                <w:color w:val="auto"/>
                <w:sz w:val="28"/>
                <w:szCs w:val="28"/>
              </w:rPr>
              <w:t>（3分）</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5.针对本项目制定的妥善处理突发事件的应急方案质量情况（2分）</w:t>
            </w:r>
          </w:p>
          <w:p>
            <w:pPr>
              <w:spacing w:line="320" w:lineRule="exact"/>
              <w:rPr>
                <w:rFonts w:ascii="仿宋" w:hAnsi="仿宋" w:eastAsia="仿宋" w:cs="仿宋"/>
                <w:bCs/>
                <w:color w:val="000000"/>
                <w:sz w:val="28"/>
                <w:szCs w:val="28"/>
              </w:rPr>
            </w:pPr>
            <w:r>
              <w:rPr>
                <w:rFonts w:hint="eastAsia" w:ascii="仿宋" w:hAnsi="仿宋" w:eastAsia="仿宋" w:cs="仿宋"/>
                <w:bCs/>
                <w:color w:val="000000"/>
                <w:sz w:val="28"/>
                <w:szCs w:val="28"/>
              </w:rPr>
              <w:t>6.保证单位的安防、消防等设施设备正常运行方案质量情况（3分）</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7.针对采购人临时提出的应急需求提供的工作方案（2分）</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8.针对本项目制定的培训计划切实可行，且有保障举措（3分）</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9.针对本项目服务要求制定的内部考核、奖惩制度（3分）</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10.对本服务项目的特点、难点分析(1分)，根据分析制定对应可操作性的管理措施及内容(2分)</w:t>
            </w:r>
          </w:p>
          <w:p>
            <w:pPr>
              <w:spacing w:line="320" w:lineRule="exact"/>
              <w:rPr>
                <w:rFonts w:ascii="仿宋" w:hAnsi="仿宋" w:eastAsia="仿宋" w:cs="仿宋"/>
                <w:bCs/>
                <w:sz w:val="28"/>
                <w:szCs w:val="28"/>
              </w:rPr>
            </w:pPr>
            <w:r>
              <w:rPr>
                <w:rFonts w:hint="eastAsia" w:ascii="仿宋" w:hAnsi="仿宋" w:eastAsia="仿宋" w:cs="仿宋"/>
                <w:bCs/>
                <w:color w:val="000000"/>
                <w:sz w:val="28"/>
                <w:szCs w:val="28"/>
              </w:rPr>
              <w:t>11.与区</w:t>
            </w:r>
            <w:r>
              <w:rPr>
                <w:rFonts w:hint="eastAsia" w:ascii="仿宋" w:hAnsi="仿宋" w:eastAsia="仿宋" w:cs="仿宋"/>
                <w:bCs/>
                <w:sz w:val="28"/>
                <w:szCs w:val="28"/>
              </w:rPr>
              <w:t>域公安部门及周边保安驻点的联动情况（3分）</w:t>
            </w:r>
          </w:p>
          <w:p>
            <w:pPr>
              <w:spacing w:line="320" w:lineRule="exact"/>
              <w:rPr>
                <w:rFonts w:hint="eastAsia" w:ascii="仿宋" w:hAnsi="仿宋" w:eastAsia="仿宋" w:cs="仿宋"/>
                <w:bCs/>
                <w:color w:val="000000"/>
                <w:sz w:val="28"/>
                <w:szCs w:val="28"/>
              </w:rPr>
            </w:pPr>
            <w:r>
              <w:rPr>
                <w:rFonts w:hint="eastAsia" w:ascii="仿宋" w:hAnsi="仿宋" w:eastAsia="仿宋" w:cs="仿宋"/>
                <w:bCs/>
                <w:sz w:val="28"/>
                <w:szCs w:val="28"/>
              </w:rPr>
              <w:t>12.常驻学校的服务机构具体情况(2分)</w:t>
            </w:r>
          </w:p>
        </w:tc>
        <w:tc>
          <w:tcPr>
            <w:tcW w:w="417" w:type="pct"/>
            <w:noWrap w:val="0"/>
            <w:vAlign w:val="top"/>
          </w:tcPr>
          <w:p>
            <w:pPr>
              <w:spacing w:line="320" w:lineRule="exact"/>
              <w:rPr>
                <w:rFonts w:ascii="仿宋" w:hAnsi="仿宋" w:eastAsia="仿宋" w:cs="仿宋"/>
                <w:bCs/>
                <w:color w:val="000000"/>
                <w:sz w:val="28"/>
                <w:szCs w:val="28"/>
              </w:rPr>
            </w:pPr>
          </w:p>
          <w:p>
            <w:pPr>
              <w:spacing w:line="320" w:lineRule="exact"/>
              <w:rPr>
                <w:rFonts w:ascii="仿宋" w:hAnsi="仿宋" w:eastAsia="仿宋" w:cs="仿宋"/>
                <w:bCs/>
                <w:color w:val="000000"/>
                <w:sz w:val="28"/>
                <w:szCs w:val="28"/>
              </w:rPr>
            </w:pPr>
          </w:p>
          <w:p>
            <w:pPr>
              <w:spacing w:line="320" w:lineRule="exact"/>
              <w:rPr>
                <w:rFonts w:ascii="仿宋" w:hAnsi="仿宋" w:eastAsia="仿宋" w:cs="仿宋"/>
                <w:bCs/>
                <w:color w:val="000000"/>
                <w:sz w:val="28"/>
                <w:szCs w:val="28"/>
              </w:rPr>
            </w:pPr>
          </w:p>
          <w:p>
            <w:pPr>
              <w:spacing w:line="320" w:lineRule="exact"/>
              <w:rPr>
                <w:rFonts w:ascii="仿宋" w:hAnsi="仿宋" w:eastAsia="仿宋" w:cs="仿宋"/>
                <w:bCs/>
                <w:color w:val="000000"/>
                <w:sz w:val="28"/>
                <w:szCs w:val="28"/>
              </w:rPr>
            </w:pPr>
          </w:p>
          <w:p>
            <w:pPr>
              <w:spacing w:line="320" w:lineRule="exact"/>
              <w:rPr>
                <w:rFonts w:ascii="仿宋" w:hAnsi="仿宋" w:eastAsia="仿宋" w:cs="仿宋"/>
                <w:bCs/>
                <w:color w:val="000000"/>
                <w:sz w:val="28"/>
                <w:szCs w:val="28"/>
              </w:rPr>
            </w:pPr>
          </w:p>
          <w:p>
            <w:pPr>
              <w:spacing w:line="320" w:lineRule="exact"/>
              <w:rPr>
                <w:rFonts w:ascii="仿宋" w:hAnsi="仿宋" w:eastAsia="仿宋" w:cs="仿宋"/>
                <w:bCs/>
                <w:color w:val="000000"/>
                <w:sz w:val="28"/>
                <w:szCs w:val="28"/>
              </w:rPr>
            </w:pPr>
          </w:p>
          <w:p>
            <w:pPr>
              <w:spacing w:line="320" w:lineRule="exact"/>
              <w:rPr>
                <w:rFonts w:ascii="仿宋" w:hAnsi="仿宋" w:eastAsia="仿宋" w:cs="仿宋"/>
                <w:bCs/>
                <w:color w:val="000000"/>
                <w:sz w:val="28"/>
                <w:szCs w:val="28"/>
              </w:rPr>
            </w:pPr>
          </w:p>
          <w:p>
            <w:pPr>
              <w:spacing w:line="320" w:lineRule="exact"/>
              <w:rPr>
                <w:rFonts w:ascii="仿宋" w:hAnsi="仿宋" w:eastAsia="仿宋" w:cs="仿宋"/>
                <w:bCs/>
                <w:color w:val="000000"/>
                <w:sz w:val="28"/>
                <w:szCs w:val="28"/>
              </w:rPr>
            </w:pPr>
          </w:p>
          <w:p>
            <w:pPr>
              <w:spacing w:line="320" w:lineRule="exact"/>
              <w:rPr>
                <w:rFonts w:ascii="仿宋" w:hAnsi="仿宋" w:eastAsia="仿宋" w:cs="仿宋"/>
                <w:bCs/>
                <w:color w:val="000000"/>
                <w:sz w:val="28"/>
                <w:szCs w:val="28"/>
              </w:rPr>
            </w:pPr>
          </w:p>
          <w:p>
            <w:pPr>
              <w:spacing w:line="320" w:lineRule="exact"/>
              <w:rPr>
                <w:rFonts w:hint="eastAsia" w:ascii="仿宋" w:hAnsi="仿宋" w:eastAsia="仿宋" w:cs="仿宋"/>
                <w:bCs/>
                <w:color w:val="FF0000"/>
                <w:sz w:val="28"/>
                <w:szCs w:val="28"/>
              </w:rPr>
            </w:pPr>
            <w:r>
              <w:rPr>
                <w:rFonts w:hint="eastAsia" w:ascii="仿宋" w:hAnsi="仿宋" w:eastAsia="仿宋" w:cs="仿宋"/>
                <w:bCs/>
                <w:color w:val="auto"/>
                <w:sz w:val="28"/>
                <w:szCs w:val="28"/>
              </w:rPr>
              <w:t>34</w:t>
            </w:r>
          </w:p>
        </w:tc>
        <w:tc>
          <w:tcPr>
            <w:tcW w:w="512" w:type="pct"/>
            <w:noWrap w:val="0"/>
            <w:vAlign w:val="top"/>
          </w:tcPr>
          <w:p>
            <w:pPr>
              <w:spacing w:line="320" w:lineRule="exact"/>
              <w:rPr>
                <w:rFonts w:hint="eastAsia" w:ascii="仿宋" w:hAnsi="仿宋" w:eastAsia="仿宋" w:cs="仿宋"/>
                <w:bCs/>
                <w:color w:val="000000"/>
                <w:sz w:val="28"/>
                <w:szCs w:val="28"/>
              </w:rPr>
            </w:pPr>
          </w:p>
          <w:p>
            <w:pPr>
              <w:spacing w:line="320" w:lineRule="exact"/>
              <w:rPr>
                <w:rFonts w:hint="eastAsia" w:ascii="仿宋" w:hAnsi="仿宋" w:eastAsia="仿宋" w:cs="仿宋"/>
                <w:bCs/>
                <w:color w:val="000000"/>
                <w:sz w:val="28"/>
                <w:szCs w:val="28"/>
              </w:rPr>
            </w:pPr>
          </w:p>
          <w:p>
            <w:pPr>
              <w:spacing w:line="320" w:lineRule="exact"/>
              <w:rPr>
                <w:rFonts w:hint="eastAsia" w:ascii="仿宋" w:hAnsi="仿宋" w:eastAsia="仿宋" w:cs="仿宋"/>
                <w:bCs/>
                <w:color w:val="000000"/>
                <w:sz w:val="28"/>
                <w:szCs w:val="28"/>
              </w:rPr>
            </w:pPr>
          </w:p>
          <w:p>
            <w:pPr>
              <w:spacing w:line="320" w:lineRule="exact"/>
              <w:rPr>
                <w:rFonts w:hint="eastAsia" w:ascii="仿宋" w:hAnsi="仿宋" w:eastAsia="仿宋" w:cs="仿宋"/>
                <w:bCs/>
                <w:color w:val="000000"/>
                <w:sz w:val="28"/>
                <w:szCs w:val="28"/>
              </w:rPr>
            </w:pPr>
          </w:p>
          <w:p>
            <w:pPr>
              <w:spacing w:line="320" w:lineRule="exact"/>
              <w:rPr>
                <w:rFonts w:hint="eastAsia" w:ascii="仿宋" w:hAnsi="仿宋" w:eastAsia="仿宋" w:cs="仿宋"/>
                <w:bCs/>
                <w:color w:val="000000"/>
                <w:sz w:val="28"/>
                <w:szCs w:val="28"/>
              </w:rPr>
            </w:pPr>
          </w:p>
          <w:p>
            <w:pPr>
              <w:spacing w:line="320" w:lineRule="exact"/>
              <w:rPr>
                <w:rFonts w:hint="eastAsia" w:ascii="仿宋" w:hAnsi="仿宋" w:eastAsia="仿宋" w:cs="仿宋"/>
                <w:bCs/>
                <w:color w:val="000000"/>
                <w:sz w:val="28"/>
                <w:szCs w:val="28"/>
              </w:rPr>
            </w:pPr>
          </w:p>
          <w:p>
            <w:pPr>
              <w:spacing w:line="320" w:lineRule="exact"/>
              <w:rPr>
                <w:rFonts w:hint="eastAsia" w:ascii="仿宋" w:hAnsi="仿宋" w:eastAsia="仿宋" w:cs="仿宋"/>
                <w:bCs/>
                <w:color w:val="000000"/>
                <w:sz w:val="28"/>
                <w:szCs w:val="28"/>
              </w:rPr>
            </w:pPr>
          </w:p>
          <w:p>
            <w:pPr>
              <w:spacing w:line="320" w:lineRule="exact"/>
              <w:rPr>
                <w:rFonts w:hint="eastAsia" w:ascii="仿宋" w:hAnsi="仿宋" w:eastAsia="仿宋" w:cs="仿宋"/>
                <w:bCs/>
                <w:color w:val="000000"/>
                <w:sz w:val="28"/>
                <w:szCs w:val="28"/>
              </w:rPr>
            </w:pP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trPr>
        <w:tc>
          <w:tcPr>
            <w:tcW w:w="296" w:type="pct"/>
            <w:noWrap w:val="0"/>
            <w:vAlign w:val="top"/>
          </w:tcPr>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r>
              <w:rPr>
                <w:rFonts w:hint="eastAsia" w:ascii="仿宋" w:hAnsi="仿宋" w:eastAsia="仿宋" w:cs="仿宋"/>
                <w:bCs/>
                <w:color w:val="auto"/>
                <w:sz w:val="28"/>
                <w:szCs w:val="28"/>
              </w:rPr>
              <w:t>2</w:t>
            </w:r>
          </w:p>
        </w:tc>
        <w:tc>
          <w:tcPr>
            <w:tcW w:w="477" w:type="pct"/>
            <w:noWrap w:val="0"/>
            <w:vAlign w:val="top"/>
          </w:tcPr>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ascii="仿宋" w:hAnsi="仿宋" w:eastAsia="仿宋" w:cs="仿宋"/>
                <w:bCs/>
                <w:color w:val="auto"/>
                <w:sz w:val="28"/>
                <w:szCs w:val="28"/>
              </w:rPr>
            </w:pPr>
            <w:r>
              <w:rPr>
                <w:rFonts w:hint="eastAsia" w:ascii="仿宋" w:hAnsi="仿宋" w:eastAsia="仿宋" w:cs="仿宋"/>
                <w:bCs/>
                <w:color w:val="auto"/>
                <w:sz w:val="28"/>
                <w:szCs w:val="28"/>
              </w:rPr>
              <w:t>技术</w:t>
            </w:r>
          </w:p>
          <w:p>
            <w:pPr>
              <w:spacing w:line="320" w:lineRule="exact"/>
              <w:rPr>
                <w:rFonts w:hint="eastAsia" w:ascii="仿宋" w:hAnsi="仿宋" w:eastAsia="仿宋" w:cs="仿宋"/>
                <w:bCs/>
                <w:color w:val="auto"/>
                <w:sz w:val="28"/>
                <w:szCs w:val="28"/>
              </w:rPr>
            </w:pPr>
          </w:p>
        </w:tc>
        <w:tc>
          <w:tcPr>
            <w:tcW w:w="3296" w:type="pct"/>
            <w:noWrap w:val="0"/>
            <w:vAlign w:val="top"/>
          </w:tcPr>
          <w:p>
            <w:pPr>
              <w:spacing w:line="320" w:lineRule="exact"/>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针对本项目提供的服务团队人数、岗位分工及岗位需要的</w:t>
            </w:r>
            <w:r>
              <w:rPr>
                <w:rFonts w:hint="eastAsia" w:ascii="仿宋" w:hAnsi="仿宋" w:eastAsia="仿宋" w:cs="仿宋"/>
                <w:color w:val="auto"/>
                <w:kern w:val="0"/>
                <w:sz w:val="28"/>
                <w:szCs w:val="28"/>
              </w:rPr>
              <w:t>公安部门颁发的</w:t>
            </w:r>
            <w:r>
              <w:rPr>
                <w:rFonts w:hint="eastAsia" w:ascii="仿宋" w:hAnsi="仿宋" w:eastAsia="仿宋" w:cs="仿宋"/>
                <w:bCs/>
                <w:color w:val="auto"/>
                <w:sz w:val="28"/>
                <w:szCs w:val="28"/>
              </w:rPr>
              <w:t xml:space="preserve">保安员证（下同）、应急管理部消防救援局颁发的消防设施操作员证（下同）（中级及以上）和文凭满足以下招标需求： </w:t>
            </w:r>
          </w:p>
          <w:p>
            <w:pPr>
              <w:numPr>
                <w:ilvl w:val="0"/>
                <w:numId w:val="0"/>
              </w:numPr>
              <w:spacing w:line="320" w:lineRule="exact"/>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人数达到68人，持有满足岗位要求的保安员证和消防设施操作员证；</w:t>
            </w:r>
          </w:p>
          <w:p>
            <w:pPr>
              <w:numPr>
                <w:ilvl w:val="0"/>
                <w:numId w:val="0"/>
              </w:numPr>
              <w:spacing w:line="320" w:lineRule="exact"/>
              <w:rPr>
                <w:rFonts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rPr>
              <w:t>人员的年龄结构组成符合招标需求；</w:t>
            </w:r>
          </w:p>
          <w:p>
            <w:pPr>
              <w:numPr>
                <w:ilvl w:val="0"/>
                <w:numId w:val="0"/>
              </w:numPr>
              <w:spacing w:line="320" w:lineRule="exact"/>
              <w:rPr>
                <w:rFonts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rPr>
              <w:t>门岗形象岗的年龄和身高符合招标要求；</w:t>
            </w:r>
          </w:p>
          <w:p>
            <w:pPr>
              <w:numPr>
                <w:ilvl w:val="0"/>
                <w:numId w:val="0"/>
              </w:numPr>
              <w:spacing w:line="320" w:lineRule="exact"/>
              <w:rPr>
                <w:rFonts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rPr>
              <w:t>消监控室人数满足6人，有保安员证和中级消防设施操作员证，且有大专文凭；</w:t>
            </w:r>
          </w:p>
          <w:p>
            <w:pPr>
              <w:spacing w:line="320" w:lineRule="exact"/>
              <w:rPr>
                <w:rFonts w:hint="eastAsia" w:ascii="仿宋" w:hAnsi="仿宋" w:eastAsia="仿宋" w:cs="仿宋"/>
                <w:bCs/>
                <w:color w:val="auto"/>
                <w:sz w:val="28"/>
                <w:szCs w:val="28"/>
              </w:rPr>
            </w:pPr>
            <w:r>
              <w:rPr>
                <w:rFonts w:hint="eastAsia" w:ascii="仿宋" w:hAnsi="仿宋" w:eastAsia="仿宋" w:cs="仿宋"/>
                <w:bCs/>
                <w:color w:val="auto"/>
                <w:sz w:val="28"/>
                <w:szCs w:val="28"/>
              </w:rPr>
              <w:t>满足以上所有要求得4分，任意一条不满足不给分（需提供相关人员近三个月任意一月的社保证明及证书复印件）</w:t>
            </w:r>
          </w:p>
          <w:p>
            <w:pPr>
              <w:spacing w:line="320" w:lineRule="exact"/>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rPr>
              <w:t>针对本项目提供的团队人数及人员素质、能力、资格、经验等符合下列要求的；</w:t>
            </w:r>
          </w:p>
          <w:p>
            <w:pPr>
              <w:spacing w:line="320" w:lineRule="exact"/>
              <w:rPr>
                <w:rFonts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除消监控室人员外，其他安保服务人员中有大专及以上文凭达到3人得1分；达到6人及以上得2分，最高得2分；</w:t>
            </w:r>
          </w:p>
          <w:p>
            <w:pPr>
              <w:numPr>
                <w:ilvl w:val="0"/>
                <w:numId w:val="0"/>
              </w:numPr>
              <w:spacing w:line="320" w:lineRule="exact"/>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rPr>
              <w:t>除消监控室人员外，派驻招标单位的安保服务人员中持有的中级及以上等级消防设施操作员证人数每增加3人得1分，不足3人不得分，最高得2分。</w:t>
            </w:r>
          </w:p>
        </w:tc>
        <w:tc>
          <w:tcPr>
            <w:tcW w:w="417" w:type="pct"/>
            <w:noWrap w:val="0"/>
            <w:vAlign w:val="top"/>
          </w:tcPr>
          <w:p>
            <w:pPr>
              <w:spacing w:line="320" w:lineRule="exact"/>
              <w:rPr>
                <w:rFonts w:hint="eastAsia" w:ascii="仿宋" w:hAnsi="仿宋" w:eastAsia="仿宋" w:cs="仿宋"/>
                <w:bCs/>
                <w:color w:val="auto"/>
                <w:sz w:val="28"/>
                <w:szCs w:val="28"/>
                <w:lang w:val="en-US" w:eastAsia="zh-CN"/>
              </w:rPr>
            </w:pPr>
          </w:p>
          <w:p>
            <w:pPr>
              <w:spacing w:line="320" w:lineRule="exact"/>
              <w:rPr>
                <w:rFonts w:hint="eastAsia" w:ascii="仿宋" w:hAnsi="仿宋" w:eastAsia="仿宋" w:cs="仿宋"/>
                <w:bCs/>
                <w:color w:val="auto"/>
                <w:sz w:val="28"/>
                <w:szCs w:val="28"/>
                <w:lang w:val="en-US" w:eastAsia="zh-CN"/>
              </w:rPr>
            </w:pPr>
          </w:p>
          <w:p>
            <w:pPr>
              <w:spacing w:line="320" w:lineRule="exact"/>
              <w:rPr>
                <w:rFonts w:hint="eastAsia" w:ascii="仿宋" w:hAnsi="仿宋" w:eastAsia="仿宋" w:cs="仿宋"/>
                <w:bCs/>
                <w:color w:val="auto"/>
                <w:sz w:val="28"/>
                <w:szCs w:val="28"/>
                <w:lang w:val="en-US" w:eastAsia="zh-CN"/>
              </w:rPr>
            </w:pPr>
          </w:p>
          <w:p>
            <w:pPr>
              <w:spacing w:line="320" w:lineRule="exact"/>
              <w:rPr>
                <w:rFonts w:hint="eastAsia" w:ascii="仿宋" w:hAnsi="仿宋" w:eastAsia="仿宋" w:cs="仿宋"/>
                <w:bCs/>
                <w:color w:val="auto"/>
                <w:sz w:val="28"/>
                <w:szCs w:val="28"/>
                <w:lang w:val="en-US" w:eastAsia="zh-CN"/>
              </w:rPr>
            </w:pPr>
          </w:p>
          <w:p>
            <w:pPr>
              <w:spacing w:line="320" w:lineRule="exact"/>
              <w:rPr>
                <w:rFonts w:hint="eastAsia" w:ascii="仿宋" w:hAnsi="仿宋" w:eastAsia="仿宋" w:cs="仿宋"/>
                <w:bCs/>
                <w:color w:val="auto"/>
                <w:sz w:val="28"/>
                <w:szCs w:val="28"/>
                <w:lang w:val="en-US" w:eastAsia="zh-CN"/>
              </w:rPr>
            </w:pPr>
          </w:p>
          <w:p>
            <w:pPr>
              <w:spacing w:line="320" w:lineRule="exact"/>
              <w:rPr>
                <w:rFonts w:hint="eastAsia" w:ascii="仿宋" w:hAnsi="仿宋" w:eastAsia="仿宋" w:cs="仿宋"/>
                <w:bCs/>
                <w:color w:val="auto"/>
                <w:sz w:val="28"/>
                <w:szCs w:val="28"/>
                <w:lang w:val="en-US" w:eastAsia="zh-CN"/>
              </w:rPr>
            </w:pPr>
          </w:p>
          <w:p>
            <w:pPr>
              <w:spacing w:line="320" w:lineRule="exact"/>
              <w:rPr>
                <w:rFonts w:hint="eastAsia" w:ascii="仿宋" w:hAnsi="仿宋" w:eastAsia="仿宋" w:cs="仿宋"/>
                <w:bCs/>
                <w:color w:val="auto"/>
                <w:sz w:val="28"/>
                <w:szCs w:val="28"/>
                <w:lang w:val="en-US" w:eastAsia="zh-CN"/>
              </w:rPr>
            </w:pPr>
          </w:p>
          <w:p>
            <w:pPr>
              <w:spacing w:line="320" w:lineRule="exact"/>
              <w:rPr>
                <w:rFonts w:hint="eastAsia" w:ascii="仿宋" w:hAnsi="仿宋" w:eastAsia="仿宋" w:cs="仿宋"/>
                <w:bCs/>
                <w:color w:val="auto"/>
                <w:sz w:val="28"/>
                <w:szCs w:val="28"/>
                <w:lang w:val="en-US" w:eastAsia="zh-CN"/>
              </w:rPr>
            </w:pPr>
          </w:p>
          <w:p>
            <w:pPr>
              <w:spacing w:line="320" w:lineRule="exact"/>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8</w:t>
            </w:r>
          </w:p>
        </w:tc>
        <w:tc>
          <w:tcPr>
            <w:tcW w:w="512" w:type="pct"/>
            <w:noWrap w:val="0"/>
            <w:vAlign w:val="top"/>
          </w:tcPr>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p>
          <w:p>
            <w:pPr>
              <w:spacing w:line="320" w:lineRule="exact"/>
              <w:rPr>
                <w:rFonts w:hint="eastAsia" w:ascii="仿宋" w:hAnsi="仿宋" w:eastAsia="仿宋" w:cs="仿宋"/>
                <w:bCs/>
                <w:color w:val="auto"/>
                <w:sz w:val="28"/>
                <w:szCs w:val="28"/>
              </w:rPr>
            </w:pPr>
            <w:r>
              <w:rPr>
                <w:rFonts w:hint="eastAsia" w:ascii="仿宋" w:hAnsi="仿宋" w:eastAsia="仿宋" w:cs="仿宋"/>
                <w:bCs/>
                <w:color w:val="auto"/>
                <w:sz w:val="28"/>
                <w:szCs w:val="28"/>
              </w:rPr>
              <w:t>客观</w:t>
            </w:r>
          </w:p>
          <w:p>
            <w:pPr>
              <w:spacing w:line="320" w:lineRule="exact"/>
              <w:rPr>
                <w:rFonts w:hint="eastAsia" w:ascii="仿宋" w:hAnsi="仿宋" w:eastAsia="仿宋" w:cs="仿宋"/>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3</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技术</w:t>
            </w:r>
          </w:p>
        </w:tc>
        <w:tc>
          <w:tcPr>
            <w:tcW w:w="3296" w:type="pct"/>
            <w:noWrap w:val="0"/>
            <w:vAlign w:val="top"/>
          </w:tcPr>
          <w:p>
            <w:pPr>
              <w:spacing w:line="320" w:lineRule="exact"/>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承诺与上一合同周期供应商做好工作交接，保障学校安保服务的延续性，不可存在服务空档期。</w:t>
            </w:r>
          </w:p>
        </w:tc>
        <w:tc>
          <w:tcPr>
            <w:tcW w:w="41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2</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4</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技术</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与上一合同周期供应商工作交接的服务方案（2分）、合理化建议（2分）。</w:t>
            </w:r>
          </w:p>
        </w:tc>
        <w:tc>
          <w:tcPr>
            <w:tcW w:w="41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4</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296" w:type="pct"/>
            <w:noWrap w:val="0"/>
            <w:vAlign w:val="top"/>
          </w:tcPr>
          <w:p>
            <w:pPr>
              <w:spacing w:line="320" w:lineRule="exact"/>
              <w:rPr>
                <w:rFonts w:hint="eastAsia" w:ascii="仿宋" w:hAnsi="仿宋" w:eastAsia="仿宋" w:cs="仿宋"/>
                <w:bCs/>
                <w:sz w:val="28"/>
                <w:szCs w:val="28"/>
              </w:rPr>
            </w:pPr>
            <w:r>
              <w:rPr>
                <w:rFonts w:hint="eastAsia" w:ascii="仿宋" w:hAnsi="仿宋" w:eastAsia="仿宋" w:cs="仿宋"/>
                <w:bCs/>
                <w:sz w:val="28"/>
                <w:szCs w:val="28"/>
              </w:rPr>
              <w:t>5</w:t>
            </w:r>
          </w:p>
        </w:tc>
        <w:tc>
          <w:tcPr>
            <w:tcW w:w="477" w:type="pct"/>
            <w:noWrap w:val="0"/>
            <w:vAlign w:val="top"/>
          </w:tcPr>
          <w:p>
            <w:pPr>
              <w:spacing w:line="320" w:lineRule="exact"/>
              <w:rPr>
                <w:rFonts w:ascii="仿宋" w:hAnsi="仿宋" w:eastAsia="仿宋" w:cs="仿宋"/>
                <w:bCs/>
                <w:sz w:val="28"/>
                <w:szCs w:val="28"/>
              </w:rPr>
            </w:pPr>
            <w:r>
              <w:rPr>
                <w:rFonts w:hint="eastAsia" w:ascii="仿宋" w:hAnsi="仿宋" w:eastAsia="仿宋" w:cs="仿宋"/>
                <w:bCs/>
                <w:sz w:val="28"/>
                <w:szCs w:val="28"/>
              </w:rPr>
              <w:t>技术</w:t>
            </w:r>
          </w:p>
        </w:tc>
        <w:tc>
          <w:tcPr>
            <w:tcW w:w="3296" w:type="pct"/>
            <w:noWrap w:val="0"/>
            <w:vAlign w:val="top"/>
          </w:tcPr>
          <w:p>
            <w:pPr>
              <w:spacing w:line="320" w:lineRule="exact"/>
              <w:rPr>
                <w:rFonts w:hint="eastAsia" w:ascii="仿宋" w:hAnsi="仿宋" w:eastAsia="仿宋" w:cs="仿宋"/>
                <w:bCs/>
                <w:sz w:val="28"/>
                <w:szCs w:val="28"/>
              </w:rPr>
            </w:pPr>
            <w:r>
              <w:rPr>
                <w:rFonts w:hint="eastAsia" w:ascii="仿宋" w:hAnsi="仿宋" w:eastAsia="仿宋" w:cs="仿宋"/>
                <w:bCs/>
                <w:sz w:val="28"/>
                <w:szCs w:val="28"/>
              </w:rPr>
              <w:t>本项目所能提供的相关器械设备、器材、物资配备情况，包括数量（1分）、设备种类（2分）或设备参数（2分），需提供设备购买合同（发票）或租赁合同，并提供样图，未提供不得分。</w:t>
            </w:r>
          </w:p>
        </w:tc>
        <w:tc>
          <w:tcPr>
            <w:tcW w:w="417" w:type="pct"/>
            <w:noWrap w:val="0"/>
            <w:vAlign w:val="top"/>
          </w:tcPr>
          <w:p>
            <w:pPr>
              <w:spacing w:line="320" w:lineRule="exact"/>
              <w:rPr>
                <w:rFonts w:ascii="仿宋" w:hAnsi="仿宋" w:eastAsia="仿宋" w:cs="仿宋"/>
                <w:bCs/>
                <w:sz w:val="28"/>
                <w:szCs w:val="28"/>
              </w:rPr>
            </w:pPr>
            <w:r>
              <w:rPr>
                <w:rFonts w:hint="eastAsia" w:ascii="仿宋" w:hAnsi="仿宋" w:eastAsia="仿宋" w:cs="仿宋"/>
                <w:bCs/>
                <w:sz w:val="28"/>
                <w:szCs w:val="28"/>
              </w:rPr>
              <w:t>5</w:t>
            </w:r>
          </w:p>
        </w:tc>
        <w:tc>
          <w:tcPr>
            <w:tcW w:w="512" w:type="pct"/>
            <w:noWrap w:val="0"/>
            <w:vAlign w:val="top"/>
          </w:tcPr>
          <w:p>
            <w:pPr>
              <w:spacing w:line="320" w:lineRule="exact"/>
              <w:rPr>
                <w:rFonts w:ascii="仿宋" w:hAnsi="仿宋" w:eastAsia="仿宋" w:cs="仿宋"/>
                <w:bCs/>
                <w:sz w:val="28"/>
                <w:szCs w:val="28"/>
              </w:rPr>
            </w:pPr>
            <w:r>
              <w:rPr>
                <w:rFonts w:hint="eastAsia" w:ascii="仿宋" w:hAnsi="仿宋" w:eastAsia="仿宋" w:cs="仿宋"/>
                <w:bCs/>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6</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技术</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内部管理情况。</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1.投标单位对安保人员的日常管理等制度制定情况（2分）</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2.服务质量控制标准情况，是否具有相关保障措施（3分）</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3.信息化管理等情况（3分）</w:t>
            </w:r>
          </w:p>
        </w:tc>
        <w:tc>
          <w:tcPr>
            <w:tcW w:w="417" w:type="pct"/>
            <w:noWrap w:val="0"/>
            <w:vAlign w:val="top"/>
          </w:tcPr>
          <w:p>
            <w:pPr>
              <w:spacing w:line="320" w:lineRule="exact"/>
              <w:rPr>
                <w:rFonts w:ascii="仿宋" w:hAnsi="仿宋" w:eastAsia="仿宋" w:cs="仿宋"/>
                <w:bCs/>
                <w:color w:val="000000"/>
                <w:sz w:val="28"/>
                <w:szCs w:val="28"/>
              </w:rPr>
            </w:pPr>
            <w:r>
              <w:rPr>
                <w:rFonts w:hint="eastAsia" w:ascii="仿宋" w:hAnsi="仿宋" w:eastAsia="仿宋" w:cs="仿宋"/>
                <w:bCs/>
                <w:color w:val="000000"/>
                <w:sz w:val="28"/>
                <w:szCs w:val="28"/>
              </w:rPr>
              <w:t>8</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7</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技术</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1.出现因中标商派驻安保人员导致的安全事故或其他影响学校正常工作的情况，提供的处置方案（3分）及赔付方案（3分）。</w:t>
            </w:r>
          </w:p>
        </w:tc>
        <w:tc>
          <w:tcPr>
            <w:tcW w:w="41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6</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296" w:type="pct"/>
            <w:noWrap w:val="0"/>
            <w:vAlign w:val="top"/>
          </w:tcPr>
          <w:p>
            <w:pPr>
              <w:spacing w:line="320" w:lineRule="exact"/>
              <w:rPr>
                <w:rFonts w:ascii="仿宋" w:hAnsi="仿宋" w:eastAsia="仿宋" w:cs="仿宋"/>
                <w:bCs/>
                <w:color w:val="000000"/>
                <w:sz w:val="28"/>
                <w:szCs w:val="28"/>
              </w:rPr>
            </w:pPr>
            <w:r>
              <w:rPr>
                <w:rFonts w:hint="eastAsia" w:ascii="仿宋" w:hAnsi="仿宋" w:eastAsia="仿宋" w:cs="仿宋"/>
                <w:bCs/>
                <w:color w:val="000000"/>
                <w:sz w:val="28"/>
                <w:szCs w:val="28"/>
              </w:rPr>
              <w:t>8</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技术</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服务承诺和优惠措施</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承诺机动值班服务时长达到招标要求，每超100小时加1分，不满100小时不得分，最高加5分。</w:t>
            </w:r>
          </w:p>
        </w:tc>
        <w:tc>
          <w:tcPr>
            <w:tcW w:w="41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5</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noWrap w:val="0"/>
            <w:vAlign w:val="top"/>
          </w:tcPr>
          <w:p>
            <w:pPr>
              <w:spacing w:line="320" w:lineRule="exact"/>
              <w:rPr>
                <w:rFonts w:ascii="仿宋" w:hAnsi="仿宋" w:eastAsia="仿宋" w:cs="仿宋"/>
                <w:bCs/>
                <w:color w:val="000000"/>
                <w:sz w:val="28"/>
                <w:szCs w:val="28"/>
              </w:rPr>
            </w:pPr>
            <w:r>
              <w:rPr>
                <w:rFonts w:hint="eastAsia" w:ascii="仿宋" w:hAnsi="仿宋" w:eastAsia="仿宋" w:cs="仿宋"/>
                <w:bCs/>
                <w:color w:val="000000"/>
                <w:sz w:val="28"/>
                <w:szCs w:val="28"/>
              </w:rPr>
              <w:t>9</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技术</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服务承诺和优惠措施</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1、针对需要加班情况提供的服务方案，包括加班费用（2.5分）及相关保障措施（2分）</w:t>
            </w:r>
          </w:p>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2、其他关于项目管理、服务质量保证等方面所做的承诺及保证措施（2分）</w:t>
            </w:r>
          </w:p>
        </w:tc>
        <w:tc>
          <w:tcPr>
            <w:tcW w:w="417" w:type="pct"/>
            <w:noWrap w:val="0"/>
            <w:vAlign w:val="top"/>
          </w:tcPr>
          <w:p>
            <w:pPr>
              <w:spacing w:line="320" w:lineRule="exact"/>
              <w:rPr>
                <w:rFonts w:ascii="仿宋" w:hAnsi="仿宋" w:eastAsia="仿宋" w:cs="仿宋"/>
                <w:bCs/>
                <w:color w:val="000000"/>
                <w:sz w:val="28"/>
                <w:szCs w:val="28"/>
              </w:rPr>
            </w:pPr>
            <w:r>
              <w:rPr>
                <w:rFonts w:hint="eastAsia" w:ascii="仿宋" w:hAnsi="仿宋" w:eastAsia="仿宋" w:cs="仿宋"/>
                <w:bCs/>
                <w:color w:val="000000"/>
                <w:sz w:val="28"/>
                <w:szCs w:val="28"/>
              </w:rPr>
              <w:t>6.5</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noWrap w:val="0"/>
            <w:vAlign w:val="top"/>
          </w:tcPr>
          <w:p>
            <w:pPr>
              <w:spacing w:line="320" w:lineRule="exact"/>
              <w:rPr>
                <w:rFonts w:ascii="仿宋" w:hAnsi="仿宋" w:eastAsia="仿宋" w:cs="仿宋"/>
                <w:bCs/>
                <w:color w:val="000000"/>
                <w:sz w:val="28"/>
                <w:szCs w:val="28"/>
              </w:rPr>
            </w:pPr>
            <w:r>
              <w:rPr>
                <w:rFonts w:hint="eastAsia" w:ascii="仿宋" w:hAnsi="仿宋" w:eastAsia="仿宋" w:cs="仿宋"/>
                <w:bCs/>
                <w:color w:val="000000"/>
                <w:sz w:val="28"/>
                <w:szCs w:val="28"/>
              </w:rPr>
              <w:t>10</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商务资信</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投标人自2021年1月1日以来取得行政部门颁发的安保服务相关的荣誉，每1个得1分，最高得2分。</w:t>
            </w:r>
          </w:p>
        </w:tc>
        <w:tc>
          <w:tcPr>
            <w:tcW w:w="41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2</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noWrap w:val="0"/>
            <w:vAlign w:val="top"/>
          </w:tcPr>
          <w:p>
            <w:pPr>
              <w:spacing w:line="320" w:lineRule="exact"/>
              <w:rPr>
                <w:rFonts w:ascii="仿宋" w:hAnsi="仿宋" w:eastAsia="仿宋" w:cs="仿宋"/>
                <w:bCs/>
                <w:color w:val="000000"/>
                <w:sz w:val="28"/>
                <w:szCs w:val="28"/>
              </w:rPr>
            </w:pPr>
            <w:r>
              <w:rPr>
                <w:rFonts w:hint="eastAsia" w:ascii="仿宋" w:hAnsi="仿宋" w:eastAsia="仿宋" w:cs="仿宋"/>
                <w:bCs/>
                <w:color w:val="000000"/>
                <w:sz w:val="28"/>
                <w:szCs w:val="28"/>
              </w:rPr>
              <w:t>11</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商务资信</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投标人具有有效的质量管理体系认证证书、环境管理体系认证证书、职业健康与安全管理体系认证证书，每提供一类证书，得1分，最高3分。（投标文件中提供相关复印件，不提供不得分）。</w:t>
            </w:r>
          </w:p>
        </w:tc>
        <w:tc>
          <w:tcPr>
            <w:tcW w:w="41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3</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 w:type="pct"/>
            <w:noWrap w:val="0"/>
            <w:vAlign w:val="top"/>
          </w:tcPr>
          <w:p>
            <w:pPr>
              <w:spacing w:line="320" w:lineRule="exact"/>
              <w:rPr>
                <w:rFonts w:ascii="仿宋" w:hAnsi="仿宋" w:eastAsia="仿宋" w:cs="仿宋"/>
                <w:bCs/>
                <w:color w:val="000000"/>
                <w:sz w:val="28"/>
                <w:szCs w:val="28"/>
              </w:rPr>
            </w:pPr>
            <w:r>
              <w:rPr>
                <w:rFonts w:hint="eastAsia" w:ascii="仿宋" w:hAnsi="仿宋" w:eastAsia="仿宋" w:cs="仿宋"/>
                <w:bCs/>
                <w:color w:val="000000"/>
                <w:sz w:val="28"/>
                <w:szCs w:val="28"/>
              </w:rPr>
              <w:t>12</w:t>
            </w:r>
          </w:p>
        </w:tc>
        <w:tc>
          <w:tcPr>
            <w:tcW w:w="47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商务资信</w:t>
            </w:r>
          </w:p>
        </w:tc>
        <w:tc>
          <w:tcPr>
            <w:tcW w:w="3296"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类似项目成功经验。需提供投标截止日前三年内类似项目成功案例合同、中标通知书复印件</w:t>
            </w:r>
            <w:r>
              <w:rPr>
                <w:rFonts w:hint="eastAsia" w:ascii="仿宋" w:hAnsi="仿宋" w:eastAsia="仿宋" w:cs="仿宋"/>
                <w:bCs/>
                <w:color w:val="auto"/>
                <w:sz w:val="28"/>
                <w:szCs w:val="28"/>
              </w:rPr>
              <w:t>、</w:t>
            </w:r>
            <w:r>
              <w:rPr>
                <w:rFonts w:hint="eastAsia" w:ascii="仿宋" w:hAnsi="仿宋" w:eastAsia="仿宋" w:cs="仿宋"/>
                <w:color w:val="auto"/>
                <w:sz w:val="28"/>
                <w:szCs w:val="28"/>
              </w:rPr>
              <w:t>项目验收材料</w:t>
            </w:r>
            <w:r>
              <w:rPr>
                <w:rFonts w:hint="eastAsia" w:ascii="仿宋" w:hAnsi="仿宋" w:eastAsia="仿宋" w:cs="仿宋"/>
                <w:bCs/>
                <w:color w:val="auto"/>
                <w:sz w:val="28"/>
                <w:szCs w:val="28"/>
              </w:rPr>
              <w:t>，</w:t>
            </w:r>
            <w:r>
              <w:rPr>
                <w:rFonts w:hint="eastAsia" w:ascii="仿宋" w:hAnsi="仿宋" w:eastAsia="仿宋" w:cs="仿宋"/>
                <w:bCs/>
                <w:color w:val="000000"/>
                <w:sz w:val="28"/>
                <w:szCs w:val="28"/>
              </w:rPr>
              <w:t>三者缺一不可，一个项目计0.5分，最高得1.5分。</w:t>
            </w:r>
          </w:p>
        </w:tc>
        <w:tc>
          <w:tcPr>
            <w:tcW w:w="417"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1.5</w:t>
            </w:r>
          </w:p>
        </w:tc>
        <w:tc>
          <w:tcPr>
            <w:tcW w:w="512" w:type="pct"/>
            <w:noWrap w:val="0"/>
            <w:vAlign w:val="top"/>
          </w:tcPr>
          <w:p>
            <w:pPr>
              <w:spacing w:line="320" w:lineRule="exact"/>
              <w:rPr>
                <w:rFonts w:hint="eastAsia" w:ascii="仿宋" w:hAnsi="仿宋" w:eastAsia="仿宋" w:cs="仿宋"/>
                <w:bCs/>
                <w:color w:val="000000"/>
                <w:sz w:val="28"/>
                <w:szCs w:val="28"/>
              </w:rPr>
            </w:pPr>
            <w:r>
              <w:rPr>
                <w:rFonts w:hint="eastAsia" w:ascii="仿宋" w:hAnsi="仿宋" w:eastAsia="仿宋" w:cs="仿宋"/>
                <w:bCs/>
                <w:color w:val="000000"/>
                <w:sz w:val="28"/>
                <w:szCs w:val="28"/>
              </w:rPr>
              <w:t>客观</w:t>
            </w:r>
          </w:p>
        </w:tc>
      </w:tr>
    </w:tbl>
    <w:p>
      <w:pPr>
        <w:spacing w:before="156" w:beforeLines="50" w:after="156" w:afterLines="50" w:line="340" w:lineRule="exact"/>
        <w:rPr>
          <w:rFonts w:hint="eastAsia" w:ascii="仿宋" w:hAnsi="仿宋" w:eastAsia="仿宋" w:cs="仿宋"/>
          <w:b/>
          <w:color w:val="000000"/>
          <w:sz w:val="24"/>
          <w:szCs w:val="24"/>
        </w:rPr>
      </w:pPr>
      <w:r>
        <w:rPr>
          <w:rFonts w:hint="eastAsia" w:ascii="仿宋" w:hAnsi="仿宋" w:eastAsia="仿宋" w:cs="仿宋"/>
          <w:b/>
          <w:color w:val="000000"/>
          <w:sz w:val="24"/>
          <w:szCs w:val="24"/>
        </w:rPr>
        <w:t xml:space="preserve"> </w:t>
      </w:r>
      <w:bookmarkEnd w:id="28"/>
    </w:p>
    <w:p>
      <w:pPr>
        <w:spacing w:after="312" w:afterLines="100" w:line="340" w:lineRule="exact"/>
        <w:jc w:val="center"/>
        <w:outlineLvl w:val="0"/>
        <w:rPr>
          <w:rFonts w:hint="eastAsia" w:ascii="仿宋" w:hAnsi="仿宋" w:eastAsia="仿宋" w:cs="仿宋"/>
          <w:b/>
          <w:color w:val="000000"/>
          <w:sz w:val="24"/>
          <w:szCs w:val="24"/>
        </w:rPr>
      </w:pPr>
    </w:p>
    <w:p>
      <w:pPr>
        <w:spacing w:after="312" w:afterLines="100" w:line="340" w:lineRule="exact"/>
        <w:jc w:val="center"/>
        <w:outlineLvl w:val="0"/>
        <w:rPr>
          <w:rFonts w:hAnsi="宋体"/>
          <w:b/>
          <w:color w:val="000000"/>
          <w:sz w:val="36"/>
          <w:szCs w:val="36"/>
        </w:rPr>
      </w:pPr>
    </w:p>
    <w:p>
      <w:pPr>
        <w:spacing w:after="312" w:afterLines="100" w:line="340" w:lineRule="exact"/>
        <w:jc w:val="center"/>
        <w:outlineLvl w:val="0"/>
        <w:rPr>
          <w:rFonts w:hAnsi="宋体"/>
          <w:b/>
          <w:color w:val="000000"/>
          <w:sz w:val="36"/>
          <w:szCs w:val="36"/>
        </w:rPr>
      </w:pPr>
    </w:p>
    <w:p>
      <w:pPr>
        <w:spacing w:after="312" w:afterLines="100"/>
        <w:ind w:firstLine="2168" w:firstLineChars="600"/>
        <w:outlineLvl w:val="0"/>
        <w:rPr>
          <w:rFonts w:hint="eastAsia" w:hAnsi="宋体"/>
          <w:b/>
          <w:color w:val="000000"/>
          <w:sz w:val="36"/>
          <w:szCs w:val="36"/>
        </w:rPr>
      </w:pPr>
      <w:bookmarkStart w:id="29" w:name="_Toc24960"/>
    </w:p>
    <w:p>
      <w:pPr>
        <w:spacing w:after="312" w:afterLines="100"/>
        <w:ind w:firstLine="2168" w:firstLineChars="600"/>
        <w:outlineLvl w:val="0"/>
        <w:rPr>
          <w:rFonts w:hint="eastAsia" w:hAnsi="宋体"/>
          <w:b/>
          <w:color w:val="000000"/>
          <w:sz w:val="36"/>
          <w:szCs w:val="36"/>
        </w:rPr>
      </w:pPr>
    </w:p>
    <w:p>
      <w:pPr>
        <w:spacing w:after="312" w:afterLines="100"/>
        <w:ind w:firstLine="2168" w:firstLineChars="600"/>
        <w:outlineLvl w:val="0"/>
        <w:rPr>
          <w:rFonts w:hint="eastAsia" w:hAnsi="宋体"/>
          <w:b/>
          <w:color w:val="000000"/>
          <w:sz w:val="36"/>
          <w:szCs w:val="36"/>
        </w:rPr>
      </w:pPr>
    </w:p>
    <w:p>
      <w:pPr>
        <w:spacing w:after="312" w:afterLines="100"/>
        <w:ind w:firstLine="2168" w:firstLineChars="600"/>
        <w:outlineLvl w:val="0"/>
        <w:rPr>
          <w:rFonts w:hint="eastAsia" w:hAnsi="宋体"/>
          <w:b/>
          <w:color w:val="000000"/>
          <w:sz w:val="36"/>
          <w:szCs w:val="36"/>
        </w:rPr>
      </w:pPr>
    </w:p>
    <w:p>
      <w:pPr>
        <w:spacing w:after="312" w:afterLines="100"/>
        <w:ind w:firstLine="2168" w:firstLineChars="600"/>
        <w:outlineLvl w:val="0"/>
        <w:rPr>
          <w:rFonts w:hint="eastAsia" w:hAnsi="宋体"/>
          <w:b/>
          <w:color w:val="000000"/>
          <w:sz w:val="36"/>
          <w:szCs w:val="36"/>
        </w:rPr>
      </w:pPr>
    </w:p>
    <w:p>
      <w:pPr>
        <w:spacing w:after="312" w:afterLines="100"/>
        <w:ind w:firstLine="2168" w:firstLineChars="600"/>
        <w:outlineLvl w:val="0"/>
        <w:rPr>
          <w:rFonts w:hint="eastAsia" w:hAnsi="宋体"/>
          <w:b/>
          <w:color w:val="000000"/>
          <w:sz w:val="36"/>
          <w:szCs w:val="36"/>
        </w:rPr>
      </w:pPr>
    </w:p>
    <w:p>
      <w:pPr>
        <w:spacing w:after="312" w:afterLines="100"/>
        <w:outlineLvl w:val="0"/>
        <w:rPr>
          <w:rFonts w:hint="eastAsia" w:hAnsi="宋体"/>
          <w:b/>
          <w:color w:val="000000"/>
          <w:sz w:val="36"/>
          <w:szCs w:val="36"/>
        </w:rPr>
      </w:pPr>
    </w:p>
    <w:p>
      <w:pPr>
        <w:spacing w:after="312" w:afterLines="100"/>
        <w:ind w:firstLine="2168" w:firstLineChars="600"/>
        <w:outlineLvl w:val="0"/>
        <w:rPr>
          <w:rFonts w:hint="eastAsia" w:hAnsi="宋体"/>
          <w:b/>
          <w:color w:val="000000"/>
          <w:sz w:val="36"/>
          <w:szCs w:val="36"/>
        </w:rPr>
      </w:pPr>
    </w:p>
    <w:p>
      <w:pPr>
        <w:spacing w:after="312" w:afterLines="100"/>
        <w:ind w:firstLine="2891" w:firstLineChars="800"/>
        <w:outlineLvl w:val="0"/>
        <w:rPr>
          <w:rFonts w:hAnsi="宋体"/>
          <w:b/>
          <w:color w:val="000000"/>
          <w:sz w:val="36"/>
          <w:szCs w:val="36"/>
        </w:rPr>
      </w:pPr>
      <w:r>
        <w:rPr>
          <w:rFonts w:hint="eastAsia" w:hAnsi="宋体"/>
          <w:b/>
          <w:color w:val="000000"/>
          <w:sz w:val="36"/>
          <w:szCs w:val="36"/>
        </w:rPr>
        <w:t>第四章   招标需求</w:t>
      </w:r>
      <w:bookmarkEnd w:id="27"/>
      <w:bookmarkEnd w:id="29"/>
    </w:p>
    <w:p>
      <w:pPr>
        <w:snapToGrid w:val="0"/>
        <w:spacing w:before="156" w:beforeLines="50" w:after="156" w:afterLines="50"/>
        <w:rPr>
          <w:rFonts w:ascii="宋体" w:hAnsi="宋体"/>
          <w:b/>
          <w:color w:val="000000"/>
          <w:spacing w:val="40"/>
          <w:kern w:val="0"/>
          <w:sz w:val="36"/>
          <w:szCs w:val="36"/>
        </w:rPr>
      </w:pPr>
    </w:p>
    <w:p>
      <w:pPr>
        <w:snapToGrid w:val="0"/>
        <w:spacing w:before="156" w:beforeLines="50" w:after="156"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spacing w:before="312" w:beforeLines="100" w:line="360" w:lineRule="auto"/>
        <w:jc w:val="center"/>
        <w:rPr>
          <w:rFonts w:ascii="方正小标宋_GBK" w:hAnsi="宋体" w:eastAsia="方正小标宋_GBK" w:cs="Arial"/>
          <w:bCs/>
          <w:spacing w:val="-6"/>
          <w:sz w:val="36"/>
          <w:szCs w:val="36"/>
        </w:rPr>
      </w:pPr>
      <w:bookmarkStart w:id="30" w:name="PO_TDCUS_ITEM_PB_REQ_PR_1_1_0"/>
      <w:bookmarkStart w:id="31" w:name="_Toc496796639"/>
      <w:r>
        <w:rPr>
          <w:rFonts w:hint="eastAsia" w:ascii="宋体" w:hAnsi="宋体"/>
          <w:b/>
          <w:bCs/>
          <w:color w:val="000000"/>
          <w:sz w:val="36"/>
          <w:szCs w:val="36"/>
        </w:rPr>
        <w:t>浙江外国语学院2024-2026年校园安保服务项目</w:t>
      </w:r>
      <w:r>
        <w:rPr>
          <w:rFonts w:hint="eastAsia" w:hAnsi="宋体"/>
          <w:b/>
          <w:color w:val="000000"/>
          <w:sz w:val="36"/>
          <w:szCs w:val="36"/>
        </w:rPr>
        <w:t>的需求文档:</w:t>
      </w:r>
      <w:bookmarkEnd w:id="30"/>
      <w:bookmarkStart w:id="32" w:name="PO_TDCUS_ITEM_PB_REQ_FILE_1_1_0"/>
    </w:p>
    <w:p>
      <w:pPr>
        <w:snapToGrid w:val="0"/>
        <w:spacing w:line="288" w:lineRule="auto"/>
        <w:rPr>
          <w:rFonts w:ascii="宋体" w:hAnsi="宋体" w:cs="Arial"/>
          <w:b/>
          <w:bCs/>
          <w:spacing w:val="-6"/>
          <w:sz w:val="24"/>
        </w:rPr>
      </w:pPr>
    </w:p>
    <w:p>
      <w:pPr>
        <w:snapToGrid w:val="0"/>
        <w:spacing w:line="288" w:lineRule="auto"/>
        <w:rPr>
          <w:rFonts w:ascii="仿宋_GB2312" w:hAnsi="仿宋_GB2312" w:eastAsia="仿宋_GB2312" w:cs="仿宋_GB2312"/>
          <w:b/>
          <w:bCs/>
          <w:spacing w:val="-6"/>
          <w:sz w:val="32"/>
          <w:szCs w:val="28"/>
        </w:rPr>
      </w:pPr>
      <w:r>
        <w:rPr>
          <w:rFonts w:hint="eastAsia" w:ascii="仿宋_GB2312" w:hAnsi="仿宋_GB2312" w:eastAsia="仿宋_GB2312" w:cs="仿宋_GB2312"/>
          <w:b/>
          <w:bCs/>
          <w:spacing w:val="-6"/>
          <w:sz w:val="32"/>
          <w:szCs w:val="28"/>
        </w:rPr>
        <w:t>采购内容及数量：</w:t>
      </w:r>
    </w:p>
    <w:tbl>
      <w:tblPr>
        <w:tblStyle w:val="59"/>
        <w:tblW w:w="823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3"/>
        <w:gridCol w:w="1603"/>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83" w:type="dxa"/>
            <w:noWrap w:val="0"/>
            <w:vAlign w:val="center"/>
          </w:tcPr>
          <w:p>
            <w:pPr>
              <w:widowControl/>
              <w:snapToGrid w:val="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项目名称</w:t>
            </w:r>
          </w:p>
        </w:tc>
        <w:tc>
          <w:tcPr>
            <w:tcW w:w="1603" w:type="dxa"/>
            <w:noWrap w:val="0"/>
            <w:vAlign w:val="center"/>
          </w:tcPr>
          <w:p>
            <w:pPr>
              <w:widowControl/>
              <w:snapToGrid w:val="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数量</w:t>
            </w:r>
          </w:p>
        </w:tc>
        <w:tc>
          <w:tcPr>
            <w:tcW w:w="2651" w:type="dxa"/>
            <w:noWrap w:val="0"/>
            <w:vAlign w:val="center"/>
          </w:tcPr>
          <w:p>
            <w:pPr>
              <w:widowControl/>
              <w:snapToGrid w:val="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83" w:type="dxa"/>
            <w:noWrap w:val="0"/>
            <w:vAlign w:val="center"/>
          </w:tcPr>
          <w:p>
            <w:pPr>
              <w:widowControl/>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2024－2026年度安保服务项目</w:t>
            </w:r>
          </w:p>
        </w:tc>
        <w:tc>
          <w:tcPr>
            <w:tcW w:w="1603" w:type="dxa"/>
            <w:noWrap w:val="0"/>
            <w:vAlign w:val="center"/>
          </w:tcPr>
          <w:p>
            <w:pPr>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spacing w:val="-6"/>
                <w:sz w:val="28"/>
                <w:szCs w:val="28"/>
              </w:rPr>
              <w:t>2年</w:t>
            </w:r>
          </w:p>
        </w:tc>
        <w:tc>
          <w:tcPr>
            <w:tcW w:w="2651" w:type="dxa"/>
            <w:noWrap w:val="0"/>
            <w:vAlign w:val="center"/>
          </w:tcPr>
          <w:p>
            <w:pPr>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spacing w:val="-6"/>
                <w:sz w:val="28"/>
                <w:szCs w:val="28"/>
              </w:rPr>
              <w:t>人民币669.12万元</w:t>
            </w:r>
          </w:p>
        </w:tc>
      </w:tr>
    </w:tbl>
    <w:p>
      <w:pPr>
        <w:snapToGrid w:val="0"/>
        <w:rPr>
          <w:rFonts w:hint="eastAsia" w:ascii="仿宋_GB2312" w:hAnsi="仿宋_GB2312" w:eastAsia="仿宋_GB2312" w:cs="仿宋_GB2312"/>
          <w:b/>
          <w:bCs/>
          <w:kern w:val="0"/>
          <w:sz w:val="28"/>
          <w:szCs w:val="28"/>
          <w:lang w:val="zh-CN"/>
        </w:rPr>
      </w:pPr>
    </w:p>
    <w:p>
      <w:pPr>
        <w:snapToGrid w:val="0"/>
        <w:rPr>
          <w:rFonts w:ascii="仿宋_GB2312" w:hAnsi="仿宋_GB2312" w:eastAsia="仿宋_GB2312" w:cs="仿宋_GB2312"/>
          <w:b/>
          <w:sz w:val="28"/>
          <w:szCs w:val="28"/>
        </w:rPr>
      </w:pPr>
      <w:r>
        <w:rPr>
          <w:rFonts w:hint="eastAsia" w:ascii="仿宋_GB2312" w:hAnsi="仿宋_GB2312" w:eastAsia="仿宋_GB2312" w:cs="仿宋_GB2312"/>
          <w:b/>
          <w:bCs/>
          <w:kern w:val="0"/>
          <w:sz w:val="28"/>
          <w:szCs w:val="28"/>
          <w:lang w:val="zh-CN"/>
        </w:rPr>
        <w:t>一、</w:t>
      </w:r>
      <w:r>
        <w:rPr>
          <w:rFonts w:hint="eastAsia" w:ascii="仿宋_GB2312" w:hAnsi="仿宋_GB2312" w:eastAsia="仿宋_GB2312" w:cs="仿宋_GB2312"/>
          <w:b/>
          <w:sz w:val="28"/>
          <w:szCs w:val="28"/>
        </w:rPr>
        <w:t>供应商要求：</w:t>
      </w:r>
    </w:p>
    <w:p>
      <w:pPr>
        <w:snapToGrid w:val="0"/>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1.投标人有住所和提供保安服务所需的设施、装备，有一定数量符合条件的保安员、管理人员，有健全的管理制度；</w:t>
      </w:r>
    </w:p>
    <w:p>
      <w:pPr>
        <w:snapToGrid w:val="0"/>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color w:val="000000"/>
          <w:kern w:val="0"/>
          <w:sz w:val="28"/>
          <w:szCs w:val="28"/>
        </w:rPr>
        <w:t>具有公安部门颁发的《保安服务许可证资质》</w:t>
      </w:r>
      <w:r>
        <w:rPr>
          <w:rFonts w:hint="eastAsia" w:ascii="仿宋_GB2312" w:hAnsi="仿宋_GB2312" w:eastAsia="仿宋_GB2312" w:cs="仿宋_GB2312"/>
          <w:sz w:val="28"/>
          <w:szCs w:val="28"/>
        </w:rPr>
        <w:t>；</w:t>
      </w:r>
    </w:p>
    <w:p>
      <w:pPr>
        <w:snapToGrid w:val="0"/>
        <w:spacing w:line="48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3.现场勘查：自行勘查，联系人：周老师，电话：</w:t>
      </w:r>
      <w:r>
        <w:rPr>
          <w:rFonts w:ascii="仿宋_GB2312" w:hAnsi="仿宋_GB2312" w:eastAsia="仿宋_GB2312" w:cs="仿宋_GB2312"/>
          <w:color w:val="000000"/>
          <w:sz w:val="28"/>
          <w:szCs w:val="28"/>
        </w:rPr>
        <w:t>87799018</w:t>
      </w:r>
      <w:r>
        <w:rPr>
          <w:rFonts w:hint="eastAsia" w:ascii="仿宋_GB2312" w:hAnsi="仿宋_GB2312" w:eastAsia="仿宋_GB2312" w:cs="仿宋_GB2312"/>
          <w:color w:val="000000"/>
          <w:sz w:val="28"/>
          <w:szCs w:val="28"/>
        </w:rPr>
        <w:t>。</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4.中标方需确定一位项目负责人，负责项目的对接接洽。同时，构建以派驻队长为首的驻校安保管理团队，具体要求见队伍管理要求和岗位职责。</w:t>
      </w:r>
    </w:p>
    <w:p>
      <w:pPr>
        <w:autoSpaceDE w:val="0"/>
        <w:autoSpaceDN w:val="0"/>
        <w:snapToGrid w:val="0"/>
        <w:spacing w:line="480" w:lineRule="exact"/>
        <w:ind w:right="-7" w:firstLine="562" w:firstLineChars="20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二、保安服务要求</w:t>
      </w:r>
    </w:p>
    <w:p>
      <w:pPr>
        <w:autoSpaceDE w:val="0"/>
        <w:autoSpaceDN w:val="0"/>
        <w:snapToGrid w:val="0"/>
        <w:spacing w:line="480" w:lineRule="exact"/>
        <w:ind w:right="-7"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1.服务面积：</w:t>
      </w:r>
      <w:r>
        <w:rPr>
          <w:rFonts w:hint="eastAsia" w:ascii="仿宋_GB2312" w:hAnsi="仿宋_GB2312" w:eastAsia="仿宋_GB2312" w:cs="仿宋_GB2312"/>
          <w:kern w:val="0"/>
          <w:sz w:val="28"/>
          <w:szCs w:val="28"/>
        </w:rPr>
        <w:t>浙江外国语学院共占地约550余亩。</w:t>
      </w:r>
    </w:p>
    <w:p>
      <w:pPr>
        <w:widowControl/>
        <w:snapToGrid w:val="0"/>
        <w:spacing w:line="48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2.服务内容：</w:t>
      </w:r>
      <w:r>
        <w:rPr>
          <w:rFonts w:hint="eastAsia" w:ascii="仿宋_GB2312" w:hAnsi="仿宋_GB2312" w:eastAsia="仿宋_GB2312" w:cs="仿宋_GB2312"/>
          <w:kern w:val="0"/>
          <w:sz w:val="28"/>
          <w:szCs w:val="28"/>
        </w:rPr>
        <w:t>为浙江外国语学院（杭州市留和路299号）提供符合安保行业用工要求的保安人员，岗位数每日共6</w:t>
      </w:r>
      <w:r>
        <w:rPr>
          <w:rFonts w:ascii="仿宋_GB2312" w:hAnsi="仿宋_GB2312" w:eastAsia="仿宋_GB2312" w:cs="仿宋_GB2312"/>
          <w:kern w:val="0"/>
          <w:sz w:val="28"/>
          <w:szCs w:val="28"/>
        </w:rPr>
        <w:t>8</w:t>
      </w:r>
      <w:r>
        <w:rPr>
          <w:rFonts w:hint="eastAsia" w:ascii="仿宋_GB2312" w:hAnsi="仿宋_GB2312" w:eastAsia="仿宋_GB2312" w:cs="仿宋_GB2312"/>
          <w:kern w:val="0"/>
          <w:sz w:val="28"/>
          <w:szCs w:val="28"/>
        </w:rPr>
        <w:t>个，为学校提供每天24小时安全保卫服务。每季度支付费用，以实际使用安保岗位数为准。</w:t>
      </w:r>
    </w:p>
    <w:p>
      <w:pPr>
        <w:autoSpaceDE w:val="0"/>
        <w:autoSpaceDN w:val="0"/>
        <w:snapToGrid w:val="0"/>
        <w:spacing w:line="480" w:lineRule="exact"/>
        <w:ind w:right="-7" w:firstLine="280" w:firstLineChars="1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校园“110”、监控室和消控室执勤：会操作电脑和消控相关设备，负责消、监控室24小时值守，须有不少于6人持有中级及以上由应急管理部消防救援局颁发的建（构）筑物消防设施操作员证；负责接警及处置工作，联动校内巡逻人员随时出警，配合处置各类案件，为师生提供紧急救助服务，做到事事有着落，件件有反馈，树立首问责任制等。</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（2）门卫：立姿站岗，负责值守，查验、登记，指挥、疏导人员和车辆出入，保障出入口通道畅通，制止携带宠物进入校园等。</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校园巡逻：负责昼夜巡视检查、警戒，及时发现、报告并消除各类安全隐患，制止违反学校安全管理规定及不文明行为，受理师生现场报警和求助等；负责维护交通和车辆停放秩序；管理校内临时宣传、经营摊位以及条幅、张贴物；维护校园办公、教学和生活秩序等。自备2辆四轮巡逻车，并负责日常维护。</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（4）区域值守及应急管理：负责指定区域与目标场地的看护和守卫，控制人员和车辆出入，做好防火、防盗、防抢、防破坏、防事故灾害等工作；配合安保处置治安、火灾、暴力恐怖、意外伤害等突发事件。</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重大活动机动：校内安保力量不足时，根据安保规模大小，随时增派人员维持现场秩序，提供安检设施设备，维护活动安全，除满足日常岗位值班人数及时长外，另提供不少于2000小时的机动值班服务，具体时间及分工由采购人确定。</w:t>
      </w:r>
    </w:p>
    <w:p>
      <w:pPr>
        <w:autoSpaceDE w:val="0"/>
        <w:autoSpaceDN w:val="0"/>
        <w:snapToGrid w:val="0"/>
        <w:spacing w:line="480" w:lineRule="exact"/>
        <w:ind w:right="-6"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（6）完成各校区保卫办交办的其他安保工作。</w:t>
      </w:r>
    </w:p>
    <w:p>
      <w:pPr>
        <w:autoSpaceDE w:val="0"/>
        <w:autoSpaceDN w:val="0"/>
        <w:snapToGrid w:val="0"/>
        <w:spacing w:line="480" w:lineRule="exact"/>
        <w:ind w:right="-7"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3.保安人员的基本条件</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（1）热爱中国共产党，拥护社会主义制度。遵纪守法，有较强的法制观念。</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招聘的保安要品行端正，作风正派，无劣迹记录，持有公安部门颁发的保安员证，具备与岗位职责相应的观察、发现、处置问题能力，具备使用消防设备、通讯器材、技术防范设施和相关防卫器械的基本技能。</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（3）必须经过军训、业务培训、考试合格的合同制人员。</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（4）能认真执行安保公司的有关规定和采购单位的管理规定。</w:t>
      </w:r>
    </w:p>
    <w:p>
      <w:pPr>
        <w:autoSpaceDE w:val="0"/>
        <w:autoSpaceDN w:val="0"/>
        <w:snapToGrid w:val="0"/>
        <w:spacing w:line="480" w:lineRule="exact"/>
        <w:ind w:right="-6" w:firstLine="280" w:firstLineChars="10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▲（5）保安</w:t>
      </w:r>
      <w:r>
        <w:rPr>
          <w:rFonts w:hint="eastAsia" w:ascii="仿宋_GB2312" w:hAnsi="仿宋_GB2312" w:eastAsia="仿宋_GB2312" w:cs="仿宋_GB2312"/>
          <w:sz w:val="28"/>
          <w:szCs w:val="28"/>
        </w:rPr>
        <w:t>人员年龄结构合理，18—50周岁人员比例需在80%以上。</w:t>
      </w:r>
    </w:p>
    <w:p>
      <w:pPr>
        <w:autoSpaceDE w:val="0"/>
        <w:autoSpaceDN w:val="0"/>
        <w:snapToGrid w:val="0"/>
        <w:spacing w:line="480" w:lineRule="exact"/>
        <w:ind w:right="-7"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（6）身体健康，五官端正，原则上男性身高1.66米以上，女性身高1.56米以上，并具有保安等安全管理的相关经验。学校门岗等为形象礼仪岗，原则上身高1.70米及以上，年龄45周岁左右。</w:t>
      </w:r>
    </w:p>
    <w:p>
      <w:pPr>
        <w:autoSpaceDE w:val="0"/>
        <w:autoSpaceDN w:val="0"/>
        <w:snapToGrid w:val="0"/>
        <w:spacing w:line="480" w:lineRule="exact"/>
        <w:ind w:right="-7"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4.队伍管理要求</w:t>
      </w:r>
    </w:p>
    <w:p>
      <w:pPr>
        <w:snapToGrid w:val="0"/>
        <w:spacing w:line="48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（1）依法聘用保安人员，在组织、安排工作时，应符合国家相关法律法规，维护保安人员的正当权益；</w:t>
      </w:r>
    </w:p>
    <w:p>
      <w:pPr>
        <w:snapToGrid w:val="0"/>
        <w:spacing w:line="480" w:lineRule="exact"/>
        <w:ind w:firstLine="560" w:firstLineChars="200"/>
        <w:rPr>
          <w:rFonts w:ascii="仿宋_GB2312" w:hAnsi="仿宋_GB2312" w:eastAsia="仿宋_GB2312" w:cs="仿宋_GB2312"/>
          <w:spacing w:val="-6"/>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spacing w:val="-6"/>
          <w:sz w:val="28"/>
          <w:szCs w:val="28"/>
        </w:rPr>
        <w:t>（2）中标方需对派驻学校服务的安保人员进行管理，建立全面统一规范的内部管理制度，明确派驻人员的工作责任，有完整措施确保派驻安保人员履责到位，防止派驻安保人员发生违法违纪问题和安全事故；服务期内，若因中标方派驻安保人员履责不到位、管理不到位、应急处置不当，导致学校发生火灾等安全责任事故的，按照责任事故的等级，中标方需依次承担相应的管理责任，造成损失的，还应承担相应的经济责任，同时，根据事故等级，确定当季、当年直至整个服务期内考核不合格。</w:t>
      </w:r>
    </w:p>
    <w:p>
      <w:pPr>
        <w:snapToGrid w:val="0"/>
        <w:spacing w:line="48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（3）设立保安队长，居住在校内，24小时全面负责保安队伍的日常规范化管理和保安工作的组织实施，同时从派驻队伍中选取骨干为早晚班班长，以此为基础建立驻校安保队伍的管理团队；</w:t>
      </w:r>
    </w:p>
    <w:p>
      <w:pPr>
        <w:snapToGrid w:val="0"/>
        <w:spacing w:line="48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（4）派驻保安应征得学校保卫处同意，学校对在服务过程中不满意的人员有权要求更换，应立即更换；</w:t>
      </w:r>
    </w:p>
    <w:p>
      <w:pPr>
        <w:snapToGrid w:val="0"/>
        <w:spacing w:line="48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（5）保安应聘、录用、离职等管理档案规范，手续齐全，相关资料必须报学校保卫处备案，禁止已辞退保安再次录用；</w:t>
      </w:r>
    </w:p>
    <w:p>
      <w:pPr>
        <w:snapToGrid w:val="0"/>
        <w:spacing w:line="48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6）采取必要的措施，确保保安队伍稳定。常驻校内的安保人员需达到招标应派遣人数的70%；合同期限内轮换岗人数原则上不得超过合同岗位总人数的35%。原则上不得更换保安骨干，确因个人原因需离开原岗位的骨干，应提前1周通知学校保卫处，更换其他人员要提前告知；</w:t>
      </w:r>
    </w:p>
    <w:p>
      <w:pPr>
        <w:snapToGrid w:val="0"/>
        <w:spacing w:line="48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（7）严格管理，定人定岗，不得随意抽减人员；</w:t>
      </w:r>
    </w:p>
    <w:p>
      <w:pPr>
        <w:snapToGrid w:val="0"/>
        <w:spacing w:line="48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8）若遇有重大活动或应急事件，校内保安力量不足，中标单位必须无条件在15分钟内增派人员赶到学校协助处理，附人员支援方案（按50人计）。临时增加的保安人员（除招标保安服务工作量以外的）加班工资由学校按中标单位保安加班标准另行支付，中标单位需明确临时增派人员的工资标准（按元\小时计，其费用为预算外列支）。</w:t>
      </w:r>
    </w:p>
    <w:p>
      <w:pPr>
        <w:snapToGrid w:val="0"/>
        <w:spacing w:line="48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（9）定期组织保安进行学习教育，开展业务培训和应急预案演练，做到业务熟练、预案熟悉、反应迅速、处置有力；</w:t>
      </w:r>
    </w:p>
    <w:p>
      <w:pPr>
        <w:snapToGrid w:val="0"/>
        <w:spacing w:line="480" w:lineRule="exact"/>
        <w:ind w:firstLine="536" w:firstLineChars="200"/>
        <w:rPr>
          <w:rFonts w:ascii="仿宋_GB2312" w:hAnsi="仿宋_GB2312" w:eastAsia="仿宋_GB2312" w:cs="仿宋_GB2312"/>
          <w:sz w:val="28"/>
          <w:szCs w:val="28"/>
        </w:rPr>
      </w:pPr>
      <w:r>
        <w:rPr>
          <w:rFonts w:hint="eastAsia" w:ascii="仿宋_GB2312" w:hAnsi="仿宋_GB2312" w:eastAsia="仿宋_GB2312" w:cs="仿宋_GB2312"/>
          <w:spacing w:val="-6"/>
          <w:sz w:val="28"/>
          <w:szCs w:val="28"/>
        </w:rPr>
        <w:t>（10）保安工作期间，严禁离岗、缺岗、寻衅滋事、吵闹。</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（11）学校与派驻人员不发生任何劳动和雇佣关系，派驻人员由中标单位自行管理，中标单位和派驻人员应遵守安全操作规章制度，若发生人身伤害等工伤事故，由中标单位自行负责，与学校无关。</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中标单位须设立“甲方考核奖”。根据《浙江外国语学院安保人员管理及考核办法》（见附件1）以及采购单位的考核结果，中标单位对履职尽责、单项工作突出或综合表现优秀的部分派遣保安员发放“甲方考核奖”；中标方按每月实际结算人数×100元作为当月考核奖总额度，作为甲方考核使用经费。此部分奖励费用与中标单位原有的其它福利和奖励不冲突、不抵消。</w:t>
      </w:r>
    </w:p>
    <w:p>
      <w:pPr>
        <w:autoSpaceDE w:val="0"/>
        <w:autoSpaceDN w:val="0"/>
        <w:snapToGrid w:val="0"/>
        <w:spacing w:line="480" w:lineRule="exact"/>
        <w:ind w:right="-7" w:firstLine="422" w:firstLineChars="15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5.学校保安排岗安排</w:t>
      </w:r>
      <w:r>
        <w:rPr>
          <w:rFonts w:hint="eastAsia" w:ascii="仿宋_GB2312" w:hAnsi="仿宋_GB2312" w:eastAsia="仿宋_GB2312" w:cs="仿宋_GB2312"/>
          <w:kern w:val="0"/>
          <w:sz w:val="28"/>
          <w:szCs w:val="28"/>
        </w:rPr>
        <w:t>（保安服务需24小时无缝对接。具体工作任务学校可以根据实际情况加以调整）</w:t>
      </w:r>
    </w:p>
    <w:tbl>
      <w:tblPr>
        <w:tblStyle w:val="59"/>
        <w:tblW w:w="7840" w:type="dxa"/>
        <w:jc w:val="center"/>
        <w:tblLayout w:type="fixed"/>
        <w:tblCellMar>
          <w:top w:w="0" w:type="dxa"/>
          <w:left w:w="108" w:type="dxa"/>
          <w:bottom w:w="0" w:type="dxa"/>
          <w:right w:w="108" w:type="dxa"/>
        </w:tblCellMar>
      </w:tblPr>
      <w:tblGrid>
        <w:gridCol w:w="655"/>
        <w:gridCol w:w="1548"/>
        <w:gridCol w:w="769"/>
        <w:gridCol w:w="757"/>
        <w:gridCol w:w="605"/>
        <w:gridCol w:w="1922"/>
        <w:gridCol w:w="1584"/>
      </w:tblGrid>
      <w:tr>
        <w:tblPrEx>
          <w:tblCellMar>
            <w:top w:w="0" w:type="dxa"/>
            <w:left w:w="108" w:type="dxa"/>
            <w:bottom w:w="0" w:type="dxa"/>
            <w:right w:w="108" w:type="dxa"/>
          </w:tblCellMar>
        </w:tblPrEx>
        <w:trPr>
          <w:trHeight w:val="595"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54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岗位</w:t>
            </w:r>
          </w:p>
        </w:tc>
        <w:tc>
          <w:tcPr>
            <w:tcW w:w="769"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早班</w:t>
            </w:r>
          </w:p>
        </w:tc>
        <w:tc>
          <w:tcPr>
            <w:tcW w:w="75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中班</w:t>
            </w:r>
          </w:p>
        </w:tc>
        <w:tc>
          <w:tcPr>
            <w:tcW w:w="60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夜班</w:t>
            </w:r>
          </w:p>
        </w:tc>
        <w:tc>
          <w:tcPr>
            <w:tcW w:w="1922"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主要职能</w:t>
            </w:r>
          </w:p>
        </w:tc>
        <w:tc>
          <w:tcPr>
            <w:tcW w:w="158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tc>
      </w:tr>
      <w:tr>
        <w:tblPrEx>
          <w:tblCellMar>
            <w:top w:w="0" w:type="dxa"/>
            <w:left w:w="108" w:type="dxa"/>
            <w:bottom w:w="0" w:type="dxa"/>
            <w:right w:w="108" w:type="dxa"/>
          </w:tblCellMar>
        </w:tblPrEx>
        <w:trPr>
          <w:trHeight w:val="324" w:hRule="atLeast"/>
          <w:jc w:val="center"/>
        </w:trPr>
        <w:tc>
          <w:tcPr>
            <w:tcW w:w="655"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548"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学校正大门</w:t>
            </w:r>
          </w:p>
        </w:tc>
        <w:tc>
          <w:tcPr>
            <w:tcW w:w="769"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757"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605"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922"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交通、治安、出入口管理</w:t>
            </w:r>
          </w:p>
        </w:tc>
        <w:tc>
          <w:tcPr>
            <w:tcW w:w="1584" w:type="dxa"/>
            <w:vMerge w:val="restart"/>
            <w:tcBorders>
              <w:top w:val="nil"/>
              <w:left w:val="nil"/>
              <w:right w:val="single" w:color="auto" w:sz="4" w:space="0"/>
            </w:tcBorders>
            <w:noWrap w:val="0"/>
            <w:vAlign w:val="center"/>
          </w:tcPr>
          <w:p>
            <w:pPr>
              <w:widowControl/>
              <w:adjustRightInd w:val="0"/>
              <w:snapToGrid w:val="0"/>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必要时参与应急处突</w:t>
            </w:r>
          </w:p>
        </w:tc>
      </w:tr>
      <w:tr>
        <w:tblPrEx>
          <w:tblCellMar>
            <w:top w:w="0" w:type="dxa"/>
            <w:left w:w="108" w:type="dxa"/>
            <w:bottom w:w="0" w:type="dxa"/>
            <w:right w:w="108" w:type="dxa"/>
          </w:tblCellMar>
        </w:tblPrEx>
        <w:trPr>
          <w:trHeight w:val="432" w:hRule="atLeast"/>
          <w:jc w:val="center"/>
        </w:trPr>
        <w:tc>
          <w:tcPr>
            <w:tcW w:w="655"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548"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西门</w:t>
            </w:r>
          </w:p>
        </w:tc>
        <w:tc>
          <w:tcPr>
            <w:tcW w:w="769"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757"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605"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922"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交通、治安、出入口管理</w:t>
            </w:r>
          </w:p>
        </w:tc>
        <w:tc>
          <w:tcPr>
            <w:tcW w:w="1584" w:type="dxa"/>
            <w:vMerge w:val="continue"/>
            <w:tcBorders>
              <w:left w:val="nil"/>
              <w:bottom w:val="single" w:color="auto" w:sz="4" w:space="0"/>
              <w:right w:val="single" w:color="auto" w:sz="4" w:space="0"/>
            </w:tcBorders>
            <w:noWrap w:val="0"/>
            <w:vAlign w:val="center"/>
          </w:tcPr>
          <w:p>
            <w:pPr>
              <w:snapToGrid w:val="0"/>
              <w:spacing w:line="360" w:lineRule="exact"/>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276" w:hRule="atLeast"/>
          <w:jc w:val="center"/>
        </w:trPr>
        <w:tc>
          <w:tcPr>
            <w:tcW w:w="655"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548"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监控、消控室</w:t>
            </w:r>
          </w:p>
        </w:tc>
        <w:tc>
          <w:tcPr>
            <w:tcW w:w="769"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757"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605"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922"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值勤、消控值班</w:t>
            </w:r>
          </w:p>
        </w:tc>
        <w:tc>
          <w:tcPr>
            <w:tcW w:w="1584" w:type="dxa"/>
            <w:tcBorders>
              <w:top w:val="nil"/>
              <w:left w:val="nil"/>
              <w:bottom w:val="single" w:color="auto" w:sz="4" w:space="0"/>
              <w:right w:val="single" w:color="auto" w:sz="4" w:space="0"/>
            </w:tcBorders>
            <w:noWrap w:val="0"/>
            <w:vAlign w:val="center"/>
          </w:tcPr>
          <w:p>
            <w:pPr>
              <w:snapToGrid w:val="0"/>
              <w:spacing w:line="36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必须持有中级及以上建（构）筑物消防设施操作员证，早中晚3班共6人，需不少于6本消控证。大专文凭，年龄不超过45周岁，会熟练操作电脑</w:t>
            </w:r>
          </w:p>
        </w:tc>
      </w:tr>
      <w:tr>
        <w:tblPrEx>
          <w:tblCellMar>
            <w:top w:w="0" w:type="dxa"/>
            <w:left w:w="108" w:type="dxa"/>
            <w:bottom w:w="0" w:type="dxa"/>
            <w:right w:w="108" w:type="dxa"/>
          </w:tblCellMar>
        </w:tblPrEx>
        <w:trPr>
          <w:trHeight w:val="267" w:hRule="atLeast"/>
          <w:jc w:val="center"/>
        </w:trPr>
        <w:tc>
          <w:tcPr>
            <w:tcW w:w="655"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548"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巡逻、机动</w:t>
            </w:r>
          </w:p>
        </w:tc>
        <w:tc>
          <w:tcPr>
            <w:tcW w:w="769"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757"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605" w:type="dxa"/>
            <w:tcBorders>
              <w:top w:val="nil"/>
              <w:left w:val="nil"/>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校内治安巡逻</w:t>
            </w:r>
          </w:p>
          <w:p>
            <w:pPr>
              <w:adjustRightInd w:val="0"/>
              <w:snapToGrid w:val="0"/>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交通秩序维护</w:t>
            </w:r>
          </w:p>
          <w:p>
            <w:pPr>
              <w:adjustRightInd w:val="0"/>
              <w:snapToGrid w:val="0"/>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消防安全检查</w:t>
            </w:r>
          </w:p>
          <w:p>
            <w:pPr>
              <w:adjustRightInd w:val="0"/>
              <w:snapToGrid w:val="0"/>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270"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校内值勤点</w:t>
            </w:r>
          </w:p>
        </w:tc>
        <w:tc>
          <w:tcPr>
            <w:tcW w:w="7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9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值勤、交通秩序维护和应急处突</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284" w:hRule="atLeast"/>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c>
          <w:tcPr>
            <w:tcW w:w="7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7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6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350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ascii="仿宋_GB2312" w:hAnsi="仿宋_GB2312" w:eastAsia="仿宋_GB2312" w:cs="仿宋_GB2312"/>
                <w:kern w:val="0"/>
                <w:sz w:val="24"/>
                <w:szCs w:val="24"/>
              </w:rPr>
            </w:pPr>
          </w:p>
        </w:tc>
      </w:tr>
    </w:tbl>
    <w:p>
      <w:pPr>
        <w:autoSpaceDE w:val="0"/>
        <w:autoSpaceDN w:val="0"/>
        <w:snapToGrid w:val="0"/>
        <w:spacing w:line="480" w:lineRule="exact"/>
        <w:ind w:right="-7" w:firstLine="562" w:firstLineChars="200"/>
        <w:rPr>
          <w:rFonts w:hint="eastAsia" w:ascii="仿宋_GB2312" w:hAnsi="仿宋_GB2312" w:eastAsia="仿宋_GB2312" w:cs="仿宋_GB2312"/>
          <w:b/>
          <w:bCs/>
          <w:kern w:val="0"/>
          <w:sz w:val="28"/>
          <w:szCs w:val="28"/>
        </w:rPr>
      </w:pPr>
    </w:p>
    <w:p>
      <w:pPr>
        <w:autoSpaceDE w:val="0"/>
        <w:autoSpaceDN w:val="0"/>
        <w:snapToGrid w:val="0"/>
        <w:spacing w:line="480" w:lineRule="exact"/>
        <w:ind w:right="-7"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6.岗位职责</w:t>
      </w:r>
    </w:p>
    <w:p>
      <w:pPr>
        <w:autoSpaceDE w:val="0"/>
        <w:autoSpaceDN w:val="0"/>
        <w:snapToGrid w:val="0"/>
        <w:spacing w:line="480" w:lineRule="exact"/>
        <w:ind w:right="-7"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6.1 保安队长岗位要求</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（1）坚决贯彻学校与保安公司签订的合同履行内容。</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（2）根据学校布置的全年安全保卫工作的节点及各阶段工作要求，有效有序落实完成。</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（3）制定适应与学校保卫工作需要的有关队伍管理制度。</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（4）对各执勤岗点保安队员的“五防”、消防“四个能力”建设教育，增强队员安全防范意识，提高保安队员自觉执行各项规章制度的自觉性。</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（5）对新入队的保安队员进行中心安全情况介绍、消防设施器材的使用和业务培训。</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（6）经常进行“五防”检查，帮助队员始终保持旺盛的工作姿态，监督指导队员在各自岗位上落实安全防范措施。</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（7）组织队员经常开展处置突发事(案)件应急预案、反恐应急处置预案、消防火灾初起扑救和组织疏散逃生预案的演练，快速反应应急处置训练。</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（8）贯彻公司从严治队精神，随时制止保安执勤中发生违章行为。</w:t>
      </w:r>
    </w:p>
    <w:p>
      <w:pPr>
        <w:autoSpaceDE w:val="0"/>
        <w:autoSpaceDN w:val="0"/>
        <w:snapToGrid w:val="0"/>
        <w:spacing w:line="480" w:lineRule="exact"/>
        <w:ind w:right="-7"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6.2 消、监控员岗位要求</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（1）消、监控室人员必须持有中级及以上</w:t>
      </w:r>
      <w:r>
        <w:rPr>
          <w:rFonts w:hint="eastAsia" w:ascii="仿宋_GB2312" w:hAnsi="仿宋_GB2312" w:eastAsia="仿宋_GB2312" w:cs="仿宋_GB2312"/>
          <w:sz w:val="28"/>
          <w:szCs w:val="28"/>
        </w:rPr>
        <w:t>建（构）筑物消防设施操作员证</w:t>
      </w:r>
      <w:r>
        <w:rPr>
          <w:rFonts w:hint="eastAsia" w:ascii="仿宋_GB2312" w:hAnsi="仿宋_GB2312" w:eastAsia="仿宋_GB2312" w:cs="仿宋_GB2312"/>
          <w:kern w:val="0"/>
          <w:sz w:val="28"/>
          <w:szCs w:val="28"/>
        </w:rPr>
        <w:t>，大专以上文凭，能熟练操作电脑。</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（2）负责校园报警电话的接听及记录和处置，及时将相关警情上报保安队长。</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（3）有强烈责任心，良好的语言沟通表达能力，认真开展监控巡查检查，发现情况及时上报。</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（4）熟练掌握监控操作方法，定期完成所有监控巡查，消防报警等设备的技术性能及操作步骤，熟悉各部门消防设备的分布情况，了解当天安全情况。</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（5）负责保管好本岗位所使用的各种设备和设施，交班时应对设备和物品的种类、数量完好程度进行检查登记。</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认真观察监视部位，当在监控屏幕上发现有可疑人物和受监控对象时，应及时进行跟踪切换录像镜头，并通报各有关岗位采取必要措施，当消防系统报警或接到报警电话，应立即通知就近岗位保安人员赶到现场予以处理，同时做好详细记录。</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（7）做好监控、报警仪器的清洁保养工作，当报警监控仪器发生故障时，应立即通知和协助工程部门尽快排除故障，并做好详细记录。</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（8）要热情礼貌地应答各方面的电话，一定要问清情况，耐心解释，并做好重要信息的记录。</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（9）控制室内不准吸烟、闲聊，上岗后、离岗前应进行打扫、整理，以保持室内清洁。</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（10）认真做好监控值班记录，下班时要说清情况和动态，对未处理完的工作应向下一班做好书面和口头移交，接班人员未到，本班人员不得擅自离岗。</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（11）负责监控录像带的管理和监控室的管理工作，未经学校批准，不得私自将监控信息提供给无关人员。</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（12）值班消控人员必须持证上岗。因学校两个消控室，每日早中晚3班，每班2人，故证书不得少于6本，服务期内证书原件需保存在校方，供消防部门随时检查。</w:t>
      </w:r>
    </w:p>
    <w:p>
      <w:pPr>
        <w:autoSpaceDE w:val="0"/>
        <w:autoSpaceDN w:val="0"/>
        <w:snapToGrid w:val="0"/>
        <w:spacing w:line="480" w:lineRule="exact"/>
        <w:ind w:right="-7"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（13）参加各类安全技能培训及应急演练。</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（14）完成学校交代的其他相关工作。</w:t>
      </w:r>
    </w:p>
    <w:p>
      <w:pPr>
        <w:autoSpaceDE w:val="0"/>
        <w:autoSpaceDN w:val="0"/>
        <w:snapToGrid w:val="0"/>
        <w:spacing w:line="480" w:lineRule="exact"/>
        <w:ind w:right="-7"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6.3门岗人员岗位要求</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（1）值班室人员必须按时上下班，上班时严守岗位。接班认真查阅上一班的值勤记录，了解是否有任务安排移交。</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（2）管理好人员车辆进出情况，遇事用语要文明，说服要耐心。</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（3）对来访或联系工作者要做到及时联系相关部门，并指引正确位置。对夜间来访或受托安全检查一定要验看有关证件，联系总值班并在征得同意后方可放行进入，履行登记手续。</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（4）正确使用和保管好岗位内的器具和警械物品、记录薄册，并对其完好无损负有责任，交班时应对器材、物品的种类、数量及完好程度进行登记和交接。</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（5）待处理工作，应做好书面及口头移交。</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（6）保持好门岗周围的环境清洁卫生。</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（7）发挥工作主动性，搞好同队员之间的团结合作，积极参加训练，完成上级交办的任务。</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（8）参加各类安全技能培训及应急演练。</w:t>
      </w:r>
    </w:p>
    <w:p>
      <w:pPr>
        <w:autoSpaceDE w:val="0"/>
        <w:autoSpaceDN w:val="0"/>
        <w:snapToGrid w:val="0"/>
        <w:spacing w:line="480" w:lineRule="exact"/>
        <w:ind w:right="-7"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6.4昼夜安全巡逻岗位要求</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（1）严格履行职责，坚持规范巡逻即时间、部位、措施三到位，保障学校昼夜的安全。</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（2）昼夜交接班必须与当班执勤进行现场交接，要逐楼逐厅进行，有明显情况要查明原因，并做好巡查记录。</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（3）对突发事件、事故要及时报警，并保护好现场，发现火警或接到火警指令要沉着冷静，迅速赶赴现场进行扑救，事后及时查明原因和监控室联系，并做好记录。</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（4）对消防器材、消防通道、标记、防火门要经常进行检查，确保设施完好。</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（5）督促各执勤岗位注意防火、防盗有关事项的防范工作。</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（6）发挥工作主观能动性，积极参加训练，搞好队员之间团结，完成上级交办的任务。</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（7）参加各类安全技能培训及应急演练。</w:t>
      </w:r>
    </w:p>
    <w:p>
      <w:pPr>
        <w:shd w:val="clear" w:color="auto" w:fill="FFFFFF"/>
        <w:snapToGrid w:val="0"/>
        <w:spacing w:line="480" w:lineRule="exact"/>
        <w:ind w:firstLine="562" w:firstLineChars="200"/>
        <w:rPr>
          <w:rFonts w:ascii="仿宋_GB2312" w:hAnsi="仿宋_GB2312" w:eastAsia="仿宋_GB2312" w:cs="仿宋_GB2312"/>
          <w:b/>
          <w:bCs/>
          <w:sz w:val="28"/>
          <w:szCs w:val="28"/>
          <w:u w:val="single"/>
        </w:rPr>
      </w:pPr>
      <w:r>
        <w:rPr>
          <w:rFonts w:hint="eastAsia" w:ascii="仿宋_GB2312" w:hAnsi="仿宋_GB2312" w:eastAsia="仿宋_GB2312" w:cs="仿宋_GB2312"/>
          <w:b/>
          <w:bCs/>
          <w:kern w:val="0"/>
          <w:sz w:val="28"/>
          <w:szCs w:val="28"/>
        </w:rPr>
        <w:t>7.校园安保所需器材配备</w:t>
      </w:r>
    </w:p>
    <w:p>
      <w:pPr>
        <w:shd w:val="clear" w:color="auto" w:fill="FFFFFF"/>
        <w:snapToGrid w:val="0"/>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单位在提供校园安保服务时，须提供安保服务所需的基本装备和易耗品，所配装备应满足相关规范规定。除基本装备和易耗品外，投标单位须承诺提供以下装备：提供校内电动巡逻车（不少于六座并提供样车照片）3辆、二轮电动巡逻车不少于5辆（带警灯、符合相关安全标准，并提供样车照片）、无人机航拍器1台以及每个岗位配一部对讲机，必要的安全防范器械、安保人员服装、雨具、雨鞋和必要的安保人员生活用品。同时，对服务期内提供的安保器材设备提供维修和保养服务。</w:t>
      </w:r>
    </w:p>
    <w:p>
      <w:pPr>
        <w:autoSpaceDE w:val="0"/>
        <w:autoSpaceDN w:val="0"/>
        <w:snapToGrid w:val="0"/>
        <w:spacing w:line="480" w:lineRule="exact"/>
        <w:ind w:right="-7"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8.其他要求</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（1）保安公司应定时组织保安人员学习党和国家现行方针政策，学习有关安保专业知识，每月召开一次内务工作会议，通报安保日常工作，总结前段工作情况，表扬好人好事，并做好会议记录。</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（2）保安公司应与采购人经常联系，及时沟通，发现问题及时解决，采购人有权检查保安记录，监督保安人员的工作，根据需要安排临时性的安全保卫工作。</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对着装不规范；上岗前酗酒；上岗时看书、睡觉及闲谈，站岗时站姿不规范；不按规定检查出入行人、车辆、物质；擅自脱岗、离岗；紧急事件处理不当；在禁烟区吸烟；把无关人员带入值勤、巡逻；与访客交谈前未敬礼；语言不规范，辱骂甚至殴打他人和不遵守岗位职责的保安人员，采购人有权随时辞退。</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（4）实行保安人员定期轮岗制度，对保安记录和日常工作进行检查，如发现保安记录、登记的资料不全、破损、缺页、涂改等非正常情况，应对相关保安人员严肃处理，立即调离岗位。</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（5）由于保安人员失职造成学校损失由中标方全额赔偿。</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（6）保安队长要定时（2小时）对保安值勤情况进行巡查，对巡查中发现的问题必须有书面记录，对不遵守劳动纪律的保安人员要有相当的扣罚措施。</w:t>
      </w:r>
    </w:p>
    <w:p>
      <w:pPr>
        <w:autoSpaceDE w:val="0"/>
        <w:autoSpaceDN w:val="0"/>
        <w:snapToGrid w:val="0"/>
        <w:spacing w:line="480" w:lineRule="exact"/>
        <w:ind w:right="-7" w:firstLine="560" w:firstLineChars="200"/>
        <w:rPr>
          <w:rFonts w:ascii="仿宋_GB2312" w:hAnsi="仿宋_GB2312" w:eastAsia="仿宋_GB2312" w:cs="仿宋_GB2312"/>
          <w:color w:val="FF0000"/>
          <w:kern w:val="0"/>
          <w:sz w:val="28"/>
          <w:szCs w:val="28"/>
        </w:rPr>
      </w:pPr>
      <w:r>
        <w:rPr>
          <w:rFonts w:hint="eastAsia" w:ascii="仿宋_GB2312" w:hAnsi="仿宋_GB2312" w:eastAsia="仿宋_GB2312" w:cs="仿宋_GB2312"/>
          <w:kern w:val="0"/>
          <w:sz w:val="28"/>
          <w:szCs w:val="28"/>
        </w:rPr>
        <w:t>（7）为了加强对中标单位管理，采购人以供应商的响应文件承诺的内容为依据，以季度为单位，对中标单位派驻的安保人员和提供的安保服务进行考核，考核要求可参考《浙江外国语学院安保人员管理及考核办法（试行）》（附件1）《浙江外国语学院安保服务外包单位季度考评表（试行）》（附件2）。80分为合格，80分以下按当季服务费的95%支付，70分以下按当季服务费的90%支付。两次考核低于70分的，采购方有权上报财政申请终止合同。</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（8）保安应按照采购人的规章制度对进入学校区域的人员进行检查。</w:t>
      </w:r>
    </w:p>
    <w:p>
      <w:pPr>
        <w:autoSpaceDE w:val="0"/>
        <w:autoSpaceDN w:val="0"/>
        <w:snapToGrid w:val="0"/>
        <w:spacing w:line="480" w:lineRule="exact"/>
        <w:ind w:right="-7"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（9）保安人员是采购人的一支义务消防队伍，保安公司要经常对保安人员进行训练，了解采购人的重点部位、消防通道、消防设施等情况，一旦发生火灾要及时报警并组织自救。</w:t>
      </w:r>
    </w:p>
    <w:p>
      <w:pPr>
        <w:snapToGrid w:val="0"/>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（10）</w:t>
      </w:r>
      <w:r>
        <w:rPr>
          <w:rFonts w:hint="eastAsia" w:ascii="仿宋_GB2312" w:hAnsi="仿宋_GB2312" w:eastAsia="仿宋_GB2312" w:cs="仿宋_GB2312"/>
          <w:sz w:val="28"/>
          <w:szCs w:val="28"/>
        </w:rPr>
        <w:t>保安人员与校方发生纠纷时，首先应服从校方相关职能部门的安排，积极主动与校方相关职能部门配合，化解矛盾、解决纠纷。</w:t>
      </w:r>
    </w:p>
    <w:p>
      <w:pPr>
        <w:snapToGrid w:val="0"/>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（11）保安人员不得私自处理废弃物，杜绝废弃物外流，不得私自将校方物品拿出院外（含报纸、纸板等）。</w:t>
      </w:r>
    </w:p>
    <w:p>
      <w:pPr>
        <w:autoSpaceDE w:val="0"/>
        <w:autoSpaceDN w:val="0"/>
        <w:snapToGrid w:val="0"/>
        <w:spacing w:line="480" w:lineRule="exact"/>
        <w:ind w:right="-7" w:firstLine="560" w:firstLineChars="200"/>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（12）</w:t>
      </w:r>
      <w:r>
        <w:rPr>
          <w:rFonts w:hint="eastAsia" w:ascii="仿宋_GB2312" w:hAnsi="仿宋_GB2312" w:eastAsia="仿宋_GB2312" w:cs="仿宋_GB2312"/>
          <w:sz w:val="28"/>
          <w:szCs w:val="28"/>
        </w:rPr>
        <w:t>保安人员在学校发现遗留物品，应及时上交并做登记，不得私自截留，如不及时上交，校方按物品价值大小，要求服务方做出通报批评、辞退等处理。</w:t>
      </w:r>
    </w:p>
    <w:p>
      <w:pPr>
        <w:autoSpaceDE w:val="0"/>
        <w:autoSpaceDN w:val="0"/>
        <w:snapToGrid w:val="0"/>
        <w:spacing w:line="480" w:lineRule="exact"/>
        <w:ind w:right="-7"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（13）保安人员需爱护校内公物，发生损坏公物要照价赔偿。</w:t>
      </w:r>
    </w:p>
    <w:p>
      <w:pPr>
        <w:snapToGrid w:val="0"/>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（14）学校负责提供日常保安工作中所需要的电源、水源，保安人员有义务为学校做好节电、节水、节能工作。</w:t>
      </w:r>
    </w:p>
    <w:p>
      <w:pPr>
        <w:autoSpaceDE w:val="0"/>
        <w:autoSpaceDN w:val="0"/>
        <w:snapToGrid w:val="0"/>
        <w:spacing w:line="480" w:lineRule="exact"/>
        <w:ind w:firstLine="560" w:firstLineChars="200"/>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（15）若投标方管理不善（管理失误），整改不力，给学校造成重大经济损失，经管理部门认定，校方有权终止合同并赔偿相关损失。</w:t>
      </w:r>
    </w:p>
    <w:p>
      <w:pPr>
        <w:snapToGrid w:val="0"/>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（16）保安公司负责保安人员的招聘、使用、管理、调配和辞退。若有违反校纪校规，对工作不负责的保安人员，学校有权进行辞退处理。</w:t>
      </w:r>
    </w:p>
    <w:p>
      <w:pPr>
        <w:snapToGrid w:val="0"/>
        <w:spacing w:line="480" w:lineRule="exact"/>
        <w:ind w:firstLine="560" w:firstLineChars="200"/>
        <w:rPr>
          <w:rFonts w:ascii="仿宋_GB2312" w:hAnsi="仿宋_GB2312" w:eastAsia="仿宋_GB2312" w:cs="仿宋_GB2312"/>
          <w:spacing w:val="-6"/>
          <w:sz w:val="28"/>
          <w:szCs w:val="28"/>
        </w:rPr>
      </w:pPr>
      <w:r>
        <w:rPr>
          <w:rFonts w:hint="eastAsia" w:ascii="仿宋_GB2312" w:hAnsi="仿宋_GB2312" w:eastAsia="仿宋_GB2312" w:cs="仿宋_GB2312"/>
          <w:sz w:val="28"/>
          <w:szCs w:val="28"/>
        </w:rPr>
        <w:t>（17）保安人员因身体原因（包括操作不规范等因素造成的安全责任事故）而产生的全部费用与学校无关，均由投标方负责</w:t>
      </w:r>
      <w:r>
        <w:rPr>
          <w:rFonts w:hint="eastAsia" w:ascii="仿宋_GB2312" w:hAnsi="仿宋_GB2312" w:eastAsia="仿宋_GB2312" w:cs="仿宋_GB2312"/>
          <w:spacing w:val="-6"/>
          <w:sz w:val="28"/>
          <w:szCs w:val="28"/>
        </w:rPr>
        <w:t>。</w:t>
      </w:r>
    </w:p>
    <w:p>
      <w:pPr>
        <w:snapToGrid w:val="0"/>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（18）鉴于学校的工作特点，校园保安工作不得因节假日和双休日而中断，必须确保保安人员在岗；拟定相应的作业计划。</w:t>
      </w:r>
    </w:p>
    <w:p>
      <w:pPr>
        <w:autoSpaceDE w:val="0"/>
        <w:autoSpaceDN w:val="0"/>
        <w:snapToGrid w:val="0"/>
        <w:spacing w:line="480" w:lineRule="exact"/>
        <w:ind w:right="-7"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（19）按要求经常性组织派驻的安保人员参加各类安全技能培训及应急演练，并将培训计划和培训结果反馈学校。</w:t>
      </w:r>
    </w:p>
    <w:p>
      <w:pPr>
        <w:autoSpaceDE w:val="0"/>
        <w:autoSpaceDN w:val="0"/>
        <w:snapToGrid w:val="0"/>
        <w:spacing w:line="480" w:lineRule="exact"/>
        <w:ind w:right="-6" w:firstLine="562" w:firstLineChars="200"/>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9.投标报价要求</w:t>
      </w:r>
    </w:p>
    <w:p>
      <w:pPr>
        <w:snapToGrid w:val="0"/>
        <w:spacing w:line="480" w:lineRule="exact"/>
        <w:ind w:firstLine="560" w:firstLineChars="200"/>
        <w:rPr>
          <w:rFonts w:ascii="宋体" w:hAnsi="宋体"/>
          <w:b/>
          <w:spacing w:val="-6"/>
          <w:szCs w:val="21"/>
        </w:rPr>
      </w:pPr>
      <w:r>
        <w:rPr>
          <w:rFonts w:ascii="仿宋_GB2312" w:hAnsi="仿宋_GB2312" w:eastAsia="仿宋_GB2312" w:cs="仿宋_GB2312"/>
          <w:kern w:val="0"/>
          <w:sz w:val="28"/>
          <w:szCs w:val="28"/>
        </w:rPr>
        <w:t>投标报价采用固定价格（包括人员工资、加班费、各种社会保险、劳保、食宿、维护、交通、设备、利润、税金等为完成承包期内保安服务需要发生的全部费用）。投标人的中标价格在合同执行期间一次包干，其他市场价格波动因素自行考虑，合同总价不再作调整，除非采购人提出的服务变更。校方除以上服务费用之外不再承担其它任何费用，保安人员的薪金、福利、休假日补贴、医疗费用等均由中标单负责，与校方无关。</w:t>
      </w:r>
    </w:p>
    <w:p>
      <w:pPr>
        <w:snapToGrid w:val="0"/>
        <w:rPr>
          <w:rFonts w:ascii="仿宋_GB2312" w:eastAsia="仿宋_GB2312"/>
          <w:sz w:val="28"/>
        </w:rPr>
      </w:pPr>
    </w:p>
    <w:p>
      <w:pPr>
        <w:snapToGrid w:val="0"/>
        <w:rPr>
          <w:rFonts w:hint="eastAsia" w:ascii="仿宋_GB2312" w:eastAsia="仿宋_GB2312"/>
          <w:sz w:val="28"/>
        </w:rPr>
      </w:pPr>
    </w:p>
    <w:p>
      <w:pPr>
        <w:snapToGrid w:val="0"/>
        <w:rPr>
          <w:rFonts w:hint="eastAsia" w:ascii="仿宋_GB2312" w:eastAsia="仿宋_GB2312"/>
          <w:sz w:val="28"/>
        </w:rPr>
      </w:pPr>
    </w:p>
    <w:p>
      <w:pPr>
        <w:snapToGrid w:val="0"/>
        <w:rPr>
          <w:rFonts w:hint="eastAsia" w:ascii="仿宋_GB2312" w:eastAsia="仿宋_GB2312"/>
          <w:sz w:val="28"/>
        </w:rPr>
      </w:pPr>
    </w:p>
    <w:p>
      <w:pPr>
        <w:snapToGrid w:val="0"/>
        <w:rPr>
          <w:rFonts w:ascii="仿宋_GB2312" w:eastAsia="仿宋_GB2312"/>
          <w:sz w:val="28"/>
        </w:rPr>
      </w:pPr>
      <w:r>
        <w:rPr>
          <w:rFonts w:hint="eastAsia" w:ascii="仿宋_GB2312" w:eastAsia="仿宋_GB2312"/>
          <w:sz w:val="28"/>
        </w:rPr>
        <w:t>附件1</w:t>
      </w:r>
    </w:p>
    <w:p>
      <w:pPr>
        <w:snapToGrid w:val="0"/>
        <w:spacing w:line="560" w:lineRule="exact"/>
        <w:jc w:val="center"/>
        <w:rPr>
          <w:rFonts w:hint="eastAsia" w:ascii="仿宋" w:hAnsi="仿宋" w:eastAsia="仿宋" w:cs="仿宋"/>
          <w:b/>
          <w:sz w:val="36"/>
          <w:szCs w:val="36"/>
        </w:rPr>
      </w:pPr>
      <w:r>
        <w:rPr>
          <w:rFonts w:hint="eastAsia" w:ascii="仿宋" w:hAnsi="仿宋" w:eastAsia="仿宋" w:cs="仿宋"/>
          <w:sz w:val="36"/>
          <w:szCs w:val="36"/>
        </w:rPr>
        <w:t>浙江外国语学院安保人员管理及考核办法（试行）</w:t>
      </w:r>
    </w:p>
    <w:p>
      <w:pPr>
        <w:snapToGrid w:val="0"/>
        <w:spacing w:line="400" w:lineRule="auto"/>
        <w:jc w:val="center"/>
        <w:rPr>
          <w:rFonts w:ascii="方正小标宋_GBK" w:eastAsia="方正小标宋_GBK"/>
          <w:b/>
          <w:sz w:val="28"/>
          <w:szCs w:val="36"/>
        </w:rPr>
      </w:pP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加强学校保安人员的管理，严格工作纪律和作风，实行岗位目标管理责任制，提高学校安保工作的效能和水平。根据学校采购合同及有关文件精神，结合学校工作的实际，特制订学校安保工作人员管理及考核办法。</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一、岗位职责</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根据学校安保工作的实际，校园安保人员主要从事以下各岗位工作，依据岗位工作的特点，其任务与职责如下：</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（一）常规工作</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1.学习有关法律和治安保卫常识，遵守学校各项规章制度，熟悉岗位职责，能正确使用常见安全、消防设施，熟悉工作环境，清楚工作中的安全事项，严格履行学校对安保人员的各项要求。 </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2.有高度的责任感，严格遵守保安职业道德，严格遵守学校安保人员考勤管理，上下班及时打卡，不擅自离岗串岗，不迟到、早退、旷工。严格执行交接班制度，确因有事需调班，必须事前得到批准。</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3.遵守执行学校的各项管理规章制度，积极维护学校的利益和形象。</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4.文明执勤，使用服务用语、文明用语；值勤过程中，若发生纠纷，应冷静、妥善处理，防止事态扩大；服从学校安排，第一时间报告掌握的校园及周边治安动态和隐患。</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5.当班值勤时须整齐规范着装、持证上岗，携带配备的防护器械，熟悉防护器械性能并能正确使用，负责防护器械的维护和保管。</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6.做好校园秩序的维护。协助学校加强对学生的安全教育和管理，配合学校开展相关的教育教学活动，。</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7.按要求做好安全常规检查及管理工作，有效排查整改安全隐患，发现重大安全隐患第一时间上报处置。</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8.及时疏导校门口的流动摊点和车辆，保障校门口交通畅通。</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9.有效处理各类应急突发事件，认真完成学校布置的相关任务。</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10.安保人员由于工作失职、渎职，造成学校财产损失或人员伤亡，需承担相应法律责任。</w:t>
      </w:r>
    </w:p>
    <w:p>
      <w:pPr>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（二）门卫、监控工作</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1.门卫应当认真负责、忠于职守，全年实行24小时值班制度，不得间断，脱岗。</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做好校门管理。严格按照学校疫情防控的各项要求，认真落实好人员进校的查码、验码等身份核验工作，坚决防止未经审批同意的人员和车辆进校；根据相关要求做好人员出校管理，严格履行人员出校核查工作。</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严格按照学校的规章要求，做好校外人员出入校园的管理。凡进入本校的外来人员，门卫必须检查是否履行进校手续，是否符合外来人员进校要求，并做好相关记录。原则上凡未经审批同意的校外人员，一律不允许进校。特殊人员（如120/119/110等出警人员）需核实身份后进校，并第一时间报告。</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4.根据学校车辆管理制度，做好学校车辆的有序停放。未经学校允许，不准外单位机动车辆和非机动车辆进入校园。</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5.从校园内搬运大件物品需凭出门证出校门，且必须接受检查，并在门卫日志上做好登记。</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6.做好门卫室及值班室的卫生清扫及保持工作;不在值班室做与值班无关的事情，婉拒与值班无关的人员进入值班室。上班期间不准锁值班室门。</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7.按要求做好门口各类事项的登记和记录，做好工作台账。</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8.监控人员需认真观看视频监控，每个班次上班期间要将所有监控至少巡查一遍，发现问题及时报告并处置。</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9.熟悉相关设施设备的操作，能够根据需要快速准确查找相关视频和隐患点。</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10.保持监控室的干净卫生，严禁无关人员未经审批进入到监控室，不得在监控室从事与工作无关的事情，在监控中发现隐患，第一时间汇报并处置。</w:t>
      </w:r>
    </w:p>
    <w:p>
      <w:pPr>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（三）安全巡逻工作</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1.按时交接班，并作好当班的巡逻日志的记载（记载内容；值班情况，巡逻情况，治安、消防、交通管理情况及其它相关事件等）。</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2.做好重点时段和重点区域的巡逻工作。必须按学校规定的范围和区域进行巡查，发现情况及时处理。</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3.做好日常巡查。密切注意学校的水电等安全，做到不间断、不定时巡查。</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4.上下班等高峰时期，协助门卫做好校门口的巡逻和值班，疏导师生有序离校。</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5.做好校内交通疏导工作，引导校内车辆有序停放。</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6.做好校内公共区域的安全管理工作。及时巡查检查校内各公共区域的活动安全，检查是否按要求进行报备，维持好现场秩序。</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7.做好日常巡逻工作，提高警惕性，严防校园内偷盗财物等情况的发生，巡逻期间发现任何安全隐患要及时通过隐患平台上传报告，积极配合学校进行整改。</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8.遇偶突发事件时，严格按照各类预案要求及时处置并上报。</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9.巡逻期间不无故漏岗，或长期在某处偷懒。</w:t>
      </w:r>
    </w:p>
    <w:p>
      <w:pPr>
        <w:snapToGrid w:val="0"/>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　　二、考核办法</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1.考核内容主要包括以夏几个方面：出勤考核、常规工作考核、岗位工作考核、其它考核等；其具体的考核评分表附后。</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2.考核方式按量化考核的办法进行，每月考核一次，根据考核结果确定奖励名单。</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3.量化考核结果作为保安人员奖励及聘用的主要依据。</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4.量化考核总分为100分，根据考核内容实行加减分制。</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5.考核时间为每月25日，由保卫处具体操作执行，报学校人事备案后，通报安保服务单位；由安保服务单位根据招标需求兑现相关奖励待遇。</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三、其它</w:t>
      </w: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本管理及考核办法从2022年6月1日起试行；未尽事宜由学校保卫处负责解释说明。</w:t>
      </w:r>
    </w:p>
    <w:p>
      <w:pPr>
        <w:snapToGrid w:val="0"/>
        <w:spacing w:line="276" w:lineRule="auto"/>
        <w:ind w:firstLine="480" w:firstLineChars="200"/>
        <w:rPr>
          <w:rFonts w:ascii="仿宋_GB2312" w:hAnsi="仿宋_GB2312" w:eastAsia="仿宋_GB2312" w:cs="仿宋_GB2312"/>
          <w:sz w:val="24"/>
          <w:szCs w:val="24"/>
        </w:rPr>
      </w:pPr>
    </w:p>
    <w:p>
      <w:pPr>
        <w:snapToGrid w:val="0"/>
        <w:spacing w:line="276"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附件：浙江外国语学院安保人员月工作量量化考核评分表</w:t>
      </w:r>
    </w:p>
    <w:p>
      <w:pPr>
        <w:snapToGrid w:val="0"/>
        <w:spacing w:line="276" w:lineRule="auto"/>
        <w:ind w:firstLine="480" w:firstLineChars="200"/>
        <w:rPr>
          <w:rFonts w:ascii="仿宋_GB2312" w:hAnsi="仿宋_GB2312" w:eastAsia="仿宋_GB2312" w:cs="仿宋_GB2312"/>
          <w:sz w:val="24"/>
          <w:szCs w:val="24"/>
        </w:rPr>
      </w:pPr>
    </w:p>
    <w:p>
      <w:pPr>
        <w:snapToGrid w:val="0"/>
        <w:spacing w:line="276" w:lineRule="auto"/>
        <w:ind w:firstLine="480" w:firstLineChars="200"/>
        <w:rPr>
          <w:rFonts w:ascii="仿宋_GB2312" w:hAnsi="仿宋_GB2312" w:eastAsia="仿宋_GB2312" w:cs="仿宋_GB2312"/>
          <w:sz w:val="24"/>
          <w:szCs w:val="24"/>
        </w:rPr>
      </w:pPr>
    </w:p>
    <w:p>
      <w:pPr>
        <w:snapToGrid w:val="0"/>
        <w:spacing w:line="276" w:lineRule="auto"/>
        <w:ind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保卫处  </w:t>
      </w:r>
    </w:p>
    <w:p>
      <w:pPr>
        <w:snapToGrid w:val="0"/>
        <w:spacing w:line="276" w:lineRule="auto"/>
        <w:ind w:right="120"/>
        <w:jc w:val="right"/>
        <w:rPr>
          <w:rFonts w:ascii="仿宋" w:hAnsi="仿宋" w:eastAsia="仿宋"/>
          <w:sz w:val="24"/>
          <w:szCs w:val="24"/>
        </w:rPr>
      </w:pPr>
      <w:r>
        <w:rPr>
          <w:rFonts w:hint="eastAsia" w:ascii="仿宋_GB2312" w:hAnsi="仿宋_GB2312" w:eastAsia="仿宋_GB2312" w:cs="仿宋_GB2312"/>
          <w:sz w:val="24"/>
          <w:szCs w:val="24"/>
        </w:rPr>
        <w:t>2022年5月10日</w:t>
      </w:r>
    </w:p>
    <w:p>
      <w:pPr>
        <w:snapToGrid w:val="0"/>
        <w:spacing w:line="276" w:lineRule="auto"/>
        <w:rPr>
          <w:rFonts w:ascii="仿宋" w:hAnsi="仿宋" w:eastAsia="仿宋"/>
          <w:b/>
          <w:sz w:val="24"/>
          <w:szCs w:val="24"/>
        </w:rPr>
      </w:pPr>
    </w:p>
    <w:p>
      <w:pPr>
        <w:snapToGrid w:val="0"/>
        <w:spacing w:line="276" w:lineRule="auto"/>
        <w:rPr>
          <w:rFonts w:ascii="仿宋" w:hAnsi="仿宋" w:eastAsia="仿宋"/>
          <w:b/>
          <w:sz w:val="24"/>
          <w:szCs w:val="24"/>
        </w:rPr>
      </w:pPr>
    </w:p>
    <w:p>
      <w:pPr>
        <w:snapToGrid w:val="0"/>
        <w:spacing w:line="276" w:lineRule="auto"/>
        <w:rPr>
          <w:rFonts w:hint="eastAsia" w:ascii="华文中宋" w:hAnsi="华文中宋" w:eastAsia="华文中宋" w:cs="华文中宋"/>
          <w:bCs/>
          <w:sz w:val="28"/>
          <w:szCs w:val="28"/>
        </w:rPr>
      </w:pPr>
    </w:p>
    <w:p>
      <w:pPr>
        <w:snapToGrid w:val="0"/>
        <w:spacing w:line="276" w:lineRule="auto"/>
        <w:rPr>
          <w:rFonts w:hint="eastAsia" w:ascii="华文中宋" w:hAnsi="华文中宋" w:eastAsia="华文中宋" w:cs="华文中宋"/>
          <w:bCs/>
          <w:sz w:val="28"/>
          <w:szCs w:val="28"/>
        </w:rPr>
      </w:pPr>
    </w:p>
    <w:p>
      <w:pPr>
        <w:snapToGrid w:val="0"/>
        <w:spacing w:line="276" w:lineRule="auto"/>
        <w:rPr>
          <w:rFonts w:hint="eastAsia" w:ascii="华文中宋" w:hAnsi="华文中宋" w:eastAsia="华文中宋" w:cs="华文中宋"/>
          <w:bCs/>
          <w:sz w:val="28"/>
          <w:szCs w:val="28"/>
        </w:rPr>
      </w:pPr>
    </w:p>
    <w:p>
      <w:pPr>
        <w:snapToGrid w:val="0"/>
        <w:spacing w:line="276" w:lineRule="auto"/>
        <w:rPr>
          <w:rFonts w:hint="eastAsia" w:ascii="华文中宋" w:hAnsi="华文中宋" w:eastAsia="华文中宋" w:cs="华文中宋"/>
          <w:bCs/>
          <w:sz w:val="28"/>
          <w:szCs w:val="28"/>
        </w:rPr>
      </w:pPr>
    </w:p>
    <w:p>
      <w:pPr>
        <w:snapToGrid w:val="0"/>
        <w:spacing w:line="276" w:lineRule="auto"/>
        <w:rPr>
          <w:rFonts w:hint="eastAsia" w:ascii="华文中宋" w:hAnsi="华文中宋" w:eastAsia="华文中宋" w:cs="华文中宋"/>
          <w:bCs/>
          <w:sz w:val="28"/>
          <w:szCs w:val="28"/>
        </w:rPr>
      </w:pPr>
    </w:p>
    <w:p>
      <w:pPr>
        <w:snapToGrid w:val="0"/>
        <w:spacing w:line="276" w:lineRule="auto"/>
        <w:rPr>
          <w:rFonts w:hint="eastAsia" w:ascii="华文中宋" w:hAnsi="华文中宋" w:eastAsia="华文中宋" w:cs="华文中宋"/>
          <w:bCs/>
          <w:sz w:val="28"/>
          <w:szCs w:val="28"/>
        </w:rPr>
      </w:pPr>
    </w:p>
    <w:p>
      <w:pPr>
        <w:snapToGrid w:val="0"/>
        <w:spacing w:line="276" w:lineRule="auto"/>
        <w:rPr>
          <w:rFonts w:hint="eastAsia" w:ascii="华文中宋" w:hAnsi="华文中宋" w:eastAsia="华文中宋" w:cs="华文中宋"/>
          <w:bCs/>
          <w:sz w:val="28"/>
          <w:szCs w:val="28"/>
        </w:rPr>
      </w:pPr>
    </w:p>
    <w:p>
      <w:pPr>
        <w:snapToGrid w:val="0"/>
        <w:spacing w:line="276" w:lineRule="auto"/>
        <w:rPr>
          <w:rFonts w:hint="eastAsia" w:ascii="华文中宋" w:hAnsi="华文中宋" w:eastAsia="华文中宋" w:cs="华文中宋"/>
          <w:bCs/>
          <w:sz w:val="28"/>
          <w:szCs w:val="28"/>
        </w:rPr>
      </w:pPr>
    </w:p>
    <w:p>
      <w:pPr>
        <w:snapToGrid w:val="0"/>
        <w:spacing w:line="276" w:lineRule="auto"/>
        <w:rPr>
          <w:rFonts w:hint="eastAsia" w:ascii="仿宋" w:hAnsi="仿宋" w:eastAsia="仿宋" w:cs="仿宋"/>
          <w:bCs/>
          <w:sz w:val="28"/>
          <w:szCs w:val="28"/>
        </w:rPr>
      </w:pPr>
      <w:r>
        <w:rPr>
          <w:rFonts w:hint="eastAsia" w:ascii="仿宋" w:hAnsi="仿宋" w:eastAsia="仿宋" w:cs="仿宋"/>
          <w:bCs/>
          <w:sz w:val="28"/>
          <w:szCs w:val="28"/>
        </w:rPr>
        <w:t>附件</w:t>
      </w:r>
    </w:p>
    <w:tbl>
      <w:tblPr>
        <w:tblStyle w:val="59"/>
        <w:tblW w:w="5000" w:type="pct"/>
        <w:tblInd w:w="0" w:type="dxa"/>
        <w:tblLayout w:type="autofit"/>
        <w:tblCellMar>
          <w:top w:w="0" w:type="dxa"/>
          <w:left w:w="108" w:type="dxa"/>
          <w:bottom w:w="0" w:type="dxa"/>
          <w:right w:w="108" w:type="dxa"/>
        </w:tblCellMar>
      </w:tblPr>
      <w:tblGrid>
        <w:gridCol w:w="531"/>
        <w:gridCol w:w="711"/>
        <w:gridCol w:w="568"/>
        <w:gridCol w:w="5009"/>
        <w:gridCol w:w="636"/>
        <w:gridCol w:w="428"/>
        <w:gridCol w:w="639"/>
      </w:tblGrid>
      <w:tr>
        <w:tblPrEx>
          <w:tblCellMar>
            <w:top w:w="0" w:type="dxa"/>
            <w:left w:w="108" w:type="dxa"/>
            <w:bottom w:w="0" w:type="dxa"/>
            <w:right w:w="108" w:type="dxa"/>
          </w:tblCellMar>
        </w:tblPrEx>
        <w:trPr>
          <w:trHeight w:val="480" w:hRule="atLeast"/>
        </w:trPr>
        <w:tc>
          <w:tcPr>
            <w:tcW w:w="5000" w:type="pct"/>
            <w:gridSpan w:val="7"/>
            <w:tcBorders>
              <w:top w:val="nil"/>
              <w:left w:val="nil"/>
              <w:bottom w:val="single" w:color="auto" w:sz="4" w:space="0"/>
              <w:right w:val="nil"/>
            </w:tcBorders>
            <w:noWrap w:val="0"/>
            <w:vAlign w:val="center"/>
          </w:tcPr>
          <w:p>
            <w:pPr>
              <w:widowControl/>
              <w:snapToGrid w:val="0"/>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浙江外国语学院安保人员月工作量化考核评分表</w:t>
            </w:r>
          </w:p>
        </w:tc>
      </w:tr>
      <w:tr>
        <w:tblPrEx>
          <w:tblCellMar>
            <w:top w:w="0" w:type="dxa"/>
            <w:left w:w="108" w:type="dxa"/>
            <w:bottom w:w="0" w:type="dxa"/>
            <w:right w:w="108" w:type="dxa"/>
          </w:tblCellMar>
        </w:tblPrEx>
        <w:trPr>
          <w:trHeight w:val="270" w:hRule="atLeast"/>
        </w:trPr>
        <w:tc>
          <w:tcPr>
            <w:tcW w:w="312"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417"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333"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权重</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考核内容及评分标准</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评分依据</w:t>
            </w:r>
          </w:p>
        </w:tc>
        <w:tc>
          <w:tcPr>
            <w:tcW w:w="251"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得分</w:t>
            </w:r>
          </w:p>
        </w:tc>
        <w:tc>
          <w:tcPr>
            <w:tcW w:w="375"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备注</w:t>
            </w:r>
          </w:p>
        </w:tc>
      </w:tr>
      <w:tr>
        <w:tblPrEx>
          <w:tblCellMar>
            <w:top w:w="0" w:type="dxa"/>
            <w:left w:w="108" w:type="dxa"/>
            <w:bottom w:w="0" w:type="dxa"/>
            <w:right w:w="108" w:type="dxa"/>
          </w:tblCellMar>
        </w:tblPrEx>
        <w:trPr>
          <w:trHeight w:val="90" w:hRule="atLeast"/>
        </w:trPr>
        <w:tc>
          <w:tcPr>
            <w:tcW w:w="312"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417"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出勤</w:t>
            </w:r>
          </w:p>
        </w:tc>
        <w:tc>
          <w:tcPr>
            <w:tcW w:w="33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30</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1.上岗期间迟到、早退（中途长时间离岗）每次扣1分；</w:t>
            </w:r>
          </w:p>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2.未按规定参加相关培训的，每次扣1分。</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出勤记录</w:t>
            </w:r>
          </w:p>
        </w:tc>
        <w:tc>
          <w:tcPr>
            <w:tcW w:w="251"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75"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1169" w:hRule="atLeast"/>
        </w:trPr>
        <w:tc>
          <w:tcPr>
            <w:tcW w:w="312"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417"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常规工作</w:t>
            </w:r>
          </w:p>
        </w:tc>
        <w:tc>
          <w:tcPr>
            <w:tcW w:w="33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1.上岗期间应按规定着装，未按要求着装每次扣1分；                                2.值班室或办公室卫生检查不达标每次扣1分；                         3.没按规定检查水、电、门等，每次扣1分。</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4.未履行常规工作其他职责的，每次扣2分。</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实地查看</w:t>
            </w:r>
          </w:p>
        </w:tc>
        <w:tc>
          <w:tcPr>
            <w:tcW w:w="251"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75"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4657" w:hRule="atLeast"/>
        </w:trPr>
        <w:tc>
          <w:tcPr>
            <w:tcW w:w="312"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417"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岗位工作</w:t>
            </w:r>
          </w:p>
        </w:tc>
        <w:tc>
          <w:tcPr>
            <w:tcW w:w="33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40</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值班期间脱岗或不作为每次扣1分；对进校人员未学校要求履行查码验码核验登记的，发现1人次扣2分；发现未检查登记进入校园的非本校人员或车辆每人次（辆）扣2分；师生搬运大件物品出校门不进行检查登记每次扣2分；住校生夜间未经许可被放出校门的每人次扣2分；</w:t>
            </w:r>
          </w:p>
          <w:p>
            <w:pPr>
              <w:widowControl/>
              <w:snapToGrid w:val="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2.不按规定的时间和线路进行安全巡逻每次扣2分；发现安全隐患不及时处置或报告每次扣2分；                            3.夜间值班不作为，每次扣2分；值班期间发生事故，处置不当不及时的，视情节每次扣20-40分； </w:t>
            </w:r>
          </w:p>
          <w:p>
            <w:pPr>
              <w:widowControl/>
              <w:snapToGrid w:val="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4.消监控室值班人员接待校园求助报警不认真，回答不合规，对反应问题不记录回报，响应不及时，每次扣5分；                                            5.发现水电设施出现问题不及时处理，造成水电浪费，每次扣2分；</w:t>
            </w:r>
          </w:p>
          <w:p>
            <w:pPr>
              <w:widowControl/>
              <w:snapToGrid w:val="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6.监控设施设备发生故障未及时巡查到报修的，每次扣3分。</w:t>
            </w:r>
          </w:p>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6.消控报警未及时通报巡查的每次扣2分，导致事故发生的视情况每次扣20-40分；</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7.上岗期间玩手机或做与工作无关的事每次扣1分；             8.未及时疏导校门口的车辆和小商小贩，保障道路畅通，因工作不力或不作为每次扣2分；</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9.为履行岗位工作的其他要求，每次扣1分。                          </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按岗位考核情况记分</w:t>
            </w:r>
          </w:p>
        </w:tc>
        <w:tc>
          <w:tcPr>
            <w:tcW w:w="251"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75"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1500" w:hRule="atLeast"/>
        </w:trPr>
        <w:tc>
          <w:tcPr>
            <w:tcW w:w="312"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417"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w:t>
            </w:r>
          </w:p>
        </w:tc>
        <w:tc>
          <w:tcPr>
            <w:tcW w:w="33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1"/>
              </w:numPr>
              <w:snapToGrid w:val="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按时参加学校召开的会议及各项活动，缺席每次扣2分，迟到早退每次扣1分；  </w:t>
            </w:r>
          </w:p>
          <w:p>
            <w:pPr>
              <w:widowControl/>
              <w:numPr>
                <w:ilvl w:val="0"/>
                <w:numId w:val="31"/>
              </w:numPr>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考核成绩不合格或连续2次垫底扣3分；                                 </w:t>
            </w:r>
          </w:p>
          <w:p>
            <w:pPr>
              <w:widowControl/>
              <w:numPr>
                <w:ilvl w:val="0"/>
                <w:numId w:val="31"/>
              </w:numPr>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违反学校的管理规定，视其情节轻重每次扣1-5分；</w:t>
            </w:r>
          </w:p>
          <w:p>
            <w:pPr>
              <w:widowControl/>
              <w:numPr>
                <w:ilvl w:val="0"/>
                <w:numId w:val="31"/>
              </w:numPr>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未积极完成学校的交办任务，逾期完成每次扣1分，不完成每次扣2分。</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查看相关记录等资料</w:t>
            </w:r>
          </w:p>
        </w:tc>
        <w:tc>
          <w:tcPr>
            <w:tcW w:w="251"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75"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1408" w:hRule="atLeast"/>
        </w:trPr>
        <w:tc>
          <w:tcPr>
            <w:tcW w:w="312"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417"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加分</w:t>
            </w:r>
          </w:p>
        </w:tc>
        <w:tc>
          <w:tcPr>
            <w:tcW w:w="33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1.接受上级检查，获A等或被通报表扬，每次加记5分；                                              2.每月出全勤加记5分；                                          3.创新工作方法有推广价值，每次加记10分；                                       4.受到上级主管部门嘉奖或表彰，每次加记10-20分。</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据实考核</w:t>
            </w:r>
          </w:p>
        </w:tc>
        <w:tc>
          <w:tcPr>
            <w:tcW w:w="251"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75"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1266" w:hRule="atLeast"/>
        </w:trPr>
        <w:tc>
          <w:tcPr>
            <w:tcW w:w="312"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417"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减分</w:t>
            </w:r>
          </w:p>
        </w:tc>
        <w:tc>
          <w:tcPr>
            <w:tcW w:w="33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2939"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1.在工作期间内出现安全责任事故，当月考核一票否决；</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2.因工作不力被通报批评，每次扣10分；</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 xml:space="preserve">3.不注意个人形象，造成恶劣影响，每次扣10分。   </w:t>
            </w:r>
          </w:p>
        </w:tc>
        <w:tc>
          <w:tcPr>
            <w:tcW w:w="3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据实考核</w:t>
            </w:r>
          </w:p>
        </w:tc>
        <w:tc>
          <w:tcPr>
            <w:tcW w:w="251"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75"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27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417" w:type="pct"/>
            <w:tcBorders>
              <w:top w:val="single" w:color="auto" w:sz="4" w:space="0"/>
              <w:left w:val="single" w:color="auto" w:sz="4" w:space="0"/>
              <w:bottom w:val="single" w:color="auto" w:sz="4" w:space="0"/>
              <w:right w:val="single" w:color="auto" w:sz="4" w:space="0"/>
            </w:tcBorders>
            <w:noWrap w:val="0"/>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合计</w:t>
            </w:r>
          </w:p>
        </w:tc>
        <w:tc>
          <w:tcPr>
            <w:tcW w:w="333"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2939"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373"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251"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375" w:type="pct"/>
            <w:tcBorders>
              <w:top w:val="single" w:color="auto" w:sz="4" w:space="0"/>
              <w:left w:val="single" w:color="auto" w:sz="4" w:space="0"/>
              <w:bottom w:val="single" w:color="auto" w:sz="4" w:space="0"/>
              <w:right w:val="single" w:color="auto" w:sz="4" w:space="0"/>
            </w:tcBorders>
            <w:noWrap/>
            <w:vAlign w:val="center"/>
          </w:tcPr>
          <w:p>
            <w:pPr>
              <w:widowControl/>
              <w:snapToGrid w:val="0"/>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snapToGrid w:val="0"/>
        <w:rPr>
          <w:rFonts w:hint="eastAsia" w:ascii="仿宋_GB2312" w:eastAsia="仿宋_GB2312"/>
          <w:sz w:val="28"/>
        </w:rPr>
      </w:pPr>
      <w:r>
        <w:rPr>
          <w:rFonts w:hint="eastAsia" w:ascii="仿宋_GB2312" w:eastAsia="仿宋_GB2312"/>
          <w:bCs/>
        </w:rPr>
        <w:t>说明：1、各项考核记分以基础权重分为据，扣完为止；2、加减分项目据实另计。</w:t>
      </w:r>
    </w:p>
    <w:p>
      <w:pPr>
        <w:snapToGrid w:val="0"/>
        <w:rPr>
          <w:rFonts w:hint="eastAsia" w:ascii="仿宋_GB2312" w:eastAsia="仿宋_GB2312"/>
          <w:sz w:val="28"/>
        </w:rPr>
      </w:pPr>
    </w:p>
    <w:p>
      <w:pPr>
        <w:snapToGrid w:val="0"/>
        <w:rPr>
          <w:rFonts w:hint="eastAsia" w:ascii="仿宋_GB2312" w:eastAsia="仿宋_GB2312"/>
          <w:sz w:val="28"/>
        </w:rPr>
      </w:pPr>
    </w:p>
    <w:p>
      <w:pPr>
        <w:snapToGrid w:val="0"/>
        <w:rPr>
          <w:rFonts w:hint="eastAsia" w:ascii="仿宋_GB2312" w:eastAsia="仿宋_GB2312"/>
          <w:sz w:val="28"/>
        </w:rPr>
      </w:pPr>
    </w:p>
    <w:p>
      <w:pPr>
        <w:snapToGrid w:val="0"/>
        <w:rPr>
          <w:rFonts w:hint="eastAsia" w:ascii="仿宋_GB2312" w:eastAsia="仿宋_GB2312"/>
          <w:sz w:val="28"/>
        </w:rPr>
      </w:pPr>
    </w:p>
    <w:p>
      <w:pPr>
        <w:snapToGrid w:val="0"/>
        <w:rPr>
          <w:rFonts w:ascii="仿宋_GB2312" w:eastAsia="仿宋_GB2312"/>
          <w:sz w:val="28"/>
        </w:rPr>
      </w:pPr>
      <w:r>
        <w:rPr>
          <w:rFonts w:hint="eastAsia" w:ascii="仿宋_GB2312" w:eastAsia="仿宋_GB2312"/>
          <w:sz w:val="28"/>
        </w:rPr>
        <w:t>附件2</w:t>
      </w:r>
    </w:p>
    <w:tbl>
      <w:tblPr>
        <w:tblStyle w:val="59"/>
        <w:tblW w:w="5167" w:type="pct"/>
        <w:tblInd w:w="0" w:type="dxa"/>
        <w:tblLayout w:type="fixed"/>
        <w:tblCellMar>
          <w:top w:w="0" w:type="dxa"/>
          <w:left w:w="108" w:type="dxa"/>
          <w:bottom w:w="0" w:type="dxa"/>
          <w:right w:w="108" w:type="dxa"/>
        </w:tblCellMar>
      </w:tblPr>
      <w:tblGrid>
        <w:gridCol w:w="465"/>
        <w:gridCol w:w="830"/>
        <w:gridCol w:w="1680"/>
        <w:gridCol w:w="1261"/>
        <w:gridCol w:w="743"/>
        <w:gridCol w:w="1353"/>
        <w:gridCol w:w="756"/>
        <w:gridCol w:w="682"/>
        <w:gridCol w:w="1037"/>
      </w:tblGrid>
      <w:tr>
        <w:tblPrEx>
          <w:tblCellMar>
            <w:top w:w="0" w:type="dxa"/>
            <w:left w:w="108" w:type="dxa"/>
            <w:bottom w:w="0" w:type="dxa"/>
            <w:right w:w="108" w:type="dxa"/>
          </w:tblCellMar>
        </w:tblPrEx>
        <w:trPr>
          <w:trHeight w:val="735" w:hRule="atLeast"/>
        </w:trPr>
        <w:tc>
          <w:tcPr>
            <w:tcW w:w="5000" w:type="pct"/>
            <w:gridSpan w:val="9"/>
            <w:tcBorders>
              <w:bottom w:val="single" w:color="auto" w:sz="4" w:space="0"/>
            </w:tcBorders>
            <w:shd w:val="clear" w:color="000000" w:fill="C0C0C0"/>
            <w:noWrap/>
            <w:vAlign w:val="center"/>
          </w:tcPr>
          <w:p>
            <w:pPr>
              <w:widowControl/>
              <w:snapToGrid w:val="0"/>
              <w:jc w:val="center"/>
              <w:rPr>
                <w:rFonts w:hint="eastAsia" w:ascii="宋体" w:hAnsi="宋体" w:cs="宋体"/>
                <w:b/>
                <w:bCs/>
                <w:color w:val="000000"/>
                <w:kern w:val="0"/>
                <w:sz w:val="36"/>
                <w:szCs w:val="36"/>
              </w:rPr>
            </w:pPr>
            <w:r>
              <w:rPr>
                <w:rFonts w:hint="eastAsia" w:ascii="宋体" w:hAnsi="宋体" w:cs="宋体"/>
                <w:b/>
                <w:bCs/>
                <w:kern w:val="0"/>
                <w:sz w:val="36"/>
                <w:szCs w:val="36"/>
              </w:rPr>
              <w:t>浙江外国语学院安保服务外包单位季度考评表（试行）</w:t>
            </w:r>
          </w:p>
        </w:tc>
      </w:tr>
      <w:tr>
        <w:tblPrEx>
          <w:tblCellMar>
            <w:top w:w="0" w:type="dxa"/>
            <w:left w:w="108" w:type="dxa"/>
            <w:bottom w:w="0" w:type="dxa"/>
            <w:right w:w="108" w:type="dxa"/>
          </w:tblCellMar>
        </w:tblPrEx>
        <w:trPr>
          <w:trHeight w:val="645" w:hRule="atLeast"/>
        </w:trPr>
        <w:tc>
          <w:tcPr>
            <w:tcW w:w="735" w:type="pct"/>
            <w:gridSpan w:val="2"/>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项目名称：</w:t>
            </w:r>
          </w:p>
        </w:tc>
        <w:tc>
          <w:tcPr>
            <w:tcW w:w="954"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5"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外包服务单位：</w:t>
            </w:r>
          </w:p>
        </w:tc>
        <w:tc>
          <w:tcPr>
            <w:tcW w:w="1189" w:type="pct"/>
            <w:gridSpan w:val="2"/>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429"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仿宋" w:hAnsi="仿宋" w:eastAsia="仿宋" w:cs="宋体"/>
                <w:b/>
                <w:bCs/>
                <w:color w:val="000000"/>
                <w:kern w:val="0"/>
                <w:sz w:val="22"/>
              </w:rPr>
            </w:pPr>
            <w:r>
              <w:rPr>
                <w:rFonts w:hint="eastAsia" w:ascii="仿宋" w:hAnsi="仿宋" w:eastAsia="仿宋" w:cs="宋体"/>
                <w:b/>
                <w:bCs/>
                <w:color w:val="000000"/>
                <w:kern w:val="0"/>
                <w:sz w:val="22"/>
              </w:rPr>
              <w:t>考核人：</w:t>
            </w:r>
          </w:p>
        </w:tc>
        <w:tc>
          <w:tcPr>
            <w:tcW w:w="974"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　</w:t>
            </w:r>
          </w:p>
        </w:tc>
      </w:tr>
      <w:tr>
        <w:tblPrEx>
          <w:tblCellMar>
            <w:top w:w="0" w:type="dxa"/>
            <w:left w:w="108" w:type="dxa"/>
            <w:bottom w:w="0" w:type="dxa"/>
            <w:right w:w="108" w:type="dxa"/>
          </w:tblCellMar>
        </w:tblPrEx>
        <w:trPr>
          <w:trHeight w:val="450" w:hRule="atLeast"/>
        </w:trPr>
        <w:tc>
          <w:tcPr>
            <w:tcW w:w="735" w:type="pct"/>
            <w:gridSpan w:val="2"/>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评测结果：</w:t>
            </w:r>
          </w:p>
        </w:tc>
        <w:tc>
          <w:tcPr>
            <w:tcW w:w="954"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□优秀/□合格/□不合格</w:t>
            </w:r>
          </w:p>
        </w:tc>
        <w:tc>
          <w:tcPr>
            <w:tcW w:w="715"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评分考核时间：</w:t>
            </w:r>
          </w:p>
        </w:tc>
        <w:tc>
          <w:tcPr>
            <w:tcW w:w="2594" w:type="pct"/>
            <w:gridSpan w:val="5"/>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自</w:t>
            </w:r>
            <w:r>
              <w:rPr>
                <w:rFonts w:hint="eastAsia" w:ascii="仿宋" w:hAnsi="仿宋" w:eastAsia="仿宋" w:cs="宋体"/>
                <w:b/>
                <w:bCs/>
                <w:color w:val="000000"/>
                <w:kern w:val="0"/>
                <w:sz w:val="22"/>
                <w:u w:val="single"/>
              </w:rPr>
              <w:t xml:space="preserve">      </w:t>
            </w:r>
            <w:r>
              <w:rPr>
                <w:rFonts w:hint="eastAsia" w:ascii="仿宋" w:hAnsi="仿宋" w:eastAsia="仿宋" w:cs="宋体"/>
                <w:b/>
                <w:bCs/>
                <w:color w:val="000000"/>
                <w:kern w:val="0"/>
                <w:sz w:val="22"/>
              </w:rPr>
              <w:t>年</w:t>
            </w:r>
            <w:r>
              <w:rPr>
                <w:rFonts w:hint="eastAsia" w:ascii="仿宋" w:hAnsi="仿宋" w:eastAsia="仿宋" w:cs="宋体"/>
                <w:b/>
                <w:bCs/>
                <w:color w:val="000000"/>
                <w:kern w:val="0"/>
                <w:sz w:val="22"/>
                <w:u w:val="single"/>
              </w:rPr>
              <w:t xml:space="preserve">     </w:t>
            </w:r>
            <w:r>
              <w:rPr>
                <w:rFonts w:hint="eastAsia" w:ascii="仿宋" w:hAnsi="仿宋" w:eastAsia="仿宋" w:cs="宋体"/>
                <w:b/>
                <w:bCs/>
                <w:color w:val="000000"/>
                <w:kern w:val="0"/>
                <w:sz w:val="22"/>
              </w:rPr>
              <w:t>月</w:t>
            </w:r>
            <w:r>
              <w:rPr>
                <w:rFonts w:hint="eastAsia" w:ascii="仿宋" w:hAnsi="仿宋" w:eastAsia="仿宋" w:cs="宋体"/>
                <w:b/>
                <w:bCs/>
                <w:color w:val="000000"/>
                <w:kern w:val="0"/>
                <w:sz w:val="22"/>
                <w:u w:val="single"/>
              </w:rPr>
              <w:t xml:space="preserve">     </w:t>
            </w:r>
            <w:r>
              <w:rPr>
                <w:rFonts w:hint="eastAsia" w:ascii="仿宋" w:hAnsi="仿宋" w:eastAsia="仿宋" w:cs="宋体"/>
                <w:b/>
                <w:bCs/>
                <w:color w:val="000000"/>
                <w:kern w:val="0"/>
                <w:sz w:val="22"/>
              </w:rPr>
              <w:t>日 至</w:t>
            </w:r>
            <w:r>
              <w:rPr>
                <w:rFonts w:hint="eastAsia" w:ascii="仿宋" w:hAnsi="仿宋" w:eastAsia="仿宋" w:cs="宋体"/>
                <w:b/>
                <w:bCs/>
                <w:color w:val="000000"/>
                <w:kern w:val="0"/>
                <w:sz w:val="22"/>
                <w:u w:val="single"/>
              </w:rPr>
              <w:t xml:space="preserve">      </w:t>
            </w:r>
            <w:r>
              <w:rPr>
                <w:rFonts w:hint="eastAsia" w:ascii="仿宋" w:hAnsi="仿宋" w:eastAsia="仿宋" w:cs="宋体"/>
                <w:b/>
                <w:bCs/>
                <w:color w:val="000000"/>
                <w:kern w:val="0"/>
                <w:sz w:val="22"/>
              </w:rPr>
              <w:t>年</w:t>
            </w:r>
            <w:r>
              <w:rPr>
                <w:rFonts w:hint="eastAsia" w:ascii="仿宋" w:hAnsi="仿宋" w:eastAsia="仿宋" w:cs="宋体"/>
                <w:b/>
                <w:bCs/>
                <w:color w:val="000000"/>
                <w:kern w:val="0"/>
                <w:sz w:val="22"/>
                <w:u w:val="single"/>
              </w:rPr>
              <w:t xml:space="preserve">     </w:t>
            </w:r>
            <w:r>
              <w:rPr>
                <w:rFonts w:hint="eastAsia" w:ascii="仿宋" w:hAnsi="仿宋" w:eastAsia="仿宋" w:cs="宋体"/>
                <w:b/>
                <w:bCs/>
                <w:color w:val="000000"/>
                <w:kern w:val="0"/>
                <w:sz w:val="22"/>
              </w:rPr>
              <w:t>月</w:t>
            </w:r>
            <w:r>
              <w:rPr>
                <w:rFonts w:hint="eastAsia" w:ascii="仿宋" w:hAnsi="仿宋" w:eastAsia="仿宋" w:cs="宋体"/>
                <w:b/>
                <w:bCs/>
                <w:color w:val="000000"/>
                <w:kern w:val="0"/>
                <w:sz w:val="22"/>
                <w:u w:val="single"/>
              </w:rPr>
              <w:t xml:space="preserve">     </w:t>
            </w:r>
            <w:r>
              <w:rPr>
                <w:rFonts w:hint="eastAsia" w:ascii="仿宋" w:hAnsi="仿宋" w:eastAsia="仿宋" w:cs="宋体"/>
                <w:b/>
                <w:bCs/>
                <w:color w:val="000000"/>
                <w:kern w:val="0"/>
                <w:sz w:val="22"/>
              </w:rPr>
              <w:t>日</w:t>
            </w:r>
          </w:p>
        </w:tc>
      </w:tr>
      <w:tr>
        <w:tblPrEx>
          <w:tblCellMar>
            <w:top w:w="0" w:type="dxa"/>
            <w:left w:w="108" w:type="dxa"/>
            <w:bottom w:w="0" w:type="dxa"/>
            <w:right w:w="108" w:type="dxa"/>
          </w:tblCellMar>
        </w:tblPrEx>
        <w:trPr>
          <w:trHeight w:val="465" w:hRule="atLeast"/>
        </w:trPr>
        <w:tc>
          <w:tcPr>
            <w:tcW w:w="264"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470"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考核类别</w:t>
            </w:r>
          </w:p>
        </w:tc>
        <w:tc>
          <w:tcPr>
            <w:tcW w:w="2860" w:type="pct"/>
            <w:gridSpan w:val="4"/>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考核内容</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建议配分</w:t>
            </w:r>
          </w:p>
        </w:tc>
        <w:tc>
          <w:tcPr>
            <w:tcW w:w="387"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得分</w:t>
            </w:r>
          </w:p>
        </w:tc>
        <w:tc>
          <w:tcPr>
            <w:tcW w:w="587"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扣分原因简述</w:t>
            </w:r>
          </w:p>
        </w:tc>
      </w:tr>
      <w:tr>
        <w:tblPrEx>
          <w:tblCellMar>
            <w:top w:w="0" w:type="dxa"/>
            <w:left w:w="108" w:type="dxa"/>
            <w:bottom w:w="0" w:type="dxa"/>
            <w:right w:w="108" w:type="dxa"/>
          </w:tblCellMar>
        </w:tblPrEx>
        <w:trPr>
          <w:trHeight w:val="354"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470"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项目对接</w:t>
            </w: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项目对接顺畅，工作交流频繁；</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6</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18"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汇报积极主动，定期汇报派驻团队的考核情况；</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4</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3</w:t>
            </w:r>
          </w:p>
        </w:tc>
        <w:tc>
          <w:tcPr>
            <w:tcW w:w="470"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人员管理</w:t>
            </w: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派遣的安保人员符合学校招标文件中的最低常驻校人数要求和岗位要求，具备从业及岗位所需证件，不缺岗；</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5</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374"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4</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有专业团队驻校管理派驻人员；</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4</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5</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hint="eastAsia" w:ascii="仿宋" w:hAnsi="仿宋" w:eastAsia="仿宋" w:cs="宋体"/>
                <w:color w:val="000000"/>
                <w:kern w:val="0"/>
                <w:sz w:val="22"/>
              </w:rPr>
            </w:pPr>
            <w:r>
              <w:rPr>
                <w:rFonts w:hint="eastAsia" w:ascii="仿宋" w:hAnsi="仿宋" w:eastAsia="仿宋" w:cs="宋体"/>
                <w:color w:val="000000"/>
                <w:kern w:val="0"/>
                <w:sz w:val="22"/>
              </w:rPr>
              <w:t>派驻的管理人员个人能力强，素质高，执行力好，责任心强，具有较强的组织协调管理能力，受到学校认可；</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5</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6</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hint="eastAsia" w:ascii="仿宋" w:hAnsi="仿宋" w:eastAsia="仿宋" w:cs="宋体"/>
                <w:color w:val="000000"/>
                <w:kern w:val="0"/>
                <w:sz w:val="22"/>
              </w:rPr>
            </w:pPr>
            <w:r>
              <w:rPr>
                <w:rFonts w:hint="eastAsia" w:ascii="仿宋" w:hAnsi="仿宋" w:eastAsia="仿宋" w:cs="宋体"/>
                <w:color w:val="000000"/>
                <w:kern w:val="0"/>
                <w:sz w:val="22"/>
              </w:rPr>
              <w:t>派驻的管理团队团结协作，运行高效，能够较好的完成安排的工作，团队管理严格，效率高。</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4</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7</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派驻人员工作积极，态度端正，尽职尽责，服从工作安排，遵守学校管理规定；</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6</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8</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对派遣人员日常管理到位，能够常态化开展检查、督查；</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5</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r>
      <w:tr>
        <w:tblPrEx>
          <w:tblCellMar>
            <w:top w:w="0" w:type="dxa"/>
            <w:left w:w="108" w:type="dxa"/>
            <w:bottom w:w="0" w:type="dxa"/>
            <w:right w:w="108" w:type="dxa"/>
          </w:tblCellMar>
        </w:tblPrEx>
        <w:trPr>
          <w:trHeight w:val="462"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9</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hint="eastAsia" w:ascii="仿宋" w:hAnsi="仿宋" w:eastAsia="仿宋" w:cs="宋体"/>
                <w:color w:val="000000"/>
                <w:kern w:val="0"/>
                <w:sz w:val="22"/>
              </w:rPr>
            </w:pPr>
            <w:r>
              <w:rPr>
                <w:rFonts w:hint="eastAsia" w:ascii="仿宋" w:hAnsi="仿宋" w:eastAsia="仿宋" w:cs="宋体"/>
                <w:color w:val="000000"/>
                <w:kern w:val="0"/>
                <w:sz w:val="22"/>
              </w:rPr>
              <w:t>派遣的工作人员业务技能熟练，能够胜任岗位工作；</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4</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451"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10</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人员调换符合双方约定，人员稳定，每月调整人员不超过实际派驻人员总数的5%；</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2</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11</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超过每月换人百分比的，超出1人扣2分，上不封顶。</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2</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371"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12</w:t>
            </w:r>
          </w:p>
        </w:tc>
        <w:tc>
          <w:tcPr>
            <w:tcW w:w="470"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管理制度</w:t>
            </w: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hint="eastAsia" w:ascii="仿宋" w:hAnsi="仿宋" w:eastAsia="仿宋" w:cs="宋体"/>
                <w:color w:val="000000"/>
                <w:kern w:val="0"/>
                <w:sz w:val="20"/>
                <w:szCs w:val="20"/>
              </w:rPr>
            </w:pPr>
            <w:r>
              <w:rPr>
                <w:rFonts w:hint="eastAsia" w:ascii="仿宋" w:hAnsi="仿宋" w:eastAsia="仿宋" w:cs="宋体"/>
                <w:color w:val="000000"/>
                <w:kern w:val="0"/>
                <w:sz w:val="22"/>
              </w:rPr>
              <w:t>派驻人员的管理制度完备齐全，可操作性强；</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4</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375"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13</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能够按制度落实对派驻人员的管理；</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6</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265"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14</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有相应的考核奖励制度；</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5</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308"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15</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有相应的应急处置预案、流程。</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5</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32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16</w:t>
            </w:r>
          </w:p>
        </w:tc>
        <w:tc>
          <w:tcPr>
            <w:tcW w:w="470" w:type="pct"/>
            <w:vMerge w:val="restart"/>
            <w:tcBorders>
              <w:top w:val="single" w:color="auto" w:sz="4" w:space="0"/>
              <w:left w:val="single" w:color="auto" w:sz="4" w:space="0"/>
              <w:right w:val="single" w:color="auto" w:sz="4" w:space="0"/>
            </w:tcBorders>
            <w:shd w:val="clear" w:color="auto" w:fill="auto"/>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培训管理</w:t>
            </w: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有切实可行的培训计划和方案；</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0"/>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4</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p>
        </w:tc>
      </w:tr>
      <w:tr>
        <w:tblPrEx>
          <w:tblCellMar>
            <w:top w:w="0" w:type="dxa"/>
            <w:left w:w="108" w:type="dxa"/>
            <w:bottom w:w="0" w:type="dxa"/>
            <w:right w:w="108" w:type="dxa"/>
          </w:tblCellMar>
        </w:tblPrEx>
        <w:trPr>
          <w:trHeight w:val="382"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17</w:t>
            </w:r>
          </w:p>
        </w:tc>
        <w:tc>
          <w:tcPr>
            <w:tcW w:w="470" w:type="pct"/>
            <w:vMerge w:val="continue"/>
            <w:tcBorders>
              <w:left w:val="single" w:color="auto" w:sz="4" w:space="0"/>
              <w:right w:val="single" w:color="auto" w:sz="4" w:space="0"/>
            </w:tcBorders>
            <w:shd w:val="clear" w:color="auto" w:fill="auto"/>
            <w:noWrap w:val="0"/>
            <w:vAlign w:val="center"/>
          </w:tcPr>
          <w:p>
            <w:pPr>
              <w:widowControl/>
              <w:snapToGrid w:val="0"/>
              <w:jc w:val="center"/>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能够按照计划方案和有关要求落实人员培训；</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0"/>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6</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18</w:t>
            </w:r>
          </w:p>
        </w:tc>
        <w:tc>
          <w:tcPr>
            <w:tcW w:w="470" w:type="pct"/>
            <w:vMerge w:val="continue"/>
            <w:tcBorders>
              <w:left w:val="single" w:color="auto" w:sz="4" w:space="0"/>
              <w:right w:val="single" w:color="auto" w:sz="4" w:space="0"/>
            </w:tcBorders>
            <w:shd w:val="clear" w:color="auto" w:fill="auto"/>
            <w:noWrap w:val="0"/>
            <w:vAlign w:val="center"/>
          </w:tcPr>
          <w:p>
            <w:pPr>
              <w:widowControl/>
              <w:snapToGrid w:val="0"/>
              <w:jc w:val="center"/>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能定期对派驻人员组织业务技能考核，并将考核结果通报学校。</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0"/>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4</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19</w:t>
            </w:r>
          </w:p>
        </w:tc>
        <w:tc>
          <w:tcPr>
            <w:tcW w:w="470"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设备设施、物品、工器具等</w:t>
            </w: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配备的安保设施设备及劳保用品符合招标要求；</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0"/>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3</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702"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20</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hint="eastAsia" w:ascii="仿宋" w:hAnsi="仿宋" w:eastAsia="仿宋" w:cs="宋体"/>
                <w:color w:val="000000"/>
                <w:kern w:val="0"/>
                <w:sz w:val="22"/>
              </w:rPr>
            </w:pPr>
            <w:r>
              <w:rPr>
                <w:rFonts w:hint="eastAsia" w:ascii="仿宋" w:hAnsi="仿宋" w:eastAsia="仿宋" w:cs="宋体"/>
                <w:color w:val="000000"/>
                <w:kern w:val="0"/>
                <w:sz w:val="22"/>
              </w:rPr>
              <w:t>配备的设施设备日常维护到位，发生损坏能及时维修；</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0"/>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4</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21</w:t>
            </w:r>
          </w:p>
        </w:tc>
        <w:tc>
          <w:tcPr>
            <w:tcW w:w="470" w:type="pct"/>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其他</w:t>
            </w: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hint="eastAsia" w:ascii="仿宋" w:hAnsi="仿宋" w:eastAsia="仿宋" w:cs="宋体"/>
                <w:color w:val="000000"/>
                <w:kern w:val="0"/>
                <w:sz w:val="22"/>
              </w:rPr>
            </w:pPr>
            <w:r>
              <w:rPr>
                <w:rFonts w:hint="eastAsia" w:ascii="仿宋" w:hAnsi="仿宋" w:eastAsia="仿宋" w:cs="宋体"/>
                <w:color w:val="000000"/>
                <w:kern w:val="0"/>
                <w:sz w:val="22"/>
              </w:rPr>
              <w:t>企业标准其它要求、能够认真履行招标需求的其它各项要求；</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0"/>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2</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22　</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hint="eastAsia" w:ascii="仿宋" w:hAnsi="仿宋" w:eastAsia="仿宋" w:cs="宋体"/>
                <w:color w:val="000000"/>
                <w:kern w:val="0"/>
                <w:sz w:val="22"/>
              </w:rPr>
            </w:pPr>
            <w:r>
              <w:rPr>
                <w:rFonts w:hint="eastAsia" w:ascii="仿宋" w:hAnsi="仿宋" w:eastAsia="仿宋" w:cs="宋体"/>
                <w:color w:val="000000"/>
                <w:kern w:val="0"/>
                <w:sz w:val="22"/>
              </w:rPr>
              <w:t>客户投诉处理问题到位；当季是否接收多次投诉；</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0"/>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4</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仿宋" w:hAnsi="仿宋" w:eastAsia="仿宋" w:cs="宋体"/>
                <w:color w:val="000000"/>
                <w:kern w:val="0"/>
                <w:sz w:val="22"/>
              </w:rPr>
            </w:pPr>
            <w:r>
              <w:rPr>
                <w:rFonts w:hint="eastAsia" w:ascii="仿宋" w:hAnsi="仿宋" w:eastAsia="仿宋" w:cs="宋体"/>
                <w:color w:val="000000"/>
                <w:kern w:val="0"/>
                <w:sz w:val="22"/>
              </w:rPr>
              <w:t>23</w:t>
            </w:r>
          </w:p>
        </w:tc>
        <w:tc>
          <w:tcPr>
            <w:tcW w:w="470"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应急响应迅速，安排的应急机动人员工作能力强，素质高，服从管理，能很好地完成交代任务；</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0"/>
            <w:vAlign w:val="center"/>
          </w:tcPr>
          <w:p>
            <w:pPr>
              <w:widowControl/>
              <w:snapToGrid w:val="0"/>
              <w:jc w:val="center"/>
              <w:rPr>
                <w:rFonts w:hint="eastAsia" w:ascii="宋体" w:hAnsi="宋体" w:cs="宋体"/>
                <w:color w:val="000000"/>
                <w:kern w:val="0"/>
                <w:sz w:val="22"/>
              </w:rPr>
            </w:pPr>
            <w:r>
              <w:rPr>
                <w:rFonts w:hint="eastAsia" w:ascii="宋体" w:hAnsi="宋体" w:cs="宋体"/>
                <w:color w:val="000000"/>
                <w:kern w:val="0"/>
                <w:sz w:val="22"/>
              </w:rPr>
              <w:t>6</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559" w:hRule="atLeast"/>
        </w:trPr>
        <w:tc>
          <w:tcPr>
            <w:tcW w:w="2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24</w:t>
            </w:r>
          </w:p>
        </w:tc>
        <w:tc>
          <w:tcPr>
            <w:tcW w:w="470" w:type="pct"/>
            <w:tcBorders>
              <w:top w:val="single" w:color="auto" w:sz="4" w:space="0"/>
              <w:left w:val="single" w:color="auto" w:sz="4" w:space="0"/>
              <w:right w:val="single" w:color="auto" w:sz="4" w:space="0"/>
            </w:tcBorders>
            <w:shd w:val="clear" w:color="auto" w:fill="auto"/>
            <w:noWrap w:val="0"/>
            <w:vAlign w:val="center"/>
          </w:tcPr>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重大事项</w:t>
            </w:r>
          </w:p>
        </w:tc>
        <w:tc>
          <w:tcPr>
            <w:tcW w:w="2860" w:type="pct"/>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napToGrid w:val="0"/>
              <w:jc w:val="left"/>
              <w:rPr>
                <w:rFonts w:hint="eastAsia" w:ascii="仿宋" w:hAnsi="仿宋" w:eastAsia="仿宋" w:cs="宋体"/>
                <w:color w:val="000000"/>
                <w:kern w:val="0"/>
                <w:sz w:val="22"/>
              </w:rPr>
            </w:pPr>
            <w:r>
              <w:rPr>
                <w:rFonts w:hint="eastAsia" w:ascii="仿宋" w:hAnsi="仿宋" w:eastAsia="仿宋" w:cs="宋体"/>
                <w:color w:val="000000"/>
                <w:kern w:val="0"/>
                <w:sz w:val="22"/>
              </w:rPr>
              <w:t>派遣安保人员或日常管理出现以下情况的：</w:t>
            </w:r>
          </w:p>
          <w:p>
            <w:pPr>
              <w:widowControl/>
              <w:snapToGrid w:val="0"/>
              <w:jc w:val="left"/>
              <w:rPr>
                <w:rFonts w:ascii="仿宋" w:hAnsi="仿宋" w:eastAsia="仿宋" w:cs="宋体"/>
                <w:color w:val="000000"/>
                <w:kern w:val="0"/>
                <w:sz w:val="22"/>
              </w:rPr>
            </w:pPr>
            <w:r>
              <w:rPr>
                <w:rFonts w:hint="eastAsia" w:ascii="仿宋" w:hAnsi="仿宋" w:eastAsia="仿宋" w:cs="宋体"/>
                <w:color w:val="000000"/>
                <w:kern w:val="0"/>
                <w:sz w:val="22"/>
              </w:rPr>
              <w:t>不服从管理，或不遵守相关规章要求，或执行规定时胡乱作为，或工作中不认真，不作为，履职不严，被师生投诉，造成学校舆情或对学校声誉产生较大影响的，或造成学校安全责任事故的；</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0"/>
            <w:vAlign w:val="center"/>
          </w:tcPr>
          <w:p>
            <w:pPr>
              <w:widowControl/>
              <w:snapToGrid w:val="0"/>
              <w:jc w:val="center"/>
              <w:rPr>
                <w:rFonts w:ascii="宋体" w:hAnsi="宋体" w:cs="宋体"/>
                <w:color w:val="000000"/>
                <w:kern w:val="0"/>
                <w:sz w:val="22"/>
              </w:rPr>
            </w:pPr>
            <w:r>
              <w:rPr>
                <w:rFonts w:hint="eastAsia" w:ascii="宋体" w:hAnsi="宋体" w:cs="宋体"/>
                <w:color w:val="000000"/>
                <w:kern w:val="0"/>
                <w:sz w:val="22"/>
              </w:rPr>
              <w:t>25</w:t>
            </w:r>
          </w:p>
        </w:tc>
        <w:tc>
          <w:tcPr>
            <w:tcW w:w="3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c>
          <w:tcPr>
            <w:tcW w:w="587" w:type="pct"/>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hint="eastAsia" w:ascii="仿宋" w:hAnsi="仿宋" w:eastAsia="仿宋" w:cs="宋体"/>
                <w:color w:val="000000"/>
                <w:kern w:val="0"/>
                <w:sz w:val="22"/>
              </w:rPr>
            </w:pPr>
          </w:p>
        </w:tc>
      </w:tr>
      <w:tr>
        <w:tblPrEx>
          <w:tblCellMar>
            <w:top w:w="0" w:type="dxa"/>
            <w:left w:w="108" w:type="dxa"/>
            <w:bottom w:w="0" w:type="dxa"/>
            <w:right w:w="108" w:type="dxa"/>
          </w:tblCellMar>
        </w:tblPrEx>
        <w:trPr>
          <w:trHeight w:val="402" w:hRule="atLeast"/>
        </w:trPr>
        <w:tc>
          <w:tcPr>
            <w:tcW w:w="3595" w:type="pct"/>
            <w:gridSpan w:val="6"/>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当季考核分合计</w:t>
            </w:r>
          </w:p>
        </w:tc>
        <w:tc>
          <w:tcPr>
            <w:tcW w:w="429"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100</w:t>
            </w:r>
          </w:p>
        </w:tc>
        <w:tc>
          <w:tcPr>
            <w:tcW w:w="387"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0</w:t>
            </w:r>
          </w:p>
        </w:tc>
        <w:tc>
          <w:tcPr>
            <w:tcW w:w="587" w:type="pct"/>
            <w:tcBorders>
              <w:top w:val="single" w:color="auto" w:sz="4" w:space="0"/>
              <w:left w:val="single" w:color="auto" w:sz="4" w:space="0"/>
              <w:bottom w:val="single" w:color="auto" w:sz="4" w:space="0"/>
              <w:right w:val="single" w:color="auto" w:sz="4" w:space="0"/>
            </w:tcBorders>
            <w:shd w:val="clear" w:color="000000" w:fill="C0C0C0"/>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0</w:t>
            </w:r>
          </w:p>
        </w:tc>
      </w:tr>
      <w:tr>
        <w:tblPrEx>
          <w:tblCellMar>
            <w:top w:w="0" w:type="dxa"/>
            <w:left w:w="108" w:type="dxa"/>
            <w:bottom w:w="0" w:type="dxa"/>
            <w:right w:w="108" w:type="dxa"/>
          </w:tblCellMar>
        </w:tblPrEx>
        <w:trPr>
          <w:trHeight w:val="960" w:hRule="atLeast"/>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备注</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（其他项）：</w:t>
            </w:r>
          </w:p>
        </w:tc>
        <w:tc>
          <w:tcPr>
            <w:tcW w:w="4264" w:type="pct"/>
            <w:gridSpan w:val="7"/>
            <w:tcBorders>
              <w:top w:val="single" w:color="auto" w:sz="4" w:space="0"/>
              <w:left w:val="single" w:color="auto" w:sz="4" w:space="0"/>
              <w:bottom w:val="single" w:color="auto" w:sz="4" w:space="0"/>
              <w:right w:val="single" w:color="auto" w:sz="4" w:space="0"/>
            </w:tcBorders>
            <w:noWrap/>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960" w:hRule="atLeast"/>
        </w:trPr>
        <w:tc>
          <w:tcPr>
            <w:tcW w:w="735"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考核部门</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确认：</w:t>
            </w:r>
          </w:p>
        </w:tc>
        <w:tc>
          <w:tcPr>
            <w:tcW w:w="1670" w:type="pct"/>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422"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外包单位确认：</w:t>
            </w:r>
          </w:p>
        </w:tc>
        <w:tc>
          <w:tcPr>
            <w:tcW w:w="2171" w:type="pct"/>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　</w:t>
            </w:r>
          </w:p>
        </w:tc>
      </w:tr>
      <w:tr>
        <w:tblPrEx>
          <w:tblCellMar>
            <w:top w:w="0" w:type="dxa"/>
            <w:left w:w="108" w:type="dxa"/>
            <w:bottom w:w="0" w:type="dxa"/>
            <w:right w:w="108" w:type="dxa"/>
          </w:tblCellMar>
        </w:tblPrEx>
        <w:trPr>
          <w:trHeight w:val="312" w:hRule="atLeast"/>
        </w:trPr>
        <w:tc>
          <w:tcPr>
            <w:tcW w:w="5000" w:type="pct"/>
            <w:gridSpan w:val="9"/>
            <w:vMerge w:val="restart"/>
            <w:tcBorders>
              <w:top w:val="single" w:color="auto" w:sz="4" w:space="0"/>
            </w:tcBorders>
            <w:noWrap w:val="0"/>
            <w:vAlign w:val="top"/>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*本表通用于所有项目外包保安单位季度考核，可作为分包单位季结服务费时的附件使用。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*此表基础分值为100分，采取扣分计算为主要评测计算方式。</w:t>
            </w:r>
            <w:r>
              <w:rPr>
                <w:rFonts w:hint="eastAsia" w:ascii="宋体" w:hAnsi="宋体" w:cs="宋体"/>
                <w:color w:val="000000"/>
                <w:kern w:val="0"/>
                <w:sz w:val="18"/>
                <w:szCs w:val="18"/>
                <w:u w:val="single"/>
              </w:rPr>
              <w:t>“评测结果”只分为三类：0分-80分以下（不合格），80分-9</w:t>
            </w:r>
            <w:r>
              <w:rPr>
                <w:rFonts w:ascii="宋体" w:hAnsi="宋体" w:cs="宋体"/>
                <w:color w:val="000000"/>
                <w:kern w:val="0"/>
                <w:sz w:val="18"/>
                <w:szCs w:val="18"/>
                <w:u w:val="single"/>
              </w:rPr>
              <w:t>0</w:t>
            </w:r>
            <w:r>
              <w:rPr>
                <w:rFonts w:hint="eastAsia" w:ascii="宋体" w:hAnsi="宋体" w:cs="宋体"/>
                <w:color w:val="000000"/>
                <w:kern w:val="0"/>
                <w:sz w:val="18"/>
                <w:szCs w:val="18"/>
                <w:u w:val="single"/>
              </w:rPr>
              <w:t>分以下（合格），90分—100分（优秀）。</w:t>
            </w:r>
          </w:p>
        </w:tc>
      </w:tr>
      <w:tr>
        <w:tblPrEx>
          <w:tblCellMar>
            <w:top w:w="0" w:type="dxa"/>
            <w:left w:w="108" w:type="dxa"/>
            <w:bottom w:w="0" w:type="dxa"/>
            <w:right w:w="108" w:type="dxa"/>
          </w:tblCellMar>
        </w:tblPrEx>
        <w:trPr>
          <w:trHeight w:val="799" w:hRule="atLeast"/>
        </w:trPr>
        <w:tc>
          <w:tcPr>
            <w:tcW w:w="5000" w:type="pct"/>
            <w:gridSpan w:val="9"/>
            <w:vMerge w:val="continue"/>
            <w:noWrap w:val="0"/>
            <w:vAlign w:val="center"/>
          </w:tcPr>
          <w:p>
            <w:pPr>
              <w:widowControl/>
              <w:snapToGrid w:val="0"/>
              <w:jc w:val="left"/>
              <w:rPr>
                <w:rFonts w:ascii="宋体" w:hAnsi="宋体" w:cs="宋体"/>
                <w:color w:val="000000"/>
                <w:kern w:val="0"/>
                <w:sz w:val="18"/>
                <w:szCs w:val="18"/>
              </w:rPr>
            </w:pPr>
          </w:p>
        </w:tc>
        <w:bookmarkStart w:id="33" w:name="PO_TDCUS_ITEM_PB_REQ_TABLE_1_1_0"/>
      </w:tr>
      <w:bookmarkEnd w:id="32"/>
      <w:bookmarkEnd w:id="33"/>
    </w:tbl>
    <w:p>
      <w:pPr>
        <w:spacing w:line="360" w:lineRule="auto"/>
        <w:rPr>
          <w:rFonts w:hint="eastAsia" w:ascii="仿宋" w:hAnsi="仿宋" w:eastAsia="仿宋"/>
          <w:b/>
          <w:bCs/>
          <w:color w:val="000000"/>
          <w:sz w:val="28"/>
          <w:szCs w:val="28"/>
        </w:rPr>
      </w:pPr>
    </w:p>
    <w:p>
      <w:pPr>
        <w:spacing w:line="360" w:lineRule="auto"/>
        <w:rPr>
          <w:rFonts w:hint="eastAsia" w:ascii="仿宋" w:hAnsi="仿宋" w:eastAsia="仿宋"/>
          <w:b/>
          <w:bCs/>
          <w:color w:val="000000"/>
          <w:sz w:val="28"/>
          <w:szCs w:val="28"/>
        </w:rPr>
      </w:pPr>
    </w:p>
    <w:p>
      <w:pPr>
        <w:spacing w:line="360" w:lineRule="auto"/>
        <w:rPr>
          <w:rFonts w:hint="eastAsia" w:ascii="仿宋" w:hAnsi="仿宋" w:eastAsia="仿宋"/>
          <w:b/>
          <w:bCs/>
          <w:color w:val="000000"/>
          <w:sz w:val="28"/>
          <w:szCs w:val="28"/>
        </w:rPr>
      </w:pPr>
    </w:p>
    <w:p>
      <w:pPr>
        <w:spacing w:line="360" w:lineRule="auto"/>
        <w:rPr>
          <w:rFonts w:hint="eastAsia" w:ascii="仿宋" w:hAnsi="仿宋" w:eastAsia="仿宋"/>
          <w:b/>
          <w:bCs/>
          <w:color w:val="000000"/>
          <w:sz w:val="28"/>
          <w:szCs w:val="28"/>
        </w:rPr>
      </w:pPr>
    </w:p>
    <w:p>
      <w:pPr>
        <w:spacing w:line="360" w:lineRule="auto"/>
        <w:rPr>
          <w:rFonts w:hint="eastAsia" w:ascii="仿宋" w:hAnsi="仿宋" w:eastAsia="仿宋"/>
          <w:b/>
          <w:bCs/>
          <w:color w:val="000000"/>
          <w:sz w:val="28"/>
          <w:szCs w:val="28"/>
        </w:rPr>
      </w:pPr>
    </w:p>
    <w:p>
      <w:pPr>
        <w:spacing w:line="360" w:lineRule="auto"/>
        <w:rPr>
          <w:rFonts w:hint="eastAsia" w:ascii="仿宋" w:hAnsi="仿宋" w:eastAsia="仿宋"/>
          <w:b/>
          <w:bCs/>
          <w:color w:val="000000"/>
          <w:sz w:val="28"/>
          <w:szCs w:val="28"/>
        </w:rPr>
      </w:pPr>
    </w:p>
    <w:p>
      <w:pPr>
        <w:spacing w:line="360" w:lineRule="auto"/>
        <w:rPr>
          <w:rFonts w:hint="eastAsia" w:ascii="仿宋" w:hAnsi="仿宋" w:eastAsia="仿宋"/>
          <w:b/>
          <w:bCs/>
          <w:color w:val="000000"/>
          <w:sz w:val="28"/>
          <w:szCs w:val="28"/>
        </w:rPr>
      </w:pPr>
    </w:p>
    <w:p>
      <w:pPr>
        <w:spacing w:line="360" w:lineRule="auto"/>
        <w:rPr>
          <w:rFonts w:ascii="仿宋" w:hAnsi="仿宋" w:eastAsia="仿宋"/>
          <w:b/>
          <w:bCs/>
          <w:color w:val="000000"/>
          <w:sz w:val="28"/>
          <w:szCs w:val="28"/>
        </w:rPr>
      </w:pPr>
      <w:r>
        <w:rPr>
          <w:rFonts w:hint="eastAsia" w:ascii="仿宋" w:hAnsi="仿宋" w:eastAsia="仿宋"/>
          <w:b/>
          <w:bCs/>
          <w:color w:val="000000"/>
          <w:sz w:val="28"/>
          <w:szCs w:val="28"/>
        </w:rPr>
        <w:t>商务要求表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▲项目工期（交货期）及地点</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olor w:val="000000"/>
                <w:sz w:val="24"/>
                <w:szCs w:val="24"/>
              </w:rPr>
            </w:pPr>
            <w:r>
              <w:rPr>
                <w:rFonts w:hint="eastAsia" w:ascii="仿宋" w:hAnsi="仿宋" w:eastAsia="仿宋"/>
                <w:b/>
                <w:bCs/>
                <w:color w:val="000000"/>
                <w:sz w:val="24"/>
                <w:szCs w:val="24"/>
              </w:rPr>
              <w:t>服务期限</w:t>
            </w:r>
            <w:r>
              <w:rPr>
                <w:rFonts w:hint="eastAsia" w:ascii="仿宋" w:hAnsi="仿宋" w:eastAsia="仿宋"/>
                <w:color w:val="000000"/>
                <w:sz w:val="24"/>
                <w:szCs w:val="24"/>
              </w:rPr>
              <w:t>为24个月，2024年7月1日至2026年6月30日</w:t>
            </w:r>
          </w:p>
          <w:p>
            <w:pPr>
              <w:rPr>
                <w:rFonts w:ascii="仿宋" w:hAnsi="仿宋" w:eastAsia="仿宋"/>
                <w:color w:val="000000"/>
                <w:sz w:val="24"/>
                <w:szCs w:val="24"/>
              </w:rPr>
            </w:pPr>
            <w:r>
              <w:rPr>
                <w:rFonts w:hint="eastAsia" w:ascii="仿宋" w:hAnsi="仿宋" w:eastAsia="仿宋"/>
                <w:b/>
                <w:bCs/>
                <w:color w:val="000000"/>
                <w:sz w:val="24"/>
                <w:szCs w:val="24"/>
              </w:rPr>
              <w:t>服务地点：</w:t>
            </w:r>
            <w:r>
              <w:rPr>
                <w:rFonts w:hint="eastAsia" w:ascii="仿宋" w:hAnsi="仿宋" w:eastAsia="仿宋"/>
                <w:color w:val="000000"/>
                <w:sz w:val="24"/>
                <w:szCs w:val="24"/>
              </w:rPr>
              <w:t>杭州市留和路299号浙江外国语学院内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olor w:val="000000"/>
                <w:sz w:val="24"/>
                <w:szCs w:val="24"/>
              </w:rPr>
            </w:pPr>
            <w:r>
              <w:rPr>
                <w:rFonts w:hint="eastAsia" w:ascii="仿宋" w:hAnsi="仿宋" w:eastAsia="仿宋"/>
                <w:color w:val="000000"/>
                <w:sz w:val="24"/>
                <w:szCs w:val="24"/>
              </w:rPr>
              <w:t>1.中标单位在签订合同后一周内，向采购人提交合同金额1%的履约保证金（该保证金在合同履行完毕，验收完毕，如对服务质量无异议，无息返回）。</w:t>
            </w:r>
          </w:p>
          <w:p>
            <w:pPr>
              <w:rPr>
                <w:rFonts w:ascii="仿宋" w:hAnsi="仿宋" w:eastAsia="仿宋"/>
                <w:b/>
                <w:color w:val="000000"/>
                <w:sz w:val="24"/>
                <w:szCs w:val="24"/>
              </w:rPr>
            </w:pPr>
            <w:r>
              <w:rPr>
                <w:rFonts w:hint="eastAsia" w:ascii="仿宋" w:hAnsi="仿宋" w:eastAsia="仿宋"/>
                <w:color w:val="000000"/>
                <w:sz w:val="24"/>
                <w:szCs w:val="24"/>
              </w:rPr>
              <w:t>2.按季支付，下个季度首月10日由中标方开具发票，7个工作日内采购人以转帐支票的形式支付上个季度服务费用。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违约责任及争议解决方式</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szCs w:val="24"/>
              </w:rPr>
            </w:pPr>
            <w:r>
              <w:rPr>
                <w:rFonts w:hint="eastAsia" w:ascii="仿宋" w:hAnsi="仿宋" w:eastAsia="仿宋"/>
                <w:color w:val="000000"/>
                <w:sz w:val="24"/>
                <w:szCs w:val="24"/>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售</w:t>
            </w:r>
          </w:p>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后</w:t>
            </w:r>
          </w:p>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服务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项目维护计划</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color w:val="000000"/>
                <w:sz w:val="24"/>
                <w:szCs w:val="24"/>
              </w:rPr>
            </w:pPr>
            <w:r>
              <w:rPr>
                <w:rFonts w:hint="eastAsia" w:ascii="仿宋" w:hAnsi="仿宋" w:eastAsia="仿宋" w:cs="仿宋_GB2312"/>
                <w:color w:val="000000"/>
                <w:sz w:val="24"/>
                <w:szCs w:val="24"/>
              </w:rPr>
              <w:t>中标方需根据投标文件中的计划方案履行派驻安保人员的日常管理和考核，组织相关技能培训；与采购方保持密切沟通，在服务场地建立工作联络站，按期向采购方汇报安保人员工作情况。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响应情况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szCs w:val="24"/>
              </w:rPr>
            </w:pPr>
            <w:r>
              <w:rPr>
                <w:rFonts w:hint="eastAsia" w:ascii="仿宋" w:hAnsi="仿宋" w:eastAsia="仿宋"/>
                <w:color w:val="000000"/>
                <w:sz w:val="24"/>
                <w:szCs w:val="24"/>
              </w:rPr>
              <w:t>若遇有重大活动或应急事件，校内保安力量不足，中标单位必须无条件在15分钟内增派人员赶到学校协助处理，附人员支援方案（按50人计）。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技术培训</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szCs w:val="24"/>
              </w:rPr>
            </w:pPr>
            <w:r>
              <w:rPr>
                <w:rFonts w:hint="eastAsia" w:ascii="仿宋" w:hAnsi="仿宋" w:eastAsia="仿宋"/>
                <w:color w:val="000000"/>
                <w:sz w:val="24"/>
                <w:szCs w:val="24"/>
              </w:rPr>
              <w:t>中标单位应按照招标要求和投标文件，结合上级有关单位要求，为派驻的安保人员按期组织业务技能培训考核，并将培训考核结果反馈采购单位，对屡次考核不通过和考核垫底人员进行更换调整。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履约能力</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投标人技术力量情况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olor w:val="000000"/>
                <w:sz w:val="24"/>
                <w:szCs w:val="24"/>
              </w:rPr>
            </w:pPr>
            <w:r>
              <w:rPr>
                <w:rFonts w:hint="eastAsia" w:ascii="仿宋" w:hAnsi="仿宋" w:eastAsia="仿宋"/>
                <w:color w:val="000000"/>
                <w:sz w:val="24"/>
                <w:szCs w:val="24"/>
              </w:rPr>
              <w:t>投标人具有有效的质量管理体系认证证书、环境管理体系认证证书、职业健康与安全管理体系认证证书，每提供一类证书，得1分，最高3分。（投标文件中提供相关复印件，不提供不得分）。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4"/>
                <w:szCs w:val="24"/>
              </w:rPr>
            </w:pPr>
            <w:r>
              <w:rPr>
                <w:rFonts w:hint="eastAsia" w:ascii="仿宋" w:hAnsi="仿宋" w:eastAsia="仿宋" w:cs="仿宋_GB2312"/>
                <w:b/>
                <w:color w:val="000000"/>
                <w:sz w:val="24"/>
                <w:szCs w:val="24"/>
              </w:rPr>
              <w:t>经验或业绩要求</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olor w:val="000000"/>
                <w:sz w:val="24"/>
                <w:szCs w:val="24"/>
              </w:rPr>
            </w:pPr>
            <w:r>
              <w:rPr>
                <w:rFonts w:hint="eastAsia" w:ascii="仿宋" w:hAnsi="仿宋" w:eastAsia="仿宋" w:cs="Times New Roman"/>
                <w:color w:val="000000"/>
                <w:sz w:val="24"/>
                <w:szCs w:val="24"/>
              </w:rPr>
              <w:t>类似项目成功经验。需提供投标截止日前三年内类似项目成功案例合同、中标通知书复印件、项目验收材料，三者缺一不可，一个项目计0.5分，最高得1.5分。</w:t>
            </w:r>
          </w:p>
        </w:tc>
      </w:tr>
    </w:tbl>
    <w:p>
      <w:pPr>
        <w:widowControl/>
        <w:jc w:val="left"/>
        <w:rPr>
          <w:rFonts w:hint="eastAsia" w:hAnsi="宋体"/>
          <w:b/>
          <w:color w:val="000000"/>
          <w:sz w:val="36"/>
          <w:szCs w:val="36"/>
        </w:rPr>
      </w:pPr>
      <w:bookmarkStart w:id="34" w:name="_Toc26308"/>
    </w:p>
    <w:p>
      <w:pPr>
        <w:widowControl/>
        <w:ind w:firstLine="723" w:firstLineChars="200"/>
        <w:rPr>
          <w:rFonts w:hint="eastAsia" w:hAnsi="宋体"/>
          <w:b/>
          <w:color w:val="000000"/>
          <w:sz w:val="36"/>
          <w:szCs w:val="36"/>
        </w:rPr>
      </w:pPr>
    </w:p>
    <w:p>
      <w:pPr>
        <w:widowControl/>
        <w:ind w:firstLine="723" w:firstLineChars="200"/>
        <w:rPr>
          <w:rFonts w:hint="eastAsia" w:hAnsi="宋体"/>
          <w:b/>
          <w:color w:val="000000"/>
          <w:sz w:val="36"/>
          <w:szCs w:val="36"/>
        </w:rPr>
      </w:pPr>
    </w:p>
    <w:p>
      <w:pPr>
        <w:widowControl/>
        <w:ind w:firstLine="723" w:firstLineChars="200"/>
        <w:rPr>
          <w:rFonts w:hint="eastAsia" w:hAnsi="宋体"/>
          <w:b/>
          <w:color w:val="000000"/>
          <w:sz w:val="36"/>
          <w:szCs w:val="36"/>
        </w:rPr>
      </w:pPr>
    </w:p>
    <w:p>
      <w:pPr>
        <w:widowControl/>
        <w:ind w:firstLine="723" w:firstLineChars="200"/>
        <w:rPr>
          <w:rFonts w:hint="eastAsia" w:hAnsi="宋体"/>
          <w:b/>
          <w:color w:val="000000"/>
          <w:sz w:val="36"/>
          <w:szCs w:val="36"/>
        </w:rPr>
      </w:pPr>
    </w:p>
    <w:p>
      <w:pPr>
        <w:widowControl/>
        <w:ind w:firstLine="723" w:firstLineChars="200"/>
        <w:rPr>
          <w:rFonts w:hint="eastAsia" w:hAnsi="宋体"/>
          <w:b/>
          <w:color w:val="000000"/>
          <w:sz w:val="36"/>
          <w:szCs w:val="36"/>
        </w:rPr>
      </w:pPr>
    </w:p>
    <w:p>
      <w:pPr>
        <w:widowControl/>
        <w:ind w:firstLine="723" w:firstLineChars="200"/>
        <w:rPr>
          <w:rFonts w:hAnsi="宋体"/>
          <w:b/>
          <w:color w:val="000000"/>
          <w:sz w:val="36"/>
          <w:szCs w:val="36"/>
        </w:rPr>
      </w:pPr>
      <w:r>
        <w:rPr>
          <w:rFonts w:hint="eastAsia" w:hAnsi="宋体"/>
          <w:b/>
          <w:color w:val="000000"/>
          <w:sz w:val="36"/>
          <w:szCs w:val="36"/>
        </w:rPr>
        <w:t>第五章  浙江省政府采购合同主要条款指引</w:t>
      </w:r>
      <w:bookmarkEnd w:id="31"/>
      <w:bookmarkEnd w:id="34"/>
    </w:p>
    <w:p>
      <w:pPr>
        <w:rPr>
          <w:color w:val="000000"/>
        </w:rPr>
      </w:pPr>
    </w:p>
    <w:p>
      <w:pPr>
        <w:pStyle w:val="31"/>
        <w:snapToGrid w:val="0"/>
        <w:spacing w:before="156" w:after="156"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1"/>
        <w:snapToGrid w:val="0"/>
        <w:spacing w:before="156" w:after="156"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1"/>
        <w:adjustRightInd w:val="0"/>
        <w:snapToGrid w:val="0"/>
        <w:spacing w:before="156" w:after="156"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1890"/>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1"/>
        <w:snapToGrid w:val="0"/>
        <w:spacing w:before="120" w:beforeLines="0" w:after="156"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1"/>
        <w:adjustRightInd w:val="0"/>
        <w:snapToGrid w:val="0"/>
        <w:spacing w:before="156" w:after="156"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156" w:beforeLines="50" w:after="156"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1"/>
        <w:adjustRightInd w:val="0"/>
        <w:snapToGrid w:val="0"/>
        <w:spacing w:before="156" w:after="156"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rPr>
          <w:rFonts w:hint="eastAsia"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w:t>
      </w:r>
    </w:p>
    <w:p>
      <w:pPr>
        <w:pStyle w:val="31"/>
        <w:adjustRightInd w:val="0"/>
        <w:snapToGrid w:val="0"/>
        <w:spacing w:before="156" w:after="156" w:line="460" w:lineRule="exact"/>
        <w:ind w:firstLine="600" w:firstLineChars="200"/>
        <w:rPr>
          <w:rFonts w:hint="eastAsia" w:ascii="仿宋" w:hAnsi="仿宋" w:eastAsia="仿宋"/>
          <w:snapToGrid w:val="0"/>
          <w:color w:val="000000"/>
          <w:sz w:val="30"/>
          <w:szCs w:val="30"/>
        </w:rPr>
      </w:pPr>
      <w:r>
        <w:rPr>
          <w:rFonts w:hint="eastAsia" w:ascii="仿宋" w:hAnsi="仿宋" w:eastAsia="仿宋"/>
          <w:snapToGrid w:val="0"/>
          <w:color w:val="000000"/>
          <w:sz w:val="30"/>
          <w:szCs w:val="30"/>
        </w:rPr>
        <w:t>1.中标单位在签订合同后一周内，向采购人提交合同金额1%的履约保证金（该保证金在合同履行完毕，验收完毕，如对服务质量无异议，无息返回）。</w:t>
      </w:r>
    </w:p>
    <w:p>
      <w:pPr>
        <w:pStyle w:val="31"/>
        <w:adjustRightInd w:val="0"/>
        <w:snapToGrid w:val="0"/>
        <w:spacing w:before="156" w:after="156" w:line="460" w:lineRule="exact"/>
        <w:ind w:firstLine="600" w:firstLineChars="200"/>
        <w:rPr>
          <w:rFonts w:hint="eastAsia" w:ascii="仿宋" w:hAnsi="仿宋" w:eastAsia="仿宋"/>
          <w:snapToGrid w:val="0"/>
          <w:color w:val="000000"/>
          <w:sz w:val="30"/>
          <w:szCs w:val="30"/>
        </w:rPr>
      </w:pPr>
      <w:r>
        <w:rPr>
          <w:rFonts w:hint="eastAsia" w:ascii="仿宋" w:hAnsi="仿宋" w:eastAsia="仿宋"/>
          <w:snapToGrid w:val="0"/>
          <w:color w:val="000000"/>
          <w:sz w:val="30"/>
          <w:szCs w:val="30"/>
        </w:rPr>
        <w:t>2.按季支付，下个季度首月10日由中标方开具正规发票，7个工作日内采购人以转帐支票的形式支付上个季度服务费用。</w:t>
      </w:r>
    </w:p>
    <w:p>
      <w:pPr>
        <w:adjustRightInd w:val="0"/>
        <w:snapToGrid w:val="0"/>
        <w:spacing w:before="156" w:beforeLines="50" w:after="156"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56" w:beforeLines="50" w:after="156"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1.合同经甲、乙两方签名并加盖单位公章或合同专用章后生效。</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1"/>
        <w:adjustRightInd w:val="0"/>
        <w:snapToGrid w:val="0"/>
        <w:spacing w:before="120" w:beforeLines="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31"/>
        <w:spacing w:before="156" w:after="156"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35" w:name="_Toc22013"/>
      <w:r>
        <w:rPr>
          <w:rFonts w:hint="eastAsia" w:hAnsi="宋体"/>
          <w:b/>
          <w:color w:val="000000"/>
          <w:sz w:val="36"/>
          <w:szCs w:val="36"/>
        </w:rPr>
        <w:t>第六章  投标文件格式附件</w:t>
      </w:r>
      <w:bookmarkEnd w:id="35"/>
    </w:p>
    <w:p>
      <w:pPr>
        <w:pStyle w:val="31"/>
        <w:spacing w:before="156" w:after="156" w:line="360" w:lineRule="auto"/>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snapToGrid w:val="0"/>
        <w:spacing w:before="156" w:beforeLines="50" w:after="50"/>
        <w:rPr>
          <w:rFonts w:hint="eastAsia" w:ascii="仿宋" w:hAnsi="仿宋" w:eastAsia="仿宋"/>
          <w:color w:val="000000"/>
          <w:sz w:val="30"/>
          <w:szCs w:val="30"/>
        </w:rPr>
      </w:pPr>
    </w:p>
    <w:p>
      <w:pPr>
        <w:snapToGrid w:val="0"/>
        <w:spacing w:before="156"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color w:val="000000"/>
          <w:sz w:val="36"/>
          <w:szCs w:val="36"/>
        </w:rPr>
      </w:pPr>
      <w:bookmarkStart w:id="36" w:name="PO_1000000445_PM002_2"/>
      <w:r>
        <w:rPr>
          <w:rFonts w:hint="eastAsia" w:ascii="仿宋" w:hAnsi="仿宋" w:eastAsia="仿宋"/>
          <w:b/>
          <w:color w:val="000000"/>
          <w:spacing w:val="40"/>
          <w:sz w:val="52"/>
          <w:szCs w:val="52"/>
        </w:rPr>
        <w:t>浙江外国语学院2024-2026年校园安保服务项目</w:t>
      </w:r>
      <w:bookmarkEnd w:id="36"/>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7" w:name="PO_15528_PM001_2"/>
      <w:r>
        <w:rPr>
          <w:rFonts w:hint="eastAsia" w:ascii="仿宋" w:hAnsi="仿宋" w:eastAsia="仿宋"/>
          <w:color w:val="000000"/>
          <w:sz w:val="36"/>
          <w:szCs w:val="36"/>
        </w:rPr>
        <w:t>ZZCG2024T-GK-119</w:t>
      </w:r>
      <w:bookmarkEnd w:id="37"/>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hint="eastAsia" w:ascii="仿宋" w:hAnsi="仿宋" w:eastAsia="仿宋"/>
          <w:b/>
          <w:bCs/>
          <w:sz w:val="30"/>
          <w:szCs w:val="30"/>
        </w:rPr>
      </w:pPr>
    </w:p>
    <w:p>
      <w:pPr>
        <w:widowControl/>
        <w:jc w:val="left"/>
        <w:rPr>
          <w:rFonts w:hint="eastAsia" w:ascii="仿宋" w:hAnsi="仿宋" w:eastAsia="仿宋"/>
          <w:b/>
          <w:bCs/>
          <w:sz w:val="30"/>
          <w:szCs w:val="30"/>
        </w:rPr>
      </w:pPr>
    </w:p>
    <w:p>
      <w:pPr>
        <w:widowControl/>
        <w:jc w:val="left"/>
        <w:rPr>
          <w:rFonts w:hint="eastAsia" w:ascii="仿宋" w:hAnsi="仿宋" w:eastAsia="仿宋"/>
          <w:b/>
          <w:bCs/>
          <w:sz w:val="30"/>
          <w:szCs w:val="30"/>
        </w:rPr>
      </w:pPr>
    </w:p>
    <w:p>
      <w:pPr>
        <w:widowControl/>
        <w:jc w:val="left"/>
        <w:rPr>
          <w:rFonts w:hint="eastAsia" w:ascii="仿宋" w:hAnsi="仿宋" w:eastAsia="仿宋"/>
          <w:b/>
          <w:bCs/>
          <w:sz w:val="30"/>
          <w:szCs w:val="30"/>
        </w:rPr>
      </w:pPr>
    </w:p>
    <w:p>
      <w:pPr>
        <w:widowControl/>
        <w:jc w:val="left"/>
        <w:rPr>
          <w:rFonts w:hint="eastAsia" w:ascii="仿宋" w:hAnsi="仿宋" w:eastAsia="仿宋"/>
          <w:b/>
          <w:bCs/>
          <w:sz w:val="30"/>
          <w:szCs w:val="30"/>
        </w:rPr>
      </w:pPr>
    </w:p>
    <w:p>
      <w:pPr>
        <w:widowControl/>
        <w:jc w:val="left"/>
        <w:rPr>
          <w:rFonts w:hint="eastAsia" w:ascii="仿宋" w:hAnsi="仿宋" w:eastAsia="仿宋"/>
          <w:b/>
          <w:bCs/>
          <w:sz w:val="30"/>
          <w:szCs w:val="30"/>
        </w:rPr>
      </w:pPr>
    </w:p>
    <w:p>
      <w:pPr>
        <w:widowControl/>
        <w:jc w:val="left"/>
        <w:rPr>
          <w:rFonts w:hint="eastAsia" w:ascii="仿宋" w:hAnsi="仿宋" w:eastAsia="仿宋"/>
          <w:b/>
          <w:bCs/>
          <w:sz w:val="30"/>
          <w:szCs w:val="30"/>
        </w:rPr>
      </w:pPr>
    </w:p>
    <w:p>
      <w:pPr>
        <w:widowControl/>
        <w:jc w:val="left"/>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156"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Cs w:val="21"/>
        </w:rPr>
      </w:pPr>
      <w:r>
        <w:rPr>
          <w:rFonts w:hint="eastAsia" w:ascii="仿宋" w:hAnsi="仿宋" w:eastAsia="仿宋"/>
          <w:b/>
          <w:szCs w:val="21"/>
        </w:rPr>
        <w:t>声 明 书</w:t>
      </w:r>
    </w:p>
    <w:p>
      <w:pPr>
        <w:snapToGrid w:val="0"/>
        <w:spacing w:before="156" w:beforeLines="50" w:after="50" w:line="460" w:lineRule="exact"/>
        <w:rPr>
          <w:rFonts w:ascii="仿宋" w:hAnsi="仿宋" w:eastAsia="仿宋"/>
          <w:szCs w:val="21"/>
        </w:rPr>
      </w:pPr>
      <w:r>
        <w:rPr>
          <w:rFonts w:hint="eastAsia" w:ascii="仿宋" w:hAnsi="仿宋" w:eastAsia="仿宋"/>
          <w:szCs w:val="21"/>
        </w:rPr>
        <w:t>致浙江省政府采购中心：</w:t>
      </w:r>
    </w:p>
    <w:p>
      <w:pPr>
        <w:snapToGrid w:val="0"/>
        <w:spacing w:before="156" w:beforeLines="50" w:after="50" w:line="460" w:lineRule="exact"/>
        <w:ind w:firstLine="420" w:firstLineChars="200"/>
        <w:rPr>
          <w:rFonts w:ascii="仿宋" w:hAnsi="仿宋" w:eastAsia="仿宋"/>
          <w:szCs w:val="21"/>
        </w:rPr>
      </w:pPr>
      <w:r>
        <w:rPr>
          <w:rFonts w:hint="eastAsia" w:ascii="仿宋" w:hAnsi="仿宋" w:eastAsia="仿宋"/>
          <w:szCs w:val="21"/>
        </w:rPr>
        <w:t>我方愿意参加贵方组织的</w:t>
      </w:r>
      <w:bookmarkStart w:id="38" w:name="PO_3000002632_PM002"/>
      <w:r>
        <w:rPr>
          <w:rFonts w:hint="eastAsia" w:ascii="仿宋" w:hAnsi="仿宋" w:eastAsia="仿宋"/>
          <w:b/>
          <w:szCs w:val="21"/>
          <w:u w:val="single"/>
        </w:rPr>
        <w:t>浙江外国语学院2024-2026年校园安保服务项目</w:t>
      </w:r>
      <w:bookmarkEnd w:id="38"/>
      <w:r>
        <w:rPr>
          <w:rFonts w:hint="eastAsia" w:ascii="仿宋" w:hAnsi="仿宋" w:eastAsia="仿宋"/>
          <w:szCs w:val="21"/>
          <w:u w:val="single"/>
        </w:rPr>
        <w:t>（编号为</w:t>
      </w:r>
      <w:bookmarkStart w:id="39" w:name="PO_15528_PM001_3"/>
      <w:r>
        <w:rPr>
          <w:rFonts w:hint="eastAsia" w:ascii="仿宋" w:hAnsi="仿宋" w:eastAsia="仿宋"/>
          <w:szCs w:val="21"/>
          <w:u w:val="single"/>
        </w:rPr>
        <w:t>ZZCG2024T-GK-119</w:t>
      </w:r>
      <w:bookmarkEnd w:id="39"/>
      <w:r>
        <w:rPr>
          <w:rFonts w:hint="eastAsia" w:ascii="仿宋" w:hAnsi="仿宋" w:eastAsia="仿宋"/>
          <w:szCs w:val="21"/>
          <w:u w:val="single"/>
        </w:rPr>
        <w:t>）</w:t>
      </w:r>
      <w:r>
        <w:rPr>
          <w:rFonts w:hint="eastAsia" w:ascii="仿宋" w:hAnsi="仿宋" w:eastAsia="仿宋"/>
          <w:szCs w:val="21"/>
        </w:rPr>
        <w:t>的投标，为此，我方就本次投标有关事项郑重声明如下：</w:t>
      </w:r>
    </w:p>
    <w:p>
      <w:pPr>
        <w:snapToGrid w:val="0"/>
        <w:spacing w:before="156" w:beforeLines="50" w:after="50" w:line="460" w:lineRule="exact"/>
        <w:ind w:firstLine="420" w:firstLineChars="200"/>
        <w:rPr>
          <w:rFonts w:ascii="仿宋" w:hAnsi="仿宋" w:eastAsia="仿宋"/>
          <w:szCs w:val="21"/>
        </w:rPr>
      </w:pPr>
      <w:r>
        <w:rPr>
          <w:rFonts w:hint="eastAsia" w:ascii="仿宋" w:hAnsi="仿宋" w:eastAsia="仿宋"/>
          <w:szCs w:val="21"/>
        </w:rPr>
        <w:t>1.我方已详细审查全部招标文件，同意招标文件的各项要求。</w:t>
      </w:r>
    </w:p>
    <w:p>
      <w:pPr>
        <w:snapToGrid w:val="0"/>
        <w:spacing w:before="156" w:beforeLines="50" w:after="50" w:line="460" w:lineRule="exact"/>
        <w:ind w:firstLine="420" w:firstLineChars="200"/>
        <w:rPr>
          <w:rFonts w:ascii="仿宋" w:hAnsi="仿宋" w:eastAsia="仿宋"/>
          <w:szCs w:val="21"/>
        </w:rPr>
      </w:pPr>
      <w:r>
        <w:rPr>
          <w:rFonts w:hint="eastAsia" w:ascii="仿宋" w:hAnsi="仿宋" w:eastAsia="仿宋"/>
          <w:szCs w:val="21"/>
        </w:rPr>
        <w:t>2.我方向贵方提交的所有投标文件、资料都是准确的和真实的。</w:t>
      </w:r>
    </w:p>
    <w:p>
      <w:pPr>
        <w:snapToGrid w:val="0"/>
        <w:spacing w:before="156" w:beforeLines="50" w:after="50" w:line="460" w:lineRule="exact"/>
        <w:ind w:firstLine="420" w:firstLineChars="200"/>
        <w:rPr>
          <w:rFonts w:ascii="仿宋" w:hAnsi="仿宋" w:eastAsia="仿宋"/>
          <w:szCs w:val="21"/>
        </w:rPr>
      </w:pPr>
      <w:r>
        <w:rPr>
          <w:rFonts w:hint="eastAsia" w:ascii="仿宋" w:hAnsi="仿宋" w:eastAsia="仿宋"/>
          <w:szCs w:val="21"/>
        </w:rPr>
        <w:t>3.若中标，我方将按招标文件规定履行合同责任和义务。</w:t>
      </w:r>
    </w:p>
    <w:p>
      <w:pPr>
        <w:snapToGrid w:val="0"/>
        <w:spacing w:before="156" w:beforeLines="50" w:after="50" w:line="460" w:lineRule="exact"/>
        <w:ind w:firstLine="420" w:firstLineChars="200"/>
        <w:rPr>
          <w:rFonts w:ascii="仿宋" w:hAnsi="仿宋" w:eastAsia="仿宋"/>
          <w:szCs w:val="21"/>
        </w:rPr>
      </w:pPr>
      <w:r>
        <w:rPr>
          <w:rFonts w:hint="eastAsia" w:ascii="仿宋" w:hAnsi="仿宋" w:eastAsia="仿宋"/>
          <w:szCs w:val="21"/>
        </w:rPr>
        <w:t>4.我方不是采购人的附属机构；在获知本项目采购信息后，与采购人聘请的为此项目提供咨询服务的公司及其附属机构没有任何联系。</w:t>
      </w:r>
    </w:p>
    <w:p>
      <w:pPr>
        <w:snapToGrid w:val="0"/>
        <w:spacing w:before="156" w:beforeLines="50" w:after="50" w:line="460" w:lineRule="exact"/>
        <w:ind w:firstLine="420" w:firstLineChars="200"/>
        <w:rPr>
          <w:rFonts w:ascii="仿宋" w:hAnsi="仿宋" w:eastAsia="仿宋"/>
          <w:szCs w:val="21"/>
        </w:rPr>
      </w:pPr>
      <w:r>
        <w:rPr>
          <w:rFonts w:hint="eastAsia" w:ascii="仿宋" w:hAnsi="仿宋" w:eastAsia="仿宋"/>
          <w:szCs w:val="21"/>
        </w:rPr>
        <w:t>5.投标文件自开标日起有效期为90天。</w:t>
      </w:r>
    </w:p>
    <w:p>
      <w:pPr>
        <w:snapToGrid w:val="0"/>
        <w:spacing w:line="460" w:lineRule="exact"/>
        <w:ind w:firstLine="413" w:firstLineChars="196"/>
        <w:jc w:val="left"/>
        <w:rPr>
          <w:rFonts w:ascii="仿宋" w:hAnsi="仿宋" w:eastAsia="仿宋"/>
          <w:b/>
          <w:szCs w:val="21"/>
        </w:rPr>
      </w:pPr>
      <w:r>
        <w:rPr>
          <w:rFonts w:hint="eastAsia" w:ascii="仿宋" w:hAnsi="仿宋" w:eastAsia="仿宋"/>
          <w:b/>
          <w:szCs w:val="21"/>
        </w:rPr>
        <w:t>6.我方承诺已经具备参与政府采购活动的资格条件；</w:t>
      </w:r>
      <w:r>
        <w:rPr>
          <w:rFonts w:ascii="仿宋" w:hAnsi="仿宋" w:eastAsia="仿宋"/>
          <w:b/>
          <w:szCs w:val="21"/>
        </w:rPr>
        <w:t>具有良好的商业信誉和健全的财务会计制度</w:t>
      </w:r>
      <w:r>
        <w:rPr>
          <w:rFonts w:hint="eastAsia" w:ascii="仿宋" w:hAnsi="仿宋" w:eastAsia="仿宋"/>
          <w:b/>
          <w:szCs w:val="21"/>
        </w:rPr>
        <w:t>；</w:t>
      </w:r>
      <w:r>
        <w:rPr>
          <w:rFonts w:ascii="仿宋" w:hAnsi="仿宋" w:eastAsia="仿宋"/>
          <w:b/>
          <w:szCs w:val="21"/>
        </w:rPr>
        <w:t>有依法缴纳税收和社会保障资金的良好记录；参加政府采购活动前三年内，在经营活动中没有重大违法记录</w:t>
      </w:r>
      <w:r>
        <w:rPr>
          <w:rFonts w:hint="eastAsia" w:ascii="仿宋" w:hAnsi="仿宋" w:eastAsia="仿宋"/>
          <w:b/>
          <w:szCs w:val="21"/>
        </w:rPr>
        <w:t>。</w:t>
      </w:r>
    </w:p>
    <w:p>
      <w:pPr>
        <w:snapToGrid w:val="0"/>
        <w:spacing w:before="156" w:beforeLines="50" w:after="50" w:line="460" w:lineRule="exact"/>
        <w:ind w:firstLine="420" w:firstLineChars="200"/>
        <w:rPr>
          <w:rFonts w:ascii="仿宋" w:hAnsi="仿宋" w:eastAsia="仿宋"/>
          <w:szCs w:val="21"/>
        </w:rPr>
      </w:pPr>
      <w:r>
        <w:rPr>
          <w:rFonts w:hint="eastAsia" w:ascii="仿宋" w:hAnsi="仿宋" w:eastAsia="仿宋"/>
          <w:szCs w:val="21"/>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460" w:lineRule="exact"/>
        <w:ind w:firstLine="420" w:firstLineChars="200"/>
        <w:rPr>
          <w:rFonts w:ascii="仿宋" w:hAnsi="仿宋" w:eastAsia="仿宋"/>
          <w:szCs w:val="21"/>
        </w:rPr>
      </w:pPr>
      <w:r>
        <w:rPr>
          <w:rFonts w:hint="eastAsia" w:ascii="仿宋" w:hAnsi="仿宋" w:eastAsia="仿宋"/>
          <w:szCs w:val="21"/>
        </w:rPr>
        <w:t>8</w:t>
      </w:r>
      <w:r>
        <w:rPr>
          <w:rFonts w:ascii="仿宋" w:hAnsi="仿宋" w:eastAsia="仿宋"/>
          <w:szCs w:val="21"/>
        </w:rPr>
        <w:t>.</w:t>
      </w:r>
      <w:r>
        <w:rPr>
          <w:rFonts w:hint="eastAsia" w:ascii="仿宋" w:hAnsi="仿宋" w:eastAsia="仿宋"/>
          <w:szCs w:val="21"/>
        </w:rPr>
        <w:t>我方不存在</w:t>
      </w:r>
      <w:r>
        <w:rPr>
          <w:rFonts w:ascii="仿宋" w:hAnsi="仿宋" w:eastAsia="仿宋"/>
          <w:szCs w:val="21"/>
        </w:rPr>
        <w:t>单位负责人为同一人或者存在直接控股、管理关系的不同供应商， 参加同一合同项下的政府采购活动</w:t>
      </w:r>
      <w:r>
        <w:rPr>
          <w:rFonts w:hint="eastAsia" w:ascii="仿宋" w:hAnsi="仿宋" w:eastAsia="仿宋"/>
          <w:szCs w:val="21"/>
        </w:rPr>
        <w:t>的情况</w:t>
      </w:r>
      <w:r>
        <w:rPr>
          <w:rFonts w:ascii="仿宋" w:hAnsi="仿宋" w:eastAsia="仿宋"/>
          <w:szCs w:val="21"/>
        </w:rPr>
        <w:t>。</w:t>
      </w:r>
    </w:p>
    <w:p>
      <w:pPr>
        <w:snapToGrid w:val="0"/>
        <w:spacing w:before="156" w:beforeLines="50" w:after="50" w:line="460" w:lineRule="exact"/>
        <w:ind w:firstLine="420" w:firstLineChars="200"/>
        <w:rPr>
          <w:rFonts w:ascii="仿宋" w:hAnsi="仿宋" w:eastAsia="仿宋"/>
          <w:szCs w:val="21"/>
        </w:rPr>
      </w:pPr>
      <w:r>
        <w:rPr>
          <w:rFonts w:hint="eastAsia" w:ascii="仿宋" w:hAnsi="仿宋" w:eastAsia="仿宋"/>
          <w:szCs w:val="21"/>
        </w:rPr>
        <w:t>9</w:t>
      </w:r>
      <w:r>
        <w:rPr>
          <w:rFonts w:ascii="仿宋" w:hAnsi="仿宋" w:eastAsia="仿宋"/>
          <w:szCs w:val="21"/>
        </w:rPr>
        <w:t>.</w:t>
      </w:r>
      <w:r>
        <w:rPr>
          <w:rFonts w:hint="eastAsia" w:ascii="仿宋" w:hAnsi="仿宋" w:eastAsia="仿宋"/>
          <w:szCs w:val="21"/>
        </w:rPr>
        <w:t>我方不存在</w:t>
      </w:r>
      <w:r>
        <w:rPr>
          <w:rFonts w:ascii="仿宋" w:hAnsi="仿宋" w:eastAsia="仿宋"/>
          <w:szCs w:val="21"/>
        </w:rPr>
        <w:t>为采购项目提供整体设计、规范编制或者项目管理、监理、检测等服务</w:t>
      </w:r>
      <w:r>
        <w:rPr>
          <w:rFonts w:hint="eastAsia" w:ascii="仿宋" w:hAnsi="仿宋" w:eastAsia="仿宋"/>
          <w:szCs w:val="21"/>
        </w:rPr>
        <w:t>后</w:t>
      </w:r>
      <w:r>
        <w:rPr>
          <w:rFonts w:ascii="仿宋" w:hAnsi="仿宋" w:eastAsia="仿宋"/>
          <w:szCs w:val="21"/>
        </w:rPr>
        <w:t>再参加该采购项目的其他采购活动</w:t>
      </w:r>
      <w:r>
        <w:rPr>
          <w:rFonts w:hint="eastAsia" w:ascii="仿宋" w:hAnsi="仿宋" w:eastAsia="仿宋"/>
          <w:szCs w:val="21"/>
        </w:rPr>
        <w:t>的情况</w:t>
      </w:r>
      <w:r>
        <w:rPr>
          <w:rFonts w:ascii="仿宋" w:hAnsi="仿宋" w:eastAsia="仿宋"/>
          <w:szCs w:val="21"/>
        </w:rPr>
        <w:t>。</w:t>
      </w:r>
    </w:p>
    <w:p>
      <w:pPr>
        <w:snapToGrid w:val="0"/>
        <w:spacing w:before="156" w:beforeLines="50" w:after="50" w:line="460" w:lineRule="exact"/>
        <w:ind w:firstLine="420" w:firstLineChars="200"/>
        <w:rPr>
          <w:rFonts w:ascii="仿宋" w:hAnsi="仿宋" w:eastAsia="仿宋"/>
          <w:szCs w:val="21"/>
        </w:rPr>
      </w:pPr>
      <w:r>
        <w:rPr>
          <w:rFonts w:ascii="仿宋" w:hAnsi="仿宋" w:eastAsia="仿宋"/>
          <w:szCs w:val="21"/>
        </w:rPr>
        <w:t>10</w:t>
      </w:r>
      <w:r>
        <w:rPr>
          <w:rFonts w:hint="eastAsia" w:ascii="仿宋" w:hAnsi="仿宋" w:eastAsia="仿宋"/>
          <w:szCs w:val="21"/>
        </w:rPr>
        <w:t>.以上事项如有虚假或隐瞒，我方愿意承担一切后果，并不再寻求任何旨在减轻或免除法律责任的辩解。</w:t>
      </w:r>
    </w:p>
    <w:p>
      <w:pPr>
        <w:snapToGrid w:val="0"/>
        <w:spacing w:before="156" w:beforeLines="50" w:after="50" w:line="460" w:lineRule="exact"/>
        <w:ind w:right="600" w:firstLine="105" w:firstLineChars="50"/>
        <w:rPr>
          <w:rFonts w:ascii="仿宋" w:hAnsi="仿宋" w:eastAsia="仿宋"/>
          <w:szCs w:val="21"/>
        </w:rPr>
      </w:pPr>
    </w:p>
    <w:p>
      <w:pPr>
        <w:snapToGrid w:val="0"/>
        <w:spacing w:before="156" w:beforeLines="50" w:after="50" w:line="460" w:lineRule="exact"/>
        <w:ind w:right="600"/>
        <w:rPr>
          <w:rFonts w:ascii="仿宋" w:hAnsi="仿宋" w:eastAsia="仿宋"/>
          <w:szCs w:val="21"/>
          <w:u w:val="single"/>
        </w:rPr>
      </w:pPr>
      <w:r>
        <w:rPr>
          <w:rFonts w:hint="eastAsia" w:ascii="仿宋" w:hAnsi="仿宋" w:eastAsia="仿宋"/>
          <w:szCs w:val="21"/>
        </w:rPr>
        <w:t>投标人全称（公章）：</w:t>
      </w:r>
      <w:r>
        <w:rPr>
          <w:rFonts w:hint="eastAsia" w:ascii="仿宋" w:hAnsi="仿宋" w:eastAsia="仿宋"/>
          <w:szCs w:val="21"/>
          <w:u w:val="single"/>
        </w:rPr>
        <w:t xml:space="preserve">          </w:t>
      </w:r>
      <w:r>
        <w:rPr>
          <w:rFonts w:hint="eastAsia" w:ascii="仿宋" w:hAnsi="仿宋" w:eastAsia="仿宋"/>
          <w:szCs w:val="21"/>
        </w:rPr>
        <w:t>日 期：</w:t>
      </w:r>
      <w:r>
        <w:rPr>
          <w:rFonts w:hint="eastAsia" w:ascii="仿宋" w:hAnsi="仿宋" w:eastAsia="仿宋"/>
          <w:szCs w:val="21"/>
          <w:u w:val="single"/>
        </w:rPr>
        <w:t xml:space="preserve">      </w:t>
      </w:r>
    </w:p>
    <w:p>
      <w:pPr>
        <w:snapToGrid w:val="0"/>
        <w:spacing w:before="156" w:beforeLines="50" w:after="50" w:line="460" w:lineRule="exact"/>
        <w:rPr>
          <w:rFonts w:ascii="仿宋" w:hAnsi="仿宋" w:eastAsia="仿宋"/>
          <w:sz w:val="30"/>
          <w:szCs w:val="30"/>
        </w:rPr>
      </w:pPr>
      <w:r>
        <w:rPr>
          <w:rFonts w:hint="eastAsia" w:ascii="仿宋" w:hAnsi="仿宋" w:eastAsia="仿宋"/>
          <w:kern w:val="0"/>
          <w:szCs w:val="21"/>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56" w:beforeLines="50" w:after="50"/>
        <w:jc w:val="center"/>
        <w:rPr>
          <w:rFonts w:ascii="仿宋" w:hAnsi="仿宋" w:eastAsia="仿宋"/>
          <w:b/>
          <w:sz w:val="30"/>
          <w:szCs w:val="30"/>
        </w:rPr>
      </w:pPr>
    </w:p>
    <w:p>
      <w:pPr>
        <w:snapToGrid w:val="0"/>
        <w:spacing w:before="156"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56"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40" w:name="PO_3000002632_PM002_1"/>
      <w:r>
        <w:rPr>
          <w:rFonts w:hint="eastAsia" w:ascii="仿宋" w:hAnsi="仿宋" w:eastAsia="仿宋"/>
          <w:b/>
          <w:sz w:val="30"/>
          <w:szCs w:val="30"/>
          <w:u w:val="single"/>
        </w:rPr>
        <w:t>浙江外国语学院2024-2026年校园安保服务项目</w:t>
      </w:r>
      <w:bookmarkEnd w:id="40"/>
      <w:r>
        <w:rPr>
          <w:rFonts w:hint="eastAsia" w:ascii="仿宋" w:hAnsi="仿宋" w:eastAsia="仿宋"/>
          <w:sz w:val="30"/>
          <w:szCs w:val="30"/>
        </w:rPr>
        <w:t xml:space="preserve"> 项目编号：</w:t>
      </w:r>
      <w:bookmarkStart w:id="41" w:name="PO_3000002632_PM001"/>
      <w:r>
        <w:rPr>
          <w:rFonts w:hint="eastAsia" w:ascii="仿宋" w:hAnsi="仿宋" w:eastAsia="仿宋"/>
          <w:b/>
          <w:sz w:val="30"/>
          <w:szCs w:val="30"/>
          <w:u w:val="single"/>
        </w:rPr>
        <w:t>ZZCG2024T-GK-119</w:t>
      </w:r>
      <w:bookmarkEnd w:id="41"/>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56" w:beforeLines="50" w:after="50" w:line="460" w:lineRule="exact"/>
        <w:ind w:firstLine="48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56" w:beforeLines="50" w:after="50" w:line="460" w:lineRule="exact"/>
        <w:ind w:firstLine="6150" w:firstLineChars="2050"/>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ascii="仿宋" w:hAnsi="仿宋" w:eastAsia="仿宋"/>
          <w:b/>
          <w:spacing w:val="40"/>
          <w:kern w:val="0"/>
          <w:sz w:val="30"/>
          <w:szCs w:val="30"/>
        </w:rPr>
      </w:pPr>
      <w:r>
        <w:rPr>
          <w:rFonts w:hint="eastAsia" w:ascii="仿宋" w:hAnsi="仿宋" w:eastAsia="仿宋"/>
          <w:sz w:val="30"/>
          <w:szCs w:val="30"/>
        </w:rPr>
        <w:t xml:space="preserve">附件4：            </w:t>
      </w: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2" w:name="PO_3000002632_PM001_1"/>
      <w:r>
        <w:rPr>
          <w:rFonts w:hint="eastAsia" w:ascii="仿宋" w:hAnsi="仿宋" w:eastAsia="仿宋"/>
          <w:b/>
          <w:sz w:val="30"/>
          <w:szCs w:val="30"/>
          <w:u w:val="single"/>
        </w:rPr>
        <w:t>ZZCG2024T-GK-119</w:t>
      </w:r>
      <w:bookmarkEnd w:id="42"/>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rPr>
          <w:jc w:val="center"/>
        </w:trPr>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56"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rPr>
          <w:jc w:val="center"/>
        </w:trPr>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r>
        <w:rPr>
          <w:rFonts w:hint="eastAsia" w:ascii="仿宋" w:hAnsi="仿宋" w:eastAsia="仿宋"/>
          <w:b/>
          <w:kern w:val="0"/>
          <w:sz w:val="36"/>
          <w:szCs w:val="36"/>
        </w:rPr>
        <w:t xml:space="preserve">        </w:t>
      </w: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pgSz w:w="11906" w:h="16838"/>
          <w:pgMar w:top="1440" w:right="1800" w:bottom="1440" w:left="1800" w:header="851" w:footer="992" w:gutter="0"/>
          <w:cols w:space="720" w:num="1"/>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color w:val="000000"/>
          <w:sz w:val="30"/>
          <w:szCs w:val="30"/>
        </w:rPr>
      </w:pPr>
      <w:r>
        <w:rPr>
          <w:rFonts w:hint="eastAsia" w:ascii="仿宋" w:hAnsi="仿宋" w:eastAsia="仿宋"/>
          <w:color w:val="000000"/>
          <w:kern w:val="0"/>
          <w:sz w:val="30"/>
          <w:szCs w:val="30"/>
        </w:rPr>
        <w:br w:type="page"/>
      </w: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center"/>
        <w:rPr>
          <w:rFonts w:hint="eastAsia" w:ascii="仿宋" w:hAnsi="仿宋" w:eastAsia="仿宋"/>
          <w:b/>
          <w:color w:val="000000"/>
          <w:spacing w:val="40"/>
          <w:sz w:val="52"/>
          <w:szCs w:val="52"/>
        </w:rPr>
      </w:pPr>
      <w:bookmarkStart w:id="43" w:name="PO_1000000445_PM002"/>
      <w:r>
        <w:rPr>
          <w:rFonts w:hint="eastAsia" w:ascii="仿宋" w:hAnsi="仿宋" w:eastAsia="仿宋"/>
          <w:b/>
          <w:color w:val="000000"/>
          <w:spacing w:val="40"/>
          <w:sz w:val="52"/>
          <w:szCs w:val="52"/>
        </w:rPr>
        <w:t>浙江外国语学院2024-2026年校园安保服务项目</w:t>
      </w:r>
      <w:bookmarkEnd w:id="43"/>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4" w:name="PO_15528_PM001_4"/>
      <w:r>
        <w:rPr>
          <w:rFonts w:hint="eastAsia" w:ascii="仿宋" w:hAnsi="仿宋" w:eastAsia="仿宋"/>
          <w:color w:val="000000"/>
          <w:sz w:val="36"/>
          <w:szCs w:val="36"/>
        </w:rPr>
        <w:t>ZZCG2024T-GK-119</w:t>
      </w:r>
      <w:bookmarkEnd w:id="44"/>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3" w:type="default"/>
          <w:pgSz w:w="11906" w:h="16838"/>
          <w:pgMar w:top="1474" w:right="1797" w:bottom="1247" w:left="1797" w:header="851" w:footer="851" w:gutter="0"/>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sectPr>
      </w:pPr>
    </w:p>
    <w:p>
      <w:pPr>
        <w:snapToGrid w:val="0"/>
        <w:spacing w:before="156"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312" w:beforeLines="100" w:line="240" w:lineRule="atLeast"/>
        <w:jc w:val="center"/>
        <w:rPr>
          <w:rFonts w:hint="eastAsia" w:ascii="仿宋" w:hAnsi="仿宋" w:eastAsia="仿宋"/>
          <w:b/>
          <w:color w:val="000000"/>
          <w:spacing w:val="40"/>
          <w:sz w:val="52"/>
          <w:szCs w:val="52"/>
        </w:rPr>
      </w:pPr>
      <w:bookmarkStart w:id="45" w:name="PO_1000000445_PM002_1"/>
      <w:r>
        <w:rPr>
          <w:rFonts w:hint="eastAsia" w:ascii="仿宋" w:hAnsi="仿宋" w:eastAsia="仿宋"/>
          <w:b/>
          <w:color w:val="000000"/>
          <w:spacing w:val="40"/>
          <w:sz w:val="52"/>
          <w:szCs w:val="52"/>
        </w:rPr>
        <w:t>浙江外国语学院2024-2026年校园安保服务项目</w:t>
      </w:r>
      <w:bookmarkEnd w:id="45"/>
    </w:p>
    <w:p>
      <w:pPr>
        <w:spacing w:before="312"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6" w:name="PO_1000000445_PM001"/>
      <w:r>
        <w:rPr>
          <w:rFonts w:hint="eastAsia" w:ascii="仿宋" w:hAnsi="仿宋" w:eastAsia="仿宋"/>
          <w:b/>
          <w:color w:val="000000"/>
          <w:sz w:val="36"/>
          <w:szCs w:val="36"/>
        </w:rPr>
        <w:t>ZZCG2024T-GK-119</w:t>
      </w:r>
      <w:bookmarkEnd w:id="46"/>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snapToGrid w:val="0"/>
        <w:spacing w:line="460" w:lineRule="exact"/>
        <w:jc w:val="left"/>
        <w:rPr>
          <w:rFonts w:ascii="仿宋" w:hAnsi="仿宋" w:eastAsia="仿宋"/>
        </w:rPr>
      </w:pPr>
      <w:r>
        <w:rPr>
          <w:rFonts w:hint="eastAsia" w:ascii="仿宋" w:hAnsi="仿宋" w:eastAsia="仿宋"/>
          <w:sz w:val="30"/>
          <w:szCs w:val="30"/>
        </w:rPr>
        <w:t>（3）中小企业声明函（若需要，格式见附件7）；</w:t>
      </w:r>
    </w:p>
    <w:p>
      <w:pPr>
        <w:snapToGrid w:val="0"/>
        <w:spacing w:line="460" w:lineRule="exact"/>
        <w:jc w:val="left"/>
        <w:rPr>
          <w:rFonts w:ascii="仿宋" w:hAnsi="仿宋" w:eastAsia="仿宋"/>
          <w:sz w:val="30"/>
          <w:szCs w:val="30"/>
        </w:rPr>
      </w:pPr>
      <w:r>
        <w:rPr>
          <w:rFonts w:hint="eastAsia" w:ascii="仿宋" w:hAnsi="仿宋" w:eastAsia="仿宋"/>
          <w:sz w:val="30"/>
          <w:szCs w:val="30"/>
        </w:rPr>
        <w:t>（4）残疾人福利企业声明函（若需要，格式见附件8）；</w:t>
      </w:r>
    </w:p>
    <w:p>
      <w:pPr>
        <w:snapToGrid w:val="0"/>
        <w:spacing w:line="460" w:lineRule="exact"/>
        <w:jc w:val="left"/>
        <w:rPr>
          <w:rFonts w:ascii="仿宋" w:hAnsi="仿宋" w:eastAsia="仿宋"/>
          <w:sz w:val="30"/>
          <w:szCs w:val="30"/>
        </w:rPr>
      </w:pPr>
      <w:r>
        <w:rPr>
          <w:rFonts w:hint="eastAsia" w:ascii="仿宋" w:hAnsi="仿宋" w:eastAsia="仿宋"/>
          <w:sz w:val="30"/>
          <w:szCs w:val="30"/>
        </w:rPr>
        <w:t>（5）</w:t>
      </w:r>
      <w:r>
        <w:rPr>
          <w:rFonts w:hint="eastAsia" w:ascii="仿宋" w:hAnsi="仿宋" w:eastAsia="仿宋"/>
          <w:bCs/>
          <w:sz w:val="30"/>
          <w:szCs w:val="30"/>
        </w:rPr>
        <w:t>监狱企业证明文件</w:t>
      </w:r>
      <w:r>
        <w:rPr>
          <w:rFonts w:hint="eastAsia" w:ascii="仿宋" w:hAnsi="仿宋" w:eastAsia="仿宋"/>
          <w:sz w:val="30"/>
          <w:szCs w:val="30"/>
        </w:rPr>
        <w:t>（若需要）；</w:t>
      </w:r>
    </w:p>
    <w:p>
      <w:pPr>
        <w:pStyle w:val="31"/>
        <w:snapToGrid w:val="0"/>
        <w:spacing w:before="156" w:after="156"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1"/>
        <w:snapToGrid w:val="0"/>
        <w:spacing w:before="156" w:after="156"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56" w:after="156"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56" w:after="156"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65</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473D27"/>
    <w:multiLevelType w:val="singleLevel"/>
    <w:tmpl w:val="E3473D27"/>
    <w:lvl w:ilvl="0" w:tentative="0">
      <w:start w:val="1"/>
      <w:numFmt w:val="decimal"/>
      <w:lvlText w:val="%1."/>
      <w:lvlJc w:val="left"/>
      <w:pPr>
        <w:tabs>
          <w:tab w:val="left" w:pos="312"/>
        </w:tabs>
      </w:pPr>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19"/>
  </w:num>
  <w:num w:numId="16">
    <w:abstractNumId w:val="16"/>
  </w:num>
  <w:num w:numId="17">
    <w:abstractNumId w:val="5"/>
  </w:num>
  <w:num w:numId="18">
    <w:abstractNumId w:val="23"/>
  </w:num>
  <w:num w:numId="19">
    <w:abstractNumId w:val="7"/>
  </w:num>
  <w:num w:numId="20">
    <w:abstractNumId w:val="14"/>
  </w:num>
  <w:num w:numId="21">
    <w:abstractNumId w:val="12"/>
  </w:num>
  <w:num w:numId="22">
    <w:abstractNumId w:val="20"/>
  </w:num>
  <w:num w:numId="23">
    <w:abstractNumId w:val="8"/>
  </w:num>
  <w:num w:numId="24">
    <w:abstractNumId w:val="29"/>
  </w:num>
  <w:num w:numId="25">
    <w:abstractNumId w:val="4"/>
  </w:num>
  <w:num w:numId="26">
    <w:abstractNumId w:val="26"/>
  </w:num>
  <w:num w:numId="27">
    <w:abstractNumId w:val="21"/>
  </w:num>
  <w:num w:numId="28">
    <w:abstractNumId w:val="11"/>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NDcxMTE4MTk5OTNiOTdiMjZjY2U0NTY2M2M5YTM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C2D38"/>
    <w:rsid w:val="00BE3542"/>
    <w:rsid w:val="00BF76D9"/>
    <w:rsid w:val="00C21114"/>
    <w:rsid w:val="00C22B7F"/>
    <w:rsid w:val="00C42BF5"/>
    <w:rsid w:val="00C50CB8"/>
    <w:rsid w:val="00C8441C"/>
    <w:rsid w:val="00CE0BC9"/>
    <w:rsid w:val="00D06379"/>
    <w:rsid w:val="00D34D4C"/>
    <w:rsid w:val="00D67996"/>
    <w:rsid w:val="00DB219B"/>
    <w:rsid w:val="00E05EDB"/>
    <w:rsid w:val="00E201D7"/>
    <w:rsid w:val="00EA67ED"/>
    <w:rsid w:val="00ED4653"/>
    <w:rsid w:val="00EF085D"/>
    <w:rsid w:val="00F65755"/>
    <w:rsid w:val="00FC29AB"/>
    <w:rsid w:val="00FD3EEC"/>
    <w:rsid w:val="0E131BC3"/>
    <w:rsid w:val="12745A53"/>
    <w:rsid w:val="1CD32386"/>
    <w:rsid w:val="1F86727A"/>
    <w:rsid w:val="26C24F24"/>
    <w:rsid w:val="757E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uiPriority="39" w:name="toc 7"/>
    <w:lsdException w:qFormat="1" w:uiPriority="39" w:name="toc 8"/>
    <w:lsdException w:qFormat="1" w:uiPriority="39" w:name="toc 9"/>
    <w:lsdException w:qFormat="1"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qFormat="1" w:uiPriority="99" w:name="endnote text"/>
    <w:lsdException w:qFormat="1" w:uiPriority="99" w:name="table of authorities"/>
    <w:lsdException w:uiPriority="99" w:name="macro"/>
    <w:lsdException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qFormat="1" w:uiPriority="99" w:name="List Bullet 2"/>
    <w:lsdException w:uiPriority="99" w:name="List Bullet 3"/>
    <w:lsdException w:qFormat="1" w:uiPriority="99" w:name="List Bullet 4"/>
    <w:lsdException w:qFormat="1" w:uiPriority="99" w:name="List Bullet 5"/>
    <w:lsdException w:qFormat="1" w:uiPriority="99"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0" w:leftChars="400" w:hanging="200" w:hangingChars="200"/>
    </w:pPr>
    <w:rPr>
      <w:rFonts w:ascii="Times New Roman" w:hAnsi="Times New Roman"/>
      <w:szCs w:val="20"/>
    </w:rPr>
  </w:style>
  <w:style w:type="paragraph" w:styleId="12">
    <w:name w:val="toc 7"/>
    <w:basedOn w:val="1"/>
    <w:next w:val="1"/>
    <w:semiHidden/>
    <w:unhideWhenUsed/>
    <w:uiPriority w:val="39"/>
    <w:pPr>
      <w:ind w:left="1260"/>
      <w:jc w:val="left"/>
    </w:pPr>
    <w:rPr>
      <w:rFonts w:ascii="Times New Roman" w:hAnsi="Times New Roman"/>
      <w:sz w:val="18"/>
      <w:szCs w:val="18"/>
    </w:rPr>
  </w:style>
  <w:style w:type="paragraph" w:styleId="13">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semiHidden/>
    <w:unhideWhenUsed/>
    <w:qFormat/>
    <w:uiPriority w:val="99"/>
    <w:pPr>
      <w:numPr>
        <w:ilvl w:val="0"/>
        <w:numId w:val="1"/>
      </w:numPr>
      <w:ind w:left="200" w:leftChars="200"/>
    </w:pPr>
    <w:rPr>
      <w:rFonts w:ascii="Times New Roman" w:hAnsi="Times New Roman"/>
      <w:sz w:val="18"/>
      <w:szCs w:val="24"/>
    </w:rPr>
  </w:style>
  <w:style w:type="paragraph" w:styleId="15">
    <w:name w:val="List Bullet 4"/>
    <w:basedOn w:val="1"/>
    <w:semiHidden/>
    <w:unhideWhenUsed/>
    <w:qFormat/>
    <w:uiPriority w:val="99"/>
    <w:pPr>
      <w:numPr>
        <w:ilvl w:val="0"/>
        <w:numId w:val="2"/>
      </w:numPr>
    </w:pPr>
    <w:rPr>
      <w:rFonts w:ascii="Times New Roman" w:hAnsi="Times New Roman"/>
      <w:szCs w:val="24"/>
    </w:rPr>
  </w:style>
  <w:style w:type="paragraph" w:styleId="16">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semiHidden/>
    <w:unhideWhenUsed/>
    <w:qFormat/>
    <w:uiPriority w:val="99"/>
    <w:pPr>
      <w:ind w:firstLine="420"/>
    </w:pPr>
    <w:rPr>
      <w:szCs w:val="20"/>
    </w:rPr>
  </w:style>
  <w:style w:type="paragraph" w:styleId="18">
    <w:name w:val="caption"/>
    <w:basedOn w:val="1"/>
    <w:next w:val="1"/>
    <w:link w:val="107"/>
    <w:semiHidden/>
    <w:unhideWhenUsed/>
    <w:qFormat/>
    <w:uiPriority w:val="35"/>
    <w:pPr>
      <w:spacing w:before="152" w:after="160"/>
    </w:pPr>
    <w:rPr>
      <w:rFonts w:ascii="Arial" w:hAnsi="Arial" w:eastAsia="黑体"/>
      <w:sz w:val="20"/>
      <w:szCs w:val="20"/>
    </w:rPr>
  </w:style>
  <w:style w:type="paragraph" w:styleId="19">
    <w:name w:val="List Bullet"/>
    <w:basedOn w:val="1"/>
    <w:semiHidden/>
    <w:unhideWhenUsed/>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semiHidden/>
    <w:unhideWhenUsed/>
    <w:qFormat/>
    <w:uiPriority w:val="99"/>
    <w:rPr>
      <w:rFonts w:ascii="宋体"/>
      <w:sz w:val="18"/>
      <w:szCs w:val="18"/>
    </w:rPr>
  </w:style>
  <w:style w:type="paragraph" w:styleId="21">
    <w:name w:val="annotation text"/>
    <w:basedOn w:val="1"/>
    <w:link w:val="964"/>
    <w:unhideWhenUsed/>
    <w:qFormat/>
    <w:uiPriority w:val="99"/>
    <w:pPr>
      <w:jc w:val="left"/>
    </w:pPr>
  </w:style>
  <w:style w:type="paragraph" w:styleId="22">
    <w:name w:val="Salutation"/>
    <w:basedOn w:val="1"/>
    <w:next w:val="1"/>
    <w:link w:val="83"/>
    <w:semiHidden/>
    <w:unhideWhenUsed/>
    <w:qFormat/>
    <w:uiPriority w:val="99"/>
    <w:rPr>
      <w:rFonts w:ascii="宋体" w:hAnsi="Times New Roman"/>
      <w:b/>
      <w:sz w:val="28"/>
      <w:szCs w:val="20"/>
    </w:rPr>
  </w:style>
  <w:style w:type="paragraph" w:styleId="23">
    <w:name w:val="Body Text 3"/>
    <w:basedOn w:val="1"/>
    <w:link w:val="84"/>
    <w:semiHidden/>
    <w:unhideWhenUsed/>
    <w:qFormat/>
    <w:uiPriority w:val="99"/>
    <w:pPr>
      <w:snapToGrid w:val="0"/>
      <w:spacing w:before="50" w:after="50"/>
    </w:pPr>
    <w:rPr>
      <w:rFonts w:ascii="Times New Roman" w:hAnsi="宋体" w:eastAsia="仿宋_GB2312"/>
      <w:b/>
      <w:bCs/>
      <w:sz w:val="24"/>
      <w:szCs w:val="20"/>
    </w:rPr>
  </w:style>
  <w:style w:type="paragraph" w:styleId="24">
    <w:name w:val="Body Text"/>
    <w:basedOn w:val="1"/>
    <w:link w:val="85"/>
    <w:semiHidden/>
    <w:unhideWhenUsed/>
    <w:qFormat/>
    <w:uiPriority w:val="99"/>
    <w:pPr>
      <w:spacing w:after="120"/>
    </w:pPr>
    <w:rPr>
      <w:sz w:val="28"/>
      <w:szCs w:val="24"/>
    </w:rPr>
  </w:style>
  <w:style w:type="paragraph" w:styleId="25">
    <w:name w:val="Body Text Indent"/>
    <w:basedOn w:val="1"/>
    <w:link w:val="86"/>
    <w:semiHidden/>
    <w:unhideWhenUsed/>
    <w:qFormat/>
    <w:uiPriority w:val="99"/>
    <w:pPr>
      <w:spacing w:line="200" w:lineRule="exact"/>
      <w:ind w:firstLine="301"/>
    </w:pPr>
    <w:rPr>
      <w:rFonts w:ascii="宋体" w:hAnsi="Courier New"/>
      <w:spacing w:val="-4"/>
      <w:sz w:val="18"/>
      <w:szCs w:val="20"/>
    </w:rPr>
  </w:style>
  <w:style w:type="paragraph" w:styleId="26">
    <w:name w:val="List Number 3"/>
    <w:basedOn w:val="1"/>
    <w:semiHidden/>
    <w:unhideWhenUsed/>
    <w:qFormat/>
    <w:uiPriority w:val="99"/>
    <w:pPr>
      <w:numPr>
        <w:ilvl w:val="0"/>
        <w:numId w:val="3"/>
      </w:numPr>
    </w:pPr>
    <w:rPr>
      <w:rFonts w:ascii="Times New Roman" w:hAnsi="Times New Roman"/>
      <w:szCs w:val="24"/>
    </w:rPr>
  </w:style>
  <w:style w:type="paragraph" w:styleId="27">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semiHidden/>
    <w:unhideWhenUsed/>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semiHidden/>
    <w:unhideWhenUsed/>
    <w:qFormat/>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semiHidden/>
    <w:unhideWhenUsed/>
    <w:qFormat/>
    <w:uiPriority w:val="39"/>
    <w:pPr>
      <w:ind w:left="840" w:leftChars="400"/>
    </w:pPr>
  </w:style>
  <w:style w:type="paragraph" w:styleId="31">
    <w:name w:val="Plain Text"/>
    <w:basedOn w:val="1"/>
    <w:link w:val="87"/>
    <w:semiHidden/>
    <w:unhideWhenUsed/>
    <w:qFormat/>
    <w:uiPriority w:val="99"/>
    <w:pPr>
      <w:spacing w:beforeLines="50" w:afterLines="50" w:line="400" w:lineRule="exact"/>
    </w:pPr>
    <w:rPr>
      <w:rFonts w:ascii="宋体" w:hAnsi="Courier New"/>
      <w:sz w:val="24"/>
      <w:szCs w:val="24"/>
    </w:rPr>
  </w:style>
  <w:style w:type="paragraph" w:styleId="32">
    <w:name w:val="List Bullet 5"/>
    <w:basedOn w:val="1"/>
    <w:semiHidden/>
    <w:unhideWhenUsed/>
    <w:qFormat/>
    <w:uiPriority w:val="99"/>
    <w:pPr>
      <w:numPr>
        <w:ilvl w:val="0"/>
        <w:numId w:val="4"/>
      </w:numPr>
    </w:pPr>
    <w:rPr>
      <w:rFonts w:ascii="Times New Roman" w:hAnsi="Times New Roman"/>
      <w:szCs w:val="24"/>
    </w:rPr>
  </w:style>
  <w:style w:type="paragraph" w:styleId="33">
    <w:name w:val="toc 8"/>
    <w:basedOn w:val="1"/>
    <w:next w:val="1"/>
    <w:semiHidden/>
    <w:unhideWhenUsed/>
    <w:qFormat/>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88"/>
    <w:semiHidden/>
    <w:unhideWhenUsed/>
    <w:qFormat/>
    <w:uiPriority w:val="99"/>
    <w:pPr>
      <w:ind w:left="2500" w:leftChars="2500"/>
    </w:pPr>
    <w:rPr>
      <w:rFonts w:eastAsia="楷体_GB2312"/>
      <w:sz w:val="32"/>
      <w:szCs w:val="20"/>
    </w:rPr>
  </w:style>
  <w:style w:type="paragraph" w:styleId="35">
    <w:name w:val="Body Text Indent 2"/>
    <w:basedOn w:val="1"/>
    <w:link w:val="89"/>
    <w:semiHidden/>
    <w:unhideWhenUsed/>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0"/>
    <w:semiHidden/>
    <w:unhideWhenUsed/>
    <w:qFormat/>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1"/>
    <w:semiHidden/>
    <w:unhideWhenUsed/>
    <w:qFormat/>
    <w:uiPriority w:val="99"/>
    <w:rPr>
      <w:sz w:val="18"/>
      <w:szCs w:val="18"/>
    </w:rPr>
  </w:style>
  <w:style w:type="paragraph" w:styleId="38">
    <w:name w:val="footer"/>
    <w:basedOn w:val="1"/>
    <w:link w:val="819"/>
    <w:unhideWhenUsed/>
    <w:qFormat/>
    <w:uiPriority w:val="99"/>
    <w:pPr>
      <w:tabs>
        <w:tab w:val="center" w:pos="4153"/>
        <w:tab w:val="right" w:pos="8306"/>
      </w:tabs>
      <w:snapToGrid w:val="0"/>
      <w:jc w:val="left"/>
    </w:pPr>
    <w:rPr>
      <w:sz w:val="18"/>
      <w:szCs w:val="18"/>
    </w:rPr>
  </w:style>
  <w:style w:type="paragraph" w:styleId="39">
    <w:name w:val="header"/>
    <w:basedOn w:val="1"/>
    <w:link w:val="379"/>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semiHidden/>
    <w:unhideWhenUsed/>
    <w:qFormat/>
    <w:uiPriority w:val="39"/>
    <w:pPr>
      <w:spacing w:before="240" w:after="240"/>
    </w:pPr>
    <w:rPr>
      <w:rFonts w:ascii="Times New Roman" w:hAnsi="Times New Roman" w:eastAsia="仿宋"/>
      <w:sz w:val="36"/>
      <w:szCs w:val="24"/>
    </w:rPr>
  </w:style>
  <w:style w:type="paragraph" w:styleId="41">
    <w:name w:val="toc 4"/>
    <w:basedOn w:val="1"/>
    <w:next w:val="1"/>
    <w:semiHidden/>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semiHidden/>
    <w:unhideWhenUsed/>
    <w:qFormat/>
    <w:uiPriority w:val="99"/>
    <w:pPr>
      <w:ind w:left="200" w:hanging="200" w:hangingChars="200"/>
    </w:pPr>
    <w:rPr>
      <w:rFonts w:ascii="Times New Roman" w:hAnsi="Times New Roman"/>
      <w:sz w:val="28"/>
      <w:szCs w:val="24"/>
    </w:rPr>
  </w:style>
  <w:style w:type="paragraph" w:styleId="44">
    <w:name w:val="footnote text"/>
    <w:basedOn w:val="1"/>
    <w:link w:val="95"/>
    <w:semiHidden/>
    <w:unhideWhenUsed/>
    <w:qFormat/>
    <w:uiPriority w:val="99"/>
    <w:pPr>
      <w:snapToGrid w:val="0"/>
      <w:jc w:val="left"/>
    </w:pPr>
    <w:rPr>
      <w:sz w:val="18"/>
      <w:szCs w:val="18"/>
    </w:rPr>
  </w:style>
  <w:style w:type="paragraph" w:styleId="45">
    <w:name w:val="toc 6"/>
    <w:basedOn w:val="1"/>
    <w:next w:val="1"/>
    <w:semiHidden/>
    <w:unhideWhenUsed/>
    <w:qFormat/>
    <w:uiPriority w:val="39"/>
    <w:pPr>
      <w:ind w:left="1050"/>
      <w:jc w:val="left"/>
    </w:pPr>
    <w:rPr>
      <w:rFonts w:ascii="Times New Roman" w:hAnsi="Times New Roman"/>
      <w:sz w:val="18"/>
      <w:szCs w:val="18"/>
    </w:rPr>
  </w:style>
  <w:style w:type="paragraph" w:styleId="46">
    <w:name w:val="Body Text Indent 3"/>
    <w:basedOn w:val="1"/>
    <w:link w:val="96"/>
    <w:semiHidden/>
    <w:unhideWhenUsed/>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semiHidden/>
    <w:unhideWhenUsed/>
    <w:qFormat/>
    <w:uiPriority w:val="39"/>
    <w:pPr>
      <w:ind w:left="1680"/>
      <w:jc w:val="left"/>
    </w:pPr>
    <w:rPr>
      <w:rFonts w:ascii="Times New Roman" w:hAnsi="Times New Roman"/>
      <w:sz w:val="18"/>
      <w:szCs w:val="18"/>
    </w:rPr>
  </w:style>
  <w:style w:type="paragraph" w:styleId="50">
    <w:name w:val="Body Text 2"/>
    <w:basedOn w:val="1"/>
    <w:link w:val="97"/>
    <w:semiHidden/>
    <w:unhideWhenUsed/>
    <w:qFormat/>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semiHidden/>
    <w:unhideWhenUsed/>
    <w:qFormat/>
    <w:uiPriority w:val="99"/>
    <w:rPr>
      <w:rFonts w:ascii="Courier New" w:hAnsi="Courier New"/>
      <w:sz w:val="20"/>
      <w:szCs w:val="20"/>
    </w:rPr>
  </w:style>
  <w:style w:type="paragraph" w:styleId="5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semiHidden/>
    <w:unhideWhenUsed/>
    <w:qFormat/>
    <w:uiPriority w:val="99"/>
    <w:rPr>
      <w:rFonts w:ascii="Times New Roman" w:hAnsi="Times New Roman"/>
      <w:szCs w:val="20"/>
    </w:rPr>
  </w:style>
  <w:style w:type="paragraph" w:styleId="55">
    <w:name w:val="Title"/>
    <w:basedOn w:val="1"/>
    <w:link w:val="99"/>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semiHidden/>
    <w:unhideWhenUsed/>
    <w:qFormat/>
    <w:uiPriority w:val="99"/>
    <w:rPr>
      <w:b/>
      <w:bCs/>
    </w:rPr>
  </w:style>
  <w:style w:type="paragraph" w:styleId="57">
    <w:name w:val="Body Text First Indent"/>
    <w:basedOn w:val="24"/>
    <w:link w:val="102"/>
    <w:semiHidden/>
    <w:unhideWhenUsed/>
    <w:qFormat/>
    <w:uiPriority w:val="99"/>
    <w:pPr>
      <w:ind w:firstLine="420" w:firstLineChars="100"/>
    </w:pPr>
    <w:rPr>
      <w:sz w:val="21"/>
      <w:szCs w:val="22"/>
    </w:rPr>
  </w:style>
  <w:style w:type="paragraph" w:styleId="58">
    <w:name w:val="Body Text First Indent 2"/>
    <w:basedOn w:val="25"/>
    <w:link w:val="965"/>
    <w:semiHidden/>
    <w:unhideWhenUsed/>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semiHidden/>
    <w:unhideWhenUsed/>
    <w:qFormat/>
    <w:uiPriority w:val="99"/>
  </w:style>
  <w:style w:type="character" w:styleId="67">
    <w:name w:val="FollowedHyperlink"/>
    <w:semiHidden/>
    <w:unhideWhenUsed/>
    <w:qFormat/>
    <w:uiPriority w:val="99"/>
    <w:rPr>
      <w:color w:val="800080"/>
      <w:u w:val="single"/>
    </w:rPr>
  </w:style>
  <w:style w:type="character" w:styleId="68">
    <w:name w:val="Emphasis"/>
    <w:qFormat/>
    <w:uiPriority w:val="20"/>
    <w:rPr>
      <w:color w:val="CC0033"/>
    </w:rPr>
  </w:style>
  <w:style w:type="character" w:styleId="69">
    <w:name w:val="Hyperlink"/>
    <w:semiHidden/>
    <w:unhideWhenUsed/>
    <w:qFormat/>
    <w:uiPriority w:val="99"/>
    <w:rPr>
      <w:color w:val="0000FF"/>
      <w:u w:val="single"/>
    </w:rPr>
  </w:style>
  <w:style w:type="character" w:styleId="70">
    <w:name w:val="annotation reference"/>
    <w:semiHidden/>
    <w:unhideWhenUsed/>
    <w:qFormat/>
    <w:uiPriority w:val="99"/>
    <w:rPr>
      <w:sz w:val="21"/>
      <w:szCs w:val="21"/>
    </w:rPr>
  </w:style>
  <w:style w:type="character" w:styleId="71">
    <w:name w:val="footnote reference"/>
    <w:semiHidden/>
    <w:unhideWhenUsed/>
    <w:qFormat/>
    <w:uiPriority w:val="99"/>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3"/>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basedOn w:val="64"/>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3"/>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3"/>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3"/>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basedOn w:val="64"/>
    <w:link w:val="38"/>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964"/>
    <w:link w:val="56"/>
    <w:qFormat/>
    <w:uiPriority w:val="99"/>
    <w:rPr>
      <w:rFonts w:ascii="Calibri" w:hAnsi="Calibri" w:eastAsia="宋体" w:cs="Times New Roman"/>
      <w:b/>
      <w:bCs/>
    </w:rPr>
  </w:style>
  <w:style w:type="character" w:customStyle="1" w:styleId="964">
    <w:name w:val="批注文字 字符"/>
    <w:basedOn w:val="64"/>
    <w:link w:val="21"/>
    <w:qFormat/>
    <w:uiPriority w:val="99"/>
    <w:rPr>
      <w:kern w:val="2"/>
      <w:sz w:val="21"/>
      <w:szCs w:val="22"/>
    </w:rPr>
  </w:style>
  <w:style w:type="character" w:customStyle="1" w:styleId="965">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6">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7">
    <w:name w:val="批注引用1"/>
    <w:qFormat/>
    <w:uiPriority w:val="0"/>
    <w:rPr>
      <w:sz w:val="21"/>
      <w:szCs w:val="21"/>
    </w:rPr>
  </w:style>
  <w:style w:type="paragraph" w:customStyle="1" w:styleId="968">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9">
    <w:name w:val="正文文本 字符"/>
    <w:qFormat/>
    <w:uiPriority w:val="99"/>
    <w:rPr>
      <w:rFonts w:eastAsia="宋体"/>
      <w:kern w:val="2"/>
      <w:sz w:val="28"/>
      <w:szCs w:val="24"/>
      <w:lang w:val="en-US" w:eastAsia="zh-CN" w:bidi="ar-SA"/>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35906</Words>
  <Characters>37648</Characters>
  <Lines>91</Lines>
  <Paragraphs>25</Paragraphs>
  <TotalTime>3</TotalTime>
  <ScaleCrop>false</ScaleCrop>
  <LinksUpToDate>false</LinksUpToDate>
  <CharactersWithSpaces>40217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2024-05-08T02:59:00Z</dcterms:created>
  <dc:creator>root</dc:creator>
  <cp:lastModifiedBy>Administrator</cp:lastModifiedBy>
  <cp:lastPrinted>2024-04-24T06:59:00Z</cp:lastPrinted>
  <dcterms:modified xsi:type="dcterms:W3CDTF">2024-06-05T09:04:56Z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5AECB0E4BDCA4352BFD5BB34D0088B9E_13</vt:lpwstr>
  </property>
</Properties>
</file>