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rPr>
          <w:rFonts w:ascii="宋体" w:hAnsi="宋体"/>
          <w:b/>
          <w:bCs/>
          <w:sz w:val="44"/>
          <w:szCs w:val="44"/>
        </w:rPr>
      </w:pPr>
      <w:r>
        <w:rPr>
          <w:rFonts w:hint="eastAsia" w:ascii="宋体" w:hAnsi="宋体"/>
          <w:b/>
          <w:bCs/>
          <w:sz w:val="44"/>
          <w:szCs w:val="44"/>
        </w:rPr>
        <w:t xml:space="preserve">  </w:t>
      </w:r>
      <w:bookmarkStart w:id="0" w:name="PO_15528_PM002_1"/>
      <w:r>
        <w:rPr>
          <w:rFonts w:hint="eastAsia" w:ascii="宋体" w:hAnsi="宋体"/>
          <w:b/>
          <w:bCs/>
          <w:sz w:val="44"/>
          <w:szCs w:val="44"/>
        </w:rPr>
        <w:t>浙江省农科院（本级）2023年度社会车辆用车服务项目</w:t>
      </w:r>
      <w:bookmarkEnd w:id="0"/>
    </w:p>
    <w:p>
      <w:pPr>
        <w:spacing w:beforeLines="100" w:line="360" w:lineRule="auto"/>
        <w:jc w:val="center"/>
        <w:rPr>
          <w:rFonts w:ascii="宋体" w:hAnsi="宋体"/>
          <w:sz w:val="36"/>
          <w:szCs w:val="36"/>
        </w:rPr>
      </w:pPr>
      <w:r>
        <w:rPr>
          <w:rFonts w:hint="eastAsia" w:ascii="宋体" w:hAnsi="宋体"/>
          <w:sz w:val="36"/>
          <w:szCs w:val="36"/>
        </w:rPr>
        <w:t>项目编号：</w:t>
      </w:r>
      <w:bookmarkStart w:id="1" w:name="PO_15528_PM001"/>
      <w:r>
        <w:rPr>
          <w:rFonts w:hint="eastAsia" w:ascii="宋体" w:hAnsi="宋体"/>
          <w:sz w:val="36"/>
          <w:szCs w:val="36"/>
        </w:rPr>
        <w:t>ZZCG2022X-GK-178</w:t>
      </w:r>
      <w:bookmarkEnd w:id="1"/>
    </w:p>
    <w:p>
      <w:pPr>
        <w:pStyle w:val="32"/>
        <w:spacing w:before="156" w:after="156"/>
      </w:pPr>
    </w:p>
    <w:p>
      <w:pPr>
        <w:spacing w:beforeLines="100" w:after="100" w:afterAutospacing="1" w:line="800" w:lineRule="exact"/>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jc w:val="center"/>
        <w:rPr>
          <w:rFonts w:ascii="宋体" w:hAnsi="宋体"/>
          <w:sz w:val="36"/>
          <w:szCs w:val="36"/>
        </w:rPr>
      </w:pPr>
      <w:r>
        <w:rPr>
          <w:rFonts w:hint="eastAsia" w:ascii="宋体" w:hAnsi="宋体"/>
          <w:sz w:val="36"/>
          <w:szCs w:val="36"/>
        </w:rPr>
        <w:t>浙 江 省 政 府 采 购 中 心</w:t>
      </w:r>
    </w:p>
    <w:p>
      <w:pPr>
        <w:spacing w:line="500" w:lineRule="exact"/>
        <w:ind w:right="532"/>
        <w:jc w:val="center"/>
        <w:rPr>
          <w:rFonts w:ascii="宋体" w:hAnsi="宋体"/>
          <w:sz w:val="36"/>
          <w:szCs w:val="36"/>
        </w:rPr>
      </w:pPr>
    </w:p>
    <w:p>
      <w:pPr>
        <w:wordWrap w:val="0"/>
        <w:spacing w:line="500" w:lineRule="exact"/>
        <w:ind w:right="-108"/>
        <w:jc w:val="center"/>
        <w:rPr>
          <w:rFonts w:hAnsi="宋体"/>
          <w:b/>
          <w:sz w:val="36"/>
          <w:szCs w:val="36"/>
        </w:rPr>
      </w:pPr>
      <w:r>
        <w:rPr>
          <w:rFonts w:hint="eastAsia" w:ascii="宋体" w:hAnsi="宋体"/>
          <w:sz w:val="36"/>
          <w:szCs w:val="36"/>
        </w:rPr>
        <w:t>地    址：浙江省杭州市西湖区宝石一路3号</w:t>
      </w: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firstLine="3072" w:firstLineChars="850"/>
        <w:rPr>
          <w:rFonts w:hAnsi="宋体"/>
          <w:b/>
          <w:sz w:val="36"/>
          <w:szCs w:val="36"/>
        </w:rPr>
      </w:pPr>
    </w:p>
    <w:p>
      <w:pPr>
        <w:spacing w:line="500" w:lineRule="exact"/>
        <w:ind w:right="-108"/>
        <w:jc w:val="center"/>
        <w:rPr>
          <w:rFonts w:hAnsi="宋体"/>
          <w:b/>
          <w:sz w:val="36"/>
          <w:szCs w:val="36"/>
        </w:rPr>
      </w:pPr>
      <w:r>
        <w:rPr>
          <w:rFonts w:hint="eastAsia" w:hAnsi="宋体"/>
          <w:b/>
          <w:sz w:val="36"/>
          <w:szCs w:val="36"/>
        </w:rPr>
        <w:t>目</w:t>
      </w:r>
      <w:r>
        <w:rPr>
          <w:rFonts w:hAnsi="宋体"/>
          <w:b/>
          <w:sz w:val="36"/>
          <w:szCs w:val="36"/>
        </w:rPr>
        <w:t xml:space="preserve">     </w:t>
      </w:r>
      <w:r>
        <w:rPr>
          <w:rFonts w:hint="eastAsia" w:hAnsi="宋体"/>
          <w:b/>
          <w:sz w:val="36"/>
          <w:szCs w:val="36"/>
        </w:rPr>
        <w:t>录</w:t>
      </w:r>
    </w:p>
    <w:p>
      <w:pPr>
        <w:pStyle w:val="32"/>
        <w:spacing w:before="156" w:after="156" w:line="360" w:lineRule="auto"/>
        <w:jc w:val="center"/>
        <w:rPr>
          <w:rFonts w:hAnsi="宋体" w:eastAsia="仿宋_GB2312"/>
          <w:sz w:val="32"/>
          <w:szCs w:val="32"/>
        </w:rPr>
      </w:pPr>
    </w:p>
    <w:p>
      <w:pPr>
        <w:pStyle w:val="41"/>
        <w:tabs>
          <w:tab w:val="right" w:leader="dot" w:pos="8834"/>
        </w:tabs>
        <w:spacing w:after="120"/>
        <w:rPr>
          <w:rFonts w:ascii="Calibri" w:hAnsi="Calibri" w:eastAsia="宋体"/>
          <w:sz w:val="21"/>
          <w:szCs w:val="22"/>
        </w:rPr>
      </w:pPr>
      <w:r>
        <w:rPr>
          <w:rFonts w:hint="eastAsia" w:ascii="宋体" w:hAnsi="宋体" w:eastAsia="仿宋_GB2312"/>
          <w:sz w:val="30"/>
          <w:szCs w:val="30"/>
        </w:rPr>
        <w:fldChar w:fldCharType="begin"/>
      </w:r>
      <w:r>
        <w:rPr>
          <w:rFonts w:hint="eastAsia" w:ascii="宋体" w:hAnsi="宋体" w:eastAsia="仿宋_GB2312"/>
          <w:sz w:val="30"/>
          <w:szCs w:val="30"/>
        </w:rPr>
        <w:instrText xml:space="preserve"> TOC \o "1-1" \h \z \u </w:instrText>
      </w:r>
      <w:r>
        <w:rPr>
          <w:rFonts w:hint="eastAsia" w:ascii="宋体" w:hAnsi="宋体" w:eastAsia="仿宋_GB2312"/>
          <w:sz w:val="30"/>
          <w:szCs w:val="30"/>
        </w:rPr>
        <w:fldChar w:fldCharType="separate"/>
      </w:r>
      <w:r>
        <w:fldChar w:fldCharType="begin"/>
      </w:r>
      <w:r>
        <w:instrText xml:space="preserve"> HYPERLINK "PageOfficeControl%20中的文档" \l "_Toc496796635" </w:instrText>
      </w:r>
      <w:r>
        <w:fldChar w:fldCharType="separate"/>
      </w:r>
      <w:r>
        <w:rPr>
          <w:rStyle w:val="70"/>
          <w:rFonts w:hint="eastAsia" w:hAnsi="宋体"/>
          <w:b/>
        </w:rPr>
        <w:t>第一章公开招标采购公告</w:t>
      </w:r>
      <w:r>
        <w:rPr>
          <w:rStyle w:val="70"/>
        </w:rPr>
        <w:tab/>
      </w:r>
      <w:r>
        <w:rPr>
          <w:rStyle w:val="70"/>
        </w:rPr>
        <w:fldChar w:fldCharType="begin"/>
      </w:r>
      <w:r>
        <w:rPr>
          <w:rStyle w:val="70"/>
        </w:rPr>
        <w:instrText xml:space="preserve"> PAGEREF _Toc496796635 \h </w:instrText>
      </w:r>
      <w:r>
        <w:rPr>
          <w:rStyle w:val="70"/>
        </w:rPr>
        <w:fldChar w:fldCharType="separate"/>
      </w:r>
      <w:r>
        <w:rPr>
          <w:rStyle w:val="70"/>
        </w:rPr>
        <w:t>3</w:t>
      </w:r>
      <w:r>
        <w:rPr>
          <w:rStyle w:val="70"/>
        </w:rPr>
        <w:fldChar w:fldCharType="end"/>
      </w:r>
      <w:r>
        <w:rPr>
          <w:rStyle w:val="70"/>
        </w:rPr>
        <w:fldChar w:fldCharType="end"/>
      </w:r>
    </w:p>
    <w:p>
      <w:pPr>
        <w:pStyle w:val="41"/>
        <w:tabs>
          <w:tab w:val="right" w:leader="dot" w:pos="8834"/>
        </w:tabs>
        <w:spacing w:after="120"/>
        <w:rPr>
          <w:rFonts w:ascii="Calibri" w:hAnsi="Calibri" w:eastAsia="宋体"/>
          <w:sz w:val="21"/>
          <w:szCs w:val="22"/>
        </w:rPr>
      </w:pPr>
      <w:r>
        <w:fldChar w:fldCharType="begin"/>
      </w:r>
      <w:r>
        <w:instrText xml:space="preserve"> HYPERLINK "PageOfficeControl%20中的文档" \l "_Toc496796636" </w:instrText>
      </w:r>
      <w:r>
        <w:fldChar w:fldCharType="separate"/>
      </w:r>
      <w:r>
        <w:rPr>
          <w:rStyle w:val="70"/>
          <w:rFonts w:hint="eastAsia" w:ascii="仿宋" w:hAnsi="仿宋"/>
          <w:b/>
        </w:rPr>
        <w:t>第二章投标人须知</w:t>
      </w:r>
      <w:r>
        <w:rPr>
          <w:rStyle w:val="70"/>
        </w:rPr>
        <w:tab/>
      </w:r>
      <w:r>
        <w:rPr>
          <w:rStyle w:val="70"/>
        </w:rPr>
        <w:t>6</w:t>
      </w:r>
      <w:r>
        <w:rPr>
          <w:rStyle w:val="70"/>
        </w:rPr>
        <w:fldChar w:fldCharType="end"/>
      </w:r>
    </w:p>
    <w:p>
      <w:pPr>
        <w:pStyle w:val="41"/>
        <w:tabs>
          <w:tab w:val="right" w:leader="dot" w:pos="8834"/>
        </w:tabs>
        <w:spacing w:after="120"/>
        <w:rPr>
          <w:rFonts w:ascii="Calibri" w:hAnsi="Calibri" w:eastAsia="宋体"/>
          <w:sz w:val="21"/>
          <w:szCs w:val="22"/>
        </w:rPr>
      </w:pPr>
      <w:r>
        <w:fldChar w:fldCharType="begin"/>
      </w:r>
      <w:r>
        <w:instrText xml:space="preserve"> HYPERLINK "PageOfficeControl%20中的文档" \l "_Toc496796637" </w:instrText>
      </w:r>
      <w:r>
        <w:fldChar w:fldCharType="separate"/>
      </w:r>
      <w:r>
        <w:rPr>
          <w:rStyle w:val="70"/>
          <w:rFonts w:hint="eastAsia" w:hAnsi="宋体"/>
          <w:b/>
        </w:rPr>
        <w:t>第三章评标办法及评分标准</w:t>
      </w:r>
      <w:r>
        <w:rPr>
          <w:rStyle w:val="70"/>
        </w:rPr>
        <w:tab/>
      </w:r>
      <w:r>
        <w:rPr>
          <w:rStyle w:val="70"/>
        </w:rPr>
        <w:fldChar w:fldCharType="begin"/>
      </w:r>
      <w:r>
        <w:rPr>
          <w:rStyle w:val="70"/>
        </w:rPr>
        <w:instrText xml:space="preserve"> PAGEREF _Toc496796637 \h </w:instrText>
      </w:r>
      <w:r>
        <w:rPr>
          <w:rStyle w:val="70"/>
        </w:rPr>
        <w:fldChar w:fldCharType="separate"/>
      </w:r>
      <w:r>
        <w:rPr>
          <w:rStyle w:val="70"/>
        </w:rPr>
        <w:t>27</w:t>
      </w:r>
      <w:r>
        <w:rPr>
          <w:rStyle w:val="70"/>
        </w:rPr>
        <w:fldChar w:fldCharType="end"/>
      </w:r>
      <w:r>
        <w:rPr>
          <w:rStyle w:val="70"/>
        </w:rPr>
        <w:fldChar w:fldCharType="end"/>
      </w:r>
    </w:p>
    <w:p>
      <w:pPr>
        <w:pStyle w:val="41"/>
        <w:tabs>
          <w:tab w:val="right" w:leader="dot" w:pos="8834"/>
        </w:tabs>
        <w:spacing w:after="120"/>
        <w:rPr>
          <w:rFonts w:ascii="Calibri" w:hAnsi="Calibri" w:eastAsia="宋体"/>
          <w:sz w:val="21"/>
          <w:szCs w:val="22"/>
        </w:rPr>
      </w:pPr>
      <w:r>
        <w:fldChar w:fldCharType="begin"/>
      </w:r>
      <w:r>
        <w:instrText xml:space="preserve"> HYPERLINK "PageOfficeControl%20中的文档" \l "_Toc496796638" </w:instrText>
      </w:r>
      <w:r>
        <w:fldChar w:fldCharType="separate"/>
      </w:r>
      <w:r>
        <w:rPr>
          <w:rStyle w:val="70"/>
          <w:rFonts w:hint="eastAsia" w:hAnsi="宋体"/>
          <w:b/>
        </w:rPr>
        <w:t>第四章招标需求</w:t>
      </w:r>
      <w:r>
        <w:rPr>
          <w:rStyle w:val="70"/>
        </w:rPr>
        <w:tab/>
      </w:r>
      <w:r>
        <w:rPr>
          <w:rStyle w:val="70"/>
        </w:rPr>
        <w:fldChar w:fldCharType="begin"/>
      </w:r>
      <w:r>
        <w:rPr>
          <w:rStyle w:val="70"/>
        </w:rPr>
        <w:instrText xml:space="preserve"> PAGEREF _Toc496796638 \h </w:instrText>
      </w:r>
      <w:r>
        <w:rPr>
          <w:rStyle w:val="70"/>
        </w:rPr>
        <w:fldChar w:fldCharType="separate"/>
      </w:r>
      <w:r>
        <w:rPr>
          <w:rStyle w:val="70"/>
        </w:rPr>
        <w:t>28</w:t>
      </w:r>
      <w:r>
        <w:rPr>
          <w:rStyle w:val="70"/>
        </w:rPr>
        <w:fldChar w:fldCharType="end"/>
      </w:r>
      <w:r>
        <w:rPr>
          <w:rStyle w:val="70"/>
        </w:rPr>
        <w:fldChar w:fldCharType="end"/>
      </w:r>
    </w:p>
    <w:p>
      <w:pPr>
        <w:pStyle w:val="41"/>
        <w:tabs>
          <w:tab w:val="right" w:leader="dot" w:pos="8834"/>
        </w:tabs>
        <w:spacing w:after="120"/>
        <w:rPr>
          <w:rFonts w:ascii="Calibri" w:hAnsi="Calibri" w:eastAsia="宋体"/>
          <w:sz w:val="21"/>
          <w:szCs w:val="22"/>
        </w:rPr>
      </w:pPr>
      <w:r>
        <w:fldChar w:fldCharType="begin"/>
      </w:r>
      <w:r>
        <w:instrText xml:space="preserve"> HYPERLINK "PageOfficeControl%20中的文档" \l "_Toc496796639" </w:instrText>
      </w:r>
      <w:r>
        <w:fldChar w:fldCharType="separate"/>
      </w:r>
      <w:r>
        <w:rPr>
          <w:rStyle w:val="70"/>
          <w:rFonts w:hint="eastAsia" w:ascii="仿宋" w:hAnsi="仿宋"/>
          <w:b/>
        </w:rPr>
        <w:t>第五章浙江省政府采购合同主要条款指引</w:t>
      </w:r>
      <w:r>
        <w:rPr>
          <w:rStyle w:val="70"/>
        </w:rPr>
        <w:tab/>
      </w:r>
      <w:r>
        <w:rPr>
          <w:rStyle w:val="70"/>
        </w:rPr>
        <w:fldChar w:fldCharType="begin"/>
      </w:r>
      <w:r>
        <w:rPr>
          <w:rStyle w:val="70"/>
        </w:rPr>
        <w:instrText xml:space="preserve"> PAGEREF _Toc496796639 \h </w:instrText>
      </w:r>
      <w:r>
        <w:rPr>
          <w:rStyle w:val="70"/>
        </w:rPr>
        <w:fldChar w:fldCharType="separate"/>
      </w:r>
      <w:r>
        <w:rPr>
          <w:rStyle w:val="70"/>
        </w:rPr>
        <w:t>32</w:t>
      </w:r>
      <w:r>
        <w:rPr>
          <w:rStyle w:val="70"/>
        </w:rPr>
        <w:fldChar w:fldCharType="end"/>
      </w:r>
      <w:r>
        <w:rPr>
          <w:rStyle w:val="70"/>
        </w:rPr>
        <w:fldChar w:fldCharType="end"/>
      </w:r>
    </w:p>
    <w:p>
      <w:pPr>
        <w:pStyle w:val="41"/>
        <w:tabs>
          <w:tab w:val="right" w:leader="dot" w:pos="8834"/>
        </w:tabs>
        <w:spacing w:after="120"/>
        <w:rPr>
          <w:rFonts w:ascii="Calibri" w:hAnsi="Calibri" w:eastAsia="宋体"/>
          <w:sz w:val="21"/>
          <w:szCs w:val="22"/>
        </w:rPr>
      </w:pPr>
      <w:r>
        <w:fldChar w:fldCharType="begin"/>
      </w:r>
      <w:r>
        <w:instrText xml:space="preserve"> HYPERLINK "PageOfficeControl%20中的文档" \l "_Toc496796640" </w:instrText>
      </w:r>
      <w:r>
        <w:fldChar w:fldCharType="separate"/>
      </w:r>
      <w:r>
        <w:rPr>
          <w:rStyle w:val="70"/>
          <w:rFonts w:hint="eastAsia" w:hAnsi="宋体"/>
          <w:b/>
        </w:rPr>
        <w:t>第六章投标文件格式附件</w:t>
      </w:r>
      <w:r>
        <w:rPr>
          <w:rStyle w:val="70"/>
        </w:rPr>
        <w:tab/>
      </w:r>
      <w:r>
        <w:rPr>
          <w:rStyle w:val="70"/>
        </w:rPr>
        <w:fldChar w:fldCharType="begin"/>
      </w:r>
      <w:r>
        <w:rPr>
          <w:rStyle w:val="70"/>
        </w:rPr>
        <w:instrText xml:space="preserve"> PAGEREF _Toc496796640 \h </w:instrText>
      </w:r>
      <w:r>
        <w:rPr>
          <w:rStyle w:val="70"/>
        </w:rPr>
        <w:fldChar w:fldCharType="separate"/>
      </w:r>
      <w:r>
        <w:rPr>
          <w:rStyle w:val="70"/>
        </w:rPr>
        <w:t>43</w:t>
      </w:r>
      <w:r>
        <w:rPr>
          <w:rStyle w:val="70"/>
        </w:rPr>
        <w:fldChar w:fldCharType="end"/>
      </w:r>
      <w:r>
        <w:rPr>
          <w:rStyle w:val="70"/>
        </w:rPr>
        <w:fldChar w:fldCharType="end"/>
      </w:r>
    </w:p>
    <w:p>
      <w:pPr>
        <w:spacing w:beforeLines="50" w:line="480" w:lineRule="exact"/>
        <w:ind w:left="165"/>
        <w:rPr>
          <w:rFonts w:ascii="宋体" w:hAnsi="宋体" w:eastAsia="仿宋_GB2312"/>
          <w:sz w:val="30"/>
          <w:szCs w:val="30"/>
        </w:rPr>
      </w:pPr>
      <w:r>
        <w:rPr>
          <w:rFonts w:hint="eastAsia" w:ascii="宋体" w:hAnsi="宋体" w:eastAsia="仿宋_GB2312"/>
          <w:sz w:val="30"/>
          <w:szCs w:val="30"/>
        </w:rPr>
        <w:fldChar w:fldCharType="end"/>
      </w:r>
    </w:p>
    <w:p>
      <w:pPr>
        <w:pStyle w:val="32"/>
        <w:spacing w:before="156" w:after="156" w:line="360" w:lineRule="auto"/>
        <w:ind w:firstLine="640"/>
        <w:jc w:val="center"/>
        <w:outlineLvl w:val="0"/>
        <w:rPr>
          <w:rFonts w:hAnsi="宋体"/>
          <w:b/>
          <w:sz w:val="36"/>
          <w:szCs w:val="36"/>
        </w:rPr>
      </w:pPr>
      <w:r>
        <w:rPr>
          <w:rFonts w:hint="eastAsia" w:hAnsi="宋体" w:eastAsia="仿宋_GB2312"/>
          <w:kern w:val="0"/>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156"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rPr>
        <w:t>ZZCG2022X-GK-178</w:t>
      </w:r>
      <w:bookmarkEnd w:id="3"/>
    </w:p>
    <w:p>
      <w:pPr>
        <w:snapToGrid w:val="0"/>
        <w:spacing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rPr>
        <w:t xml:space="preserve"> </w:t>
      </w:r>
    </w:p>
    <w:tbl>
      <w:tblPr>
        <w:tblStyle w:val="61"/>
        <w:tblW w:w="52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474"/>
        <w:gridCol w:w="1124"/>
        <w:gridCol w:w="1065"/>
        <w:gridCol w:w="137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标项序号</w:t>
            </w:r>
          </w:p>
        </w:tc>
        <w:tc>
          <w:tcPr>
            <w:tcW w:w="137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标项名称</w:t>
            </w:r>
          </w:p>
        </w:tc>
        <w:tc>
          <w:tcPr>
            <w:tcW w:w="625"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数量</w:t>
            </w:r>
          </w:p>
        </w:tc>
        <w:tc>
          <w:tcPr>
            <w:tcW w:w="592"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单位</w:t>
            </w:r>
          </w:p>
        </w:tc>
        <w:tc>
          <w:tcPr>
            <w:tcW w:w="767"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预算金额(万元)</w:t>
            </w:r>
          </w:p>
        </w:tc>
        <w:tc>
          <w:tcPr>
            <w:tcW w:w="1182"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1</w:t>
            </w:r>
          </w:p>
        </w:tc>
        <w:tc>
          <w:tcPr>
            <w:tcW w:w="1376"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浙江省农科院（本级）2023年度社会车辆用车服务项目</w:t>
            </w:r>
          </w:p>
        </w:tc>
        <w:tc>
          <w:tcPr>
            <w:tcW w:w="625"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1</w:t>
            </w:r>
          </w:p>
        </w:tc>
        <w:tc>
          <w:tcPr>
            <w:tcW w:w="592"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年</w:t>
            </w:r>
          </w:p>
        </w:tc>
        <w:tc>
          <w:tcPr>
            <w:tcW w:w="767"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1000</w:t>
            </w:r>
          </w:p>
        </w:tc>
        <w:tc>
          <w:tcPr>
            <w:tcW w:w="1182" w:type="pct"/>
          </w:tcPr>
          <w:p>
            <w:pPr>
              <w:snapToGrid w:val="0"/>
              <w:spacing w:afterLines="50" w:line="460" w:lineRule="exact"/>
              <w:rPr>
                <w:rFonts w:ascii="仿宋" w:hAnsi="仿宋" w:eastAsia="仿宋" w:cs="Arial"/>
                <w:b/>
                <w:sz w:val="28"/>
                <w:szCs w:val="28"/>
              </w:rPr>
            </w:pPr>
            <w:r>
              <w:rPr>
                <w:rFonts w:hint="eastAsia" w:ascii="仿宋" w:hAnsi="仿宋" w:eastAsia="仿宋" w:cs="Arial"/>
                <w:b/>
                <w:sz w:val="28"/>
                <w:szCs w:val="28"/>
              </w:rPr>
              <w:t>详见招标文件</w:t>
            </w:r>
          </w:p>
        </w:tc>
      </w:tr>
    </w:tbl>
    <w:p>
      <w:pPr>
        <w:snapToGrid w:val="0"/>
        <w:spacing w:afterLines="50" w:line="460" w:lineRule="exact"/>
        <w:ind w:firstLine="562" w:firstLineChars="200"/>
        <w:rPr>
          <w:rFonts w:ascii="仿宋" w:hAnsi="仿宋" w:eastAsia="仿宋" w:cs="Arial"/>
          <w:b/>
          <w:sz w:val="28"/>
          <w:szCs w:val="28"/>
        </w:rPr>
      </w:pPr>
      <w:r>
        <w:rPr>
          <w:rFonts w:hint="eastAsia"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pacing w:line="48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投标人的特定条件：</w:t>
      </w:r>
    </w:p>
    <w:p>
      <w:pPr>
        <w:spacing w:line="480" w:lineRule="exact"/>
        <w:ind w:firstLine="602" w:firstLineChars="200"/>
        <w:rPr>
          <w:rFonts w:ascii="仿宋" w:hAnsi="仿宋" w:eastAsia="仿宋" w:cs="Arial"/>
          <w:b/>
          <w:bCs/>
          <w:color w:val="C00000"/>
          <w:sz w:val="30"/>
          <w:szCs w:val="30"/>
        </w:rPr>
      </w:pPr>
      <w:r>
        <w:rPr>
          <w:rFonts w:hint="eastAsia" w:ascii="仿宋" w:hAnsi="仿宋" w:eastAsia="仿宋" w:cs="Arial"/>
          <w:b/>
          <w:bCs/>
          <w:color w:val="C00000"/>
          <w:sz w:val="30"/>
          <w:szCs w:val="30"/>
        </w:rPr>
        <w:t>1、具有交通运输管理部门颁发的车辆租赁经营备案证；</w:t>
      </w:r>
    </w:p>
    <w:p>
      <w:pPr>
        <w:spacing w:line="480" w:lineRule="exact"/>
        <w:ind w:firstLine="602" w:firstLineChars="200"/>
        <w:rPr>
          <w:rFonts w:ascii="仿宋" w:hAnsi="仿宋" w:eastAsia="仿宋" w:cs="Arial"/>
          <w:b/>
          <w:bCs/>
          <w:color w:val="C00000"/>
          <w:sz w:val="30"/>
          <w:szCs w:val="30"/>
        </w:rPr>
      </w:pPr>
      <w:r>
        <w:rPr>
          <w:rFonts w:hint="eastAsia" w:ascii="仿宋" w:hAnsi="仿宋" w:eastAsia="仿宋" w:cs="Arial"/>
          <w:b/>
          <w:bCs/>
          <w:color w:val="C00000"/>
          <w:sz w:val="30"/>
          <w:szCs w:val="30"/>
        </w:rPr>
        <w:t>2、具有交通运输管理部门颁发的车辆租赁营业执照。</w:t>
      </w:r>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hint="eastAsia" w:ascii="仿宋" w:hAnsi="仿宋" w:eastAsia="仿宋"/>
          <w:kern w:val="0"/>
          <w:sz w:val="30"/>
          <w:szCs w:val="30"/>
        </w:rPr>
        <w:t>[项目采购-报名开始日期] 至</w:t>
      </w:r>
      <w:bookmarkStart w:id="5" w:name="PO_15528_PM009"/>
      <w:r>
        <w:rPr>
          <w:rFonts w:hint="eastAsia" w:ascii="宋体" w:hAnsi="宋体"/>
          <w:kern w:val="0"/>
          <w:sz w:val="28"/>
          <w:szCs w:val="28"/>
        </w:rPr>
        <w:t>2023-02-07 09:00:00</w:t>
      </w:r>
      <w:bookmarkEnd w:id="5"/>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hint="eastAsia" w:ascii="宋体" w:hAnsi="宋体" w:cs="仿宋"/>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70"/>
          <w:sz w:val="28"/>
          <w:szCs w:val="28"/>
        </w:rPr>
        <w:t>http://zfcg.czt.zj.gov.cn/</w:t>
      </w:r>
      <w:r>
        <w:rPr>
          <w:rStyle w:val="70"/>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hint="eastAsia" w:ascii="宋体" w:hAnsi="宋体" w:cs="仿宋"/>
          <w:kern w:val="0"/>
          <w:sz w:val="28"/>
          <w:szCs w:val="28"/>
          <w:lang w:val="zh-CN"/>
        </w:rPr>
        <w:t>3.招标文件免费获取。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2"/>
        <w:adjustRightInd w:val="0"/>
        <w:snapToGrid w:val="0"/>
        <w:spacing w:before="156" w:after="156" w:line="500" w:lineRule="exact"/>
        <w:ind w:firstLine="565" w:firstLineChars="201"/>
        <w:rPr>
          <w:rFonts w:hint="eastAsia" w:hAnsi="宋体"/>
          <w:b/>
          <w:kern w:val="0"/>
          <w:sz w:val="28"/>
          <w:szCs w:val="28"/>
        </w:rPr>
      </w:pPr>
      <w:r>
        <w:rPr>
          <w:rFonts w:hint="eastAsia" w:hAnsi="宋体"/>
          <w:b/>
          <w:kern w:val="0"/>
          <w:sz w:val="28"/>
          <w:szCs w:val="28"/>
        </w:rPr>
        <w:t>投标截止时间：2023-02-07 09:00:00</w:t>
      </w:r>
    </w:p>
    <w:p>
      <w:pPr>
        <w:pStyle w:val="32"/>
        <w:adjustRightInd w:val="0"/>
        <w:snapToGrid w:val="0"/>
        <w:spacing w:before="156" w:after="156" w:line="500" w:lineRule="exact"/>
        <w:ind w:firstLine="562" w:firstLineChars="201"/>
        <w:rPr>
          <w:rFonts w:hAnsi="宋体"/>
          <w:kern w:val="0"/>
          <w:sz w:val="28"/>
          <w:szCs w:val="28"/>
        </w:rPr>
      </w:pPr>
      <w:r>
        <w:rPr>
          <w:rFonts w:hint="eastAsia" w:hAnsi="宋体"/>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2"/>
        <w:adjustRightInd w:val="0"/>
        <w:snapToGrid w:val="0"/>
        <w:spacing w:before="156" w:after="156" w:line="500" w:lineRule="exact"/>
        <w:ind w:firstLine="562" w:firstLineChars="201"/>
        <w:rPr>
          <w:rFonts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2"/>
        <w:adjustRightInd w:val="0"/>
        <w:snapToGrid w:val="0"/>
        <w:spacing w:before="156" w:after="156" w:line="500" w:lineRule="exact"/>
        <w:ind w:firstLine="562" w:firstLineChars="201"/>
        <w:rPr>
          <w:rFonts w:hAnsi="宋体" w:cstheme="minorBidi"/>
          <w:kern w:val="0"/>
          <w:sz w:val="28"/>
          <w:szCs w:val="28"/>
        </w:rPr>
      </w:pPr>
      <w:r>
        <w:rPr>
          <w:rFonts w:hint="eastAsia" w:hAnsi="宋体" w:cstheme="minorBidi"/>
          <w:kern w:val="0"/>
          <w:sz w:val="28"/>
          <w:szCs w:val="28"/>
        </w:rPr>
        <w:t>备份文件收件人：陶老师，联系方式：0571-88901836，收件地址：浙江省杭州市西湖区宝石一路3号省政府采购中心。（收件时间：上午8:30-11:30，下午14:30-17:30，节假日、双休日除外；疫情期间仅接收邮寄方式递交的备份电子投标文件,因本大楼疫情管控，推荐使用中国邮政速递和顺丰快递,快递人员投递时须同时登记邮寄单号等相关信息。）</w:t>
      </w:r>
    </w:p>
    <w:p>
      <w:pPr>
        <w:pStyle w:val="32"/>
        <w:adjustRightInd w:val="0"/>
        <w:snapToGrid w:val="0"/>
        <w:spacing w:before="156" w:after="156"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本次招标将于2023-02-07 09:00:00</w:t>
      </w:r>
      <w:r>
        <w:rPr>
          <w:rFonts w:hint="eastAsia" w:ascii="宋体" w:hAnsi="宋体" w:cs="Arial"/>
          <w:b/>
          <w:sz w:val="28"/>
          <w:szCs w:val="28"/>
        </w:rPr>
        <w:t>时整在</w:t>
      </w:r>
      <w:bookmarkStart w:id="6" w:name="PO_15528_PM016_1"/>
      <w:r>
        <w:rPr>
          <w:rFonts w:hint="eastAsia" w:ascii="宋体" w:hAnsi="宋体" w:cs="Arial"/>
          <w:b/>
          <w:sz w:val="28"/>
          <w:szCs w:val="28"/>
        </w:rPr>
        <w:t>浙江省杭州市西湖区宝石一路3号201开标室</w:t>
      </w:r>
      <w:bookmarkEnd w:id="6"/>
      <w:bookmarkStart w:id="32" w:name="_GoBack"/>
      <w:bookmarkEnd w:id="32"/>
      <w:r>
        <w:rPr>
          <w:rFonts w:hint="eastAsia" w:ascii="宋体" w:hAnsi="宋体" w:cs="Arial"/>
          <w:b/>
          <w:sz w:val="28"/>
          <w:szCs w:val="28"/>
        </w:rPr>
        <w:t>开标。</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本项目实行“不见面开评标”，投标人无须派人员到现场出席开标会议。</w:t>
      </w:r>
    </w:p>
    <w:tbl>
      <w:tblPr>
        <w:tblStyle w:val="98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201开标室：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202开标室：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0571-8890779</w:t>
            </w:r>
            <w:r>
              <w:rPr>
                <w:rFonts w:ascii="宋体" w:hAnsi="宋体" w:cs="宋体"/>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203开标室：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w:t>
            </w:r>
            <w:r>
              <w:rPr>
                <w:rFonts w:ascii="宋体" w:hAnsi="宋体" w:cs="宋体"/>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301会议室：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302会议室：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303会议室：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34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306会议室：</w:t>
            </w:r>
          </w:p>
          <w:p>
            <w:pPr>
              <w:adjustRightInd w:val="0"/>
              <w:snapToGrid w:val="0"/>
              <w:spacing w:line="360" w:lineRule="auto"/>
              <w:rPr>
                <w:rFonts w:ascii="宋体" w:hAnsi="宋体" w:cs="宋体"/>
                <w:kern w:val="0"/>
                <w:sz w:val="28"/>
                <w:szCs w:val="28"/>
              </w:rPr>
            </w:pPr>
            <w:r>
              <w:rPr>
                <w:rFonts w:hint="eastAsia" w:ascii="宋体" w:hAnsi="宋体" w:cs="宋体"/>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kern w:val="0"/>
                <w:sz w:val="28"/>
                <w:szCs w:val="28"/>
              </w:rPr>
            </w:pP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70"/>
          <w:sz w:val="28"/>
          <w:szCs w:val="28"/>
        </w:rPr>
        <w:t>http://zfcg.czt.zj.gov.cn/</w:t>
      </w:r>
      <w:r>
        <w:rPr>
          <w:rStyle w:val="70"/>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（https://edu.zcygov.cn/live?utm=a0018.2ef5001f.0.0.1939d340e5db11ea867fb57c149ddb61）自行提前学习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60"/>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7" w:name="PO_15528_PM032"/>
            <w:r>
              <w:rPr>
                <w:rFonts w:hint="eastAsia" w:ascii="仿宋" w:hAnsi="仿宋" w:eastAsia="仿宋" w:cs="仿宋"/>
                <w:sz w:val="28"/>
                <w:szCs w:val="28"/>
              </w:rPr>
              <w:t>柯泓</w:t>
            </w:r>
            <w:bookmarkEnd w:id="7"/>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8" w:name="PO_15528_PM033"/>
            <w:r>
              <w:rPr>
                <w:rFonts w:hint="eastAsia" w:ascii="仿宋" w:hAnsi="仿宋" w:eastAsia="仿宋" w:cs="仿宋"/>
                <w:sz w:val="28"/>
                <w:szCs w:val="28"/>
              </w:rPr>
              <w:t>0571-88901833</w:t>
            </w:r>
            <w:bookmarkEnd w:id="8"/>
          </w:p>
        </w:tc>
        <w:tc>
          <w:tcPr>
            <w:tcW w:w="2066" w:type="dxa"/>
            <w:vMerge w:val="restart"/>
            <w:tcBorders>
              <w:top w:val="single" w:color="auto" w:sz="4" w:space="0"/>
              <w:left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四楼（采购二部）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360" w:lineRule="auto"/>
        <w:ind w:firstLine="602" w:firstLineChars="200"/>
        <w:rPr>
          <w:rFonts w:ascii="仿宋" w:hAnsi="仿宋" w:eastAsia="仿宋" w:cs="Arial"/>
          <w:b/>
          <w:bCs/>
          <w:sz w:val="30"/>
          <w:szCs w:val="30"/>
        </w:rPr>
      </w:pPr>
    </w:p>
    <w:p>
      <w:pPr>
        <w:snapToGrid w:val="0"/>
        <w:spacing w:line="360" w:lineRule="auto"/>
        <w:ind w:firstLine="602" w:firstLineChars="200"/>
        <w:rPr>
          <w:rFonts w:ascii="仿宋_GB2312" w:hAnsi="仿宋" w:eastAsia="仿宋_GB2312"/>
          <w:sz w:val="30"/>
          <w:szCs w:val="30"/>
        </w:rPr>
      </w:pPr>
      <w:r>
        <w:rPr>
          <w:rFonts w:hint="eastAsia" w:ascii="仿宋" w:hAnsi="仿宋" w:eastAsia="仿宋" w:cs="Arial"/>
          <w:b/>
          <w:bCs/>
          <w:sz w:val="30"/>
          <w:szCs w:val="30"/>
        </w:rPr>
        <w:t>十一、采购需求咨询</w:t>
      </w:r>
      <w:bookmarkStart w:id="9" w:name="PO_TDCUS_ITEM_PRC_TABLE_1_1_2"/>
      <w:r>
        <w:rPr>
          <w:rFonts w:hint="eastAsia" w:ascii="仿宋_GB2312" w:hAnsi="仿宋" w:eastAsia="仿宋_GB2312"/>
          <w:sz w:val="30"/>
          <w:szCs w:val="30"/>
        </w:rPr>
        <w:t xml:space="preserve"> </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采购单位</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浙江省农业科学院（本级）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地址</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石桥路198号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咨询事项</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联系人</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姚坚强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联系方式</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0571-86401519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传真</w:t>
            </w:r>
          </w:p>
        </w:tc>
        <w:tc>
          <w:tcPr>
            <w:tcW w:w="2500" w:type="pct"/>
          </w:tcPr>
          <w:p>
            <w:pPr>
              <w:snapToGrid w:val="0"/>
              <w:spacing w:line="44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备注</w:t>
            </w:r>
          </w:p>
        </w:tc>
        <w:tc>
          <w:tcPr>
            <w:tcW w:w="2500" w:type="pct"/>
          </w:tcPr>
          <w:p>
            <w:pPr>
              <w:snapToGrid w:val="0"/>
              <w:spacing w:line="440" w:lineRule="exact"/>
              <w:jc w:val="center"/>
              <w:rPr>
                <w:rFonts w:ascii="仿宋_GB2312" w:hAnsi="仿宋" w:eastAsia="仿宋_GB2312"/>
                <w:sz w:val="30"/>
                <w:szCs w:val="30"/>
              </w:rPr>
            </w:pPr>
          </w:p>
        </w:tc>
      </w:tr>
      <w:bookmarkEnd w:id="9"/>
    </w:tbl>
    <w:p>
      <w:pPr>
        <w:pStyle w:val="32"/>
        <w:spacing w:before="156" w:after="156" w:line="360" w:lineRule="auto"/>
        <w:jc w:val="center"/>
        <w:outlineLvl w:val="0"/>
        <w:rPr>
          <w:rFonts w:hAnsi="宋体"/>
          <w:b/>
          <w:sz w:val="36"/>
          <w:szCs w:val="36"/>
        </w:rPr>
      </w:pPr>
      <w:r>
        <w:rPr>
          <w:rFonts w:hint="eastAsia" w:ascii="仿宋" w:hAnsi="仿宋" w:eastAsia="仿宋"/>
          <w:b/>
          <w:kern w:val="0"/>
          <w:sz w:val="36"/>
          <w:szCs w:val="36"/>
        </w:rPr>
        <w:br w:type="page"/>
      </w:r>
      <w:bookmarkStart w:id="10" w:name="_Toc496796636"/>
      <w:r>
        <w:rPr>
          <w:rFonts w:hint="eastAsia" w:ascii="仿宋" w:hAnsi="仿宋" w:eastAsia="仿宋"/>
          <w:b/>
          <w:sz w:val="36"/>
          <w:szCs w:val="36"/>
        </w:rPr>
        <w:t>第二章 投标人须知</w:t>
      </w:r>
      <w:bookmarkEnd w:id="10"/>
    </w:p>
    <w:p>
      <w:pPr>
        <w:snapToGrid w:val="0"/>
        <w:rPr>
          <w:rFonts w:ascii="宋体" w:hAnsi="宋体"/>
          <w:sz w:val="28"/>
          <w:szCs w:val="28"/>
        </w:rPr>
      </w:pPr>
      <w:r>
        <w:rPr>
          <w:rFonts w:hint="eastAsia" w:ascii="宋体" w:hAnsi="宋体"/>
          <w:sz w:val="28"/>
          <w:szCs w:val="28"/>
        </w:rPr>
        <w:t>前附表</w:t>
      </w:r>
    </w:p>
    <w:tbl>
      <w:tblPr>
        <w:tblStyle w:val="60"/>
        <w:tblW w:w="94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根据《政府采购促进中小企业发展管理办法》财库〔2020〕46号文件的规定，本项目</w:t>
            </w:r>
            <w:r>
              <w:rPr>
                <w:rFonts w:hint="eastAsia" w:ascii="仿宋" w:hAnsi="仿宋" w:eastAsia="仿宋"/>
                <w:b/>
                <w:sz w:val="24"/>
                <w:szCs w:val="24"/>
                <w:u w:val="single"/>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371" w:type="dxa"/>
            <w:tcBorders>
              <w:top w:val="single" w:color="auto" w:sz="4" w:space="0"/>
              <w:left w:val="single" w:color="auto" w:sz="4" w:space="0"/>
              <w:bottom w:val="single" w:color="auto" w:sz="4" w:space="0"/>
              <w:right w:val="single" w:color="auto" w:sz="4" w:space="0"/>
            </w:tcBorders>
            <w:vAlign w:val="center"/>
          </w:tcPr>
          <w:p>
            <w:pPr>
              <w:pStyle w:val="183"/>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3"/>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中小企业划分标准所属行业（具体根据《中小企业划型标准规定》执行）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采购标的：浙江省农科院（本级）2023年度社会车辆用车服务项目，所属行业：租赁和商业服务业</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 xml:space="preserve">  15%  </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2" w:firstLineChars="250"/>
              <w:rPr>
                <w:rFonts w:ascii="仿宋" w:hAnsi="仿宋" w:eastAsia="仿宋"/>
                <w:b/>
                <w:strike/>
                <w:sz w:val="24"/>
                <w:szCs w:val="24"/>
              </w:rPr>
            </w:pPr>
            <w:r>
              <w:rPr>
                <w:rFonts w:hint="eastAsia" w:ascii="仿宋" w:hAnsi="仿宋" w:eastAsia="仿宋"/>
                <w:b/>
                <w:sz w:val="24"/>
                <w:szCs w:val="24"/>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b/>
                <w:sz w:val="24"/>
                <w:szCs w:val="24"/>
                <w:u w:val="single"/>
              </w:rPr>
              <w:t xml:space="preserve">  6%  </w:t>
            </w:r>
            <w:r>
              <w:rPr>
                <w:rFonts w:hint="eastAsia" w:ascii="仿宋" w:hAnsi="仿宋" w:eastAsia="仿宋"/>
                <w:b/>
                <w:sz w:val="24"/>
                <w:szCs w:val="24"/>
              </w:rPr>
              <w:t>的扣除，用扣除后的价格参加评审。</w:t>
            </w:r>
          </w:p>
          <w:p>
            <w:pPr>
              <w:snapToGrid w:val="0"/>
              <w:spacing w:line="460" w:lineRule="exact"/>
              <w:ind w:firstLine="602" w:firstLineChars="250"/>
              <w:rPr>
                <w:rFonts w:ascii="仿宋" w:hAnsi="仿宋" w:eastAsia="仿宋"/>
                <w:b/>
                <w:sz w:val="24"/>
                <w:szCs w:val="24"/>
              </w:rPr>
            </w:pPr>
            <w:r>
              <w:rPr>
                <w:rFonts w:hint="eastAsia" w:ascii="仿宋" w:hAnsi="仿宋" w:eastAsia="仿宋"/>
                <w:b/>
                <w:sz w:val="24"/>
                <w:szCs w:val="24"/>
              </w:rPr>
              <w:t>组成联合体或者接受分包 的小微企业与联合体内其他企业、分包企业之间存在直接控 股、管理关系的，不享受价格扣除优惠政策。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w:t>
            </w:r>
            <w:r>
              <w:rPr>
                <w:rFonts w:hint="eastAsia" w:ascii="仿宋" w:hAnsi="仿宋" w:eastAsia="仿宋"/>
                <w:sz w:val="24"/>
                <w:szCs w:val="24"/>
              </w:rPr>
              <w:t>投标人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招标方提出质疑，格式及内容要求详见总则（五）质疑。</w:t>
            </w:r>
          </w:p>
          <w:p>
            <w:pPr>
              <w:snapToGrid w:val="0"/>
              <w:spacing w:line="460" w:lineRule="exact"/>
              <w:ind w:firstLine="600" w:firstLineChars="25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1" w:name="PO_15528_PM042"/>
            <w:r>
              <w:rPr>
                <w:rFonts w:hint="eastAsia" w:ascii="仿宋" w:hAnsi="仿宋" w:eastAsia="仿宋"/>
                <w:sz w:val="24"/>
                <w:szCs w:val="24"/>
              </w:rPr>
              <w:t>不允许进口产品</w:t>
            </w:r>
            <w:bookmarkEnd w:id="11"/>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是否允许转包与分包</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rPr>
                <w:rFonts w:ascii="仿宋_GB2312" w:hAnsi="仿宋" w:eastAsia="仿宋_GB2312"/>
                <w:bCs/>
                <w:sz w:val="24"/>
              </w:rPr>
            </w:pPr>
            <w:r>
              <w:rPr>
                <w:rFonts w:hint="eastAsia" w:ascii="仿宋_GB2312" w:hAnsi="仿宋" w:eastAsia="仿宋_GB2312"/>
                <w:bCs/>
                <w:sz w:val="24"/>
              </w:rPr>
              <w:t>转包：否</w:t>
            </w:r>
          </w:p>
          <w:p>
            <w:pPr>
              <w:snapToGrid w:val="0"/>
              <w:spacing w:line="460" w:lineRule="exact"/>
              <w:rPr>
                <w:rFonts w:ascii="仿宋_GB2312" w:hAnsi="仿宋" w:eastAsia="仿宋_GB2312"/>
                <w:bCs/>
                <w:sz w:val="24"/>
              </w:rPr>
            </w:pPr>
            <w:r>
              <w:rPr>
                <w:rFonts w:hint="eastAsia" w:ascii="仿宋_GB2312" w:hAnsi="仿宋" w:eastAsia="仿宋_GB2312"/>
                <w:bCs/>
                <w:sz w:val="24"/>
              </w:rPr>
              <w:t>分包：</w:t>
            </w:r>
            <w:bookmarkStart w:id="12" w:name="PO_15528_PM044"/>
            <w:r>
              <w:rPr>
                <w:rFonts w:hint="eastAsia" w:ascii="仿宋_GB2312" w:hAnsi="仿宋" w:eastAsia="仿宋_GB2312"/>
                <w:bCs/>
                <w:sz w:val="24"/>
              </w:rPr>
              <w:t>允许分包</w:t>
            </w:r>
            <w:bookmarkEnd w:id="12"/>
            <w:r>
              <w:rPr>
                <w:rFonts w:hint="eastAsia" w:ascii="仿宋_GB2312" w:hAnsi="仿宋" w:eastAsia="仿宋_GB2312"/>
                <w:bCs/>
                <w:sz w:val="24"/>
              </w:rPr>
              <w:t>；非主体、非关键性工作允许分包。</w:t>
            </w:r>
          </w:p>
          <w:p>
            <w:pPr>
              <w:spacing w:line="500" w:lineRule="exact"/>
              <w:jc w:val="left"/>
              <w:rPr>
                <w:rFonts w:ascii="仿宋_GB2312" w:hAnsi="仿宋" w:eastAsia="仿宋_GB2312"/>
                <w:bCs/>
                <w:sz w:val="24"/>
              </w:rPr>
            </w:pPr>
            <w:r>
              <w:rPr>
                <w:rFonts w:hint="eastAsia" w:ascii="仿宋_GB2312" w:hAnsi="仿宋" w:eastAsia="仿宋_GB2312"/>
                <w:bCs/>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sz w:val="24"/>
              </w:rPr>
            </w:pPr>
            <w:r>
              <w:rPr>
                <w:rFonts w:hint="eastAsia" w:ascii="仿宋_GB2312" w:hAnsi="仿宋" w:eastAsia="仿宋_GB2312"/>
                <w:bCs/>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联合体投标</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_GB2312" w:hAnsi="仿宋" w:eastAsia="仿宋_GB2312"/>
                <w:bCs/>
                <w:sz w:val="24"/>
              </w:rPr>
            </w:pPr>
            <w:bookmarkStart w:id="13" w:name="PO_15528_PM007_1"/>
            <w:r>
              <w:rPr>
                <w:rFonts w:hint="eastAsia" w:ascii="仿宋_GB2312" w:hAnsi="仿宋" w:eastAsia="仿宋_GB2312"/>
                <w:bCs/>
                <w:sz w:val="24"/>
              </w:rPr>
              <w:t>允许联合体投标</w:t>
            </w:r>
            <w:bookmarkEnd w:id="13"/>
            <w:r>
              <w:rPr>
                <w:rFonts w:hint="eastAsia" w:ascii="仿宋_GB2312" w:hAnsi="仿宋" w:eastAsia="仿宋_GB2312"/>
                <w:bCs/>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4" w:name="PO_15528_PM040"/>
            <w:r>
              <w:rPr>
                <w:rFonts w:hint="eastAsia" w:ascii="仿宋" w:hAnsi="仿宋" w:eastAsia="仿宋"/>
                <w:sz w:val="24"/>
                <w:szCs w:val="24"/>
              </w:rPr>
              <w:t>不组织现场踏勘</w:t>
            </w:r>
            <w:bookmarkEnd w:id="14"/>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5" w:name="PO_1000000445_PM041"/>
            <w:r>
              <w:rPr>
                <w:rFonts w:hint="eastAsia" w:ascii="仿宋" w:hAnsi="仿宋" w:eastAsia="仿宋"/>
                <w:sz w:val="24"/>
                <w:szCs w:val="24"/>
              </w:rPr>
              <w:t>不进行演示</w:t>
            </w:r>
            <w:bookmarkEnd w:id="1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6" w:name="PO_1000000445_PM043"/>
            <w:r>
              <w:rPr>
                <w:rFonts w:hint="eastAsia" w:ascii="仿宋" w:hAnsi="仿宋" w:eastAsia="仿宋"/>
                <w:color w:val="000000" w:themeColor="text1"/>
                <w:sz w:val="24"/>
                <w:szCs w:val="24"/>
                <w14:textFill>
                  <w14:solidFill>
                    <w14:schemeClr w14:val="tx1"/>
                  </w14:solidFill>
                </w14:textFill>
              </w:rPr>
              <w:t>不要求提供样品</w:t>
            </w:r>
            <w:bookmarkEnd w:id="16"/>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投标文件均由资格文件、技术商务文件、报价文件组成。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投标人应在投标前注册成为浙江政府采购网的正式供应商（注册网址：</w:t>
            </w:r>
            <w:r>
              <w:fldChar w:fldCharType="begin"/>
            </w:r>
            <w:r>
              <w:instrText xml:space="preserve"> HYPERLINK "https://middle.zcygov.cn/v-settle-front/registry" </w:instrText>
            </w:r>
            <w:r>
              <w:fldChar w:fldCharType="separate"/>
            </w:r>
            <w:r>
              <w:rPr>
                <w:rStyle w:val="70"/>
                <w:rFonts w:hint="eastAsia" w:ascii="仿宋" w:hAnsi="仿宋" w:eastAsia="仿宋"/>
                <w:b/>
                <w:sz w:val="24"/>
                <w:szCs w:val="24"/>
              </w:rPr>
              <w:t>https://middle.zcygov.cn/v-settle-front/registry</w:t>
            </w:r>
            <w:r>
              <w:rPr>
                <w:rStyle w:val="70"/>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投标人应在投标前完成CA数字证书办理（办理流程详见http://zfcg.czt.zj.gov.cn/bidClientTemplate/2019-05-27/12945.html）。完成CA数字证书办理预计一周左右，建议各投标人抓紧时间办理；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hint="eastAsia" w:ascii="仿宋" w:hAnsi="仿宋" w:eastAsia="仿宋"/>
                <w:b/>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70"/>
                <w:rFonts w:hint="eastAsia" w:ascii="仿宋" w:hAnsi="仿宋" w:eastAsia="仿宋"/>
                <w:b/>
                <w:sz w:val="24"/>
                <w:szCs w:val="24"/>
              </w:rPr>
              <w:t>http://zfcg.czt.zj.gov.cn/bidClientTemplate/2019-09-24/12975.html</w:t>
            </w:r>
            <w:r>
              <w:rPr>
                <w:rStyle w:val="70"/>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hint="eastAsia" w:ascii="仿宋" w:hAnsi="仿宋" w:eastAsia="仿宋"/>
                <w:b/>
                <w:sz w:val="24"/>
                <w:szCs w:val="24"/>
              </w:rPr>
              <w:t>详见浙江省“电子交易/不见面开评标”学习专题（网址</w:t>
            </w:r>
            <w:r>
              <w:fldChar w:fldCharType="begin"/>
            </w:r>
            <w:r>
              <w:instrText xml:space="preserve"> HYPERLINK "https://edu.zcygov.cn/luban/e-biding" </w:instrText>
            </w:r>
            <w:r>
              <w:fldChar w:fldCharType="separate"/>
            </w:r>
            <w:r>
              <w:rPr>
                <w:rStyle w:val="70"/>
                <w:rFonts w:hint="eastAsia" w:ascii="仿宋" w:hAnsi="仿宋" w:eastAsia="仿宋"/>
                <w:b/>
                <w:sz w:val="24"/>
                <w:szCs w:val="24"/>
              </w:rPr>
              <w:t>https://edu.zcygov.cn/luban/e-biding</w:t>
            </w:r>
            <w:r>
              <w:rPr>
                <w:rStyle w:val="70"/>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70"/>
                <w:rFonts w:hint="eastAsia" w:ascii="仿宋" w:hAnsi="仿宋" w:eastAsia="仿宋"/>
                <w:sz w:val="24"/>
                <w:szCs w:val="24"/>
              </w:rPr>
              <w:t>http://www.zjzfcg.gov.cn</w:t>
            </w:r>
            <w:r>
              <w:rPr>
                <w:rStyle w:val="70"/>
                <w:rFonts w:hint="eastAsia" w:ascii="仿宋" w:hAnsi="仿宋" w:eastAsia="仿宋"/>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 w:eastAsia="仿宋_GB2312"/>
                <w:bCs/>
                <w:sz w:val="24"/>
              </w:rPr>
            </w:pPr>
            <w:r>
              <w:rPr>
                <w:rFonts w:hint="eastAsia" w:ascii="仿宋_GB2312" w:hAnsi="仿宋" w:eastAsia="仿宋_GB2312"/>
                <w:bCs/>
                <w:sz w:val="24"/>
              </w:rPr>
              <w:t>履约保证金</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_GB2312" w:hAnsi="仿宋" w:eastAsia="仿宋_GB2312"/>
                <w:bCs/>
                <w:sz w:val="24"/>
              </w:rPr>
            </w:pPr>
            <w:r>
              <w:rPr>
                <w:rFonts w:hint="eastAsia" w:ascii="仿宋_GB2312" w:hAnsi="仿宋" w:eastAsia="仿宋_GB2312"/>
                <w:bCs/>
                <w:sz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_GB2312" w:hAnsi="仿宋" w:eastAsia="仿宋_GB2312"/>
                <w:bCs/>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37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371"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2"/>
        <w:snapToGrid w:val="0"/>
        <w:spacing w:beforeLines="100" w:afterLines="100" w:line="360" w:lineRule="auto"/>
        <w:jc w:val="center"/>
        <w:rPr>
          <w:rFonts w:ascii="仿宋" w:hAnsi="仿宋" w:eastAsia="仿宋"/>
          <w:b/>
          <w:bCs/>
          <w:sz w:val="28"/>
          <w:szCs w:val="28"/>
        </w:rPr>
      </w:pPr>
      <w:r>
        <w:rPr>
          <w:rFonts w:hint="eastAsia" w:ascii="仿宋" w:hAnsi="仿宋" w:eastAsia="仿宋_GB2312"/>
          <w:kern w:val="0"/>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2.投标人：指响应招标、参加投标竞争的法人、其他组织或者自然人。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7.电子交易平台:指政府采购项目电子交易平台，即政采云平台。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符合中小企业划分标准的个体工商户，在政府采购活动中视同中小企业。</w:t>
      </w:r>
    </w:p>
    <w:p>
      <w:pPr>
        <w:snapToGrid w:val="0"/>
        <w:spacing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2"/>
        <w:snapToGrid w:val="0"/>
        <w:spacing w:beforeLines="0" w:after="156"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2"/>
        <w:snapToGrid w:val="0"/>
        <w:spacing w:beforeLines="0" w:after="156"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70"/>
          <w:rFonts w:hint="eastAsia" w:ascii="仿宋" w:hAnsi="仿宋" w:eastAsia="仿宋"/>
          <w:bCs/>
          <w:sz w:val="28"/>
          <w:szCs w:val="28"/>
        </w:rPr>
        <w:t>http://zfcg.czt.zj.gov.cn/</w:t>
      </w:r>
      <w:r>
        <w:rPr>
          <w:rStyle w:val="70"/>
          <w:rFonts w:hint="eastAsia"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3</w:t>
      </w:r>
      <w:r>
        <w:rPr>
          <w:rFonts w:ascii="仿宋" w:hAnsi="仿宋" w:eastAsia="仿宋"/>
          <w:bCs/>
          <w:sz w:val="28"/>
          <w:szCs w:val="28"/>
        </w:rPr>
        <w:t>.</w:t>
      </w:r>
      <w:r>
        <w:rPr>
          <w:rFonts w:hint="eastAsia" w:ascii="仿宋" w:hAnsi="仿宋" w:eastAsia="仿宋"/>
          <w:bCs/>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2"/>
        <w:snapToGrid w:val="0"/>
        <w:spacing w:before="156" w:after="156"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2"/>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2"/>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2"/>
        <w:snapToGrid w:val="0"/>
        <w:spacing w:beforeLines="100" w:afterLines="100" w:line="360" w:lineRule="auto"/>
        <w:jc w:val="center"/>
        <w:rPr>
          <w:rFonts w:ascii="仿宋" w:hAnsi="仿宋" w:eastAsia="仿宋"/>
          <w:bCs/>
          <w:sz w:val="28"/>
          <w:szCs w:val="28"/>
        </w:rPr>
      </w:pPr>
      <w:r>
        <w:rPr>
          <w:rFonts w:hint="eastAsia" w:ascii="仿宋" w:hAnsi="仿宋" w:eastAsia="仿宋"/>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2"/>
        <w:adjustRightInd w:val="0"/>
        <w:snapToGrid w:val="0"/>
        <w:spacing w:before="156" w:after="156"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投标文件编制工具为政采云电子交易客户端，下载网址：</w:t>
      </w:r>
      <w:r>
        <w:rPr>
          <w:rFonts w:hint="eastAsia"/>
        </w:rPr>
        <w:fldChar w:fldCharType="begin"/>
      </w:r>
      <w:r>
        <w:instrText xml:space="preserve"> HYPERLINK "http://zfcg.czt.zj.gov.cn/bidClientTemplate/2019-09-24/12975.html" </w:instrText>
      </w:r>
      <w:r>
        <w:rPr>
          <w:rFonts w:hint="eastAsia"/>
        </w:rPr>
        <w:fldChar w:fldCharType="separate"/>
      </w:r>
      <w:r>
        <w:rPr>
          <w:rStyle w:val="70"/>
          <w:rFonts w:hint="eastAsia" w:ascii="仿宋" w:hAnsi="仿宋" w:eastAsia="仿宋"/>
          <w:b/>
          <w:bCs/>
          <w:sz w:val="28"/>
          <w:szCs w:val="28"/>
        </w:rPr>
        <w:t>http://zfcg.czt.zj.gov.cn/bidClientTemplate/2019-09-24/12975.html</w:t>
      </w:r>
      <w:r>
        <w:rPr>
          <w:rStyle w:val="70"/>
          <w:rFonts w:hint="eastAsia"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电子投标文件每个标项由资格文件、技术商务文件、投标报价文件三部份组成，具体详见“第六章  投标文件格式附件”。备份投标文件的组成和内容等同电子投标文件。</w:t>
      </w:r>
    </w:p>
    <w:p>
      <w:pPr>
        <w:pStyle w:val="51"/>
        <w:widowControl w:val="0"/>
        <w:spacing w:after="156"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17"/>
        <w:tabs>
          <w:tab w:val="clear" w:pos="454"/>
        </w:tabs>
        <w:snapToGrid w:val="0"/>
        <w:spacing w:beforeLines="50" w:after="120" w:line="460" w:lineRule="exact"/>
        <w:ind w:left="0" w:firstLine="548" w:firstLineChars="196"/>
        <w:rPr>
          <w:rFonts w:ascii="仿宋" w:hAnsi="仿宋" w:eastAsia="仿宋"/>
          <w:bCs/>
          <w:sz w:val="28"/>
          <w:szCs w:val="28"/>
        </w:rPr>
      </w:pPr>
      <w:r>
        <w:rPr>
          <w:rFonts w:hint="eastAsia" w:ascii="仿宋" w:hAnsi="仿宋" w:eastAsia="仿宋"/>
          <w:bCs/>
          <w:sz w:val="28"/>
          <w:szCs w:val="28"/>
        </w:rPr>
        <w:t>（五）投标文件的有效期</w:t>
      </w:r>
    </w:p>
    <w:p>
      <w:pPr>
        <w:pStyle w:val="17"/>
        <w:tabs>
          <w:tab w:val="clear" w:pos="454"/>
        </w:tabs>
        <w:snapToGrid w:val="0"/>
        <w:spacing w:beforeLines="50" w:after="120" w:line="460" w:lineRule="exact"/>
        <w:ind w:left="0" w:firstLine="560" w:firstLineChars="200"/>
        <w:rPr>
          <w:rFonts w:ascii="仿宋" w:hAnsi="仿宋" w:eastAsia="仿宋"/>
          <w:bCs/>
          <w:sz w:val="28"/>
          <w:szCs w:val="28"/>
        </w:rPr>
      </w:pPr>
      <w:r>
        <w:rPr>
          <w:rFonts w:hint="eastAsia" w:ascii="仿宋" w:hAnsi="仿宋" w:eastAsia="仿宋"/>
          <w:bCs/>
          <w:sz w:val="28"/>
          <w:szCs w:val="28"/>
        </w:rPr>
        <w:t>1.自投标截止日起90天内投标文件应保持有效。有效期不足的投标文件将作无效标处理。</w:t>
      </w:r>
    </w:p>
    <w:p>
      <w:pPr>
        <w:pStyle w:val="17"/>
        <w:tabs>
          <w:tab w:val="clear" w:pos="454"/>
        </w:tabs>
        <w:snapToGrid w:val="0"/>
        <w:spacing w:beforeLines="50" w:after="120" w:line="460" w:lineRule="exact"/>
        <w:ind w:left="0" w:firstLine="560" w:firstLineChars="200"/>
        <w:rPr>
          <w:rFonts w:ascii="仿宋" w:hAnsi="仿宋" w:eastAsia="仿宋"/>
          <w:bCs/>
          <w:sz w:val="28"/>
          <w:szCs w:val="28"/>
        </w:rPr>
      </w:pPr>
      <w:r>
        <w:rPr>
          <w:rFonts w:hint="eastAsia" w:ascii="仿宋" w:hAnsi="仿宋" w:eastAsia="仿宋"/>
          <w:bCs/>
          <w:sz w:val="28"/>
          <w:szCs w:val="28"/>
        </w:rPr>
        <w:t>2.中标供应商的投标文件自开标之日起至合同履行完毕止均应保持有效。</w:t>
      </w:r>
    </w:p>
    <w:p>
      <w:pPr>
        <w:snapToGrid w:val="0"/>
        <w:spacing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2"/>
        <w:adjustRightInd w:val="0"/>
        <w:snapToGrid w:val="0"/>
        <w:spacing w:before="156" w:after="156"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2"/>
        <w:adjustRightInd w:val="0"/>
        <w:snapToGrid w:val="0"/>
        <w:spacing w:before="156" w:after="156"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2"/>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2"/>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pStyle w:val="32"/>
        <w:snapToGrid w:val="0"/>
        <w:spacing w:before="156" w:after="156" w:line="460" w:lineRule="exact"/>
        <w:ind w:firstLine="560" w:firstLineChars="200"/>
        <w:jc w:val="left"/>
        <w:rPr>
          <w:rFonts w:ascii="仿宋" w:hAnsi="仿宋" w:eastAsia="仿宋"/>
          <w:bCs/>
          <w:sz w:val="28"/>
          <w:szCs w:val="28"/>
        </w:rPr>
      </w:pPr>
      <w:r>
        <w:rPr>
          <w:rFonts w:hint="eastAsia" w:ascii="仿宋" w:hAnsi="仿宋" w:eastAsia="仿宋"/>
          <w:bCs/>
          <w:sz w:val="28"/>
          <w:szCs w:val="28"/>
        </w:rPr>
        <w:t>4.资格文件、技术商务文件中不得出现投标报价信息，否则按无效标处理。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2"/>
        <w:snapToGrid w:val="0"/>
        <w:spacing w:beforeLines="0" w:after="156"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2"/>
        <w:adjustRightInd w:val="0"/>
        <w:snapToGrid w:val="0"/>
        <w:spacing w:before="156" w:after="156"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2"/>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三、开、评标程序及评标委员会的评审程序</w:t>
      </w:r>
    </w:p>
    <w:p>
      <w:pPr>
        <w:pStyle w:val="32"/>
        <w:snapToGrid w:val="0"/>
        <w:spacing w:before="156" w:after="156"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2"/>
        <w:snapToGrid w:val="0"/>
        <w:spacing w:before="156" w:after="156"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2"/>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2"/>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2"/>
        <w:snapToGrid w:val="0"/>
        <w:spacing w:before="156" w:after="156"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2"/>
        <w:snapToGrid w:val="0"/>
        <w:spacing w:before="156" w:after="156"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hint="eastAsia" w:ascii="仿宋" w:hAnsi="仿宋" w:eastAsia="仿宋"/>
          <w:b/>
          <w:bCs/>
          <w:sz w:val="28"/>
          <w:szCs w:val="28"/>
        </w:rPr>
        <w:tab/>
      </w:r>
    </w:p>
    <w:p>
      <w:pPr>
        <w:pStyle w:val="32"/>
        <w:snapToGrid w:val="0"/>
        <w:spacing w:before="156" w:after="156"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2"/>
        <w:snapToGrid w:val="0"/>
        <w:spacing w:before="156" w:after="156"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2"/>
        <w:snapToGrid w:val="0"/>
        <w:spacing w:beforeLines="10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2"/>
        <w:snapToGrid w:val="0"/>
        <w:spacing w:before="156" w:after="156"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2"/>
        <w:snapToGrid w:val="0"/>
        <w:spacing w:before="156" w:after="156" w:line="460" w:lineRule="exact"/>
        <w:ind w:firstLine="551" w:firstLineChars="196"/>
        <w:rPr>
          <w:rFonts w:ascii="仿宋" w:hAnsi="仿宋" w:eastAsia="仿宋"/>
          <w:b/>
          <w:bCs/>
          <w:sz w:val="28"/>
          <w:szCs w:val="28"/>
        </w:rPr>
      </w:pPr>
      <w:r>
        <w:rPr>
          <w:rFonts w:hint="eastAsia" w:ascii="仿宋" w:hAnsi="仿宋" w:eastAsia="仿宋"/>
          <w:b/>
          <w:bCs/>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五、确定中标供应商的原则</w:t>
      </w:r>
    </w:p>
    <w:p>
      <w:pPr>
        <w:pStyle w:val="32"/>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2"/>
        <w:snapToGrid w:val="0"/>
        <w:spacing w:before="156" w:after="156" w:line="460" w:lineRule="exact"/>
        <w:ind w:firstLine="560" w:firstLineChars="200"/>
        <w:rPr>
          <w:rFonts w:ascii="仿宋" w:hAnsi="仿宋" w:eastAsia="仿宋"/>
          <w:sz w:val="28"/>
          <w:szCs w:val="28"/>
        </w:rPr>
      </w:pPr>
      <w:r>
        <w:rPr>
          <w:rFonts w:hint="eastAsia" w:hAnsi="宋体" w:cstheme="minorBidi"/>
          <w:sz w:val="28"/>
          <w:szCs w:val="28"/>
        </w:rPr>
        <w:t xml:space="preserve"> </w:t>
      </w:r>
      <w:r>
        <w:rPr>
          <w:rFonts w:hint="eastAsia" w:ascii="仿宋" w:hAnsi="仿宋" w:eastAsia="仿宋"/>
          <w:sz w:val="28"/>
          <w:szCs w:val="28"/>
        </w:rPr>
        <w:t>2.采购人应当自收到评标报告之日起５个工作日内，在评标报告确定的中标候选人名单中按顺序确定中标人，或者采购人委托评标委员会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w:t>
      </w:r>
    </w:p>
    <w:p>
      <w:pPr>
        <w:pStyle w:val="32"/>
        <w:snapToGrid w:val="0"/>
        <w:spacing w:before="156" w:after="156"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2"/>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snapToGrid w:val="0"/>
        <w:spacing w:before="156" w:after="156"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2"/>
        <w:snapToGrid w:val="0"/>
        <w:spacing w:before="156" w:after="156"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2"/>
        <w:snapToGrid w:val="0"/>
        <w:spacing w:beforeLines="100" w:afterLines="100" w:line="360" w:lineRule="auto"/>
        <w:jc w:val="center"/>
        <w:rPr>
          <w:rFonts w:ascii="仿宋" w:hAnsi="仿宋" w:eastAsia="仿宋"/>
          <w:b/>
          <w:sz w:val="30"/>
          <w:szCs w:val="30"/>
        </w:rPr>
      </w:pPr>
    </w:p>
    <w:p>
      <w:pPr>
        <w:pStyle w:val="32"/>
        <w:snapToGrid w:val="0"/>
        <w:spacing w:beforeLines="100" w:afterLines="100" w:line="360" w:lineRule="auto"/>
        <w:jc w:val="center"/>
        <w:rPr>
          <w:rFonts w:ascii="仿宋" w:hAnsi="仿宋" w:eastAsia="仿宋"/>
          <w:b/>
          <w:sz w:val="30"/>
          <w:szCs w:val="30"/>
        </w:rPr>
      </w:pPr>
      <w:r>
        <w:rPr>
          <w:rFonts w:hint="eastAsia" w:ascii="仿宋" w:hAnsi="仿宋" w:eastAsia="仿宋"/>
          <w:b/>
          <w:sz w:val="30"/>
          <w:szCs w:val="30"/>
        </w:rPr>
        <w:t>七、货款的结算</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货款由采购人按采购文件规定的付款方式自行支付。纳入国库集中支付的，按照国库集中支付有关规定付款。</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1.对中小企业合同预付款比例原则上不低于合同金额的40％，不高于合同金额的70%；</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2.项目分年安排预算的，每年预付款比例不低于项目年度计划支付资金额的40％，不高于年度计划支付资金额的70%；</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3.采购项目实施以人工投入为主的，可适当降低预付款比例，但不得低于20%。</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4.对供应商为大型企业的项目或者以人工投入为主且实行按月定期结算支付款项的项目，预付款可低于上述比例或者不约定预付款。</w:t>
      </w:r>
    </w:p>
    <w:p>
      <w:pPr>
        <w:pStyle w:val="32"/>
        <w:snapToGrid w:val="0"/>
        <w:spacing w:beforeLines="100" w:afterLines="100" w:line="360" w:lineRule="auto"/>
        <w:ind w:firstLine="560" w:firstLineChars="200"/>
        <w:rPr>
          <w:rFonts w:ascii="仿宋" w:hAnsi="仿宋" w:eastAsia="仿宋"/>
          <w:sz w:val="28"/>
          <w:szCs w:val="28"/>
        </w:rPr>
      </w:pPr>
      <w:r>
        <w:rPr>
          <w:rFonts w:hint="eastAsia" w:ascii="仿宋" w:hAnsi="仿宋" w:eastAsia="仿宋"/>
          <w:sz w:val="28"/>
          <w:szCs w:val="28"/>
        </w:rPr>
        <w:t>备注：在签订合同时，供应商明确表示无需预付款或者主动要求降低预付款比例的，采购单位可不适用前述预付款比例的规定。</w:t>
      </w:r>
    </w:p>
    <w:p>
      <w:pPr>
        <w:pStyle w:val="32"/>
        <w:spacing w:before="156" w:after="156" w:line="360" w:lineRule="auto"/>
        <w:jc w:val="center"/>
        <w:rPr>
          <w:rFonts w:ascii="仿宋" w:hAnsi="仿宋" w:eastAsia="仿宋"/>
          <w:b/>
          <w:sz w:val="28"/>
          <w:szCs w:val="28"/>
        </w:rPr>
      </w:pPr>
    </w:p>
    <w:p>
      <w:pPr>
        <w:pStyle w:val="32"/>
        <w:snapToGrid w:val="0"/>
        <w:spacing w:before="156" w:after="156" w:line="240" w:lineRule="auto"/>
        <w:ind w:firstLine="600" w:firstLineChars="200"/>
        <w:rPr>
          <w:rFonts w:ascii="仿宋_GB2312" w:hAnsi="仿宋" w:eastAsia="仿宋_GB2312"/>
          <w:sz w:val="30"/>
          <w:szCs w:val="30"/>
        </w:rPr>
      </w:pPr>
    </w:p>
    <w:p>
      <w:pPr>
        <w:pStyle w:val="32"/>
        <w:spacing w:before="156" w:after="156" w:line="360" w:lineRule="auto"/>
        <w:jc w:val="center"/>
        <w:outlineLvl w:val="0"/>
        <w:rPr>
          <w:rFonts w:hAnsi="宋体"/>
          <w:b/>
          <w:sz w:val="36"/>
          <w:szCs w:val="36"/>
        </w:rPr>
      </w:pPr>
      <w:r>
        <w:rPr>
          <w:rFonts w:hint="eastAsia" w:hAnsi="宋体"/>
          <w:b/>
          <w:kern w:val="0"/>
          <w:sz w:val="36"/>
          <w:szCs w:val="36"/>
        </w:rPr>
        <w:br w:type="page"/>
      </w:r>
      <w:bookmarkStart w:id="17" w:name="_Toc496796637"/>
      <w:r>
        <w:rPr>
          <w:rFonts w:hint="eastAsia" w:hAnsi="宋体"/>
          <w:b/>
          <w:sz w:val="36"/>
          <w:szCs w:val="36"/>
        </w:rPr>
        <w:t>第三章  评标办法及评分标准</w:t>
      </w:r>
      <w:bookmarkEnd w:id="17"/>
    </w:p>
    <w:p>
      <w:pPr>
        <w:spacing w:beforeLines="5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Lines="5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Lines="50" w:afterLines="50" w:line="460" w:lineRule="exact"/>
        <w:ind w:firstLine="600" w:firstLineChars="200"/>
        <w:rPr>
          <w:rFonts w:ascii="仿宋" w:hAnsi="仿宋" w:eastAsia="仿宋"/>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spacing w:beforeLines="5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Lines="5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Lines="5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Lines="5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Lines="50" w:afterLines="50" w:line="460" w:lineRule="exact"/>
        <w:ind w:firstLine="602" w:firstLineChars="200"/>
        <w:rPr>
          <w:rFonts w:ascii="仿宋" w:hAnsi="仿宋" w:eastAsia="仿宋"/>
          <w:b/>
          <w:bCs/>
          <w:sz w:val="30"/>
          <w:szCs w:val="30"/>
        </w:rPr>
      </w:pPr>
    </w:p>
    <w:p>
      <w:pPr>
        <w:spacing w:beforeLines="5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Lines="50" w:afterLines="50" w:line="460" w:lineRule="exact"/>
        <w:rPr>
          <w:rFonts w:ascii="仿宋" w:hAnsi="仿宋" w:eastAsiaTheme="minorEastAsia"/>
          <w:bCs/>
          <w:sz w:val="30"/>
          <w:szCs w:val="30"/>
        </w:rPr>
      </w:pPr>
    </w:p>
    <w:p>
      <w:pPr>
        <w:spacing w:beforeLines="50" w:afterLines="50" w:line="320" w:lineRule="exact"/>
        <w:rPr>
          <w:rFonts w:ascii="仿宋" w:hAnsi="仿宋" w:eastAsia="仿宋_GB2312"/>
          <w:b/>
          <w:sz w:val="30"/>
          <w:szCs w:val="30"/>
        </w:rPr>
      </w:pPr>
      <w:r>
        <w:rPr>
          <w:rFonts w:hint="eastAsia" w:ascii="仿宋" w:hAnsi="仿宋" w:eastAsia="仿宋_GB2312"/>
          <w:bCs/>
          <w:kern w:val="0"/>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18" w:name="_Toc496796638"/>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1666"/>
        <w:gridCol w:w="4499"/>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bookmarkStart w:id="19" w:name="PO_TDCUS_ITEM_SM_TABLE_1_1"/>
            <w:r>
              <w:rPr>
                <w:rFonts w:hint="eastAsia" w:ascii="仿宋_GB2312" w:hAnsi="宋体" w:eastAsia="仿宋_GB2312"/>
                <w:b/>
                <w:sz w:val="32"/>
                <w:szCs w:val="32"/>
              </w:rPr>
              <w:t>序号</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评分类型</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评分标准</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报价</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(最低报价/投标报价)*最大分值</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根据投标人对本项目的特点和难点分析及解决措施情况的完整性、可行性、合理性进行评分。</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车辆质量管控措施及服务流程的可行性及合理性，根据项目提供实施方案、各项管理规章制度及考核方法、流程、标准、承诺等情况评分。</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根据供应商拟投入车辆的内饰、外观统一标识、品牌档次、设备设施配置（GPS、安全带、安全灭火器等）、年检等情况评分。</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具备先进的开放式网络化信息管理系统，可实现车辆管理、车辆实时定位及动态管理等功能进行评分。</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车辆情况（10辆以上20座以上大型客车，5辆以上20座及以下中型客车，30辆以上小型客车），所有服务的车辆均在2016年1月1日（含）以后购置（不满足不得分）：提供三年及以内车辆的得5分，三年以上六年及以内车辆的得3分，六年以上车辆不得分。</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6</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车辆保险情况：所有车辆必须按规定参保司乘人员及第三者责任险、交强险，并提供行驶证及保单复印件。投标人投入运营的车辆均需向保险公司投保承运人乘员责任保险。</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7</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项目负责人的经验能力：根据项目负责人对通勤车队伍管理熟知程度和类似管理经验等。</w:t>
            </w:r>
          </w:p>
        </w:tc>
        <w:tc>
          <w:tcPr>
            <w:tcW w:w="850" w:type="pct"/>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8</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本项目所配的所有驾驶员情况：均与投标人签订正式劳动合同的得2分，没有的不得分；投标人按期交纳本项目服务所有驾驶员保险(五险)的得2分，没有的不得分。（需提供劳动合同及五险清单证明）</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9</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所配驾驶员的年龄、驾龄、从业记录情况，须提供所配驾驶员身份证、驾驶证复印件并盖章。</w:t>
            </w:r>
          </w:p>
        </w:tc>
        <w:tc>
          <w:tcPr>
            <w:tcW w:w="850" w:type="pct"/>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10</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项目所配驾驶人员2019年1月1日以来安全驾驶情况：未发生责任事故的得3分，发生责任事故的该项不得分。（需提供机动车驾驶员安全驾驶记录情况）</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11</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投标人针对本项目的驾驶员的培训及服务规范等。</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12</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突发事故如交通事故、车辆故障、迟到、恶劣天气等应急调度处置方案及其合理性、科学性、可操作性。</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13</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车辆维保能力。（自身是否具备车辆维修保养的能力）</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14</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根据供应商服务承诺、响应时间与保证措施进行评分。</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15</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其他优惠措施和承诺。</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6</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根据供应商技术力量、交通运输业安全生产标准化建设等情况打分（详见商务要求表）。</w:t>
            </w:r>
          </w:p>
        </w:tc>
        <w:tc>
          <w:tcPr>
            <w:tcW w:w="850" w:type="pct"/>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pct"/>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rPr>
              <w:t>1</w:t>
            </w:r>
            <w:r>
              <w:rPr>
                <w:rFonts w:hint="eastAsia" w:ascii="仿宋_GB2312" w:hAnsi="宋体" w:eastAsia="仿宋_GB2312"/>
                <w:b/>
                <w:sz w:val="32"/>
                <w:szCs w:val="32"/>
                <w:lang w:val="en-US" w:eastAsia="zh-CN"/>
              </w:rPr>
              <w:t>7</w:t>
            </w:r>
          </w:p>
        </w:tc>
        <w:tc>
          <w:tcPr>
            <w:tcW w:w="977"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639"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类似项目业绩情况（详见商务要求表）。</w:t>
            </w:r>
          </w:p>
        </w:tc>
        <w:tc>
          <w:tcPr>
            <w:tcW w:w="850" w:type="pct"/>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r>
    </w:tbl>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 xml:space="preserve"> </w:t>
      </w:r>
      <w:bookmarkEnd w:id="19"/>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jc w:val="center"/>
        <w:outlineLvl w:val="0"/>
        <w:rPr>
          <w:rFonts w:hAnsi="宋体"/>
          <w:b/>
          <w:sz w:val="36"/>
          <w:szCs w:val="36"/>
        </w:rPr>
      </w:pPr>
    </w:p>
    <w:p>
      <w:pPr>
        <w:spacing w:afterLines="100" w:line="340" w:lineRule="exact"/>
        <w:outlineLvl w:val="0"/>
        <w:rPr>
          <w:rFonts w:hAnsi="宋体"/>
          <w:b/>
          <w:sz w:val="36"/>
          <w:szCs w:val="36"/>
        </w:rPr>
      </w:pPr>
    </w:p>
    <w:p>
      <w:pPr>
        <w:pStyle w:val="2"/>
        <w:rPr>
          <w:rFonts w:hAnsi="宋体"/>
          <w:b/>
          <w:sz w:val="36"/>
          <w:szCs w:val="36"/>
        </w:rPr>
      </w:pPr>
    </w:p>
    <w:p>
      <w:pPr>
        <w:pStyle w:val="2"/>
        <w:ind w:left="0" w:leftChars="0" w:firstLine="0" w:firstLineChars="0"/>
      </w:pPr>
    </w:p>
    <w:p>
      <w:pPr>
        <w:spacing w:afterLines="100" w:line="340" w:lineRule="exact"/>
        <w:jc w:val="center"/>
        <w:outlineLvl w:val="0"/>
        <w:rPr>
          <w:rFonts w:hint="eastAsia" w:hAnsi="宋体"/>
          <w:b/>
          <w:sz w:val="36"/>
          <w:szCs w:val="36"/>
        </w:rPr>
      </w:pPr>
    </w:p>
    <w:p>
      <w:pPr>
        <w:spacing w:afterLines="100" w:line="340" w:lineRule="exact"/>
        <w:jc w:val="center"/>
        <w:outlineLvl w:val="0"/>
        <w:rPr>
          <w:rFonts w:hAnsi="宋体"/>
          <w:b/>
          <w:sz w:val="36"/>
          <w:szCs w:val="36"/>
        </w:rPr>
      </w:pPr>
      <w:r>
        <w:rPr>
          <w:rFonts w:hint="eastAsia" w:hAnsi="宋体"/>
          <w:b/>
          <w:sz w:val="36"/>
          <w:szCs w:val="36"/>
        </w:rPr>
        <w:t>第四章 招标需求</w:t>
      </w:r>
      <w:bookmarkEnd w:id="18"/>
    </w:p>
    <w:p>
      <w:pPr>
        <w:snapToGrid w:val="0"/>
        <w:spacing w:beforeLines="50" w:afterLines="50"/>
        <w:rPr>
          <w:rFonts w:ascii="宋体" w:hAnsi="宋体" w:eastAsiaTheme="minorEastAsia"/>
          <w:b/>
          <w:spacing w:val="40"/>
          <w:kern w:val="0"/>
          <w:sz w:val="36"/>
          <w:szCs w:val="36"/>
        </w:rPr>
      </w:pPr>
    </w:p>
    <w:p>
      <w:pPr>
        <w:snapToGrid w:val="0"/>
        <w:spacing w:beforeLines="5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4"/>
        <w:shd w:val="clear" w:color="auto" w:fill="FDFAF5"/>
        <w:spacing w:before="0" w:beforeAutospacing="0" w:after="0" w:afterAutospacing="0" w:line="520" w:lineRule="atLeast"/>
        <w:ind w:firstLine="562" w:firstLineChars="200"/>
        <w:rPr>
          <w:rFonts w:ascii="仿宋" w:hAnsi="仿宋" w:eastAsia="仿宋" w:cs="Times New Roman"/>
          <w:b/>
          <w:sz w:val="28"/>
          <w:szCs w:val="28"/>
        </w:rPr>
      </w:pPr>
      <w:r>
        <w:rPr>
          <w:rFonts w:hint="eastAsia" w:ascii="仿宋" w:hAnsi="仿宋" w:eastAsia="仿宋" w:cs="Times New Roman"/>
          <w:b/>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rPr>
          <w:rFonts w:ascii="仿宋" w:hAnsi="仿宋" w:eastAsia="仿宋"/>
          <w:b/>
          <w:sz w:val="36"/>
          <w:szCs w:val="36"/>
        </w:rPr>
      </w:pPr>
      <w:bookmarkStart w:id="20" w:name="PO_TDCUS_ITEM_PB_REQ_TITLE_1_0"/>
      <w:bookmarkStart w:id="21" w:name="_Toc496796639"/>
    </w:p>
    <w:p>
      <w:pPr>
        <w:spacing w:line="360" w:lineRule="auto"/>
        <w:rPr>
          <w:rFonts w:ascii="仿宋" w:hAnsi="仿宋" w:eastAsia="仿宋"/>
          <w:b/>
          <w:sz w:val="36"/>
          <w:szCs w:val="36"/>
        </w:rPr>
      </w:pPr>
    </w:p>
    <w:p>
      <w:pPr>
        <w:spacing w:line="360" w:lineRule="auto"/>
        <w:jc w:val="center"/>
        <w:rPr>
          <w:rFonts w:ascii="仿宋" w:hAnsi="仿宋" w:eastAsia="仿宋"/>
          <w:b/>
          <w:sz w:val="36"/>
          <w:szCs w:val="36"/>
        </w:rPr>
      </w:pPr>
    </w:p>
    <w:p>
      <w:pPr>
        <w:spacing w:line="360" w:lineRule="auto"/>
        <w:jc w:val="center"/>
        <w:rPr>
          <w:rFonts w:ascii="仿宋" w:hAnsi="仿宋" w:eastAsia="仿宋"/>
          <w:b/>
          <w:sz w:val="36"/>
          <w:szCs w:val="36"/>
        </w:rPr>
        <w:sectPr>
          <w:footerReference r:id="rId3" w:type="default"/>
          <w:pgSz w:w="11906" w:h="16838"/>
          <w:pgMar w:top="1440" w:right="1800" w:bottom="1440" w:left="1800" w:header="851" w:footer="992" w:gutter="0"/>
          <w:cols w:space="425" w:num="1"/>
          <w:docGrid w:type="lines" w:linePitch="312" w:charSpace="0"/>
        </w:sectPr>
      </w:pPr>
    </w:p>
    <w:bookmarkEnd w:id="20"/>
    <w:p>
      <w:pPr>
        <w:pStyle w:val="183"/>
        <w:adjustRightInd w:val="0"/>
        <w:snapToGrid w:val="0"/>
        <w:spacing w:line="560" w:lineRule="exact"/>
        <w:ind w:firstLine="0" w:firstLineChars="0"/>
        <w:jc w:val="center"/>
        <w:rPr>
          <w:rFonts w:hint="eastAsia" w:ascii="方正黑体_GBK" w:hAnsi="方正黑体_GBK" w:eastAsia="方正黑体_GBK" w:cs="方正黑体_GBK"/>
          <w:bCs/>
          <w:sz w:val="32"/>
          <w:szCs w:val="32"/>
        </w:rPr>
      </w:pPr>
      <w:bookmarkStart w:id="22" w:name="PO_TDCUS_ITEM_PB_REQ_FILE_1_1"/>
      <w:bookmarkStart w:id="23" w:name="PO_TDCUS_ITEM_PB_REQ_FILE_1_1_0"/>
      <w:r>
        <w:rPr>
          <w:rFonts w:hint="eastAsia" w:ascii="仿宋" w:hAnsi="仿宋" w:eastAsia="仿宋"/>
          <w:b/>
          <w:sz w:val="36"/>
          <w:szCs w:val="36"/>
        </w:rPr>
        <w:t>标项1:浙江省农科院（本级）2023年度社会车辆用车服务项目</w:t>
      </w:r>
    </w:p>
    <w:p>
      <w:pPr>
        <w:pStyle w:val="183"/>
        <w:adjustRightInd w:val="0"/>
        <w:snapToGrid w:val="0"/>
        <w:spacing w:line="560" w:lineRule="exact"/>
        <w:ind w:firstLine="0" w:firstLineChars="0"/>
        <w:jc w:val="left"/>
        <w:rPr>
          <w:rFonts w:hint="eastAsia" w:ascii="方正黑体_GBK" w:hAnsi="方正黑体_GBK" w:eastAsia="方正黑体_GBK" w:cs="方正黑体_GBK"/>
          <w:bCs/>
          <w:sz w:val="32"/>
          <w:szCs w:val="32"/>
        </w:rPr>
      </w:pPr>
    </w:p>
    <w:p>
      <w:pPr>
        <w:pStyle w:val="183"/>
        <w:adjustRightInd w:val="0"/>
        <w:snapToGrid w:val="0"/>
        <w:spacing w:line="560" w:lineRule="exact"/>
        <w:ind w:firstLine="0" w:firstLineChars="0"/>
        <w:jc w:val="lef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一、 项目概况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1.本次招标为浙江省农业科学院（本级）2023年度社会车辆用车服务项目。根据省农科院（本级）往年用车业务量统计，一天最多用车量小车60辆，中型客车15辆，大型客车25辆，一年累计用车服务费约1000万元。因不固定路线和目的地，需根据实际用车据实结算。用车目的地除城市用车外，大部分需要到省内各市县镇等农村地区，少部分需到农村偏远地区。根据乘客人数以及科研工作需要，有科研设备、工具、试验样本等随运需求，我院采购同时包括小型、中型、大型等各类车型的服务保障。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2.服务期限：自合同签订之日起至2023年12月31日。</w:t>
      </w:r>
    </w:p>
    <w:p>
      <w:pPr>
        <w:adjustRightInd w:val="0"/>
        <w:snapToGrid w:val="0"/>
        <w:spacing w:line="560"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二、服务保障要求</w:t>
      </w:r>
    </w:p>
    <w:p>
      <w:pPr>
        <w:adjustRightInd w:val="0"/>
        <w:snapToGrid w:val="0"/>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（一）安全要求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合同期间，中标方服务时如遇发生交通事故，中标人应及时向公安交管及保险部门报案，出现人员伤亡情况，应积极将伤者送往医院及时治疗。事故均由中标人负责处理，并承担相关赔偿责任和一切费用，采购人通过中标人按交通管理部门对交通事故的责任认定结果作出处置。因发生交通事故或途中车辆故障、驾驶员个人原因等导致原定行程无法继续履行，投标人需在半小时内安排车辆转接，如半小时内不能及时安排应急车辆到达现场时，允许采购人采用打车等其他方式解决，产生费用由中标人承担。</w:t>
      </w:r>
    </w:p>
    <w:p>
      <w:pPr>
        <w:adjustRightInd w:val="0"/>
        <w:snapToGrid w:val="0"/>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（二）租用车型及年限要求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大客车及中型客车：金龙、宇通、北方、青年、考斯特或品牌档次不低于上述品牌的其他品牌车型。常年保障中型客车5辆以上、大型客车10辆以上。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小型客车：红旗、别克、奥迪、丰田、大众或品牌档次不低于上述品牌的其他品牌车型。常年保障轿车、商务车等小车30辆以上。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所有在我院服务的车辆须为</w:t>
      </w:r>
      <w:r>
        <w:rPr>
          <w:rFonts w:ascii="仿宋" w:hAnsi="仿宋" w:eastAsia="仿宋"/>
          <w:sz w:val="32"/>
          <w:szCs w:val="32"/>
        </w:rPr>
        <w:t>20</w:t>
      </w:r>
      <w:r>
        <w:rPr>
          <w:rFonts w:hint="eastAsia" w:ascii="仿宋" w:hAnsi="仿宋" w:eastAsia="仿宋"/>
          <w:sz w:val="32"/>
          <w:szCs w:val="32"/>
        </w:rPr>
        <w:t>16年</w:t>
      </w:r>
      <w:r>
        <w:rPr>
          <w:rFonts w:ascii="仿宋" w:hAnsi="仿宋" w:eastAsia="仿宋"/>
          <w:sz w:val="32"/>
          <w:szCs w:val="32"/>
        </w:rPr>
        <w:t>1</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含）以后购置的车辆；中标方负责为所有租赁车辆投保（包括但不限于交强险、第三者责任险），中大型客车还需为承运人乘员责任险投保不低于50万元/人，并提供相关证明文件。不得使用无“承运人乘员责任保险”的或法律法规规定的其它险种的车辆以及证照不齐全的车辆。</w:t>
      </w:r>
    </w:p>
    <w:p>
      <w:pPr>
        <w:adjustRightInd w:val="0"/>
        <w:snapToGrid w:val="0"/>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（三）车况要求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中标人应根据采购人的要求做好所属车辆的机务保养、机械维修工作，保障车辆的正常运行，如发生机械故障，无法保证正常运行，应提供同等车况作为保障，所有费用自行承担。</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1.车身外观整洁，无锈斑、脱漆、凹凸、松动、开裂、变形；</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2.门饰条饰板完好，无脱落；</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3.车灯功能完好，灯罩无破损；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4.排气管无松动；车轮毂罩齐全、完好；</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5.车辆前后号牌完整、无遮盖、无油污；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6.门把手完好、车门开闭自如、锁止可靠；</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7.车窗玻璃完整、清洁，玻璃升降装置功能完好；</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8.车厢内整洁、卫生、无杂物、无异味；顶棚及车门内侧洁净、无积垢；</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9.头座套、窗帘，保持清洁、卫生、完好，即脏即换；</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10.车内设备，如空调等效果良好；</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11.车辆避震效果良好；</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12.车辆配备灭火装置及车载安全锤,须有效完好；</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13.车辆须未发生过重大或特大安全交通事故、未发生泡水、大修等严重维修。采购人有权对车辆进行相应的安全检查，投标人应对车辆实行定期的安全检查，并做好安全检查记录。</w:t>
      </w:r>
    </w:p>
    <w:p>
      <w:pPr>
        <w:adjustRightInd w:val="0"/>
        <w:snapToGrid w:val="0"/>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（四）驾驶员要求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采购人要求中标人选派技术精、服务态度好、年龄55周岁（含）以下、敬业守时、身体健康的驾驶员至少30名，做到安全、准点、热情、周到。其具体条件要求如下：</w:t>
      </w:r>
    </w:p>
    <w:p>
      <w:pPr>
        <w:adjustRightInd w:val="0"/>
        <w:snapToGrid w:val="0"/>
        <w:spacing w:line="560" w:lineRule="exact"/>
        <w:ind w:firstLine="640" w:firstLineChars="200"/>
        <w:jc w:val="lef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.大型客车须有八年（含）以上驾龄的</w:t>
      </w:r>
      <w:r>
        <w:rPr>
          <w:rFonts w:ascii="仿宋" w:hAnsi="仿宋" w:eastAsia="仿宋"/>
          <w:sz w:val="32"/>
          <w:szCs w:val="32"/>
        </w:rPr>
        <w:t>A</w:t>
      </w:r>
      <w:r>
        <w:rPr>
          <w:rFonts w:hint="eastAsia" w:ascii="仿宋" w:hAnsi="仿宋" w:eastAsia="仿宋"/>
          <w:sz w:val="32"/>
          <w:szCs w:val="32"/>
        </w:rPr>
        <w:t>照驾驶员；具有驾驶员服务资格证书；</w:t>
      </w:r>
    </w:p>
    <w:p>
      <w:pPr>
        <w:adjustRightInd w:val="0"/>
        <w:snapToGrid w:val="0"/>
        <w:spacing w:line="56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.小型客车须有五年（含）以上驾龄的驾驶员；</w:t>
      </w:r>
    </w:p>
    <w:p>
      <w:pPr>
        <w:adjustRightInd w:val="0"/>
        <w:snapToGrid w:val="0"/>
        <w:spacing w:line="560" w:lineRule="exact"/>
        <w:ind w:firstLine="640" w:firstLineChars="200"/>
        <w:jc w:val="left"/>
        <w:rPr>
          <w:rFonts w:ascii="仿宋" w:hAnsi="仿宋" w:eastAsia="仿宋"/>
          <w:sz w:val="32"/>
          <w:szCs w:val="32"/>
        </w:rPr>
      </w:pPr>
      <w:r>
        <w:rPr>
          <w:rFonts w:hint="eastAsia" w:ascii="仿宋" w:hAnsi="仿宋" w:eastAsia="仿宋"/>
          <w:sz w:val="32"/>
          <w:szCs w:val="32"/>
        </w:rPr>
        <w:t>3.应对车辆异常状况具有鉴别的能力；</w:t>
      </w:r>
    </w:p>
    <w:p>
      <w:pPr>
        <w:adjustRightInd w:val="0"/>
        <w:snapToGrid w:val="0"/>
        <w:spacing w:line="560" w:lineRule="exact"/>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能主动提供使用人工作所需的协助性服务工作。</w:t>
      </w:r>
    </w:p>
    <w:p>
      <w:pPr>
        <w:pStyle w:val="32"/>
        <w:spacing w:before="159" w:after="159"/>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（五）其他要求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1.如遇采购人大规模集中用车，中标人须承诺做好调度确保采购人的使用需求。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2.采购方有权对中标供应商提供的车辆车况及驾驶员的情况进行审核，如发现不能满足采购人需求，采购人有权要求中标供应商更换车辆和驾驶员，直至满足采购人需求。</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投标人必须设立总负责人，全权负责我院用车服务以及后续事宜，包括接单、派单、执行、考核、整改、财务结算等环节管理规章，总负责人必须由投标人的在职人员担当，提供总负责人职务、联系方式等信息，便于采购人与其进行联络。</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4.投标人应在投标文件中提供以下服务承诺：服务响应时间承诺，服务态度承诺，车况、车辆卫生承诺，投诉处理承诺等。</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5.投标人应在投标文件中提供应急管理预案，包括：（1）交通事故；（2）车辆故障；（3）交通拥堵等情况下的应急方案。</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6.投标人需根据采购人现有情况应制定专门的车辆交通服务规章制度和考核标准，包括：（1）司机、车辆管理规章；（2）标准作业流程、单项任务执行情况等考核标准。</w:t>
      </w:r>
    </w:p>
    <w:p>
      <w:pPr>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7.投标人应允许白事兼用。</w:t>
      </w:r>
    </w:p>
    <w:p>
      <w:pPr>
        <w:pStyle w:val="2"/>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8.必要时根据政府部门有关要求落实疫情防控工作方案。</w:t>
      </w:r>
    </w:p>
    <w:p>
      <w:pPr>
        <w:pStyle w:val="25"/>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（六）投诉响应</w:t>
      </w:r>
    </w:p>
    <w:p>
      <w:pPr>
        <w:pStyle w:val="25"/>
        <w:ind w:firstLine="640"/>
        <w:rPr>
          <w:rFonts w:ascii="仿宋" w:hAnsi="仿宋" w:eastAsia="仿宋"/>
          <w:sz w:val="32"/>
          <w:szCs w:val="32"/>
        </w:rPr>
      </w:pPr>
      <w:r>
        <w:rPr>
          <w:rFonts w:hint="eastAsia" w:ascii="仿宋" w:hAnsi="仿宋" w:eastAsia="仿宋"/>
          <w:sz w:val="32"/>
          <w:szCs w:val="32"/>
        </w:rPr>
        <w:t>采购人根据使用人对中标人的投诉情况以及中标人对投诉响应处理的情况，若投诉类似事项超过3起的，将以履约保证金的20%在履约保证金中予以扣除等处罚；投诉超过5起并中标人3天内对投诉不响应的，采购人有权按政府采购法律法规将相关情况提交到浙江省财政厅政府采购监管处处置。</w:t>
      </w:r>
    </w:p>
    <w:p>
      <w:pPr>
        <w:adjustRightInd w:val="0"/>
        <w:snapToGrid w:val="0"/>
        <w:spacing w:line="560" w:lineRule="exact"/>
        <w:rPr>
          <w:rFonts w:ascii="仿宋" w:hAnsi="仿宋" w:eastAsia="仿宋"/>
          <w:sz w:val="32"/>
          <w:szCs w:val="32"/>
        </w:rPr>
      </w:pPr>
      <w:r>
        <w:rPr>
          <w:rFonts w:hint="eastAsia" w:ascii="方正黑体_GBK" w:hAnsi="方正黑体_GBK" w:eastAsia="方正黑体_GBK" w:cs="方正黑体_GBK"/>
          <w:bCs/>
          <w:sz w:val="32"/>
          <w:szCs w:val="32"/>
        </w:rPr>
        <w:t>三、报价方式</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投标人所报价格应包含除过</w:t>
      </w:r>
      <w:r>
        <w:rPr>
          <w:rFonts w:hint="eastAsia" w:ascii="仿宋" w:hAnsi="仿宋" w:eastAsia="仿宋" w:cs="宋体"/>
          <w:kern w:val="0"/>
          <w:sz w:val="32"/>
          <w:szCs w:val="32"/>
        </w:rPr>
        <w:t>路桥费、停车费、司机食宿（以实际产生的费用结算，其中司机过夜食宿标准为250元/天）以外的所有费用</w:t>
      </w:r>
      <w:r>
        <w:rPr>
          <w:rFonts w:ascii="仿宋" w:hAnsi="仿宋" w:eastAsia="仿宋"/>
          <w:sz w:val="32"/>
          <w:szCs w:val="32"/>
        </w:rPr>
        <w:t>(</w:t>
      </w:r>
      <w:r>
        <w:rPr>
          <w:rFonts w:hint="eastAsia" w:ascii="仿宋" w:hAnsi="仿宋" w:eastAsia="仿宋"/>
          <w:sz w:val="32"/>
          <w:szCs w:val="32"/>
        </w:rPr>
        <w:t>附报价响应表</w:t>
      </w:r>
      <w:r>
        <w:rPr>
          <w:rFonts w:ascii="仿宋" w:hAnsi="仿宋" w:eastAsia="仿宋"/>
          <w:sz w:val="32"/>
          <w:szCs w:val="32"/>
        </w:rPr>
        <w:t>)</w:t>
      </w:r>
      <w:r>
        <w:rPr>
          <w:rFonts w:hint="eastAsia" w:ascii="仿宋" w:hAnsi="仿宋" w:eastAsia="仿宋"/>
          <w:sz w:val="32"/>
          <w:szCs w:val="32"/>
        </w:rPr>
        <w:t>。</w:t>
      </w:r>
    </w:p>
    <w:p>
      <w:pPr>
        <w:adjustRightInd w:val="0"/>
        <w:snapToGrid w:val="0"/>
        <w:spacing w:line="560"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四、费用结算及其他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付款方式：租赁用车费以月为结算周期；根据用车情况以单车单笔进行结算，租赁用车发票、联系单、结算单和验收单等相关结算单据需在30天内提供给采购人（如遇节假日顺延）；合同签订后采购人不向中标人预支任何费用。</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2.履约保证金按合同金额的1%，在采购合同签订后5个工作日内由中标人交入采购人帐户，履约保证金在合同期满、工作交接完毕后</w:t>
      </w:r>
      <w:r>
        <w:rPr>
          <w:rFonts w:ascii="仿宋" w:hAnsi="仿宋" w:eastAsia="仿宋"/>
          <w:sz w:val="32"/>
          <w:szCs w:val="32"/>
        </w:rPr>
        <w:t>15</w:t>
      </w:r>
      <w:r>
        <w:rPr>
          <w:rFonts w:hint="eastAsia" w:ascii="仿宋" w:hAnsi="仿宋" w:eastAsia="仿宋"/>
          <w:sz w:val="32"/>
          <w:szCs w:val="32"/>
        </w:rPr>
        <w:t>日内由采购人退还中标人（不计息）。</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3.合同签订：中标人在收到中标通知书后10天内与采购人签订合同。</w:t>
      </w:r>
    </w:p>
    <w:p>
      <w:pPr>
        <w:pStyle w:val="32"/>
        <w:spacing w:before="159" w:after="159"/>
        <w:rPr>
          <w:rFonts w:ascii="仿宋" w:hAnsi="仿宋" w:eastAsia="仿宋"/>
          <w:sz w:val="32"/>
          <w:szCs w:val="32"/>
        </w:rPr>
      </w:pPr>
    </w:p>
    <w:p>
      <w:pPr>
        <w:pStyle w:val="32"/>
        <w:spacing w:before="159" w:after="159"/>
        <w:rPr>
          <w:rFonts w:ascii="仿宋" w:hAnsi="仿宋" w:eastAsia="仿宋"/>
          <w:sz w:val="32"/>
          <w:szCs w:val="32"/>
        </w:rPr>
        <w:sectPr>
          <w:pgSz w:w="11906" w:h="16838"/>
          <w:pgMar w:top="1440" w:right="1803" w:bottom="1440" w:left="1803" w:header="851" w:footer="992" w:gutter="0"/>
          <w:cols w:space="0" w:num="1"/>
          <w:docGrid w:type="lines" w:linePitch="319" w:charSpace="0"/>
        </w:sectPr>
      </w:pPr>
    </w:p>
    <w:bookmarkEnd w:id="22"/>
    <w:bookmarkEnd w:id="23"/>
    <w:p>
      <w:pPr>
        <w:spacing w:line="360" w:lineRule="auto"/>
        <w:rPr>
          <w:rFonts w:ascii="仿宋" w:hAnsi="仿宋" w:eastAsia="仿宋"/>
          <w:b/>
          <w:bCs/>
          <w:sz w:val="28"/>
          <w:szCs w:val="28"/>
        </w:rPr>
      </w:pPr>
      <w:r>
        <w:rPr>
          <w:rFonts w:hint="eastAsia" w:ascii="仿宋" w:hAnsi="仿宋" w:eastAsia="仿宋"/>
          <w:b/>
          <w:bCs/>
          <w:sz w:val="28"/>
          <w:szCs w:val="28"/>
        </w:rPr>
        <w:t>商务要求表</w:t>
      </w:r>
    </w:p>
    <w:tbl>
      <w:tblPr>
        <w:tblStyle w:val="6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24"/>
                <w:sz w:val="28"/>
                <w:szCs w:val="28"/>
              </w:rPr>
            </w:pPr>
            <w:r>
              <w:rPr>
                <w:rFonts w:hint="eastAsia" w:ascii="仿宋" w:hAnsi="仿宋" w:eastAsia="仿宋" w:cs="仿宋"/>
                <w:kern w:val="24"/>
                <w:sz w:val="28"/>
                <w:szCs w:val="28"/>
              </w:rPr>
              <w:t>自合同签订之日起至2023年12月31日（省内）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仿宋" w:hAnsi="仿宋" w:eastAsia="仿宋" w:cs="仿宋"/>
                <w:kern w:val="24"/>
                <w:sz w:val="28"/>
                <w:szCs w:val="28"/>
              </w:rPr>
            </w:pPr>
            <w:r>
              <w:rPr>
                <w:rFonts w:hint="eastAsia" w:ascii="仿宋" w:hAnsi="仿宋" w:eastAsia="仿宋" w:cs="仿宋"/>
                <w:kern w:val="24"/>
                <w:sz w:val="28"/>
                <w:szCs w:val="28"/>
              </w:rPr>
              <w:t>1.付款方式：租赁用车费以月为结算周期；根据用车情况以单车单笔进行结算，租赁用车发票、联系单、结算单和验收单等相关结算单据需在30天内提供给采购人（如遇节假日顺延）；合同签订后采购人不向中标人预支任何费用。</w:t>
            </w:r>
          </w:p>
          <w:p>
            <w:pPr>
              <w:snapToGrid w:val="0"/>
              <w:rPr>
                <w:rFonts w:ascii="仿宋" w:hAnsi="仿宋" w:eastAsia="仿宋" w:cs="仿宋"/>
                <w:kern w:val="24"/>
                <w:sz w:val="28"/>
                <w:szCs w:val="28"/>
              </w:rPr>
            </w:pPr>
            <w:r>
              <w:rPr>
                <w:rFonts w:hint="eastAsia" w:ascii="仿宋" w:hAnsi="仿宋" w:eastAsia="仿宋" w:cs="仿宋"/>
                <w:kern w:val="24"/>
                <w:sz w:val="28"/>
                <w:szCs w:val="28"/>
              </w:rPr>
              <w:t>2.履约保证金按合同金额的1%，在采购合同签订后5个工作日内由中标人交入采购人帐户，履约保证金在合同期满、工作交接完毕后15日内由采购人退还中标人（不计息）。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24"/>
                <w:sz w:val="28"/>
                <w:szCs w:val="28"/>
              </w:rPr>
            </w:pPr>
            <w:r>
              <w:rPr>
                <w:rFonts w:hint="eastAsia" w:ascii="仿宋" w:hAnsi="仿宋" w:eastAsia="仿宋" w:cs="仿宋"/>
                <w:kern w:val="24"/>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kern w:val="24"/>
                <w:sz w:val="28"/>
                <w:szCs w:val="28"/>
              </w:rPr>
            </w:pPr>
            <w:r>
              <w:rPr>
                <w:rFonts w:hint="eastAsia" w:ascii="仿宋" w:hAnsi="仿宋" w:eastAsia="仿宋" w:cs="仿宋"/>
                <w:kern w:val="24"/>
                <w:sz w:val="28"/>
                <w:szCs w:val="28"/>
              </w:rPr>
              <w:t>提供突发事故（交通事故、迟到、车辆故障等）应急响应方案；提供服务车辆临时调度方案（包括备用车辆数量、调度所需时间等）。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p>
            <w:pPr>
              <w:snapToGrid w:val="0"/>
              <w:jc w:val="left"/>
              <w:rPr>
                <w:rFonts w:ascii="仿宋" w:hAnsi="仿宋" w:eastAsia="仿宋" w:cs="仿宋_GB2312"/>
                <w:b/>
                <w:sz w:val="28"/>
                <w:szCs w:val="28"/>
              </w:rPr>
            </w:pP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kern w:val="24"/>
                <w:sz w:val="28"/>
                <w:szCs w:val="28"/>
              </w:rPr>
            </w:pPr>
            <w:r>
              <w:rPr>
                <w:rFonts w:hint="eastAsia" w:ascii="仿宋" w:hAnsi="仿宋" w:eastAsia="仿宋" w:cs="仿宋"/>
                <w:kern w:val="24"/>
                <w:sz w:val="28"/>
                <w:szCs w:val="28"/>
              </w:rPr>
              <w:t>派车最迟响应时间为2天；除以上用车服务外，承诺允许白事兼用。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vAlign w:val="center"/>
          </w:tcPr>
          <w:p>
            <w:pPr>
              <w:pStyle w:val="22"/>
              <w:rPr>
                <w:rFonts w:ascii="仿宋" w:hAnsi="仿宋" w:eastAsia="仿宋" w:cs="仿宋"/>
                <w:kern w:val="24"/>
                <w:sz w:val="28"/>
                <w:szCs w:val="28"/>
              </w:rPr>
            </w:pPr>
            <w:r>
              <w:rPr>
                <w:rFonts w:hint="eastAsia" w:ascii="仿宋" w:hAnsi="仿宋" w:eastAsia="仿宋" w:cs="仿宋"/>
                <w:kern w:val="24"/>
                <w:sz w:val="28"/>
                <w:szCs w:val="28"/>
              </w:rPr>
              <w:t>如有，请自行提供相关证明材料。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_GB2312"/>
                <w:b/>
                <w:sz w:val="28"/>
                <w:szCs w:val="28"/>
              </w:rPr>
            </w:pPr>
          </w:p>
        </w:tc>
        <w:tc>
          <w:tcPr>
            <w:tcW w:w="130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_GB2312"/>
                <w:sz w:val="28"/>
                <w:szCs w:val="28"/>
              </w:rPr>
            </w:pPr>
            <w:r>
              <w:rPr>
                <w:rFonts w:hint="eastAsia" w:ascii="仿宋" w:hAnsi="仿宋" w:eastAsia="仿宋" w:cs="仿宋"/>
                <w:kern w:val="24"/>
                <w:sz w:val="28"/>
                <w:szCs w:val="28"/>
              </w:rPr>
              <w:t>自2018年1月1日以来的类似项目业绩情况，每提供一个得0.5分，最高2分。需提供合同复印件或业务量证明。</w:t>
            </w:r>
          </w:p>
        </w:tc>
      </w:tr>
    </w:tbl>
    <w:p>
      <w:pPr>
        <w:spacing w:afterLines="100" w:line="340" w:lineRule="exact"/>
        <w:rPr>
          <w:rFonts w:hAnsi="宋体"/>
          <w:b/>
          <w:sz w:val="36"/>
          <w:szCs w:val="36"/>
        </w:rPr>
      </w:pPr>
    </w:p>
    <w:p>
      <w:pPr>
        <w:pStyle w:val="32"/>
        <w:spacing w:before="159" w:after="159" w:line="360" w:lineRule="auto"/>
        <w:jc w:val="center"/>
        <w:outlineLvl w:val="0"/>
        <w:rPr>
          <w:rFonts w:hint="eastAsia" w:hAnsi="宋体"/>
          <w:b/>
          <w:sz w:val="36"/>
          <w:szCs w:val="36"/>
        </w:rPr>
      </w:pPr>
    </w:p>
    <w:p>
      <w:pPr>
        <w:pStyle w:val="32"/>
        <w:spacing w:before="159" w:after="159" w:line="360" w:lineRule="auto"/>
        <w:jc w:val="center"/>
        <w:outlineLvl w:val="0"/>
        <w:rPr>
          <w:rFonts w:hAnsi="宋体"/>
          <w:b/>
          <w:sz w:val="36"/>
          <w:szCs w:val="36"/>
        </w:rPr>
      </w:pPr>
      <w:r>
        <w:rPr>
          <w:rFonts w:hint="eastAsia" w:hAnsi="宋体"/>
          <w:b/>
          <w:sz w:val="36"/>
          <w:szCs w:val="36"/>
        </w:rPr>
        <w:t>第五章 浙江省政府采购合同主要条款指引</w:t>
      </w:r>
      <w:bookmarkEnd w:id="21"/>
    </w:p>
    <w:p/>
    <w:p>
      <w:pPr>
        <w:pStyle w:val="32"/>
        <w:snapToGrid w:val="0"/>
        <w:spacing w:before="159" w:after="159"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2"/>
        <w:snapToGrid w:val="0"/>
        <w:spacing w:before="159" w:after="159"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2"/>
        <w:adjustRightInd w:val="0"/>
        <w:snapToGrid w:val="0"/>
        <w:spacing w:before="159" w:after="159"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2"/>
        <w:adjustRightInd w:val="0"/>
        <w:snapToGrid w:val="0"/>
        <w:spacing w:before="159" w:after="159"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2"/>
        <w:adjustRightInd w:val="0"/>
        <w:snapToGrid w:val="0"/>
        <w:spacing w:before="159" w:after="159"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0"/>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2"/>
              <w:snapToGrid w:val="0"/>
              <w:spacing w:before="159" w:after="159"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2"/>
              <w:snapToGrid w:val="0"/>
              <w:spacing w:before="159" w:after="159"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2"/>
        <w:snapToGrid w:val="0"/>
        <w:spacing w:beforeLines="0" w:after="159"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adjustRightInd w:val="0"/>
        <w:snapToGrid w:val="0"/>
        <w:spacing w:before="159" w:after="159"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2"/>
        <w:adjustRightInd w:val="0"/>
        <w:snapToGrid w:val="0"/>
        <w:spacing w:before="159" w:after="159"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2"/>
        <w:adjustRightInd w:val="0"/>
        <w:snapToGrid w:val="0"/>
        <w:spacing w:before="159" w:after="159"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2"/>
        <w:adjustRightInd w:val="0"/>
        <w:snapToGrid w:val="0"/>
        <w:spacing w:before="159" w:after="159"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2"/>
        <w:adjustRightInd w:val="0"/>
        <w:snapToGrid w:val="0"/>
        <w:spacing w:before="159" w:after="159"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Lines="5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Lines="5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2"/>
        <w:adjustRightInd w:val="0"/>
        <w:snapToGrid w:val="0"/>
        <w:spacing w:before="159" w:after="159"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2"/>
        <w:adjustRightInd w:val="0"/>
        <w:snapToGrid w:val="0"/>
        <w:spacing w:before="159" w:after="159"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2"/>
        <w:adjustRightInd w:val="0"/>
        <w:snapToGrid w:val="0"/>
        <w:spacing w:before="159" w:after="159"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2"/>
        <w:adjustRightInd w:val="0"/>
        <w:snapToGrid w:val="0"/>
        <w:spacing w:before="159" w:after="159"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2"/>
        <w:adjustRightInd w:val="0"/>
        <w:snapToGrid w:val="0"/>
        <w:spacing w:before="159" w:after="159"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spacing w:line="360" w:lineRule="auto"/>
        <w:rPr>
          <w:rFonts w:ascii="仿宋" w:hAnsi="仿宋" w:eastAsia="仿宋"/>
          <w:bCs/>
          <w:snapToGrid w:val="0"/>
          <w:sz w:val="30"/>
          <w:szCs w:val="30"/>
        </w:rPr>
      </w:pPr>
      <w:r>
        <w:rPr>
          <w:rFonts w:hint="eastAsia" w:ascii="仿宋" w:hAnsi="仿宋" w:eastAsia="仿宋"/>
          <w:bCs/>
          <w:snapToGrid w:val="0"/>
          <w:sz w:val="30"/>
          <w:szCs w:val="30"/>
        </w:rPr>
        <w:t xml:space="preserve"> 付款方式：</w:t>
      </w:r>
      <w:r>
        <w:rPr>
          <w:rFonts w:hint="eastAsia" w:ascii="仿宋" w:hAnsi="仿宋" w:eastAsia="仿宋" w:cs="仿宋"/>
          <w:kern w:val="24"/>
          <w:sz w:val="28"/>
          <w:szCs w:val="28"/>
        </w:rPr>
        <w:t>租赁用车费以月为结算周期；根据用车情况以单车单笔进行结算，租赁用车发票、联系单、结算单和验收单等相关结算单据需在30天内提供给采购人（如遇节假日顺延）；合同签订后采购人不向中标人预支任何费用。</w:t>
      </w:r>
    </w:p>
    <w:p>
      <w:pPr>
        <w:adjustRightInd w:val="0"/>
        <w:snapToGrid w:val="0"/>
        <w:spacing w:beforeLines="5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2"/>
        <w:adjustRightInd w:val="0"/>
        <w:snapToGrid w:val="0"/>
        <w:spacing w:before="159" w:after="159"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2"/>
        <w:adjustRightInd w:val="0"/>
        <w:snapToGrid w:val="0"/>
        <w:spacing w:before="159" w:after="159"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2"/>
        <w:adjustRightInd w:val="0"/>
        <w:snapToGrid w:val="0"/>
        <w:spacing w:before="159" w:after="159"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2"/>
        <w:adjustRightInd w:val="0"/>
        <w:snapToGrid w:val="0"/>
        <w:spacing w:before="159" w:after="159"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2"/>
        <w:adjustRightInd w:val="0"/>
        <w:snapToGrid w:val="0"/>
        <w:spacing w:before="159" w:after="159"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2"/>
        <w:adjustRightInd w:val="0"/>
        <w:snapToGrid w:val="0"/>
        <w:spacing w:before="159" w:after="159"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adjustRightInd w:val="0"/>
        <w:snapToGrid w:val="0"/>
        <w:spacing w:before="159" w:after="159"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2"/>
        <w:adjustRightInd w:val="0"/>
        <w:snapToGrid w:val="0"/>
        <w:spacing w:before="159" w:after="159"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2"/>
        <w:adjustRightInd w:val="0"/>
        <w:snapToGrid w:val="0"/>
        <w:spacing w:before="159" w:after="159"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2"/>
        <w:adjustRightInd w:val="0"/>
        <w:snapToGrid w:val="0"/>
        <w:spacing w:before="159" w:after="159" w:line="460" w:lineRule="exact"/>
        <w:ind w:firstLine="599" w:firstLineChars="213"/>
        <w:rPr>
          <w:rFonts w:ascii="仿宋" w:hAnsi="仿宋" w:eastAsia="仿宋"/>
          <w:snapToGrid w:val="0"/>
          <w:sz w:val="30"/>
          <w:szCs w:val="30"/>
        </w:rPr>
      </w:pPr>
      <w:r>
        <w:rPr>
          <w:rFonts w:hint="eastAsia" w:ascii="仿宋" w:hAnsi="仿宋" w:eastAsia="仿宋"/>
          <w:b/>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2"/>
        <w:adjustRightInd w:val="0"/>
        <w:snapToGrid w:val="0"/>
        <w:spacing w:before="159" w:after="159"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5.本合同未尽事宜，遵照《中华人民共和国民法典》有关条文执行。</w:t>
      </w:r>
    </w:p>
    <w:p>
      <w:pPr>
        <w:pStyle w:val="32"/>
        <w:adjustRightInd w:val="0"/>
        <w:snapToGrid w:val="0"/>
        <w:spacing w:beforeLines="0" w:after="159"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2"/>
        <w:adjustRightInd w:val="0"/>
        <w:snapToGrid w:val="0"/>
        <w:spacing w:before="159" w:after="159" w:line="460" w:lineRule="exact"/>
        <w:ind w:left="1" w:firstLine="639" w:firstLineChars="213"/>
        <w:rPr>
          <w:rFonts w:ascii="仿宋" w:hAnsi="仿宋" w:eastAsia="仿宋"/>
          <w:snapToGrid w:val="0"/>
          <w:sz w:val="30"/>
          <w:szCs w:val="30"/>
        </w:rPr>
      </w:pPr>
    </w:p>
    <w:p>
      <w:pPr>
        <w:pStyle w:val="32"/>
        <w:adjustRightInd w:val="0"/>
        <w:snapToGrid w:val="0"/>
        <w:spacing w:before="159" w:after="159"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2"/>
        <w:adjustRightInd w:val="0"/>
        <w:snapToGrid w:val="0"/>
        <w:spacing w:before="159" w:after="159" w:line="460" w:lineRule="exact"/>
        <w:ind w:firstLine="639" w:firstLineChars="213"/>
        <w:rPr>
          <w:rFonts w:ascii="仿宋" w:hAnsi="仿宋" w:eastAsia="仿宋"/>
          <w:snapToGrid w:val="0"/>
          <w:sz w:val="30"/>
          <w:szCs w:val="30"/>
        </w:rPr>
      </w:pP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2"/>
        <w:adjustRightInd w:val="0"/>
        <w:snapToGrid w:val="0"/>
        <w:spacing w:before="159" w:after="159"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2"/>
        <w:adjustRightInd w:val="0"/>
        <w:snapToGrid w:val="0"/>
        <w:spacing w:before="159" w:after="159" w:line="460" w:lineRule="exact"/>
        <w:ind w:firstLine="639" w:firstLineChars="213"/>
        <w:rPr>
          <w:rFonts w:ascii="仿宋" w:hAnsi="仿宋" w:eastAsia="仿宋"/>
          <w:snapToGrid w:val="0"/>
          <w:sz w:val="30"/>
          <w:szCs w:val="30"/>
        </w:rPr>
      </w:pPr>
    </w:p>
    <w:p>
      <w:pPr>
        <w:rPr>
          <w:szCs w:val="30"/>
        </w:rPr>
      </w:pPr>
    </w:p>
    <w:p>
      <w:pPr>
        <w:pStyle w:val="32"/>
        <w:spacing w:before="159" w:after="159" w:line="360" w:lineRule="auto"/>
        <w:jc w:val="center"/>
        <w:outlineLvl w:val="0"/>
        <w:rPr>
          <w:rFonts w:hAnsi="宋体"/>
          <w:b/>
          <w:sz w:val="36"/>
          <w:szCs w:val="36"/>
        </w:rPr>
      </w:pPr>
      <w:r>
        <w:rPr>
          <w:rFonts w:hint="eastAsia" w:ascii="仿宋_GB2312" w:eastAsia="仿宋_GB2312"/>
          <w:snapToGrid w:val="0"/>
          <w:kern w:val="0"/>
          <w:sz w:val="30"/>
          <w:szCs w:val="30"/>
        </w:rPr>
        <w:br w:type="page"/>
      </w:r>
      <w:bookmarkStart w:id="24" w:name="_Toc496796640"/>
      <w:r>
        <w:rPr>
          <w:rFonts w:hint="eastAsia" w:hAnsi="宋体"/>
          <w:b/>
          <w:sz w:val="36"/>
          <w:szCs w:val="36"/>
        </w:rPr>
        <w:t>第六章 投标文件格式附件</w:t>
      </w:r>
      <w:bookmarkEnd w:id="24"/>
    </w:p>
    <w:p>
      <w:pPr>
        <w:pStyle w:val="32"/>
        <w:spacing w:before="159" w:after="159" w:line="360" w:lineRule="auto"/>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pStyle w:val="32"/>
        <w:adjustRightInd w:val="0"/>
        <w:snapToGrid w:val="0"/>
        <w:spacing w:before="159" w:after="159" w:line="460" w:lineRule="exact"/>
        <w:ind w:left="1" w:firstLine="770" w:firstLineChars="213"/>
        <w:jc w:val="center"/>
        <w:rPr>
          <w:rFonts w:hAnsi="宋体" w:eastAsia="仿宋_GB2312"/>
          <w:b/>
          <w:sz w:val="36"/>
          <w:szCs w:val="36"/>
        </w:rPr>
      </w:pPr>
    </w:p>
    <w:p>
      <w:pPr>
        <w:snapToGrid w:val="0"/>
        <w:spacing w:beforeLines="50" w:after="50"/>
        <w:rPr>
          <w:rFonts w:ascii="仿宋" w:hAnsi="仿宋" w:eastAsia="仿宋"/>
          <w:sz w:val="30"/>
          <w:szCs w:val="30"/>
        </w:rPr>
      </w:pPr>
    </w:p>
    <w:p>
      <w:pPr>
        <w:snapToGrid w:val="0"/>
        <w:spacing w:beforeLines="50" w:after="50"/>
        <w:rPr>
          <w:rFonts w:ascii="仿宋" w:hAnsi="仿宋" w:eastAsia="仿宋"/>
          <w:bCs/>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Lines="100"/>
        <w:jc w:val="center"/>
        <w:rPr>
          <w:rFonts w:ascii="仿宋" w:hAnsi="仿宋" w:eastAsia="仿宋"/>
          <w:sz w:val="44"/>
          <w:szCs w:val="44"/>
        </w:rPr>
      </w:pPr>
      <w:bookmarkStart w:id="25" w:name="PO_1000000445_PM002_2"/>
      <w:r>
        <w:rPr>
          <w:rFonts w:hint="eastAsia" w:ascii="仿宋" w:hAnsi="仿宋" w:eastAsia="仿宋"/>
          <w:b/>
          <w:color w:val="000000" w:themeColor="text1"/>
          <w:spacing w:val="40"/>
          <w:sz w:val="44"/>
          <w:szCs w:val="44"/>
          <w14:textFill>
            <w14:solidFill>
              <w14:schemeClr w14:val="tx1"/>
            </w14:solidFill>
          </w14:textFill>
        </w:rPr>
        <w:t>浙江省农科院（本级）2023年度社会车辆用车服务项目</w:t>
      </w:r>
      <w:bookmarkEnd w:id="25"/>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6" w:name="PO_15528_PM001_2"/>
      <w:r>
        <w:rPr>
          <w:rFonts w:hint="eastAsia" w:ascii="仿宋" w:hAnsi="仿宋" w:eastAsia="仿宋"/>
          <w:sz w:val="36"/>
          <w:szCs w:val="36"/>
        </w:rPr>
        <w:t>ZZCG2022X-GK-178</w:t>
      </w:r>
      <w:bookmarkEnd w:id="26"/>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hint="eastAsia" w:ascii="仿宋" w:hAnsi="仿宋" w:eastAsia="仿宋"/>
          <w:b/>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（6）分包意向协议（若需要，格式见附件6）</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5"/>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Lines="50" w:line="460" w:lineRule="exact"/>
        <w:jc w:val="left"/>
        <w:rPr>
          <w:rFonts w:ascii="仿宋" w:hAnsi="仿宋" w:eastAsia="仿宋"/>
          <w:sz w:val="30"/>
          <w:szCs w:val="30"/>
        </w:rPr>
      </w:pPr>
    </w:p>
    <w:p>
      <w:pPr>
        <w:pStyle w:val="32"/>
        <w:snapToGrid w:val="0"/>
        <w:spacing w:before="159" w:after="159" w:line="240" w:lineRule="auto"/>
        <w:rPr>
          <w:rFonts w:ascii="仿宋" w:hAnsi="仿宋" w:eastAsia="仿宋"/>
          <w:sz w:val="30"/>
          <w:szCs w:val="30"/>
        </w:rPr>
      </w:pPr>
    </w:p>
    <w:p>
      <w:pPr>
        <w:pStyle w:val="32"/>
        <w:snapToGrid w:val="0"/>
        <w:spacing w:before="159" w:after="159" w:line="240" w:lineRule="auto"/>
        <w:rPr>
          <w:rFonts w:ascii="仿宋" w:hAnsi="仿宋" w:eastAsia="仿宋"/>
          <w:sz w:val="30"/>
          <w:szCs w:val="30"/>
        </w:rPr>
      </w:pPr>
    </w:p>
    <w:p>
      <w:pPr>
        <w:pStyle w:val="32"/>
        <w:snapToGrid w:val="0"/>
        <w:spacing w:before="159" w:after="159" w:line="240" w:lineRule="auto"/>
        <w:rPr>
          <w:rFonts w:ascii="仿宋" w:hAnsi="仿宋" w:eastAsia="仿宋"/>
          <w:sz w:val="30"/>
          <w:szCs w:val="30"/>
        </w:rPr>
      </w:pPr>
    </w:p>
    <w:p>
      <w:pPr>
        <w:pStyle w:val="32"/>
        <w:snapToGrid w:val="0"/>
        <w:spacing w:before="159" w:after="159" w:line="240" w:lineRule="auto"/>
        <w:rPr>
          <w:rFonts w:ascii="仿宋" w:hAnsi="仿宋" w:eastAsia="仿宋"/>
          <w:sz w:val="30"/>
          <w:szCs w:val="30"/>
        </w:rPr>
      </w:pPr>
    </w:p>
    <w:p>
      <w:pPr>
        <w:pStyle w:val="32"/>
        <w:snapToGrid w:val="0"/>
        <w:spacing w:before="159" w:after="159" w:line="240" w:lineRule="auto"/>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Lines="50" w:after="50"/>
        <w:rPr>
          <w:rFonts w:ascii="仿宋" w:hAnsi="仿宋" w:eastAsia="仿宋"/>
          <w:sz w:val="30"/>
          <w:szCs w:val="30"/>
        </w:rPr>
      </w:pPr>
      <w:r>
        <w:rPr>
          <w:rFonts w:hint="eastAsia" w:ascii="仿宋" w:hAnsi="仿宋" w:eastAsia="仿宋"/>
          <w:sz w:val="30"/>
          <w:szCs w:val="30"/>
        </w:rPr>
        <w:t>致浙江省政府采购中心：</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hint="eastAsia" w:ascii="仿宋" w:hAnsi="仿宋" w:eastAsia="仿宋"/>
          <w:sz w:val="30"/>
          <w:szCs w:val="30"/>
        </w:rPr>
        <w:t>。</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27" w:name="PO_15528_PM001_3"/>
      <w:r>
        <w:rPr>
          <w:rFonts w:hint="eastAsia" w:ascii="仿宋" w:hAnsi="仿宋" w:eastAsia="仿宋"/>
          <w:sz w:val="30"/>
          <w:szCs w:val="30"/>
          <w:u w:val="single"/>
        </w:rPr>
        <w:t>ZZCG2022X-GK-178</w:t>
      </w:r>
      <w:bookmarkEnd w:id="27"/>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Lines="50" w:after="50"/>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Lines="50" w:after="50"/>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jc w:val="center"/>
        <w:rPr>
          <w:rFonts w:ascii="仿宋" w:hAnsi="仿宋" w:eastAsia="仿宋"/>
          <w:b/>
          <w:sz w:val="30"/>
          <w:szCs w:val="30"/>
        </w:rPr>
      </w:pPr>
    </w:p>
    <w:p>
      <w:pPr>
        <w:snapToGrid w:val="0"/>
        <w:spacing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ind w:firstLine="6150" w:firstLineChars="205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p>
    <w:p>
      <w:pPr>
        <w:tabs>
          <w:tab w:val="left" w:pos="606"/>
        </w:tabs>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18"/>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8"/>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8"/>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0"/>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8"/>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8"/>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8"/>
        <w:overflowPunct w:val="0"/>
        <w:spacing w:line="460" w:lineRule="exact"/>
        <w:rPr>
          <w:rFonts w:ascii="仿宋" w:hAnsi="仿宋" w:eastAsia="仿宋"/>
          <w:sz w:val="30"/>
          <w:szCs w:val="30"/>
        </w:rPr>
      </w:pPr>
    </w:p>
    <w:p>
      <w:pPr>
        <w:pStyle w:val="18"/>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18"/>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18"/>
        <w:overflowPunct w:val="0"/>
        <w:spacing w:line="460" w:lineRule="exact"/>
        <w:rPr>
          <w:rFonts w:ascii="仿宋" w:hAnsi="仿宋" w:eastAsia="仿宋"/>
          <w:sz w:val="30"/>
          <w:szCs w:val="30"/>
        </w:rPr>
      </w:pPr>
    </w:p>
    <w:p>
      <w:pPr>
        <w:pStyle w:val="18"/>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18"/>
        <w:overflowPunct w:val="0"/>
        <w:spacing w:line="460" w:lineRule="exact"/>
        <w:ind w:firstLine="600" w:firstLineChars="200"/>
        <w:rPr>
          <w:rFonts w:ascii="仿宋" w:hAnsi="仿宋" w:eastAsia="仿宋"/>
          <w:sz w:val="30"/>
          <w:szCs w:val="30"/>
        </w:rPr>
      </w:pPr>
    </w:p>
    <w:p>
      <w:pPr>
        <w:pStyle w:val="18"/>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18"/>
        <w:overflowPunct w:val="0"/>
        <w:spacing w:line="460" w:lineRule="exact"/>
        <w:rPr>
          <w:rFonts w:ascii="仿宋" w:hAnsi="仿宋" w:eastAsia="仿宋"/>
          <w:sz w:val="30"/>
          <w:szCs w:val="30"/>
        </w:rPr>
      </w:pPr>
    </w:p>
    <w:p>
      <w:pPr>
        <w:pStyle w:val="18"/>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18"/>
        <w:overflowPunct w:val="0"/>
        <w:spacing w:line="460" w:lineRule="exact"/>
        <w:ind w:firstLine="570" w:firstLineChars="190"/>
        <w:rPr>
          <w:rFonts w:ascii="仿宋" w:hAnsi="仿宋" w:eastAsia="仿宋"/>
          <w:sz w:val="30"/>
          <w:szCs w:val="30"/>
        </w:rPr>
      </w:pPr>
    </w:p>
    <w:p>
      <w:pPr>
        <w:pStyle w:val="18"/>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0"/>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p>
          <w:p>
            <w:pPr>
              <w:pStyle w:val="18"/>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600" w:lineRule="auto"/>
        <w:jc w:val="center"/>
      </w:pPr>
      <w:r>
        <w:rPr>
          <w:rFonts w:hint="eastAsia" w:ascii="仿宋_GB2312" w:eastAsia="仿宋_GB2312"/>
          <w:b/>
          <w:spacing w:val="6"/>
          <w:sz w:val="32"/>
          <w:szCs w:val="32"/>
        </w:rPr>
        <w:t>分包意向协议</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Lines="50" w:after="50"/>
        <w:rPr>
          <w:rFonts w:ascii="仿宋" w:hAnsi="仿宋" w:eastAsia="仿宋"/>
          <w:b/>
          <w:sz w:val="30"/>
          <w:szCs w:val="30"/>
        </w:rPr>
      </w:pPr>
      <w:r>
        <w:rPr>
          <w:rFonts w:hint="eastAsia" w:ascii="仿宋" w:hAnsi="仿宋" w:eastAsia="仿宋"/>
          <w:sz w:val="30"/>
          <w:szCs w:val="30"/>
        </w:rPr>
        <w:t>附件7</w:t>
      </w:r>
      <w:r>
        <w:rPr>
          <w:rFonts w:hint="eastAsia" w:ascii="仿宋" w:hAnsi="仿宋" w:eastAsia="仿宋"/>
          <w:b/>
          <w:sz w:val="30"/>
          <w:szCs w:val="30"/>
        </w:rPr>
        <w:t xml:space="preserve">：                                     </w:t>
      </w:r>
    </w:p>
    <w:p>
      <w:pPr>
        <w:spacing w:beforeLines="100" w:line="240" w:lineRule="atLeast"/>
        <w:jc w:val="center"/>
        <w:rPr>
          <w:rFonts w:ascii="仿宋" w:hAnsi="仿宋" w:eastAsia="仿宋"/>
          <w:b/>
          <w:color w:val="000000" w:themeColor="text1"/>
          <w:spacing w:val="40"/>
          <w:sz w:val="52"/>
          <w:szCs w:val="52"/>
          <w14:textFill>
            <w14:solidFill>
              <w14:schemeClr w14:val="tx1"/>
            </w14:solidFill>
          </w14:textFill>
        </w:rPr>
      </w:pPr>
      <w:bookmarkStart w:id="28" w:name="PO_1000000445_PM002"/>
      <w:r>
        <w:rPr>
          <w:rFonts w:hint="eastAsia" w:ascii="仿宋" w:hAnsi="仿宋" w:eastAsia="仿宋"/>
          <w:b/>
          <w:color w:val="000000" w:themeColor="text1"/>
          <w:spacing w:val="40"/>
          <w:sz w:val="52"/>
          <w:szCs w:val="52"/>
          <w14:textFill>
            <w14:solidFill>
              <w14:schemeClr w14:val="tx1"/>
            </w14:solidFill>
          </w14:textFill>
        </w:rPr>
        <w:t>浙江省农科院（本级）2023年度社会车辆用车服务项目</w:t>
      </w:r>
      <w:bookmarkEnd w:id="28"/>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29" w:name="PO_15528_PM001_4"/>
      <w:r>
        <w:rPr>
          <w:rFonts w:hint="eastAsia" w:ascii="仿宋" w:hAnsi="仿宋" w:eastAsia="仿宋"/>
          <w:sz w:val="36"/>
          <w:szCs w:val="36"/>
        </w:rPr>
        <w:t>ZZCG2022X-GK-178</w:t>
      </w:r>
      <w:bookmarkEnd w:id="29"/>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hint="eastAsia" w:ascii="仿宋" w:hAnsi="仿宋" w:eastAsia="仿宋"/>
          <w:kern w:val="0"/>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附件8：</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9"/>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附件9：</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Lines="50"/>
        <w:rPr>
          <w:rFonts w:ascii="仿宋" w:hAnsi="仿宋" w:eastAsia="仿宋"/>
          <w:b/>
          <w:spacing w:val="40"/>
          <w:kern w:val="0"/>
          <w:sz w:val="36"/>
          <w:szCs w:val="36"/>
        </w:rPr>
      </w:pPr>
    </w:p>
    <w:p>
      <w:pPr>
        <w:pStyle w:val="19"/>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19"/>
        <w:snapToGrid w:val="0"/>
        <w:rPr>
          <w:rFonts w:ascii="仿宋" w:hAnsi="仿宋" w:eastAsia="仿宋"/>
          <w:sz w:val="30"/>
          <w:szCs w:val="30"/>
        </w:rPr>
      </w:pPr>
      <w:r>
        <w:rPr>
          <w:rFonts w:hint="eastAsia" w:ascii="仿宋" w:hAnsi="仿宋" w:eastAsia="仿宋"/>
          <w:sz w:val="30"/>
          <w:szCs w:val="30"/>
        </w:rPr>
        <w:t>货物类</w:t>
      </w:r>
    </w:p>
    <w:tbl>
      <w:tblPr>
        <w:tblStyle w:val="60"/>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服务类</w:t>
      </w:r>
    </w:p>
    <w:tbl>
      <w:tblPr>
        <w:tblStyle w:val="60"/>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Lines="50"/>
        <w:rPr>
          <w:rFonts w:ascii="仿宋" w:hAnsi="仿宋" w:eastAsia="仿宋"/>
          <w:sz w:val="30"/>
          <w:szCs w:val="30"/>
        </w:rPr>
      </w:pPr>
    </w:p>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kern w:val="0"/>
          <w:sz w:val="30"/>
          <w:szCs w:val="30"/>
        </w:rPr>
        <w:br w:type="page"/>
      </w:r>
      <w:r>
        <w:rPr>
          <w:rFonts w:hint="eastAsia" w:ascii="仿宋" w:hAnsi="仿宋" w:eastAsia="仿宋"/>
          <w:sz w:val="30"/>
          <w:szCs w:val="30"/>
        </w:rPr>
        <w:t>附件10：</w:t>
      </w:r>
    </w:p>
    <w:p>
      <w:pPr>
        <w:snapToGrid w:val="0"/>
        <w:spacing w:before="5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Lines="50"/>
        <w:rPr>
          <w:rFonts w:ascii="仿宋" w:hAnsi="仿宋" w:eastAsia="仿宋"/>
          <w:b/>
          <w:sz w:val="32"/>
          <w:szCs w:val="32"/>
        </w:rPr>
      </w:pPr>
    </w:p>
    <w:p>
      <w:pPr>
        <w:pStyle w:val="19"/>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2"/>
              <w:snapToGrid w:val="0"/>
              <w:spacing w:before="159" w:after="159"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2"/>
              <w:snapToGrid w:val="0"/>
              <w:spacing w:before="159" w:after="159"/>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2"/>
              <w:snapToGrid w:val="0"/>
              <w:spacing w:before="159" w:after="159" w:line="240" w:lineRule="auto"/>
              <w:outlineLvl w:val="0"/>
              <w:rPr>
                <w:rFonts w:ascii="仿宋" w:hAnsi="仿宋" w:eastAsia="仿宋"/>
                <w:sz w:val="30"/>
                <w:szCs w:val="30"/>
              </w:rPr>
            </w:pPr>
          </w:p>
        </w:tc>
      </w:tr>
    </w:tbl>
    <w:p>
      <w:pPr>
        <w:pStyle w:val="24"/>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附件11：</w:t>
      </w:r>
    </w:p>
    <w:p>
      <w:pPr>
        <w:snapToGrid w:val="0"/>
        <w:spacing w:before="5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Lines="50" w:after="50"/>
        <w:rPr>
          <w:rFonts w:ascii="仿宋" w:hAnsi="仿宋" w:eastAsia="仿宋"/>
          <w:b/>
          <w:sz w:val="30"/>
          <w:szCs w:val="30"/>
        </w:rPr>
      </w:pPr>
    </w:p>
    <w:p>
      <w:pPr>
        <w:pStyle w:val="19"/>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5"/>
              <w:snapToGrid w:val="0"/>
              <w:spacing w:beforeLines="50" w:after="12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仿宋" w:hAnsi="仿宋" w:eastAsia="仿宋"/>
                <w:b/>
                <w:bCs/>
                <w:kern w:val="0"/>
                <w:sz w:val="30"/>
                <w:szCs w:val="30"/>
              </w:rPr>
            </w:pPr>
          </w:p>
        </w:tc>
      </w:tr>
    </w:tbl>
    <w:p>
      <w:pPr>
        <w:snapToGrid w:val="0"/>
        <w:spacing w:before="5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Lines="50" w:line="460" w:lineRule="exact"/>
        <w:jc w:val="left"/>
        <w:rPr>
          <w:rFonts w:ascii="仿宋" w:hAnsi="仿宋" w:eastAsia="仿宋"/>
          <w:sz w:val="30"/>
          <w:szCs w:val="30"/>
        </w:rPr>
      </w:pPr>
    </w:p>
    <w:p>
      <w:pPr>
        <w:pStyle w:val="32"/>
        <w:snapToGrid w:val="0"/>
        <w:spacing w:before="159" w:after="159"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附件12：</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19"/>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Lines="50"/>
              <w:rPr>
                <w:rFonts w:ascii="仿宋" w:hAnsi="仿宋" w:eastAsia="仿宋"/>
                <w:b/>
                <w:bCs/>
                <w:sz w:val="30"/>
                <w:szCs w:val="30"/>
              </w:rPr>
            </w:pPr>
          </w:p>
        </w:tc>
      </w:tr>
    </w:tbl>
    <w:p>
      <w:pPr>
        <w:snapToGrid w:val="0"/>
        <w:spacing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kern w:val="0"/>
          <w:sz w:val="30"/>
          <w:szCs w:val="30"/>
        </w:rPr>
        <w:sectPr>
          <w:pgSz w:w="11906" w:h="16838"/>
          <w:pgMar w:top="1440" w:right="1803" w:bottom="1440" w:left="1803" w:header="851" w:footer="992" w:gutter="0"/>
          <w:cols w:space="0" w:num="1"/>
          <w:docGrid w:type="lines" w:linePitch="319" w:charSpace="0"/>
        </w:sectPr>
      </w:pPr>
    </w:p>
    <w:p>
      <w:pPr>
        <w:snapToGrid w:val="0"/>
        <w:spacing w:before="50" w:afterLines="50"/>
        <w:jc w:val="left"/>
        <w:rPr>
          <w:rFonts w:ascii="仿宋" w:hAnsi="仿宋" w:eastAsia="仿宋"/>
          <w:sz w:val="30"/>
          <w:szCs w:val="30"/>
        </w:rPr>
      </w:pPr>
      <w:r>
        <w:rPr>
          <w:rFonts w:hint="eastAsia" w:ascii="仿宋" w:hAnsi="仿宋" w:eastAsia="仿宋"/>
          <w:sz w:val="30"/>
          <w:szCs w:val="30"/>
        </w:rPr>
        <w:t>附件13：</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19"/>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0"/>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1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19"/>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kern w:val="0"/>
          <w:sz w:val="30"/>
          <w:szCs w:val="30"/>
        </w:rPr>
      </w:pPr>
    </w:p>
    <w:p>
      <w:pPr>
        <w:pStyle w:val="2"/>
        <w:sectPr>
          <w:pgSz w:w="16838" w:h="11906" w:orient="landscape"/>
          <w:pgMar w:top="1803" w:right="1440" w:bottom="1803" w:left="1440" w:header="851" w:footer="992" w:gutter="0"/>
          <w:cols w:space="0" w:num="1"/>
          <w:docGrid w:type="lines" w:linePitch="319" w:charSpace="0"/>
        </w:sectPr>
      </w:pPr>
    </w:p>
    <w:p>
      <w:pPr>
        <w:snapToGrid w:val="0"/>
        <w:spacing w:beforeLines="50" w:after="50"/>
        <w:rPr>
          <w:rFonts w:ascii="仿宋" w:hAnsi="仿宋" w:eastAsia="仿宋"/>
          <w:b/>
          <w:sz w:val="30"/>
          <w:szCs w:val="30"/>
        </w:rPr>
      </w:pPr>
      <w:r>
        <w:rPr>
          <w:rFonts w:hint="eastAsia" w:ascii="仿宋" w:hAnsi="仿宋" w:eastAsia="仿宋"/>
          <w:sz w:val="30"/>
          <w:szCs w:val="30"/>
        </w:rPr>
        <w:t>附件14</w:t>
      </w:r>
      <w:r>
        <w:rPr>
          <w:rFonts w:hint="eastAsia" w:ascii="仿宋" w:hAnsi="仿宋" w:eastAsia="仿宋"/>
          <w:b/>
          <w:sz w:val="30"/>
          <w:szCs w:val="30"/>
        </w:rPr>
        <w:t xml:space="preserve">：                                    </w:t>
      </w:r>
    </w:p>
    <w:p>
      <w:pPr>
        <w:spacing w:beforeLines="100" w:line="240" w:lineRule="atLeast"/>
        <w:jc w:val="center"/>
        <w:rPr>
          <w:rFonts w:ascii="仿宋" w:hAnsi="仿宋" w:eastAsia="仿宋"/>
          <w:b/>
          <w:color w:val="FF0000"/>
          <w:spacing w:val="40"/>
          <w:sz w:val="52"/>
          <w:szCs w:val="52"/>
        </w:rPr>
      </w:pPr>
      <w:bookmarkStart w:id="30" w:name="PO_1000000445_PM002_1"/>
      <w:r>
        <w:rPr>
          <w:rFonts w:hint="eastAsia" w:ascii="仿宋" w:hAnsi="仿宋" w:eastAsia="仿宋"/>
          <w:b/>
          <w:color w:val="000000" w:themeColor="text1"/>
          <w:spacing w:val="40"/>
          <w:sz w:val="52"/>
          <w:szCs w:val="52"/>
          <w14:textFill>
            <w14:solidFill>
              <w14:schemeClr w14:val="tx1"/>
            </w14:solidFill>
          </w14:textFill>
        </w:rPr>
        <w:t>浙江省农科院（本级）2023年度社会车辆用车服务项目</w:t>
      </w:r>
      <w:bookmarkEnd w:id="30"/>
    </w:p>
    <w:p>
      <w:pPr>
        <w:spacing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31" w:name="PO_1000000445_PM001"/>
      <w:r>
        <w:rPr>
          <w:rFonts w:hint="eastAsia" w:ascii="仿宋" w:hAnsi="仿宋" w:eastAsia="仿宋"/>
          <w:b/>
          <w:color w:val="000000" w:themeColor="text1"/>
          <w:sz w:val="36"/>
          <w:szCs w:val="36"/>
          <w14:textFill>
            <w14:solidFill>
              <w14:schemeClr w14:val="tx1"/>
            </w14:solidFill>
          </w14:textFill>
        </w:rPr>
        <w:t>ZZCG2022X-GK-178</w:t>
      </w:r>
      <w:bookmarkEnd w:id="31"/>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5"/>
        <w:snapToGrid w:val="0"/>
        <w:spacing w:after="12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5"/>
        <w:snapToGrid w:val="0"/>
        <w:spacing w:after="120" w:line="460" w:lineRule="exact"/>
        <w:ind w:left="0" w:leftChars="0"/>
        <w:rPr>
          <w:rFonts w:ascii="仿宋" w:hAnsi="仿宋" w:eastAsia="仿宋"/>
          <w:sz w:val="30"/>
          <w:szCs w:val="30"/>
        </w:rPr>
      </w:pPr>
      <w:r>
        <w:rPr>
          <w:rFonts w:hint="eastAsia" w:ascii="仿宋" w:hAnsi="仿宋" w:eastAsia="仿宋"/>
          <w:sz w:val="30"/>
          <w:szCs w:val="30"/>
        </w:rPr>
        <w:t>（1）开标一览表（见附件15）；</w:t>
      </w:r>
    </w:p>
    <w:p>
      <w:pPr>
        <w:pStyle w:val="35"/>
        <w:snapToGrid w:val="0"/>
        <w:spacing w:after="120"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snapToGrid w:val="0"/>
        <w:spacing w:line="460" w:lineRule="exact"/>
        <w:jc w:val="left"/>
        <w:rPr>
          <w:rFonts w:ascii="仿宋" w:hAnsi="仿宋" w:eastAsia="仿宋"/>
        </w:rPr>
      </w:pPr>
      <w:r>
        <w:rPr>
          <w:rFonts w:hint="eastAsia" w:ascii="仿宋" w:hAnsi="仿宋" w:eastAsia="仿宋"/>
          <w:sz w:val="30"/>
          <w:szCs w:val="30"/>
        </w:rPr>
        <w:t>（3）中小企业声明函（若需要，格式见附件16）；</w:t>
      </w:r>
    </w:p>
    <w:p>
      <w:pPr>
        <w:snapToGrid w:val="0"/>
        <w:spacing w:line="460" w:lineRule="exact"/>
        <w:jc w:val="left"/>
        <w:rPr>
          <w:rFonts w:ascii="仿宋" w:hAnsi="仿宋" w:eastAsia="仿宋"/>
          <w:sz w:val="30"/>
          <w:szCs w:val="30"/>
        </w:rPr>
      </w:pPr>
      <w:r>
        <w:rPr>
          <w:rFonts w:hint="eastAsia" w:ascii="仿宋" w:hAnsi="仿宋" w:eastAsia="仿宋"/>
          <w:sz w:val="30"/>
          <w:szCs w:val="30"/>
        </w:rPr>
        <w:t>（4）残疾人福利企业声明函（若需要，格式见附件17）；</w:t>
      </w:r>
    </w:p>
    <w:p/>
    <w:p>
      <w:pPr>
        <w:pStyle w:val="32"/>
        <w:snapToGrid w:val="0"/>
        <w:spacing w:before="159" w:after="159" w:line="240" w:lineRule="auto"/>
        <w:jc w:val="left"/>
        <w:rPr>
          <w:rFonts w:hint="eastAsia" w:ascii="仿宋" w:hAnsi="仿宋" w:eastAsia="仿宋"/>
          <w:kern w:val="0"/>
          <w:sz w:val="30"/>
          <w:szCs w:val="30"/>
        </w:rPr>
        <w:sectPr>
          <w:headerReference r:id="rId4" w:type="default"/>
          <w:footerReference r:id="rId5" w:type="default"/>
          <w:pgSz w:w="11906" w:h="16838"/>
          <w:pgMar w:top="1440" w:right="1803" w:bottom="1440" w:left="1803" w:header="851" w:footer="992" w:gutter="0"/>
          <w:cols w:space="0" w:num="1"/>
          <w:rtlGutter w:val="0"/>
          <w:docGrid w:type="lines" w:linePitch="319" w:charSpace="0"/>
        </w:sectPr>
      </w:pPr>
    </w:p>
    <w:p>
      <w:pPr>
        <w:pStyle w:val="32"/>
        <w:snapToGrid w:val="0"/>
        <w:spacing w:before="159" w:after="159" w:line="240" w:lineRule="auto"/>
        <w:jc w:val="left"/>
        <w:rPr>
          <w:rFonts w:ascii="仿宋" w:hAnsi="仿宋" w:eastAsia="仿宋"/>
          <w:b/>
          <w:sz w:val="36"/>
          <w:szCs w:val="36"/>
        </w:rPr>
      </w:pPr>
      <w:r>
        <w:rPr>
          <w:rFonts w:hint="eastAsia" w:ascii="仿宋" w:hAnsi="仿宋" w:eastAsia="仿宋"/>
          <w:sz w:val="30"/>
          <w:szCs w:val="30"/>
        </w:rPr>
        <w:t>附件15：</w:t>
      </w:r>
    </w:p>
    <w:p>
      <w:pPr>
        <w:pStyle w:val="32"/>
        <w:snapToGrid w:val="0"/>
        <w:spacing w:before="159" w:after="159" w:line="240" w:lineRule="auto"/>
        <w:ind w:firstLine="0" w:firstLineChars="0"/>
        <w:jc w:val="center"/>
        <w:rPr>
          <w:rFonts w:hAnsi="宋体"/>
          <w:b/>
          <w:sz w:val="36"/>
          <w:szCs w:val="36"/>
        </w:rPr>
      </w:pPr>
      <w:r>
        <w:rPr>
          <w:rFonts w:hint="eastAsia" w:hAnsi="宋体"/>
          <w:b/>
          <w:sz w:val="36"/>
          <w:szCs w:val="36"/>
        </w:rPr>
        <w:t>开 标 一 览 表</w:t>
      </w:r>
    </w:p>
    <w:p>
      <w:pPr>
        <w:pStyle w:val="32"/>
        <w:snapToGrid w:val="0"/>
        <w:spacing w:before="159" w:after="159"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60"/>
        <w:tblW w:w="14500" w:type="dxa"/>
        <w:jc w:val="center"/>
        <w:tblLayout w:type="fixed"/>
        <w:tblCellMar>
          <w:top w:w="15" w:type="dxa"/>
          <w:left w:w="15" w:type="dxa"/>
          <w:bottom w:w="15" w:type="dxa"/>
          <w:right w:w="15" w:type="dxa"/>
        </w:tblCellMar>
      </w:tblPr>
      <w:tblGrid>
        <w:gridCol w:w="1054"/>
        <w:gridCol w:w="1388"/>
        <w:gridCol w:w="1333"/>
        <w:gridCol w:w="1319"/>
        <w:gridCol w:w="1235"/>
        <w:gridCol w:w="1086"/>
        <w:gridCol w:w="1020"/>
        <w:gridCol w:w="1133"/>
        <w:gridCol w:w="810"/>
        <w:gridCol w:w="810"/>
        <w:gridCol w:w="751"/>
        <w:gridCol w:w="1277"/>
        <w:gridCol w:w="1284"/>
      </w:tblGrid>
      <w:tr>
        <w:tblPrEx>
          <w:tblCellMar>
            <w:top w:w="15" w:type="dxa"/>
            <w:left w:w="15" w:type="dxa"/>
            <w:bottom w:w="15" w:type="dxa"/>
            <w:right w:w="15" w:type="dxa"/>
          </w:tblCellMar>
        </w:tblPrEx>
        <w:trPr>
          <w:trHeight w:val="435" w:hRule="atLeast"/>
          <w:jc w:val="center"/>
        </w:trPr>
        <w:tc>
          <w:tcPr>
            <w:tcW w:w="14500" w:type="dxa"/>
            <w:gridSpan w:val="13"/>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cs="Tahoma"/>
                <w:b/>
                <w:bCs/>
                <w:color w:val="000000"/>
                <w:kern w:val="0"/>
                <w:sz w:val="18"/>
                <w:szCs w:val="18"/>
              </w:rPr>
            </w:pPr>
            <w:r>
              <w:rPr>
                <w:rFonts w:hint="eastAsia" w:ascii="仿宋" w:hAnsi="仿宋" w:eastAsia="仿宋"/>
                <w:b/>
                <w:sz w:val="24"/>
                <w:szCs w:val="24"/>
              </w:rPr>
              <w:t>服务类</w:t>
            </w:r>
          </w:p>
        </w:tc>
      </w:tr>
      <w:tr>
        <w:tblPrEx>
          <w:tblCellMar>
            <w:top w:w="15" w:type="dxa"/>
            <w:left w:w="15" w:type="dxa"/>
            <w:bottom w:w="15" w:type="dxa"/>
            <w:right w:w="15" w:type="dxa"/>
          </w:tblCellMar>
        </w:tblPrEx>
        <w:trPr>
          <w:trHeight w:val="435" w:hRule="atLeast"/>
          <w:jc w:val="center"/>
        </w:trPr>
        <w:tc>
          <w:tcPr>
            <w:tcW w:w="2442" w:type="dxa"/>
            <w:gridSpan w:val="2"/>
            <w:vMerge w:val="restart"/>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napToGrid w:val="0"/>
              <w:jc w:val="center"/>
              <w:rPr>
                <w:rFonts w:ascii="宋体" w:hAnsi="宋体" w:cs="Tahoma"/>
                <w:b/>
                <w:bCs/>
                <w:color w:val="000000"/>
                <w:kern w:val="0"/>
                <w:sz w:val="22"/>
              </w:rPr>
            </w:pPr>
            <w:r>
              <w:rPr>
                <w:rFonts w:ascii="宋体" w:hAnsi="宋体" w:cs="Tahoma"/>
                <w:b/>
                <w:bCs/>
                <w:color w:val="000000"/>
                <w:kern w:val="0"/>
                <w:sz w:val="22"/>
              </w:rPr>
              <w:t xml:space="preserve">车型   </w:t>
            </w:r>
            <w:r>
              <w:rPr>
                <w:rFonts w:hint="eastAsia" w:ascii="宋体" w:hAnsi="宋体" w:cs="Tahoma"/>
                <w:b/>
                <w:bCs/>
                <w:color w:val="000000"/>
                <w:kern w:val="0"/>
                <w:sz w:val="22"/>
              </w:rPr>
              <w:t xml:space="preserve">  </w:t>
            </w:r>
            <w:r>
              <w:rPr>
                <w:rFonts w:ascii="宋体" w:hAnsi="宋体" w:cs="Tahoma"/>
                <w:b/>
                <w:bCs/>
                <w:color w:val="000000"/>
                <w:kern w:val="0"/>
                <w:sz w:val="22"/>
              </w:rPr>
              <w:t xml:space="preserve">       价格</w:t>
            </w:r>
          </w:p>
          <w:p>
            <w:pPr>
              <w:snapToGrid w:val="0"/>
              <w:ind w:left="1371"/>
              <w:jc w:val="center"/>
              <w:rPr>
                <w:rFonts w:ascii="宋体" w:hAnsi="宋体" w:cs="Tahoma"/>
                <w:b/>
                <w:bCs/>
                <w:color w:val="000000"/>
                <w:kern w:val="0"/>
                <w:sz w:val="22"/>
              </w:rPr>
            </w:pPr>
            <w:r>
              <w:rPr>
                <w:rFonts w:hint="eastAsia" w:ascii="宋体" w:hAnsi="宋体" w:cs="Tahoma"/>
                <w:b/>
                <w:bCs/>
                <w:color w:val="000000"/>
                <w:kern w:val="0"/>
                <w:sz w:val="22"/>
              </w:rPr>
              <w:t xml:space="preserve">  （元</w:t>
            </w:r>
            <w:r>
              <w:rPr>
                <w:rFonts w:ascii="宋体" w:hAnsi="宋体" w:cs="Tahoma"/>
                <w:b/>
                <w:bCs/>
                <w:color w:val="000000"/>
                <w:kern w:val="0"/>
                <w:sz w:val="22"/>
              </w:rPr>
              <w:t>)</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Tahoma" w:eastAsiaTheme="minorEastAsia"/>
                <w:b/>
                <w:bCs/>
                <w:color w:val="000000"/>
                <w:kern w:val="0"/>
                <w:sz w:val="22"/>
              </w:rPr>
            </w:pPr>
            <w:r>
              <w:rPr>
                <w:rFonts w:ascii="宋体" w:hAnsi="宋体" w:cs="Tahoma"/>
                <w:b/>
                <w:bCs/>
                <w:color w:val="000000"/>
                <w:kern w:val="0"/>
                <w:sz w:val="22"/>
              </w:rPr>
              <w:t>单程</w:t>
            </w:r>
            <w:r>
              <w:rPr>
                <w:rFonts w:hint="eastAsia" w:ascii="宋体" w:hAnsi="宋体" w:cs="Tahoma"/>
                <w:b/>
                <w:bCs/>
                <w:color w:val="000000"/>
                <w:kern w:val="0"/>
                <w:sz w:val="22"/>
              </w:rPr>
              <w:t>（元）</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r>
              <w:rPr>
                <w:rFonts w:ascii="宋体" w:hAnsi="宋体" w:cs="Tahoma"/>
                <w:b/>
                <w:bCs/>
                <w:color w:val="000000"/>
                <w:kern w:val="0"/>
                <w:sz w:val="22"/>
              </w:rPr>
              <w:t>半日</w:t>
            </w:r>
            <w:r>
              <w:rPr>
                <w:rFonts w:hint="eastAsia" w:ascii="宋体" w:hAnsi="宋体" w:cs="Tahoma"/>
                <w:b/>
                <w:bCs/>
                <w:color w:val="000000"/>
                <w:kern w:val="0"/>
                <w:sz w:val="22"/>
              </w:rPr>
              <w:t>租车（元）</w:t>
            </w:r>
          </w:p>
        </w:tc>
        <w:tc>
          <w:tcPr>
            <w:tcW w:w="232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r>
              <w:rPr>
                <w:rFonts w:ascii="宋体" w:hAnsi="宋体" w:cs="Tahoma"/>
                <w:b/>
                <w:bCs/>
                <w:color w:val="000000"/>
                <w:kern w:val="0"/>
                <w:sz w:val="22"/>
              </w:rPr>
              <w:t>长途</w:t>
            </w:r>
            <w:r>
              <w:rPr>
                <w:rFonts w:hint="eastAsia" w:ascii="宋体" w:hAnsi="宋体" w:cs="Tahoma"/>
                <w:b/>
                <w:bCs/>
                <w:color w:val="000000"/>
                <w:kern w:val="0"/>
                <w:sz w:val="22"/>
              </w:rPr>
              <w:t>租车（元）</w:t>
            </w:r>
          </w:p>
        </w:tc>
        <w:tc>
          <w:tcPr>
            <w:tcW w:w="2153"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r>
              <w:rPr>
                <w:rFonts w:hint="eastAsia" w:ascii="宋体" w:hAnsi="宋体" w:cs="Tahoma"/>
                <w:b/>
                <w:bCs/>
                <w:color w:val="000000"/>
                <w:kern w:val="0"/>
                <w:sz w:val="18"/>
                <w:szCs w:val="18"/>
              </w:rPr>
              <w:t>超时间或超里程（两者选其一结算）</w:t>
            </w:r>
          </w:p>
        </w:tc>
        <w:tc>
          <w:tcPr>
            <w:tcW w:w="810"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s="Tahoma" w:eastAsiaTheme="minorEastAsia"/>
                <w:b/>
                <w:bCs/>
                <w:color w:val="000000"/>
                <w:kern w:val="0"/>
                <w:sz w:val="18"/>
                <w:szCs w:val="18"/>
              </w:rPr>
            </w:pPr>
            <w:r>
              <w:rPr>
                <w:rFonts w:hint="eastAsia" w:ascii="宋体" w:hAnsi="宋体" w:cs="Tahoma"/>
                <w:b/>
                <w:bCs/>
                <w:color w:val="000000"/>
                <w:kern w:val="0"/>
                <w:sz w:val="18"/>
                <w:szCs w:val="18"/>
              </w:rPr>
              <w:t>各项小计（元）</w:t>
            </w:r>
          </w:p>
        </w:tc>
        <w:tc>
          <w:tcPr>
            <w:tcW w:w="810" w:type="dxa"/>
            <w:vMerge w:val="restart"/>
            <w:tcBorders>
              <w:top w:val="single" w:color="auto" w:sz="4" w:space="0"/>
              <w:left w:val="single" w:color="auto" w:sz="4" w:space="0"/>
              <w:right w:val="single" w:color="auto" w:sz="4" w:space="0"/>
            </w:tcBorders>
            <w:vAlign w:val="center"/>
          </w:tcPr>
          <w:p>
            <w:pPr>
              <w:widowControl/>
              <w:snapToGrid w:val="0"/>
              <w:jc w:val="center"/>
              <w:rPr>
                <w:rFonts w:hint="eastAsia" w:ascii="宋体" w:hAnsi="宋体" w:cs="Tahoma"/>
                <w:b/>
                <w:bCs/>
                <w:color w:val="000000"/>
                <w:kern w:val="0"/>
                <w:sz w:val="18"/>
                <w:szCs w:val="18"/>
              </w:rPr>
            </w:pPr>
            <w:r>
              <w:rPr>
                <w:rFonts w:hint="eastAsia" w:ascii="宋体" w:hAnsi="宋体" w:cs="Tahoma"/>
                <w:b/>
                <w:bCs/>
                <w:color w:val="000000"/>
                <w:kern w:val="0"/>
                <w:sz w:val="18"/>
                <w:szCs w:val="18"/>
              </w:rPr>
              <w:t>备注</w:t>
            </w:r>
          </w:p>
        </w:tc>
        <w:tc>
          <w:tcPr>
            <w:tcW w:w="3312" w:type="dxa"/>
            <w:gridSpan w:val="3"/>
            <w:tcBorders>
              <w:top w:val="single" w:color="auto" w:sz="4" w:space="0"/>
              <w:left w:val="single" w:color="auto" w:sz="4" w:space="0"/>
              <w:right w:val="single" w:color="auto" w:sz="4" w:space="0"/>
            </w:tcBorders>
            <w:vAlign w:val="center"/>
          </w:tcPr>
          <w:p>
            <w:pPr>
              <w:widowControl/>
              <w:snapToGrid w:val="0"/>
              <w:jc w:val="center"/>
              <w:rPr>
                <w:rFonts w:hint="eastAsia" w:ascii="宋体" w:hAnsi="宋体" w:cs="Tahoma"/>
                <w:b/>
                <w:bCs/>
                <w:color w:val="000000"/>
                <w:kern w:val="0"/>
                <w:sz w:val="18"/>
                <w:szCs w:val="18"/>
              </w:rPr>
            </w:pPr>
            <w:r>
              <w:rPr>
                <w:rFonts w:hint="eastAsia" w:ascii="仿宋" w:hAnsi="仿宋" w:eastAsia="仿宋"/>
                <w:b/>
                <w:sz w:val="24"/>
                <w:szCs w:val="24"/>
              </w:rPr>
              <w:t>承接服务的企业情况</w:t>
            </w:r>
          </w:p>
        </w:tc>
      </w:tr>
      <w:tr>
        <w:tblPrEx>
          <w:tblCellMar>
            <w:top w:w="15" w:type="dxa"/>
            <w:left w:w="15" w:type="dxa"/>
            <w:bottom w:w="15" w:type="dxa"/>
            <w:right w:w="15" w:type="dxa"/>
          </w:tblCellMar>
        </w:tblPrEx>
        <w:trPr>
          <w:trHeight w:val="470" w:hRule="atLeast"/>
          <w:jc w:val="center"/>
        </w:trPr>
        <w:tc>
          <w:tcPr>
            <w:tcW w:w="2442" w:type="dxa"/>
            <w:gridSpan w:val="2"/>
            <w:vMerge w:val="continue"/>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napToGrid w:val="0"/>
              <w:jc w:val="left"/>
              <w:rPr>
                <w:rFonts w:ascii="宋体" w:hAnsi="宋体" w:cs="Tahoma"/>
                <w:b/>
                <w:bCs/>
                <w:color w:val="000000"/>
                <w:kern w:val="0"/>
                <w:sz w:val="22"/>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杭州市(十区内)</w:t>
            </w:r>
          </w:p>
        </w:tc>
        <w:tc>
          <w:tcPr>
            <w:tcW w:w="1319"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杭州市(十区内)</w:t>
            </w:r>
          </w:p>
        </w:tc>
        <w:tc>
          <w:tcPr>
            <w:tcW w:w="123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杭州市(十区外)</w:t>
            </w:r>
          </w:p>
        </w:tc>
        <w:tc>
          <w:tcPr>
            <w:tcW w:w="1086"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杭州十区外及省内其他地区</w:t>
            </w:r>
          </w:p>
        </w:tc>
        <w:tc>
          <w:tcPr>
            <w:tcW w:w="102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超时间收费</w:t>
            </w:r>
          </w:p>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（元/小时）</w:t>
            </w:r>
          </w:p>
        </w:tc>
        <w:tc>
          <w:tcPr>
            <w:tcW w:w="1133"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超里程收费</w:t>
            </w:r>
          </w:p>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（元/公里）</w:t>
            </w:r>
          </w:p>
        </w:tc>
        <w:tc>
          <w:tcPr>
            <w:tcW w:w="810" w:type="dxa"/>
            <w:vMerge w:val="continue"/>
            <w:tcBorders>
              <w:left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p>
        </w:tc>
        <w:tc>
          <w:tcPr>
            <w:tcW w:w="810" w:type="dxa"/>
            <w:vMerge w:val="continue"/>
            <w:tcBorders>
              <w:left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p>
        </w:tc>
        <w:tc>
          <w:tcPr>
            <w:tcW w:w="751" w:type="dxa"/>
            <w:vMerge w:val="restart"/>
            <w:tcBorders>
              <w:left w:val="single" w:color="auto" w:sz="4" w:space="0"/>
              <w:right w:val="single" w:color="auto" w:sz="4" w:space="0"/>
            </w:tcBorders>
            <w:vAlign w:val="center"/>
          </w:tcPr>
          <w:p>
            <w:pPr>
              <w:snapToGrid w:val="0"/>
              <w:spacing w:line="400" w:lineRule="exact"/>
              <w:jc w:val="center"/>
              <w:rPr>
                <w:rFonts w:ascii="仿宋" w:hAnsi="仿宋" w:eastAsia="仿宋" w:cs="Times New Roman"/>
                <w:b/>
                <w:kern w:val="2"/>
                <w:sz w:val="21"/>
                <w:szCs w:val="21"/>
                <w:lang w:val="en-US" w:eastAsia="zh-CN" w:bidi="ar-SA"/>
              </w:rPr>
            </w:pPr>
            <w:r>
              <w:rPr>
                <w:rFonts w:hint="eastAsia" w:ascii="仿宋" w:hAnsi="仿宋" w:eastAsia="仿宋"/>
                <w:b/>
                <w:szCs w:val="21"/>
              </w:rPr>
              <w:t>是否中小企业承接</w:t>
            </w:r>
          </w:p>
        </w:tc>
        <w:tc>
          <w:tcPr>
            <w:tcW w:w="1277" w:type="dxa"/>
            <w:vMerge w:val="restart"/>
            <w:tcBorders>
              <w:left w:val="single" w:color="auto" w:sz="4" w:space="0"/>
              <w:right w:val="single" w:color="auto" w:sz="4" w:space="0"/>
            </w:tcBorders>
            <w:vAlign w:val="center"/>
          </w:tcPr>
          <w:p>
            <w:pPr>
              <w:snapToGrid w:val="0"/>
              <w:spacing w:line="400" w:lineRule="exact"/>
              <w:jc w:val="center"/>
              <w:rPr>
                <w:rFonts w:ascii="仿宋" w:hAnsi="仿宋" w:eastAsia="仿宋" w:cs="Times New Roman"/>
                <w:b/>
                <w:kern w:val="2"/>
                <w:sz w:val="21"/>
                <w:szCs w:val="21"/>
                <w:lang w:val="en-US" w:eastAsia="zh-CN" w:bidi="ar-SA"/>
              </w:rPr>
            </w:pPr>
            <w:r>
              <w:rPr>
                <w:rFonts w:hint="eastAsia" w:ascii="仿宋" w:hAnsi="仿宋" w:eastAsia="仿宋"/>
                <w:b/>
                <w:szCs w:val="21"/>
              </w:rPr>
              <w:t>企业全称</w:t>
            </w:r>
          </w:p>
        </w:tc>
        <w:tc>
          <w:tcPr>
            <w:tcW w:w="1284" w:type="dxa"/>
            <w:vMerge w:val="restart"/>
            <w:tcBorders>
              <w:left w:val="single" w:color="auto" w:sz="4" w:space="0"/>
              <w:right w:val="single" w:color="auto" w:sz="4" w:space="0"/>
            </w:tcBorders>
            <w:vAlign w:val="center"/>
          </w:tcPr>
          <w:p>
            <w:pPr>
              <w:snapToGrid w:val="0"/>
              <w:spacing w:line="400" w:lineRule="exact"/>
              <w:jc w:val="center"/>
              <w:rPr>
                <w:rFonts w:ascii="仿宋" w:hAnsi="仿宋" w:eastAsia="仿宋" w:cs="Times New Roman"/>
                <w:b/>
                <w:kern w:val="2"/>
                <w:sz w:val="13"/>
                <w:szCs w:val="13"/>
                <w:lang w:val="en-US" w:eastAsia="zh-CN" w:bidi="ar-SA"/>
              </w:rPr>
            </w:pPr>
            <w:r>
              <w:rPr>
                <w:rFonts w:hint="eastAsia" w:ascii="仿宋" w:hAnsi="仿宋" w:eastAsia="仿宋"/>
                <w:b/>
                <w:sz w:val="13"/>
                <w:szCs w:val="13"/>
              </w:rPr>
              <w:t>服务人员是否依照《中华人民共和国劳动合同法》订立劳动合同</w:t>
            </w:r>
          </w:p>
        </w:tc>
      </w:tr>
      <w:tr>
        <w:tblPrEx>
          <w:tblCellMar>
            <w:top w:w="15" w:type="dxa"/>
            <w:left w:w="15" w:type="dxa"/>
            <w:bottom w:w="15" w:type="dxa"/>
            <w:right w:w="15" w:type="dxa"/>
          </w:tblCellMar>
        </w:tblPrEx>
        <w:trPr>
          <w:trHeight w:val="558" w:hRule="atLeast"/>
          <w:jc w:val="center"/>
        </w:trPr>
        <w:tc>
          <w:tcPr>
            <w:tcW w:w="2442" w:type="dxa"/>
            <w:gridSpan w:val="2"/>
            <w:vMerge w:val="continue"/>
            <w:tcBorders>
              <w:top w:val="single" w:color="auto" w:sz="4" w:space="0"/>
              <w:left w:val="single" w:color="auto" w:sz="4" w:space="0"/>
              <w:bottom w:val="single" w:color="auto" w:sz="4" w:space="0"/>
              <w:right w:val="single" w:color="auto" w:sz="4" w:space="0"/>
              <w:tr2bl w:val="single" w:color="auto" w:sz="4" w:space="0"/>
            </w:tcBorders>
            <w:vAlign w:val="center"/>
          </w:tcPr>
          <w:p>
            <w:pPr>
              <w:widowControl/>
              <w:snapToGrid w:val="0"/>
              <w:jc w:val="left"/>
              <w:rPr>
                <w:rFonts w:ascii="宋体" w:hAnsi="宋体" w:cs="Tahoma"/>
                <w:b/>
                <w:bCs/>
                <w:color w:val="000000"/>
                <w:kern w:val="0"/>
                <w:sz w:val="22"/>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2小时/20公里</w:t>
            </w:r>
            <w:r>
              <w:rPr>
                <w:rFonts w:ascii="宋体" w:hAnsi="宋体" w:cs="Tahoma"/>
                <w:b/>
                <w:bCs/>
                <w:color w:val="000000"/>
                <w:kern w:val="0"/>
                <w:sz w:val="18"/>
                <w:szCs w:val="18"/>
              </w:rPr>
              <w:t>内</w:t>
            </w: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Tahoma"/>
                <w:b/>
                <w:bCs/>
                <w:color w:val="000000"/>
                <w:kern w:val="0"/>
                <w:sz w:val="18"/>
                <w:szCs w:val="18"/>
              </w:rPr>
            </w:pPr>
            <w:r>
              <w:rPr>
                <w:rFonts w:ascii="宋体" w:hAnsi="宋体" w:cs="Tahoma"/>
                <w:b/>
                <w:bCs/>
                <w:color w:val="000000"/>
                <w:kern w:val="0"/>
                <w:sz w:val="18"/>
                <w:szCs w:val="18"/>
              </w:rPr>
              <w:t>4小时/40公里内</w:t>
            </w: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Tahoma"/>
                <w:b/>
                <w:bCs/>
                <w:color w:val="000000"/>
                <w:kern w:val="0"/>
                <w:sz w:val="18"/>
                <w:szCs w:val="18"/>
              </w:rPr>
            </w:pPr>
            <w:r>
              <w:rPr>
                <w:rFonts w:ascii="宋体" w:hAnsi="宋体" w:cs="Tahoma"/>
                <w:b/>
                <w:bCs/>
                <w:color w:val="000000"/>
                <w:kern w:val="0"/>
                <w:sz w:val="18"/>
                <w:szCs w:val="18"/>
              </w:rPr>
              <w:t>8小时/80公里内</w:t>
            </w: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Tahoma"/>
                <w:b/>
                <w:bCs/>
                <w:color w:val="000000"/>
                <w:kern w:val="0"/>
                <w:sz w:val="18"/>
                <w:szCs w:val="18"/>
                <w:highlight w:val="yellow"/>
              </w:rPr>
            </w:pPr>
            <w:r>
              <w:rPr>
                <w:rFonts w:ascii="宋体" w:hAnsi="宋体" w:cs="Tahoma"/>
                <w:b/>
                <w:bCs/>
                <w:color w:val="000000"/>
                <w:kern w:val="0"/>
                <w:sz w:val="18"/>
                <w:szCs w:val="18"/>
              </w:rPr>
              <w:t>8小时/</w:t>
            </w:r>
            <w:r>
              <w:rPr>
                <w:rFonts w:hint="eastAsia" w:ascii="宋体" w:hAnsi="宋体" w:cs="Tahoma"/>
                <w:b/>
                <w:bCs/>
                <w:color w:val="000000"/>
                <w:kern w:val="0"/>
                <w:sz w:val="18"/>
                <w:szCs w:val="18"/>
              </w:rPr>
              <w:t>80</w:t>
            </w:r>
            <w:r>
              <w:rPr>
                <w:rFonts w:ascii="宋体" w:hAnsi="宋体" w:cs="Tahoma"/>
                <w:b/>
                <w:bCs/>
                <w:color w:val="000000"/>
                <w:kern w:val="0"/>
                <w:sz w:val="18"/>
                <w:szCs w:val="18"/>
              </w:rPr>
              <w:t>公里内</w:t>
            </w:r>
          </w:p>
        </w:tc>
        <w:tc>
          <w:tcPr>
            <w:tcW w:w="102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Tahoma"/>
                <w:b/>
                <w:bCs/>
                <w:color w:val="000000"/>
                <w:kern w:val="0"/>
                <w:sz w:val="18"/>
                <w:szCs w:val="18"/>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p>
        </w:tc>
        <w:tc>
          <w:tcPr>
            <w:tcW w:w="810"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p>
        </w:tc>
        <w:tc>
          <w:tcPr>
            <w:tcW w:w="810"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p>
        </w:tc>
        <w:tc>
          <w:tcPr>
            <w:tcW w:w="75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p>
        </w:tc>
        <w:tc>
          <w:tcPr>
            <w:tcW w:w="127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p>
        </w:tc>
        <w:tc>
          <w:tcPr>
            <w:tcW w:w="1284"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22"/>
              </w:rPr>
            </w:pPr>
          </w:p>
        </w:tc>
      </w:tr>
      <w:tr>
        <w:tblPrEx>
          <w:tblCellMar>
            <w:top w:w="15" w:type="dxa"/>
            <w:left w:w="15" w:type="dxa"/>
            <w:bottom w:w="15" w:type="dxa"/>
            <w:right w:w="15" w:type="dxa"/>
          </w:tblCellMar>
        </w:tblPrEx>
        <w:trPr>
          <w:trHeight w:val="477" w:hRule="atLeast"/>
          <w:jc w:val="center"/>
        </w:trPr>
        <w:tc>
          <w:tcPr>
            <w:tcW w:w="244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1.8（含）排量以下，18（含）万以下的小汽车(含司机)</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eastAsia="宋体" w:cs="Tahoma"/>
                <w:b/>
                <w:bCs/>
                <w:color w:val="000000"/>
                <w:kern w:val="0"/>
                <w:sz w:val="18"/>
                <w:szCs w:val="18"/>
                <w:lang w:val="en-US" w:eastAsia="zh-CN" w:bidi="ar-SA"/>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eastAsia="宋体" w:cs="Tahoma"/>
                <w:b/>
                <w:bCs/>
                <w:color w:val="000000"/>
                <w:kern w:val="0"/>
                <w:sz w:val="18"/>
                <w:szCs w:val="18"/>
                <w:lang w:val="en-US" w:eastAsia="zh-CN" w:bidi="ar-SA"/>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r>
      <w:tr>
        <w:tblPrEx>
          <w:tblCellMar>
            <w:top w:w="15" w:type="dxa"/>
            <w:left w:w="15" w:type="dxa"/>
            <w:bottom w:w="15" w:type="dxa"/>
            <w:right w:w="15" w:type="dxa"/>
          </w:tblCellMar>
        </w:tblPrEx>
        <w:trPr>
          <w:trHeight w:val="555" w:hRule="atLeast"/>
          <w:jc w:val="center"/>
        </w:trPr>
        <w:tc>
          <w:tcPr>
            <w:tcW w:w="2442"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3.0（含）排量以下， 30（含）万以下的商务车(含司机)</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ahoma"/>
                <w:b/>
                <w:bCs/>
                <w:color w:val="000000"/>
                <w:kern w:val="0"/>
                <w:sz w:val="18"/>
                <w:szCs w:val="18"/>
                <w:lang w:val="en-US" w:eastAsia="zh-CN" w:bidi="ar-SA"/>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ahoma"/>
                <w:b/>
                <w:bCs/>
                <w:color w:val="000000"/>
                <w:kern w:val="0"/>
                <w:sz w:val="18"/>
                <w:szCs w:val="18"/>
                <w:lang w:val="en-US" w:eastAsia="zh-CN" w:bidi="ar-SA"/>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r>
      <w:tr>
        <w:tblPrEx>
          <w:tblCellMar>
            <w:top w:w="15" w:type="dxa"/>
            <w:left w:w="15" w:type="dxa"/>
            <w:bottom w:w="15" w:type="dxa"/>
            <w:right w:w="15" w:type="dxa"/>
          </w:tblCellMar>
        </w:tblPrEx>
        <w:trPr>
          <w:trHeight w:val="807" w:hRule="atLeast"/>
          <w:jc w:val="center"/>
        </w:trPr>
        <w:tc>
          <w:tcPr>
            <w:tcW w:w="105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5"/>
                <w:szCs w:val="15"/>
              </w:rPr>
            </w:pPr>
            <w:r>
              <w:rPr>
                <w:rFonts w:hint="eastAsia" w:ascii="宋体" w:hAnsi="宋体" w:cs="Tahoma"/>
                <w:b/>
                <w:bCs/>
                <w:color w:val="000000"/>
                <w:kern w:val="0"/>
                <w:sz w:val="15"/>
                <w:szCs w:val="15"/>
              </w:rPr>
              <w:t>20（含）座以下45（含）万以下的中型客车(含司机)</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20（含）座以下45（含）万以下的普通中型客车(含司机)</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宋体" w:cs="Tahoma"/>
                <w:b/>
                <w:bCs/>
                <w:color w:val="000000"/>
                <w:kern w:val="0"/>
                <w:sz w:val="22"/>
                <w:szCs w:val="22"/>
                <w:lang w:val="en-US" w:eastAsia="zh-CN" w:bidi="ar-SA"/>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r>
      <w:tr>
        <w:tblPrEx>
          <w:tblCellMar>
            <w:top w:w="15" w:type="dxa"/>
            <w:left w:w="15" w:type="dxa"/>
            <w:bottom w:w="15" w:type="dxa"/>
            <w:right w:w="15" w:type="dxa"/>
          </w:tblCellMar>
        </w:tblPrEx>
        <w:trPr>
          <w:trHeight w:val="614" w:hRule="atLeast"/>
          <w:jc w:val="center"/>
        </w:trPr>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5"/>
                <w:szCs w:val="15"/>
              </w:rPr>
            </w:pPr>
          </w:p>
        </w:tc>
        <w:tc>
          <w:tcPr>
            <w:tcW w:w="13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20（含）座以下45（含）万以上的中型客车(含司机)</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r>
      <w:tr>
        <w:tblPrEx>
          <w:tblCellMar>
            <w:top w:w="15" w:type="dxa"/>
            <w:left w:w="15" w:type="dxa"/>
            <w:bottom w:w="15" w:type="dxa"/>
            <w:right w:w="15" w:type="dxa"/>
          </w:tblCellMar>
        </w:tblPrEx>
        <w:trPr>
          <w:trHeight w:val="614" w:hRule="atLeast"/>
          <w:jc w:val="center"/>
        </w:trPr>
        <w:tc>
          <w:tcPr>
            <w:tcW w:w="105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5"/>
                <w:szCs w:val="15"/>
              </w:rPr>
            </w:pPr>
            <w:r>
              <w:rPr>
                <w:rFonts w:hint="eastAsia" w:ascii="宋体" w:hAnsi="宋体" w:cs="Tahoma"/>
                <w:b/>
                <w:bCs/>
                <w:color w:val="000000"/>
                <w:kern w:val="0"/>
                <w:sz w:val="15"/>
                <w:szCs w:val="15"/>
              </w:rPr>
              <w:t>20座以上75（含）万以下的大客车(含司机)</w:t>
            </w:r>
          </w:p>
        </w:tc>
        <w:tc>
          <w:tcPr>
            <w:tcW w:w="13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20座-30座以上75（含）万以下的大客车(含司机)</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r>
      <w:tr>
        <w:tblPrEx>
          <w:tblCellMar>
            <w:top w:w="15" w:type="dxa"/>
            <w:left w:w="15" w:type="dxa"/>
            <w:bottom w:w="15" w:type="dxa"/>
            <w:right w:w="15" w:type="dxa"/>
          </w:tblCellMar>
        </w:tblPrEx>
        <w:trPr>
          <w:trHeight w:val="614" w:hRule="atLeast"/>
          <w:jc w:val="center"/>
        </w:trPr>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p>
        </w:tc>
        <w:tc>
          <w:tcPr>
            <w:tcW w:w="13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30座-40座以上75（含）万以下的大客车(含司机)</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r>
      <w:tr>
        <w:tblPrEx>
          <w:tblCellMar>
            <w:top w:w="15" w:type="dxa"/>
            <w:left w:w="15" w:type="dxa"/>
            <w:bottom w:w="15" w:type="dxa"/>
            <w:right w:w="15" w:type="dxa"/>
          </w:tblCellMar>
        </w:tblPrEx>
        <w:trPr>
          <w:trHeight w:val="614" w:hRule="atLeast"/>
          <w:jc w:val="center"/>
        </w:trPr>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p>
        </w:tc>
        <w:tc>
          <w:tcPr>
            <w:tcW w:w="13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40座-50座以上75（含）万以下的大客车(含司机)</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r>
      <w:tr>
        <w:tblPrEx>
          <w:tblCellMar>
            <w:top w:w="15" w:type="dxa"/>
            <w:left w:w="15" w:type="dxa"/>
            <w:bottom w:w="15" w:type="dxa"/>
            <w:right w:w="15" w:type="dxa"/>
          </w:tblCellMar>
        </w:tblPrEx>
        <w:trPr>
          <w:trHeight w:val="622" w:hRule="atLeast"/>
          <w:jc w:val="center"/>
        </w:trPr>
        <w:tc>
          <w:tcPr>
            <w:tcW w:w="105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p>
        </w:tc>
        <w:tc>
          <w:tcPr>
            <w:tcW w:w="138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b/>
                <w:bCs/>
                <w:color w:val="000000"/>
                <w:kern w:val="0"/>
                <w:sz w:val="18"/>
                <w:szCs w:val="18"/>
              </w:rPr>
            </w:pPr>
            <w:r>
              <w:rPr>
                <w:rFonts w:hint="eastAsia" w:ascii="宋体" w:hAnsi="宋体" w:cs="Tahoma"/>
                <w:b/>
                <w:bCs/>
                <w:color w:val="000000"/>
                <w:kern w:val="0"/>
                <w:sz w:val="18"/>
                <w:szCs w:val="18"/>
              </w:rPr>
              <w:t>50-60座以上75（含）万以下的大客车(含司机)</w:t>
            </w:r>
          </w:p>
        </w:tc>
        <w:tc>
          <w:tcPr>
            <w:tcW w:w="133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3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2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eastAsiaTheme="minorEastAsia"/>
                <w:color w:val="000000"/>
                <w:szCs w:val="21"/>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eastAsiaTheme="minorEastAsia"/>
                <w:color w:val="000000"/>
                <w:kern w:val="0"/>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81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7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c>
          <w:tcPr>
            <w:tcW w:w="128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Tahoma"/>
                <w:color w:val="000000"/>
                <w:kern w:val="0"/>
                <w:sz w:val="15"/>
                <w:szCs w:val="15"/>
              </w:rPr>
            </w:pPr>
          </w:p>
        </w:tc>
      </w:tr>
      <w:tr>
        <w:tblPrEx>
          <w:tblCellMar>
            <w:top w:w="15" w:type="dxa"/>
            <w:left w:w="15" w:type="dxa"/>
            <w:bottom w:w="15" w:type="dxa"/>
            <w:right w:w="15" w:type="dxa"/>
          </w:tblCellMar>
        </w:tblPrEx>
        <w:trPr>
          <w:trHeight w:val="622" w:hRule="atLeast"/>
          <w:jc w:val="center"/>
        </w:trPr>
        <w:tc>
          <w:tcPr>
            <w:tcW w:w="14500" w:type="dxa"/>
            <w:gridSpan w:val="13"/>
            <w:tcBorders>
              <w:top w:val="single" w:color="auto" w:sz="4" w:space="0"/>
              <w:left w:val="single" w:color="auto" w:sz="4" w:space="0"/>
              <w:bottom w:val="single" w:color="auto" w:sz="4" w:space="0"/>
              <w:right w:val="single" w:color="auto" w:sz="4" w:space="0"/>
            </w:tcBorders>
            <w:vAlign w:val="center"/>
          </w:tcPr>
          <w:p>
            <w:pPr>
              <w:widowControl/>
              <w:snapToGrid w:val="0"/>
              <w:ind w:firstLine="241" w:firstLineChars="100"/>
              <w:jc w:val="both"/>
              <w:rPr>
                <w:rFonts w:ascii="宋体" w:hAnsi="宋体" w:eastAsia="宋体" w:cs="Tahoma"/>
                <w:color w:val="000000"/>
                <w:kern w:val="0"/>
                <w:sz w:val="15"/>
                <w:szCs w:val="15"/>
                <w:lang w:val="en-US" w:eastAsia="zh-CN" w:bidi="ar-SA"/>
              </w:rPr>
            </w:pPr>
            <w:r>
              <w:rPr>
                <w:rFonts w:hint="eastAsia" w:ascii="仿宋" w:hAnsi="仿宋" w:eastAsia="仿宋"/>
                <w:b/>
                <w:sz w:val="24"/>
                <w:szCs w:val="24"/>
                <w:lang w:val="en-US" w:eastAsia="zh-CN"/>
              </w:rPr>
              <w:t>各类车型报价汇总（单价汇总）</w:t>
            </w:r>
            <w:r>
              <w:rPr>
                <w:rFonts w:hint="eastAsia" w:ascii="仿宋" w:hAnsi="仿宋" w:eastAsia="仿宋"/>
                <w:b/>
                <w:sz w:val="24"/>
                <w:szCs w:val="24"/>
              </w:rPr>
              <w:t xml:space="preserve">金额大写：                                </w:t>
            </w:r>
            <w:r>
              <w:rPr>
                <w:rFonts w:hint="eastAsia" w:ascii="仿宋" w:hAnsi="仿宋" w:eastAsia="仿宋"/>
                <w:b/>
                <w:sz w:val="24"/>
                <w:szCs w:val="24"/>
                <w:lang w:val="en-US" w:eastAsia="zh-CN"/>
              </w:rPr>
              <w:t xml:space="preserve">                    </w:t>
            </w:r>
            <w:r>
              <w:rPr>
                <w:rFonts w:hint="eastAsia" w:ascii="仿宋" w:hAnsi="仿宋" w:eastAsia="仿宋"/>
                <w:b/>
                <w:sz w:val="24"/>
                <w:szCs w:val="24"/>
              </w:rPr>
              <w:t>小写： ￥</w:t>
            </w:r>
          </w:p>
        </w:tc>
      </w:tr>
      <w:tr>
        <w:tblPrEx>
          <w:tblCellMar>
            <w:top w:w="15" w:type="dxa"/>
            <w:left w:w="15" w:type="dxa"/>
            <w:bottom w:w="15" w:type="dxa"/>
            <w:right w:w="15" w:type="dxa"/>
          </w:tblCellMar>
        </w:tblPrEx>
        <w:trPr>
          <w:trHeight w:val="2152" w:hRule="atLeast"/>
          <w:jc w:val="center"/>
        </w:trPr>
        <w:tc>
          <w:tcPr>
            <w:tcW w:w="244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rPr>
              <w:t>备注</w:t>
            </w:r>
          </w:p>
        </w:tc>
        <w:tc>
          <w:tcPr>
            <w:tcW w:w="12058" w:type="dxa"/>
            <w:gridSpan w:val="11"/>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adjustRightInd w:val="0"/>
              <w:snapToGrid w:val="0"/>
              <w:spacing w:line="440" w:lineRule="exact"/>
              <w:rPr>
                <w:rFonts w:hint="eastAsia" w:ascii="仿宋" w:hAnsi="仿宋" w:eastAsia="仿宋"/>
                <w:b/>
                <w:sz w:val="24"/>
                <w:szCs w:val="24"/>
              </w:rPr>
            </w:pPr>
            <w:r>
              <w:rPr>
                <w:rFonts w:hint="eastAsia"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p>
            <w:pPr>
              <w:adjustRightInd w:val="0"/>
              <w:snapToGrid w:val="0"/>
              <w:spacing w:line="440" w:lineRule="exact"/>
              <w:rPr>
                <w:rFonts w:hint="eastAsia" w:ascii="仿宋" w:hAnsi="仿宋" w:eastAsia="仿宋"/>
                <w:b/>
                <w:bCs/>
                <w:color w:val="C00000"/>
                <w:sz w:val="24"/>
                <w:szCs w:val="24"/>
              </w:rPr>
            </w:pPr>
            <w:r>
              <w:rPr>
                <w:rFonts w:hint="eastAsia" w:ascii="仿宋" w:hAnsi="仿宋" w:eastAsia="仿宋"/>
                <w:b/>
                <w:bCs/>
                <w:color w:val="C00000"/>
                <w:sz w:val="24"/>
                <w:szCs w:val="24"/>
                <w:lang w:val="en-US" w:eastAsia="zh-CN"/>
              </w:rPr>
              <w:t>5.</w:t>
            </w:r>
            <w:r>
              <w:rPr>
                <w:rFonts w:hint="eastAsia" w:ascii="仿宋" w:hAnsi="仿宋" w:eastAsia="仿宋"/>
                <w:b/>
                <w:bCs/>
                <w:color w:val="C00000"/>
                <w:sz w:val="24"/>
                <w:szCs w:val="24"/>
              </w:rPr>
              <w:t>营运服务期间产生的过路过桥（渡）费、停车费按实另行结算。</w:t>
            </w:r>
          </w:p>
          <w:p>
            <w:pPr>
              <w:adjustRightInd w:val="0"/>
              <w:snapToGrid w:val="0"/>
              <w:spacing w:line="440" w:lineRule="exact"/>
              <w:rPr>
                <w:rFonts w:hint="default" w:ascii="仿宋" w:hAnsi="仿宋" w:eastAsia="仿宋" w:cs="Times New Roman"/>
                <w:kern w:val="2"/>
                <w:sz w:val="24"/>
                <w:szCs w:val="24"/>
                <w:lang w:val="en-US" w:eastAsia="zh-CN" w:bidi="ar-SA"/>
              </w:rPr>
            </w:pPr>
            <w:r>
              <w:rPr>
                <w:rFonts w:hint="eastAsia" w:ascii="仿宋" w:hAnsi="仿宋" w:eastAsia="仿宋"/>
                <w:b/>
                <w:bCs/>
                <w:color w:val="C00000"/>
                <w:sz w:val="24"/>
                <w:szCs w:val="24"/>
                <w:lang w:val="en-US" w:eastAsia="zh-CN"/>
              </w:rPr>
              <w:t>6</w:t>
            </w:r>
            <w:r>
              <w:rPr>
                <w:rFonts w:hint="eastAsia" w:ascii="仿宋" w:hAnsi="仿宋" w:eastAsia="仿宋"/>
                <w:b/>
                <w:bCs/>
                <w:color w:val="C00000"/>
                <w:sz w:val="24"/>
                <w:szCs w:val="24"/>
              </w:rPr>
              <w:t>.如产生司机食宿费由服务企业承担，用车单位准予以250元/天的司机食宿费进行结算。</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日期：</w:t>
      </w:r>
      <w:r>
        <w:rPr>
          <w:rFonts w:hint="eastAsia" w:ascii="仿宋" w:hAnsi="仿宋" w:eastAsia="仿宋"/>
          <w:sz w:val="28"/>
          <w:szCs w:val="28"/>
          <w:u w:val="single"/>
        </w:rPr>
        <w:t xml:space="preserve">            </w:t>
      </w:r>
    </w:p>
    <w:p>
      <w:pPr>
        <w:snapToGrid w:val="0"/>
        <w:spacing w:line="360" w:lineRule="auto"/>
        <w:rPr>
          <w:rFonts w:hint="eastAsia" w:ascii="仿宋" w:hAnsi="仿宋" w:eastAsia="仿宋"/>
          <w:kern w:val="0"/>
          <w:sz w:val="30"/>
          <w:szCs w:val="30"/>
        </w:rPr>
        <w:sectPr>
          <w:pgSz w:w="16838" w:h="11906" w:orient="landscape"/>
          <w:pgMar w:top="1803" w:right="1440" w:bottom="1803" w:left="1440" w:header="851" w:footer="992" w:gutter="0"/>
          <w:cols w:space="0" w:num="1"/>
          <w:rtlGutter w:val="0"/>
          <w:docGrid w:type="lines" w:linePitch="319" w:charSpace="0"/>
        </w:sectPr>
      </w:pPr>
    </w:p>
    <w:p>
      <w:pPr>
        <w:snapToGrid w:val="0"/>
        <w:spacing w:before="50" w:after="50"/>
        <w:jc w:val="left"/>
        <w:rPr>
          <w:rFonts w:ascii="仿宋" w:hAnsi="仿宋" w:eastAsia="仿宋"/>
          <w:sz w:val="30"/>
          <w:szCs w:val="30"/>
        </w:rPr>
      </w:pPr>
      <w:r>
        <w:rPr>
          <w:rFonts w:hint="eastAsia" w:ascii="仿宋" w:hAnsi="仿宋" w:eastAsia="仿宋"/>
          <w:sz w:val="30"/>
          <w:szCs w:val="30"/>
        </w:rPr>
        <w:t>附件16：</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2"/>
        <w:spacing w:before="159" w:after="159"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2"/>
        <w:spacing w:before="159" w:after="159"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sz w:val="30"/>
          <w:szCs w:val="30"/>
        </w:rPr>
      </w:pPr>
    </w:p>
    <w:p>
      <w:pPr>
        <w:jc w:val="left"/>
        <w:rPr>
          <w:rFonts w:hint="eastAsia" w:ascii="仿宋" w:hAnsi="仿宋" w:eastAsia="仿宋"/>
          <w:sz w:val="30"/>
          <w:szCs w:val="30"/>
        </w:rPr>
      </w:pPr>
    </w:p>
    <w:p>
      <w:pPr>
        <w:jc w:val="left"/>
        <w:rPr>
          <w:rFonts w:hint="eastAsia" w:ascii="仿宋" w:hAnsi="仿宋" w:eastAsia="仿宋"/>
          <w:sz w:val="30"/>
          <w:szCs w:val="30"/>
        </w:rPr>
      </w:pPr>
    </w:p>
    <w:p>
      <w:pPr>
        <w:jc w:val="left"/>
        <w:rPr>
          <w:rFonts w:ascii="仿宋" w:hAnsi="仿宋" w:eastAsia="仿宋"/>
        </w:rPr>
      </w:pPr>
      <w:r>
        <w:rPr>
          <w:rFonts w:hint="eastAsia" w:ascii="仿宋" w:hAnsi="仿宋" w:eastAsia="仿宋"/>
          <w:sz w:val="30"/>
          <w:szCs w:val="30"/>
        </w:rPr>
        <w:t>附件17：</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pPr>
    </w:p>
    <w:p/>
    <w:p/>
    <w:sectPr>
      <w:headerReference r:id="rId7" w:type="first"/>
      <w:footerReference r:id="rId10" w:type="first"/>
      <w:headerReference r:id="rId6" w:type="default"/>
      <w:footerReference r:id="rId8" w:type="default"/>
      <w:footerReference r:id="rId9"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方正黑体_GBK">
    <w:altName w:val="Arial Unicode MS"/>
    <w:panose1 w:val="02000000000000000000"/>
    <w:charset w:val="86"/>
    <w:family w:val="auto"/>
    <w:pitch w:val="default"/>
    <w:sig w:usb0="00000000" w:usb1="00000000" w:usb2="00000000" w:usb3="00000000" w:csb0="00040000" w:csb1="00000000"/>
  </w:font>
  <w:font w:name="方正楷体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9"/>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70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ind w:right="720" w:firstLine="180" w:firstLineChars="10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outside" w:y="1"/>
      <w:rPr>
        <w:rStyle w:val="67"/>
      </w:rPr>
    </w:pPr>
    <w:r>
      <w:fldChar w:fldCharType="begin"/>
    </w:r>
    <w:r>
      <w:rPr>
        <w:rStyle w:val="67"/>
      </w:rPr>
      <w:instrText xml:space="preserve">PAGE  </w:instrText>
    </w:r>
    <w:r>
      <w:fldChar w:fldCharType="end"/>
    </w:r>
  </w:p>
  <w:p>
    <w:pPr>
      <w:pStyle w:val="3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7"/>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3"/>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6"/>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7"/>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5"/>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1YjdhMjgwNDdhMjkxYmZiYzg1ZGJhYmFmYjE4ZjcifQ=="/>
  </w:docVars>
  <w:rsids>
    <w:rsidRoot w:val="007B39CD"/>
    <w:rsid w:val="000854CB"/>
    <w:rsid w:val="000869A0"/>
    <w:rsid w:val="00097B32"/>
    <w:rsid w:val="000A0C44"/>
    <w:rsid w:val="000F7EE7"/>
    <w:rsid w:val="0012623F"/>
    <w:rsid w:val="00162FF4"/>
    <w:rsid w:val="001A46E4"/>
    <w:rsid w:val="001B3980"/>
    <w:rsid w:val="001D0E9A"/>
    <w:rsid w:val="002641A2"/>
    <w:rsid w:val="002B1160"/>
    <w:rsid w:val="003325FB"/>
    <w:rsid w:val="00360F0E"/>
    <w:rsid w:val="0036152B"/>
    <w:rsid w:val="00383600"/>
    <w:rsid w:val="003E2398"/>
    <w:rsid w:val="00407B72"/>
    <w:rsid w:val="00411BA0"/>
    <w:rsid w:val="004519EF"/>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14F35"/>
    <w:rsid w:val="00752605"/>
    <w:rsid w:val="0079512C"/>
    <w:rsid w:val="007B33D8"/>
    <w:rsid w:val="007B39CD"/>
    <w:rsid w:val="008010EC"/>
    <w:rsid w:val="008139C8"/>
    <w:rsid w:val="0084546F"/>
    <w:rsid w:val="00935B2B"/>
    <w:rsid w:val="009A098E"/>
    <w:rsid w:val="009A1F91"/>
    <w:rsid w:val="009F00A7"/>
    <w:rsid w:val="00A45A96"/>
    <w:rsid w:val="00A9015D"/>
    <w:rsid w:val="00A94733"/>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A67ED"/>
    <w:rsid w:val="00ED4653"/>
    <w:rsid w:val="00EF085D"/>
    <w:rsid w:val="00F14BC2"/>
    <w:rsid w:val="00F65755"/>
    <w:rsid w:val="00FC29AB"/>
    <w:rsid w:val="0AF05871"/>
    <w:rsid w:val="3A6D3740"/>
    <w:rsid w:val="48396F23"/>
    <w:rsid w:val="6C653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3"/>
    <w:qFormat/>
    <w:uiPriority w:val="0"/>
    <w:pPr>
      <w:autoSpaceDE w:val="0"/>
      <w:autoSpaceDN w:val="0"/>
      <w:adjustRightInd w:val="0"/>
      <w:spacing w:line="360" w:lineRule="auto"/>
      <w:jc w:val="center"/>
      <w:outlineLvl w:val="0"/>
    </w:pPr>
    <w:rPr>
      <w:rFonts w:eastAsia="隶书"/>
      <w:b/>
      <w:bCs/>
      <w:kern w:val="0"/>
      <w:sz w:val="36"/>
      <w:szCs w:val="36"/>
    </w:rPr>
  </w:style>
  <w:style w:type="paragraph" w:styleId="4">
    <w:name w:val="heading 2"/>
    <w:basedOn w:val="1"/>
    <w:next w:val="1"/>
    <w:link w:val="23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5"/>
    <w:qFormat/>
    <w:uiPriority w:val="0"/>
    <w:pPr>
      <w:keepNext/>
      <w:keepLines/>
      <w:spacing w:before="260" w:after="260" w:line="416" w:lineRule="auto"/>
      <w:outlineLvl w:val="2"/>
    </w:pPr>
    <w:rPr>
      <w:b/>
      <w:bCs/>
      <w:sz w:val="32"/>
      <w:szCs w:val="32"/>
    </w:rPr>
  </w:style>
  <w:style w:type="paragraph" w:styleId="6">
    <w:name w:val="heading 4"/>
    <w:basedOn w:val="1"/>
    <w:next w:val="1"/>
    <w:link w:val="76"/>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7"/>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8">
    <w:name w:val="heading 6"/>
    <w:basedOn w:val="1"/>
    <w:next w:val="1"/>
    <w:link w:val="78"/>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79"/>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0">
    <w:name w:val="heading 8"/>
    <w:basedOn w:val="1"/>
    <w:next w:val="1"/>
    <w:link w:val="80"/>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1">
    <w:name w:val="heading 9"/>
    <w:basedOn w:val="1"/>
    <w:next w:val="1"/>
    <w:link w:val="81"/>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semiHidden/>
    <w:qFormat/>
    <w:uiPriority w:val="0"/>
  </w:style>
  <w:style w:type="table" w:default="1" w:styleId="60">
    <w:name w:val="Normal Table"/>
    <w:semiHidden/>
    <w:qFormat/>
    <w:uiPriority w:val="0"/>
    <w:tblPr>
      <w:tblCellMar>
        <w:top w:w="0" w:type="dxa"/>
        <w:left w:w="108" w:type="dxa"/>
        <w:bottom w:w="0" w:type="dxa"/>
        <w:right w:w="108" w:type="dxa"/>
      </w:tblCellMar>
    </w:tblPr>
  </w:style>
  <w:style w:type="paragraph" w:customStyle="1" w:styleId="2">
    <w:name w:val="段"/>
    <w:next w:val="1"/>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paragraph" w:styleId="12">
    <w:name w:val="List 3"/>
    <w:basedOn w:val="1"/>
    <w:qFormat/>
    <w:uiPriority w:val="0"/>
    <w:pPr>
      <w:ind w:left="100" w:leftChars="400" w:hanging="200" w:hangingChars="200"/>
    </w:pPr>
    <w:rPr>
      <w:rFonts w:ascii="Times New Roman" w:hAnsi="Times New Roman"/>
      <w:szCs w:val="20"/>
    </w:rPr>
  </w:style>
  <w:style w:type="paragraph" w:styleId="13">
    <w:name w:val="toc 7"/>
    <w:basedOn w:val="1"/>
    <w:next w:val="1"/>
    <w:qFormat/>
    <w:uiPriority w:val="0"/>
    <w:pPr>
      <w:ind w:left="1260"/>
      <w:jc w:val="left"/>
    </w:pPr>
    <w:rPr>
      <w:rFonts w:ascii="Times New Roman" w:hAnsi="Times New Roman"/>
      <w:sz w:val="18"/>
      <w:szCs w:val="18"/>
    </w:rPr>
  </w:style>
  <w:style w:type="paragraph" w:styleId="14">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5">
    <w:name w:val="table of authorities"/>
    <w:basedOn w:val="1"/>
    <w:next w:val="1"/>
    <w:uiPriority w:val="0"/>
    <w:pPr>
      <w:numPr>
        <w:ilvl w:val="0"/>
        <w:numId w:val="1"/>
      </w:numPr>
      <w:ind w:left="200" w:leftChars="200"/>
    </w:pPr>
    <w:rPr>
      <w:rFonts w:ascii="Times New Roman" w:hAnsi="Times New Roman"/>
      <w:sz w:val="18"/>
      <w:szCs w:val="24"/>
    </w:rPr>
  </w:style>
  <w:style w:type="paragraph" w:styleId="16">
    <w:name w:val="List Bullet 4"/>
    <w:basedOn w:val="1"/>
    <w:qFormat/>
    <w:uiPriority w:val="0"/>
    <w:pPr>
      <w:numPr>
        <w:ilvl w:val="0"/>
        <w:numId w:val="2"/>
      </w:numPr>
    </w:pPr>
    <w:rPr>
      <w:rFonts w:ascii="Times New Roman" w:hAnsi="Times New Roman"/>
      <w:szCs w:val="24"/>
    </w:rPr>
  </w:style>
  <w:style w:type="paragraph" w:styleId="17">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8">
    <w:name w:val="Normal Indent"/>
    <w:basedOn w:val="1"/>
    <w:link w:val="372"/>
    <w:qFormat/>
    <w:uiPriority w:val="0"/>
    <w:pPr>
      <w:ind w:firstLine="420"/>
    </w:pPr>
    <w:rPr>
      <w:szCs w:val="20"/>
    </w:rPr>
  </w:style>
  <w:style w:type="paragraph" w:styleId="19">
    <w:name w:val="caption"/>
    <w:basedOn w:val="1"/>
    <w:next w:val="1"/>
    <w:link w:val="108"/>
    <w:semiHidden/>
    <w:unhideWhenUsed/>
    <w:qFormat/>
    <w:uiPriority w:val="0"/>
    <w:pPr>
      <w:spacing w:before="152" w:after="160"/>
    </w:pPr>
    <w:rPr>
      <w:rFonts w:ascii="Arial" w:hAnsi="Arial" w:eastAsia="黑体"/>
      <w:sz w:val="20"/>
      <w:szCs w:val="20"/>
    </w:rPr>
  </w:style>
  <w:style w:type="paragraph" w:styleId="20">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1">
    <w:name w:val="Document Map"/>
    <w:basedOn w:val="1"/>
    <w:link w:val="82"/>
    <w:qFormat/>
    <w:uiPriority w:val="0"/>
    <w:rPr>
      <w:rFonts w:ascii="宋体"/>
      <w:sz w:val="18"/>
      <w:szCs w:val="18"/>
    </w:rPr>
  </w:style>
  <w:style w:type="paragraph" w:styleId="22">
    <w:name w:val="annotation text"/>
    <w:basedOn w:val="1"/>
    <w:link w:val="83"/>
    <w:qFormat/>
    <w:uiPriority w:val="0"/>
    <w:pPr>
      <w:jc w:val="left"/>
    </w:pPr>
  </w:style>
  <w:style w:type="paragraph" w:styleId="23">
    <w:name w:val="Salutation"/>
    <w:basedOn w:val="1"/>
    <w:next w:val="1"/>
    <w:link w:val="84"/>
    <w:qFormat/>
    <w:uiPriority w:val="0"/>
    <w:rPr>
      <w:rFonts w:ascii="宋体" w:hAnsi="Times New Roman"/>
      <w:b/>
      <w:sz w:val="28"/>
      <w:szCs w:val="20"/>
    </w:rPr>
  </w:style>
  <w:style w:type="paragraph" w:styleId="24">
    <w:name w:val="Body Text 3"/>
    <w:basedOn w:val="1"/>
    <w:link w:val="85"/>
    <w:qFormat/>
    <w:uiPriority w:val="0"/>
    <w:pPr>
      <w:snapToGrid w:val="0"/>
      <w:spacing w:before="50" w:after="50"/>
    </w:pPr>
    <w:rPr>
      <w:rFonts w:ascii="Times New Roman" w:hAnsi="宋体" w:eastAsia="仿宋_GB2312"/>
      <w:b/>
      <w:bCs/>
      <w:sz w:val="24"/>
      <w:szCs w:val="20"/>
    </w:rPr>
  </w:style>
  <w:style w:type="paragraph" w:styleId="25">
    <w:name w:val="Body Text"/>
    <w:basedOn w:val="1"/>
    <w:link w:val="86"/>
    <w:unhideWhenUsed/>
    <w:qFormat/>
    <w:uiPriority w:val="0"/>
    <w:pPr>
      <w:spacing w:after="120"/>
    </w:pPr>
    <w:rPr>
      <w:sz w:val="28"/>
      <w:szCs w:val="24"/>
    </w:rPr>
  </w:style>
  <w:style w:type="paragraph" w:styleId="26">
    <w:name w:val="Body Text Indent"/>
    <w:basedOn w:val="1"/>
    <w:link w:val="87"/>
    <w:qFormat/>
    <w:uiPriority w:val="0"/>
    <w:pPr>
      <w:spacing w:line="200" w:lineRule="exact"/>
      <w:ind w:firstLine="301"/>
    </w:pPr>
    <w:rPr>
      <w:rFonts w:ascii="宋体" w:hAnsi="Courier New"/>
      <w:spacing w:val="-4"/>
      <w:sz w:val="18"/>
      <w:szCs w:val="20"/>
    </w:rPr>
  </w:style>
  <w:style w:type="paragraph" w:styleId="27">
    <w:name w:val="List Number 3"/>
    <w:basedOn w:val="1"/>
    <w:qFormat/>
    <w:uiPriority w:val="0"/>
    <w:pPr>
      <w:numPr>
        <w:ilvl w:val="0"/>
        <w:numId w:val="3"/>
      </w:numPr>
    </w:pPr>
    <w:rPr>
      <w:rFonts w:ascii="Times New Roman" w:hAnsi="Times New Roman"/>
      <w:szCs w:val="24"/>
    </w:rPr>
  </w:style>
  <w:style w:type="paragraph" w:styleId="28">
    <w:name w:val="List 2"/>
    <w:basedOn w:val="1"/>
    <w:qFormat/>
    <w:uiPriority w:val="0"/>
    <w:pPr>
      <w:ind w:left="100" w:leftChars="200" w:hanging="200" w:hangingChars="200"/>
    </w:pPr>
    <w:rPr>
      <w:rFonts w:ascii="Times New Roman" w:hAnsi="Times New Roman"/>
      <w:sz w:val="28"/>
      <w:szCs w:val="24"/>
    </w:rPr>
  </w:style>
  <w:style w:type="paragraph" w:styleId="29">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0">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1">
    <w:name w:val="toc 3"/>
    <w:basedOn w:val="1"/>
    <w:next w:val="1"/>
    <w:qFormat/>
    <w:uiPriority w:val="0"/>
    <w:pPr>
      <w:ind w:left="840" w:leftChars="400"/>
    </w:pPr>
  </w:style>
  <w:style w:type="paragraph" w:styleId="32">
    <w:name w:val="Plain Text"/>
    <w:basedOn w:val="1"/>
    <w:link w:val="88"/>
    <w:semiHidden/>
    <w:unhideWhenUsed/>
    <w:qFormat/>
    <w:uiPriority w:val="99"/>
    <w:pPr>
      <w:spacing w:beforeLines="50" w:afterLines="50" w:line="400" w:lineRule="exact"/>
    </w:pPr>
    <w:rPr>
      <w:rFonts w:ascii="宋体" w:hAnsi="Courier New"/>
      <w:sz w:val="24"/>
      <w:szCs w:val="24"/>
    </w:rPr>
  </w:style>
  <w:style w:type="paragraph" w:styleId="33">
    <w:name w:val="List Bullet 5"/>
    <w:basedOn w:val="1"/>
    <w:qFormat/>
    <w:uiPriority w:val="0"/>
    <w:pPr>
      <w:numPr>
        <w:ilvl w:val="0"/>
        <w:numId w:val="4"/>
      </w:numPr>
    </w:pPr>
    <w:rPr>
      <w:rFonts w:ascii="Times New Roman" w:hAnsi="Times New Roman"/>
      <w:szCs w:val="24"/>
    </w:rPr>
  </w:style>
  <w:style w:type="paragraph" w:styleId="34">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5">
    <w:name w:val="Date"/>
    <w:basedOn w:val="1"/>
    <w:next w:val="1"/>
    <w:link w:val="89"/>
    <w:qFormat/>
    <w:uiPriority w:val="0"/>
    <w:pPr>
      <w:ind w:left="2500" w:leftChars="2500"/>
    </w:pPr>
    <w:rPr>
      <w:rFonts w:eastAsia="楷体_GB2312"/>
      <w:sz w:val="32"/>
      <w:szCs w:val="20"/>
    </w:rPr>
  </w:style>
  <w:style w:type="paragraph" w:styleId="36">
    <w:name w:val="Body Text Indent 2"/>
    <w:basedOn w:val="1"/>
    <w:link w:val="90"/>
    <w:qFormat/>
    <w:uiPriority w:val="0"/>
    <w:pPr>
      <w:snapToGrid w:val="0"/>
      <w:ind w:firstLine="542" w:firstLineChars="225"/>
    </w:pPr>
    <w:rPr>
      <w:rFonts w:ascii="仿宋_GB2312" w:hAnsi="宋体"/>
      <w:b/>
      <w:bCs/>
      <w:color w:val="000000"/>
      <w:sz w:val="24"/>
      <w:szCs w:val="24"/>
    </w:rPr>
  </w:style>
  <w:style w:type="paragraph" w:styleId="37">
    <w:name w:val="endnote text"/>
    <w:basedOn w:val="1"/>
    <w:link w:val="91"/>
    <w:qFormat/>
    <w:uiPriority w:val="0"/>
    <w:pPr>
      <w:numPr>
        <w:ilvl w:val="0"/>
        <w:numId w:val="5"/>
      </w:numPr>
      <w:snapToGrid w:val="0"/>
      <w:spacing w:afterLines="50"/>
      <w:jc w:val="left"/>
    </w:pPr>
    <w:rPr>
      <w:rFonts w:ascii="宋体"/>
      <w:snapToGrid w:val="0"/>
      <w:kern w:val="0"/>
      <w:szCs w:val="20"/>
    </w:rPr>
  </w:style>
  <w:style w:type="paragraph" w:styleId="38">
    <w:name w:val="Balloon Text"/>
    <w:basedOn w:val="1"/>
    <w:link w:val="92"/>
    <w:qFormat/>
    <w:uiPriority w:val="0"/>
    <w:rPr>
      <w:sz w:val="18"/>
      <w:szCs w:val="18"/>
    </w:rPr>
  </w:style>
  <w:style w:type="paragraph" w:styleId="39">
    <w:name w:val="footer"/>
    <w:basedOn w:val="1"/>
    <w:link w:val="246"/>
    <w:unhideWhenUsed/>
    <w:qFormat/>
    <w:uiPriority w:val="99"/>
    <w:pPr>
      <w:tabs>
        <w:tab w:val="center" w:pos="4153"/>
        <w:tab w:val="right" w:pos="8306"/>
      </w:tabs>
      <w:snapToGrid w:val="0"/>
      <w:jc w:val="left"/>
    </w:pPr>
    <w:rPr>
      <w:sz w:val="18"/>
      <w:szCs w:val="18"/>
    </w:rPr>
  </w:style>
  <w:style w:type="paragraph" w:styleId="40">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1">
    <w:name w:val="toc 1"/>
    <w:basedOn w:val="1"/>
    <w:next w:val="1"/>
    <w:qFormat/>
    <w:uiPriority w:val="0"/>
    <w:pPr>
      <w:spacing w:before="240" w:after="240"/>
    </w:pPr>
    <w:rPr>
      <w:rFonts w:ascii="Times New Roman" w:hAnsi="Times New Roman" w:eastAsia="仿宋"/>
      <w:sz w:val="36"/>
      <w:szCs w:val="24"/>
    </w:rPr>
  </w:style>
  <w:style w:type="paragraph" w:styleId="42">
    <w:name w:val="toc 4"/>
    <w:basedOn w:val="1"/>
    <w:next w:val="1"/>
    <w:qFormat/>
    <w:uiPriority w:val="0"/>
    <w:pPr>
      <w:ind w:left="1260" w:leftChars="600"/>
    </w:pPr>
  </w:style>
  <w:style w:type="paragraph" w:styleId="43">
    <w:name w:val="Subtitle"/>
    <w:basedOn w:val="1"/>
    <w:link w:val="95"/>
    <w:qFormat/>
    <w:uiPriority w:val="0"/>
    <w:pPr>
      <w:spacing w:afterLines="50"/>
      <w:jc w:val="center"/>
    </w:pPr>
    <w:rPr>
      <w:rFonts w:ascii="Times New Roman" w:hAnsi="Times New Roman" w:eastAsia="Times New Roman"/>
      <w:sz w:val="18"/>
      <w:szCs w:val="18"/>
    </w:rPr>
  </w:style>
  <w:style w:type="paragraph" w:styleId="44">
    <w:name w:val="List"/>
    <w:basedOn w:val="1"/>
    <w:qFormat/>
    <w:uiPriority w:val="0"/>
    <w:pPr>
      <w:ind w:left="200" w:hanging="200" w:hangingChars="200"/>
    </w:pPr>
    <w:rPr>
      <w:rFonts w:ascii="Times New Roman" w:hAnsi="Times New Roman"/>
      <w:sz w:val="28"/>
      <w:szCs w:val="24"/>
    </w:rPr>
  </w:style>
  <w:style w:type="paragraph" w:styleId="45">
    <w:name w:val="footnote text"/>
    <w:basedOn w:val="1"/>
    <w:link w:val="96"/>
    <w:qFormat/>
    <w:uiPriority w:val="0"/>
    <w:pPr>
      <w:snapToGrid w:val="0"/>
      <w:jc w:val="left"/>
    </w:pPr>
    <w:rPr>
      <w:sz w:val="18"/>
      <w:szCs w:val="18"/>
    </w:rPr>
  </w:style>
  <w:style w:type="paragraph" w:styleId="46">
    <w:name w:val="toc 6"/>
    <w:basedOn w:val="1"/>
    <w:next w:val="1"/>
    <w:qFormat/>
    <w:uiPriority w:val="0"/>
    <w:pPr>
      <w:ind w:left="1050"/>
      <w:jc w:val="left"/>
    </w:pPr>
    <w:rPr>
      <w:rFonts w:ascii="Times New Roman" w:hAnsi="Times New Roman"/>
      <w:sz w:val="18"/>
      <w:szCs w:val="18"/>
    </w:rPr>
  </w:style>
  <w:style w:type="paragraph" w:styleId="47">
    <w:name w:val="Body Text Indent 3"/>
    <w:basedOn w:val="1"/>
    <w:link w:val="97"/>
    <w:qFormat/>
    <w:uiPriority w:val="0"/>
    <w:pPr>
      <w:snapToGrid w:val="0"/>
      <w:ind w:firstLine="480" w:firstLineChars="200"/>
      <w:jc w:val="left"/>
    </w:pPr>
    <w:rPr>
      <w:rFonts w:ascii="仿宋_GB2312" w:hAnsi="宋体" w:eastAsia="仿宋_GB2312"/>
      <w:color w:val="000000"/>
      <w:sz w:val="24"/>
      <w:szCs w:val="24"/>
    </w:rPr>
  </w:style>
  <w:style w:type="paragraph" w:styleId="48">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49">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0">
    <w:name w:val="toc 9"/>
    <w:basedOn w:val="1"/>
    <w:next w:val="1"/>
    <w:qFormat/>
    <w:uiPriority w:val="0"/>
    <w:pPr>
      <w:ind w:left="1680"/>
      <w:jc w:val="left"/>
    </w:pPr>
    <w:rPr>
      <w:rFonts w:ascii="Times New Roman" w:hAnsi="Times New Roman"/>
      <w:sz w:val="18"/>
      <w:szCs w:val="18"/>
    </w:rPr>
  </w:style>
  <w:style w:type="paragraph" w:styleId="51">
    <w:name w:val="Body Text 2"/>
    <w:basedOn w:val="1"/>
    <w:link w:val="98"/>
    <w:qFormat/>
    <w:uiPriority w:val="0"/>
    <w:pPr>
      <w:widowControl/>
      <w:snapToGrid w:val="0"/>
      <w:spacing w:before="50" w:afterLines="50" w:line="400" w:lineRule="exact"/>
      <w:jc w:val="left"/>
    </w:pPr>
    <w:rPr>
      <w:rFonts w:ascii="宋体" w:hAnsi="宋体"/>
      <w:color w:val="000000"/>
      <w:sz w:val="24"/>
      <w:szCs w:val="24"/>
    </w:rPr>
  </w:style>
  <w:style w:type="paragraph" w:styleId="52">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3">
    <w:name w:val="HTML Preformatted"/>
    <w:basedOn w:val="1"/>
    <w:link w:val="99"/>
    <w:qFormat/>
    <w:uiPriority w:val="0"/>
    <w:rPr>
      <w:rFonts w:ascii="Courier New" w:hAnsi="Courier New"/>
      <w:sz w:val="20"/>
      <w:szCs w:val="20"/>
    </w:rPr>
  </w:style>
  <w:style w:type="paragraph" w:styleId="5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qFormat/>
    <w:uiPriority w:val="0"/>
    <w:rPr>
      <w:rFonts w:ascii="Times New Roman" w:hAnsi="Times New Roman"/>
      <w:szCs w:val="20"/>
    </w:rPr>
  </w:style>
  <w:style w:type="paragraph" w:styleId="56">
    <w:name w:val="Title"/>
    <w:basedOn w:val="1"/>
    <w:link w:val="100"/>
    <w:qFormat/>
    <w:uiPriority w:val="0"/>
    <w:pPr>
      <w:spacing w:before="240" w:after="60"/>
      <w:jc w:val="center"/>
      <w:outlineLvl w:val="0"/>
    </w:pPr>
    <w:rPr>
      <w:rFonts w:ascii="Arial" w:hAnsi="Arial"/>
      <w:b/>
      <w:bCs/>
      <w:sz w:val="32"/>
      <w:szCs w:val="32"/>
    </w:rPr>
  </w:style>
  <w:style w:type="paragraph" w:styleId="57">
    <w:name w:val="annotation subject"/>
    <w:basedOn w:val="22"/>
    <w:next w:val="22"/>
    <w:link w:val="963"/>
    <w:qFormat/>
    <w:uiPriority w:val="0"/>
    <w:rPr>
      <w:b/>
      <w:bCs/>
    </w:rPr>
  </w:style>
  <w:style w:type="paragraph" w:styleId="58">
    <w:name w:val="Body Text First Indent"/>
    <w:basedOn w:val="25"/>
    <w:link w:val="103"/>
    <w:qFormat/>
    <w:uiPriority w:val="0"/>
    <w:pPr>
      <w:ind w:firstLine="420" w:firstLineChars="100"/>
    </w:pPr>
    <w:rPr>
      <w:sz w:val="21"/>
      <w:szCs w:val="22"/>
    </w:rPr>
  </w:style>
  <w:style w:type="paragraph" w:styleId="59">
    <w:name w:val="Body Text First Indent 2"/>
    <w:basedOn w:val="26"/>
    <w:link w:val="964"/>
    <w:qFormat/>
    <w:uiPriority w:val="0"/>
    <w:pPr>
      <w:spacing w:after="120" w:line="240" w:lineRule="auto"/>
      <w:ind w:left="420" w:leftChars="200" w:firstLine="420" w:firstLineChars="200"/>
    </w:pPr>
    <w:rPr>
      <w:rFonts w:ascii="Times New Roman" w:hAnsi="Times New Roman"/>
      <w:spacing w:val="0"/>
      <w:sz w:val="21"/>
    </w:rPr>
  </w:style>
  <w:style w:type="table" w:styleId="61">
    <w:name w:val="Table Grid"/>
    <w:basedOn w:val="60"/>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Simple 1"/>
    <w:basedOn w:val="60"/>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60"/>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0"/>
    <w:rPr>
      <w:color w:val="800080"/>
      <w:u w:val="single"/>
    </w:rPr>
  </w:style>
  <w:style w:type="character" w:styleId="69">
    <w:name w:val="Emphasis"/>
    <w:qFormat/>
    <w:uiPriority w:val="0"/>
    <w:rPr>
      <w:color w:val="CC0033"/>
    </w:rPr>
  </w:style>
  <w:style w:type="character" w:styleId="70">
    <w:name w:val="Hyperlink"/>
    <w:qFormat/>
    <w:uiPriority w:val="0"/>
    <w:rPr>
      <w:color w:val="0000FF"/>
      <w:u w:val="single"/>
    </w:rPr>
  </w:style>
  <w:style w:type="character" w:styleId="71">
    <w:name w:val="annotation reference"/>
    <w:qFormat/>
    <w:uiPriority w:val="0"/>
    <w:rPr>
      <w:sz w:val="21"/>
      <w:szCs w:val="21"/>
    </w:rPr>
  </w:style>
  <w:style w:type="character" w:styleId="72">
    <w:name w:val="footnote reference"/>
    <w:qFormat/>
    <w:uiPriority w:val="0"/>
    <w:rPr>
      <w:vertAlign w:val="superscript"/>
    </w:rPr>
  </w:style>
  <w:style w:type="character" w:customStyle="1" w:styleId="73">
    <w:name w:val="标题 1 字符"/>
    <w:basedOn w:val="65"/>
    <w:link w:val="3"/>
    <w:qFormat/>
    <w:uiPriority w:val="0"/>
    <w:rPr>
      <w:rFonts w:ascii="Calibri" w:hAnsi="Calibri" w:eastAsia="隶书" w:cs="Times New Roman"/>
      <w:b/>
      <w:bCs/>
      <w:kern w:val="0"/>
      <w:sz w:val="36"/>
      <w:szCs w:val="36"/>
    </w:rPr>
  </w:style>
  <w:style w:type="character" w:customStyle="1" w:styleId="74">
    <w:name w:val="标题 2 Char"/>
    <w:basedOn w:val="65"/>
    <w:qFormat/>
    <w:uiPriority w:val="0"/>
    <w:rPr>
      <w:rFonts w:asciiTheme="majorHAnsi" w:hAnsiTheme="majorHAnsi" w:eastAsiaTheme="majorEastAsia" w:cstheme="majorBidi"/>
      <w:b/>
      <w:bCs/>
      <w:sz w:val="32"/>
      <w:szCs w:val="32"/>
    </w:rPr>
  </w:style>
  <w:style w:type="character" w:customStyle="1" w:styleId="75">
    <w:name w:val="标题 3 字符"/>
    <w:basedOn w:val="65"/>
    <w:link w:val="5"/>
    <w:qFormat/>
    <w:uiPriority w:val="9"/>
    <w:rPr>
      <w:rFonts w:ascii="Calibri" w:hAnsi="Calibri" w:eastAsia="宋体" w:cs="Times New Roman"/>
      <w:b/>
      <w:bCs/>
      <w:sz w:val="32"/>
      <w:szCs w:val="32"/>
    </w:rPr>
  </w:style>
  <w:style w:type="character" w:customStyle="1" w:styleId="76">
    <w:name w:val="标题 4 字符"/>
    <w:basedOn w:val="65"/>
    <w:link w:val="6"/>
    <w:qFormat/>
    <w:uiPriority w:val="0"/>
    <w:rPr>
      <w:rFonts w:ascii="Arial" w:hAnsi="Arial" w:eastAsia="黑体" w:cs="Times New Roman"/>
      <w:b/>
      <w:bCs/>
      <w:sz w:val="28"/>
      <w:szCs w:val="28"/>
    </w:rPr>
  </w:style>
  <w:style w:type="character" w:customStyle="1" w:styleId="77">
    <w:name w:val="标题 5 字符"/>
    <w:basedOn w:val="65"/>
    <w:link w:val="7"/>
    <w:qFormat/>
    <w:uiPriority w:val="0"/>
    <w:rPr>
      <w:rFonts w:ascii="Calibri" w:hAnsi="Calibri" w:eastAsia="宋体" w:cs="Times New Roman"/>
      <w:b/>
      <w:bCs/>
      <w:sz w:val="28"/>
      <w:szCs w:val="28"/>
    </w:rPr>
  </w:style>
  <w:style w:type="character" w:customStyle="1" w:styleId="78">
    <w:name w:val="标题 6 字符"/>
    <w:basedOn w:val="65"/>
    <w:link w:val="8"/>
    <w:qFormat/>
    <w:uiPriority w:val="0"/>
    <w:rPr>
      <w:rFonts w:ascii="Arial" w:hAnsi="Arial" w:eastAsia="黑体" w:cs="Times New Roman"/>
      <w:b/>
      <w:bCs/>
      <w:sz w:val="24"/>
      <w:szCs w:val="24"/>
    </w:rPr>
  </w:style>
  <w:style w:type="character" w:customStyle="1" w:styleId="79">
    <w:name w:val="标题 7 字符"/>
    <w:basedOn w:val="65"/>
    <w:link w:val="9"/>
    <w:qFormat/>
    <w:uiPriority w:val="99"/>
    <w:rPr>
      <w:rFonts w:ascii="Calibri" w:hAnsi="Calibri" w:eastAsia="宋体" w:cs="Times New Roman"/>
      <w:b/>
      <w:bCs/>
      <w:sz w:val="24"/>
      <w:szCs w:val="24"/>
    </w:rPr>
  </w:style>
  <w:style w:type="character" w:customStyle="1" w:styleId="80">
    <w:name w:val="标题 8 字符"/>
    <w:basedOn w:val="65"/>
    <w:link w:val="10"/>
    <w:qFormat/>
    <w:uiPriority w:val="99"/>
    <w:rPr>
      <w:rFonts w:ascii="Cambria" w:hAnsi="Cambria" w:eastAsia="宋体" w:cs="Times New Roman"/>
      <w:sz w:val="24"/>
      <w:szCs w:val="24"/>
    </w:rPr>
  </w:style>
  <w:style w:type="character" w:customStyle="1" w:styleId="81">
    <w:name w:val="标题 9 字符"/>
    <w:basedOn w:val="65"/>
    <w:link w:val="11"/>
    <w:qFormat/>
    <w:uiPriority w:val="99"/>
    <w:rPr>
      <w:rFonts w:ascii="Cambria" w:hAnsi="Cambria" w:eastAsia="宋体" w:cs="Times New Roman"/>
      <w:szCs w:val="21"/>
    </w:rPr>
  </w:style>
  <w:style w:type="character" w:customStyle="1" w:styleId="82">
    <w:name w:val="文档结构图 字符"/>
    <w:basedOn w:val="65"/>
    <w:link w:val="21"/>
    <w:qFormat/>
    <w:uiPriority w:val="99"/>
    <w:rPr>
      <w:rFonts w:ascii="宋体" w:hAnsi="Calibri" w:eastAsia="宋体" w:cs="Times New Roman"/>
      <w:sz w:val="18"/>
      <w:szCs w:val="18"/>
    </w:rPr>
  </w:style>
  <w:style w:type="character" w:customStyle="1" w:styleId="83">
    <w:name w:val="批注文字 字符1"/>
    <w:basedOn w:val="65"/>
    <w:link w:val="22"/>
    <w:qFormat/>
    <w:uiPriority w:val="99"/>
    <w:rPr>
      <w:rFonts w:ascii="Calibri" w:hAnsi="Calibri" w:eastAsia="宋体" w:cs="Times New Roman"/>
    </w:rPr>
  </w:style>
  <w:style w:type="character" w:customStyle="1" w:styleId="84">
    <w:name w:val="称呼 字符"/>
    <w:basedOn w:val="65"/>
    <w:link w:val="23"/>
    <w:qFormat/>
    <w:uiPriority w:val="99"/>
    <w:rPr>
      <w:rFonts w:ascii="宋体" w:hAnsi="Times New Roman" w:eastAsia="宋体" w:cs="Times New Roman"/>
      <w:b/>
      <w:sz w:val="28"/>
      <w:szCs w:val="20"/>
    </w:rPr>
  </w:style>
  <w:style w:type="character" w:customStyle="1" w:styleId="85">
    <w:name w:val="正文文本 3 字符"/>
    <w:basedOn w:val="65"/>
    <w:link w:val="24"/>
    <w:qFormat/>
    <w:uiPriority w:val="99"/>
    <w:rPr>
      <w:rFonts w:ascii="Times New Roman" w:hAnsi="宋体" w:eastAsia="仿宋_GB2312" w:cs="Times New Roman"/>
      <w:b/>
      <w:bCs/>
      <w:sz w:val="24"/>
      <w:szCs w:val="20"/>
    </w:rPr>
  </w:style>
  <w:style w:type="character" w:customStyle="1" w:styleId="86">
    <w:name w:val="正文文本 字符1"/>
    <w:basedOn w:val="65"/>
    <w:link w:val="25"/>
    <w:qFormat/>
    <w:uiPriority w:val="99"/>
    <w:rPr>
      <w:rFonts w:ascii="Calibri" w:hAnsi="Calibri" w:eastAsia="宋体" w:cs="Times New Roman"/>
      <w:sz w:val="28"/>
      <w:szCs w:val="24"/>
    </w:rPr>
  </w:style>
  <w:style w:type="character" w:customStyle="1" w:styleId="87">
    <w:name w:val="正文文本缩进 字符1"/>
    <w:basedOn w:val="65"/>
    <w:link w:val="26"/>
    <w:qFormat/>
    <w:uiPriority w:val="99"/>
    <w:rPr>
      <w:rFonts w:ascii="宋体" w:hAnsi="Courier New" w:eastAsia="宋体" w:cs="Times New Roman"/>
      <w:spacing w:val="-4"/>
      <w:sz w:val="18"/>
      <w:szCs w:val="20"/>
    </w:rPr>
  </w:style>
  <w:style w:type="character" w:customStyle="1" w:styleId="88">
    <w:name w:val="纯文本 字符"/>
    <w:basedOn w:val="65"/>
    <w:link w:val="32"/>
    <w:qFormat/>
    <w:uiPriority w:val="99"/>
    <w:rPr>
      <w:rFonts w:ascii="宋体" w:hAnsi="Courier New" w:eastAsia="宋体" w:cs="Times New Roman"/>
      <w:sz w:val="24"/>
      <w:szCs w:val="24"/>
    </w:rPr>
  </w:style>
  <w:style w:type="character" w:customStyle="1" w:styleId="89">
    <w:name w:val="日期 字符"/>
    <w:basedOn w:val="65"/>
    <w:link w:val="35"/>
    <w:qFormat/>
    <w:uiPriority w:val="0"/>
    <w:rPr>
      <w:rFonts w:ascii="Calibri" w:hAnsi="Calibri" w:eastAsia="楷体_GB2312" w:cs="Times New Roman"/>
      <w:sz w:val="32"/>
      <w:szCs w:val="20"/>
    </w:rPr>
  </w:style>
  <w:style w:type="character" w:customStyle="1" w:styleId="90">
    <w:name w:val="正文文本缩进 2 字符"/>
    <w:basedOn w:val="65"/>
    <w:link w:val="36"/>
    <w:qFormat/>
    <w:uiPriority w:val="99"/>
    <w:rPr>
      <w:rFonts w:ascii="仿宋_GB2312" w:hAnsi="宋体" w:eastAsia="宋体" w:cs="Times New Roman"/>
      <w:b/>
      <w:bCs/>
      <w:color w:val="000000"/>
      <w:sz w:val="24"/>
      <w:szCs w:val="24"/>
    </w:rPr>
  </w:style>
  <w:style w:type="character" w:customStyle="1" w:styleId="91">
    <w:name w:val="尾注文本 字符"/>
    <w:basedOn w:val="65"/>
    <w:link w:val="37"/>
    <w:qFormat/>
    <w:uiPriority w:val="99"/>
    <w:rPr>
      <w:rFonts w:ascii="宋体" w:hAnsi="Calibri" w:eastAsia="宋体" w:cs="Times New Roman"/>
      <w:snapToGrid w:val="0"/>
      <w:kern w:val="0"/>
      <w:szCs w:val="20"/>
    </w:rPr>
  </w:style>
  <w:style w:type="character" w:customStyle="1" w:styleId="92">
    <w:name w:val="批注框文本 字符"/>
    <w:basedOn w:val="65"/>
    <w:link w:val="38"/>
    <w:qFormat/>
    <w:uiPriority w:val="99"/>
    <w:rPr>
      <w:rFonts w:ascii="Calibri" w:hAnsi="Calibri" w:eastAsia="宋体" w:cs="Times New Roman"/>
      <w:sz w:val="18"/>
      <w:szCs w:val="18"/>
    </w:rPr>
  </w:style>
  <w:style w:type="character" w:customStyle="1" w:styleId="93">
    <w:name w:val="页脚 Char"/>
    <w:basedOn w:val="65"/>
    <w:qFormat/>
    <w:uiPriority w:val="0"/>
    <w:rPr>
      <w:rFonts w:ascii="Calibri" w:hAnsi="Calibri" w:eastAsia="宋体" w:cs="Times New Roman"/>
      <w:sz w:val="18"/>
      <w:szCs w:val="18"/>
    </w:rPr>
  </w:style>
  <w:style w:type="character" w:customStyle="1" w:styleId="94">
    <w:name w:val="页眉 Char"/>
    <w:basedOn w:val="65"/>
    <w:qFormat/>
    <w:uiPriority w:val="0"/>
    <w:rPr>
      <w:rFonts w:ascii="Calibri" w:hAnsi="Calibri" w:eastAsia="宋体" w:cs="Times New Roman"/>
      <w:sz w:val="18"/>
      <w:szCs w:val="18"/>
    </w:rPr>
  </w:style>
  <w:style w:type="character" w:customStyle="1" w:styleId="95">
    <w:name w:val="副标题 字符"/>
    <w:basedOn w:val="65"/>
    <w:link w:val="43"/>
    <w:qFormat/>
    <w:uiPriority w:val="11"/>
    <w:rPr>
      <w:rFonts w:ascii="Times New Roman" w:hAnsi="Times New Roman" w:eastAsia="Times New Roman" w:cs="Times New Roman"/>
      <w:sz w:val="18"/>
      <w:szCs w:val="18"/>
    </w:rPr>
  </w:style>
  <w:style w:type="character" w:customStyle="1" w:styleId="96">
    <w:name w:val="脚注文本 字符"/>
    <w:basedOn w:val="65"/>
    <w:link w:val="45"/>
    <w:qFormat/>
    <w:uiPriority w:val="99"/>
    <w:rPr>
      <w:rFonts w:ascii="Calibri" w:hAnsi="Calibri" w:eastAsia="宋体" w:cs="Times New Roman"/>
      <w:sz w:val="18"/>
      <w:szCs w:val="18"/>
    </w:rPr>
  </w:style>
  <w:style w:type="character" w:customStyle="1" w:styleId="97">
    <w:name w:val="正文文本缩进 3 字符"/>
    <w:basedOn w:val="65"/>
    <w:link w:val="47"/>
    <w:qFormat/>
    <w:uiPriority w:val="99"/>
    <w:rPr>
      <w:rFonts w:ascii="仿宋_GB2312" w:hAnsi="宋体" w:eastAsia="仿宋_GB2312" w:cs="Times New Roman"/>
      <w:color w:val="000000"/>
      <w:sz w:val="24"/>
      <w:szCs w:val="24"/>
    </w:rPr>
  </w:style>
  <w:style w:type="character" w:customStyle="1" w:styleId="98">
    <w:name w:val="正文文本 2 字符"/>
    <w:basedOn w:val="65"/>
    <w:link w:val="51"/>
    <w:qFormat/>
    <w:uiPriority w:val="0"/>
    <w:rPr>
      <w:rFonts w:ascii="宋体" w:hAnsi="宋体" w:eastAsia="宋体" w:cs="Times New Roman"/>
      <w:color w:val="000000"/>
      <w:sz w:val="24"/>
      <w:szCs w:val="24"/>
    </w:rPr>
  </w:style>
  <w:style w:type="character" w:customStyle="1" w:styleId="99">
    <w:name w:val="HTML 预设格式 字符"/>
    <w:basedOn w:val="65"/>
    <w:link w:val="53"/>
    <w:qFormat/>
    <w:uiPriority w:val="99"/>
    <w:rPr>
      <w:rFonts w:ascii="Courier New" w:hAnsi="Courier New" w:eastAsia="宋体" w:cs="Times New Roman"/>
      <w:sz w:val="20"/>
      <w:szCs w:val="20"/>
    </w:rPr>
  </w:style>
  <w:style w:type="character" w:customStyle="1" w:styleId="100">
    <w:name w:val="标题 字符"/>
    <w:basedOn w:val="65"/>
    <w:link w:val="56"/>
    <w:qFormat/>
    <w:uiPriority w:val="99"/>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2"/>
    <w:next w:val="22"/>
    <w:link w:val="101"/>
    <w:qFormat/>
    <w:uiPriority w:val="99"/>
    <w:rPr>
      <w:b/>
      <w:bCs/>
    </w:rPr>
  </w:style>
  <w:style w:type="character" w:customStyle="1" w:styleId="103">
    <w:name w:val="正文首行缩进 字符"/>
    <w:basedOn w:val="86"/>
    <w:link w:val="58"/>
    <w:qFormat/>
    <w:uiPriority w:val="99"/>
    <w:rPr>
      <w:rFonts w:ascii="Calibri" w:hAnsi="Calibri" w:eastAsia="宋体" w:cs="Times New Roman"/>
      <w:sz w:val="28"/>
      <w:szCs w:val="24"/>
    </w:rPr>
  </w:style>
  <w:style w:type="character" w:customStyle="1" w:styleId="104">
    <w:name w:val="正文首行缩进 2 Char"/>
    <w:basedOn w:val="87"/>
    <w:link w:val="105"/>
    <w:qFormat/>
    <w:uiPriority w:val="0"/>
    <w:rPr>
      <w:rFonts w:ascii="宋体" w:hAnsi="Courier New" w:eastAsia="宋体" w:cs="Times New Roman"/>
      <w:spacing w:val="-4"/>
      <w:sz w:val="18"/>
      <w:szCs w:val="20"/>
    </w:rPr>
  </w:style>
  <w:style w:type="paragraph" w:customStyle="1" w:styleId="105">
    <w:name w:val="正文首行缩进 22"/>
    <w:basedOn w:val="106"/>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99"/>
    <w:pPr>
      <w:spacing w:after="120"/>
      <w:ind w:left="420" w:leftChars="200"/>
    </w:pPr>
    <w:rPr>
      <w:rFonts w:cs="黑体"/>
    </w:rPr>
  </w:style>
  <w:style w:type="character" w:customStyle="1" w:styleId="107">
    <w:name w:val="ca-8"/>
    <w:basedOn w:val="65"/>
    <w:qFormat/>
    <w:uiPriority w:val="0"/>
  </w:style>
  <w:style w:type="character" w:customStyle="1" w:styleId="108">
    <w:name w:val="题注 字符"/>
    <w:link w:val="19"/>
    <w:qFormat/>
    <w:uiPriority w:val="0"/>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5"/>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5"/>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5"/>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qFormat/>
    <w:uiPriority w:val="0"/>
    <w:rPr>
      <w:rFonts w:ascii="Times New Roman" w:hAnsi="Times New Roman" w:eastAsia="黑体"/>
      <w:sz w:val="24"/>
      <w:szCs w:val="24"/>
    </w:rPr>
  </w:style>
  <w:style w:type="paragraph" w:customStyle="1" w:styleId="143">
    <w:name w:val="Z图表"/>
    <w:basedOn w:val="19"/>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6"/>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5"/>
    <w:qFormat/>
    <w:uiPriority w:val="0"/>
  </w:style>
  <w:style w:type="character" w:customStyle="1" w:styleId="152">
    <w:name w:val="content"/>
    <w:basedOn w:val="65"/>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5"/>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5"/>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5"/>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qFormat/>
    <w:uiPriority w:val="0"/>
  </w:style>
  <w:style w:type="paragraph" w:styleId="183">
    <w:name w:val="List Paragraph"/>
    <w:basedOn w:val="1"/>
    <w:link w:val="182"/>
    <w:qFormat/>
    <w:uiPriority w:val="0"/>
    <w:pPr>
      <w:ind w:firstLine="420" w:firstLineChars="200"/>
    </w:pPr>
    <w:rPr>
      <w:rFonts w:asciiTheme="minorHAnsi" w:hAnsiTheme="minorHAnsi" w:eastAsiaTheme="minorEastAsia" w:cstheme="minorBidi"/>
    </w:rPr>
  </w:style>
  <w:style w:type="character" w:customStyle="1" w:styleId="184">
    <w:name w:val="para"/>
    <w:basedOn w:val="65"/>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5"/>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99"/>
    <w:rPr>
      <w:rFonts w:ascii="Arial" w:hAnsi="Arial"/>
      <w:sz w:val="18"/>
      <w:szCs w:val="18"/>
    </w:rPr>
  </w:style>
  <w:style w:type="paragraph" w:customStyle="1" w:styleId="214">
    <w:name w:val="Item List in Table"/>
    <w:link w:val="213"/>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5"/>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9"/>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4"/>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39"/>
    <w:qFormat/>
    <w:uiPriority w:val="99"/>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99"/>
    <w:rPr>
      <w:rFonts w:ascii="Calibri" w:hAnsi="Calibri"/>
      <w:sz w:val="24"/>
      <w:szCs w:val="24"/>
    </w:rPr>
  </w:style>
  <w:style w:type="paragraph" w:customStyle="1" w:styleId="255">
    <w:name w:val="正文4"/>
    <w:basedOn w:val="1"/>
    <w:link w:val="254"/>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99"/>
    <w:rPr>
      <w:rFonts w:ascii="仿宋" w:hAnsi="仿宋" w:eastAsia="仿宋"/>
      <w:sz w:val="28"/>
      <w:szCs w:val="21"/>
    </w:rPr>
  </w:style>
  <w:style w:type="paragraph" w:customStyle="1" w:styleId="264">
    <w:name w:val="列表1、"/>
    <w:basedOn w:val="127"/>
    <w:link w:val="263"/>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5"/>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18"/>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5"/>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5"/>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qFormat/>
    <w:uiPriority w:val="0"/>
    <w:rPr>
      <w:rFonts w:ascii="Times New Roman" w:hAnsi="Times New Roman"/>
      <w:sz w:val="18"/>
      <w:szCs w:val="24"/>
    </w:rPr>
  </w:style>
  <w:style w:type="paragraph" w:customStyle="1" w:styleId="307">
    <w:name w:val="表格文字"/>
    <w:basedOn w:val="1"/>
    <w:link w:val="306"/>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qFormat/>
    <w:uiPriority w:val="0"/>
    <w:rPr>
      <w:rFonts w:ascii="Verdana" w:hAnsi="Verdana" w:eastAsia="宋体"/>
      <w:b/>
      <w:bCs/>
      <w:color w:val="4A82CA"/>
      <w:sz w:val="17"/>
      <w:szCs w:val="17"/>
      <w:lang w:val="en-US" w:eastAsia="zh-CN" w:bidi="ar-SA"/>
    </w:rPr>
  </w:style>
  <w:style w:type="character" w:customStyle="1" w:styleId="314">
    <w:name w:val="方案正文 Char"/>
    <w:link w:val="315"/>
    <w:qFormat/>
    <w:uiPriority w:val="0"/>
    <w:rPr>
      <w:rFonts w:ascii="Calibri" w:hAnsi="Calibri" w:eastAsia="仿宋_GB2312"/>
      <w:sz w:val="32"/>
      <w:szCs w:val="24"/>
    </w:rPr>
  </w:style>
  <w:style w:type="paragraph" w:customStyle="1" w:styleId="315">
    <w:name w:val="方案正文"/>
    <w:basedOn w:val="1"/>
    <w:link w:val="314"/>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qFormat/>
    <w:uiPriority w:val="0"/>
    <w:rPr>
      <w:rFonts w:ascii="宋体" w:eastAsia="仿宋_GB2312" w:cs="宋体"/>
      <w:color w:val="000000"/>
      <w:sz w:val="24"/>
      <w:lang w:val="en-US" w:eastAsia="zh-CN" w:bidi="ar-SA"/>
    </w:rPr>
  </w:style>
  <w:style w:type="character" w:customStyle="1" w:styleId="318">
    <w:name w:val="页脚 Char Char"/>
    <w:qFormat/>
    <w:uiPriority w:val="0"/>
    <w:rPr>
      <w:kern w:val="2"/>
      <w:sz w:val="18"/>
      <w:szCs w:val="18"/>
      <w:lang w:bidi="ar-SA"/>
    </w:rPr>
  </w:style>
  <w:style w:type="character" w:customStyle="1" w:styleId="319">
    <w:name w:val="Char Char221"/>
    <w:qFormat/>
    <w:uiPriority w:val="0"/>
    <w:rPr>
      <w:rFonts w:ascii="宋体" w:hAnsi="Courier New" w:eastAsia="宋体"/>
      <w:sz w:val="21"/>
      <w:lang w:val="en-US" w:eastAsia="zh-CN" w:bidi="ar-SA"/>
    </w:rPr>
  </w:style>
  <w:style w:type="character" w:customStyle="1" w:styleId="320">
    <w:name w:val="投标正文 Char"/>
    <w:link w:val="321"/>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qFormat/>
    <w:uiPriority w:val="0"/>
    <w:rPr>
      <w:rFonts w:ascii="宋体" w:hAnsi="宋体"/>
      <w:sz w:val="24"/>
      <w:szCs w:val="24"/>
    </w:rPr>
  </w:style>
  <w:style w:type="paragraph" w:customStyle="1" w:styleId="324">
    <w:name w:val="正文0缩进"/>
    <w:basedOn w:val="1"/>
    <w:link w:val="323"/>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qFormat/>
    <w:uiPriority w:val="99"/>
    <w:rPr>
      <w:color w:val="808080"/>
    </w:rPr>
  </w:style>
  <w:style w:type="character" w:customStyle="1" w:styleId="328">
    <w:name w:val="标题4-dyf Char Char"/>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5"/>
    <w:qFormat/>
    <w:uiPriority w:val="0"/>
  </w:style>
  <w:style w:type="character" w:customStyle="1" w:styleId="331">
    <w:name w:val="black10"/>
    <w:basedOn w:val="65"/>
    <w:qFormat/>
    <w:uiPriority w:val="0"/>
  </w:style>
  <w:style w:type="character" w:customStyle="1" w:styleId="332">
    <w:name w:val="Char Char1211"/>
    <w:qFormat/>
    <w:uiPriority w:val="0"/>
    <w:rPr>
      <w:rFonts w:ascii="宋体" w:hAnsi="Courier New" w:eastAsia="宋体" w:cs="Times New Roman"/>
      <w:spacing w:val="-4"/>
      <w:sz w:val="18"/>
      <w:szCs w:val="20"/>
    </w:rPr>
  </w:style>
  <w:style w:type="character" w:customStyle="1" w:styleId="333">
    <w:name w:val="段 Char Char"/>
    <w:link w:val="2"/>
    <w:qFormat/>
    <w:uiPriority w:val="0"/>
    <w:rPr>
      <w:rFonts w:ascii="宋体" w:hAnsi="Times New Roman"/>
    </w:rPr>
  </w:style>
  <w:style w:type="character" w:customStyle="1" w:styleId="334">
    <w:name w:val="f9"/>
    <w:basedOn w:val="65"/>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6"/>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5"/>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5"/>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5"/>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8"/>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0"/>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4"/>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6"/>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5"/>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4"/>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6"/>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7"/>
    <w:qFormat/>
    <w:uiPriority w:val="99"/>
    <w:pPr>
      <w:ind w:firstLine="562"/>
    </w:pPr>
    <w:rPr>
      <w:rFonts w:ascii="仿宋_GB2312" w:eastAsia="仿宋_GB2312"/>
      <w:b/>
      <w:sz w:val="28"/>
      <w:szCs w:val="28"/>
    </w:rPr>
  </w:style>
  <w:style w:type="paragraph" w:customStyle="1" w:styleId="423">
    <w:name w:val="图名"/>
    <w:basedOn w:val="19"/>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9"/>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7"/>
    <w:qFormat/>
    <w:uiPriority w:val="99"/>
    <w:pPr>
      <w:numPr>
        <w:ilvl w:val="1"/>
        <w:numId w:val="5"/>
      </w:numPr>
      <w:tabs>
        <w:tab w:val="left" w:pos="2040"/>
      </w:tabs>
      <w:spacing w:after="120"/>
      <w:ind w:left="0" w:firstLine="0"/>
    </w:pPr>
  </w:style>
  <w:style w:type="paragraph" w:customStyle="1" w:styleId="436">
    <w:name w:val="样式 标题 4 + 段后: 0.5 行"/>
    <w:basedOn w:val="6"/>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4"/>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4"/>
    <w:next w:val="5"/>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1"/>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5"/>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2"/>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5"/>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8"/>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2"/>
    <w:next w:val="22"/>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4"/>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5"/>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8"/>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6"/>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5"/>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4"/>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8"/>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4"/>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8"/>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4"/>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4"/>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5"/>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6"/>
    <w:next w:val="6"/>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7"/>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5"/>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5"/>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2"/>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5"/>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4"/>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5"/>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7"/>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8"/>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4"/>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5"/>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6"/>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8"/>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4"/>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3"/>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5"/>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1"/>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5"/>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4"/>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6"/>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7"/>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2"/>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5"/>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2"/>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5"/>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2"/>
    <w:next w:val="22"/>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5"/>
    <w:semiHidden/>
    <w:qFormat/>
    <w:uiPriority w:val="99"/>
    <w:rPr>
      <w:rFonts w:ascii="Arial" w:hAnsi="Arial" w:eastAsia="宋体" w:cs="Arial"/>
      <w:vanish/>
      <w:sz w:val="16"/>
      <w:szCs w:val="16"/>
    </w:rPr>
  </w:style>
  <w:style w:type="character" w:customStyle="1" w:styleId="902">
    <w:name w:val="z-窗体顶端 Char1"/>
    <w:basedOn w:val="65"/>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5"/>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5"/>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3"/>
    <w:link w:val="57"/>
    <w:qFormat/>
    <w:uiPriority w:val="99"/>
    <w:rPr>
      <w:rFonts w:ascii="Calibri" w:hAnsi="Calibri" w:eastAsia="宋体" w:cs="Times New Roman"/>
      <w:b/>
      <w:bCs/>
    </w:rPr>
  </w:style>
  <w:style w:type="character" w:customStyle="1" w:styleId="964">
    <w:name w:val="正文首行缩进 2 字符"/>
    <w:basedOn w:val="87"/>
    <w:link w:val="59"/>
    <w:qFormat/>
    <w:uiPriority w:val="99"/>
    <w:rPr>
      <w:rFonts w:ascii="Times New Roman" w:hAnsi="Times New Roman" w:eastAsia="宋体" w:cs="Times New Roman"/>
      <w:spacing w:val="-4"/>
      <w:sz w:val="18"/>
      <w:szCs w:val="20"/>
    </w:rPr>
  </w:style>
  <w:style w:type="table" w:customStyle="1" w:styleId="965">
    <w:name w:val="浅色列表 - 着色 51"/>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5"/>
    <w:qFormat/>
    <w:uiPriority w:val="10"/>
    <w:rPr>
      <w:rFonts w:asciiTheme="majorHAnsi" w:hAnsiTheme="majorHAnsi" w:eastAsiaTheme="majorEastAsia" w:cstheme="majorBidi"/>
      <w:b/>
      <w:bCs/>
      <w:sz w:val="32"/>
      <w:szCs w:val="32"/>
    </w:rPr>
  </w:style>
  <w:style w:type="character" w:customStyle="1" w:styleId="972">
    <w:name w:val="副标题 字符1"/>
    <w:basedOn w:val="65"/>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5"/>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6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5"/>
    <w:uiPriority w:val="0"/>
  </w:style>
  <w:style w:type="character" w:customStyle="1" w:styleId="981">
    <w:name w:val="日期 字符1"/>
    <w:basedOn w:val="65"/>
    <w:semiHidden/>
    <w:uiPriority w:val="0"/>
    <w:rPr>
      <w:rFonts w:ascii="Calibri" w:hAnsi="Calibri" w:eastAsia="宋体" w:cs="Times New Roman"/>
    </w:rPr>
  </w:style>
  <w:style w:type="character" w:customStyle="1" w:styleId="982">
    <w:name w:val="正文文本 2 字符1"/>
    <w:basedOn w:val="65"/>
    <w:semiHidden/>
    <w:qFormat/>
    <w:uiPriority w:val="0"/>
    <w:rPr>
      <w:rFonts w:ascii="Calibri" w:hAnsi="Calibri" w:eastAsia="宋体" w:cs="Times New Roman"/>
    </w:rPr>
  </w:style>
  <w:style w:type="character" w:customStyle="1" w:styleId="983">
    <w:name w:val="纯文本 字符1"/>
    <w:basedOn w:val="65"/>
    <w:semiHidden/>
    <w:uiPriority w:val="99"/>
    <w:rPr>
      <w:rFonts w:hAnsi="Courier New" w:cs="Courier New" w:asciiTheme="minorEastAsia"/>
    </w:rPr>
  </w:style>
  <w:style w:type="table" w:customStyle="1" w:styleId="984">
    <w:name w:val="网格型2"/>
    <w:basedOn w:val="6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66</Pages>
  <Words>24710</Words>
  <Characters>26141</Characters>
  <Lines>0</Lines>
  <Paragraphs>0</Paragraphs>
  <TotalTime>2</TotalTime>
  <ScaleCrop>false</ScaleCrop>
  <LinksUpToDate>false</LinksUpToDate>
  <CharactersWithSpaces>28098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2022-11-22T14:35:00Z</dcterms:created>
  <dc:creator>uos</dc:creator>
  <cp:lastModifiedBy>K</cp:lastModifiedBy>
  <cp:lastPrinted>2023-01-05T03:14:41Z</cp:lastPrinted>
  <dcterms:modified xsi:type="dcterms:W3CDTF">2023-01-05T03:16:46Z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8F2EF36FB1B843E3BE74A97E308DEE1D</vt:lpwstr>
  </property>
</Properties>
</file>