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eastAsia="宋体"/>
          <w:b/>
          <w:bCs/>
          <w:color w:val="000000"/>
          <w:sz w:val="36"/>
          <w:szCs w:val="36"/>
          <w:lang w:eastAsia="zh-CN"/>
        </w:rPr>
      </w:pPr>
      <w:bookmarkStart w:id="53" w:name="_GoBack"/>
      <w:bookmarkEnd w:id="53"/>
      <w:r>
        <w:rPr>
          <w:rFonts w:hint="eastAsia" w:ascii="宋体" w:hAnsi="宋体"/>
          <w:color w:val="000000"/>
          <w:sz w:val="36"/>
          <w:szCs w:val="36"/>
        </w:rPr>
        <w:t xml:space="preserve">  </w:t>
      </w:r>
      <w:bookmarkStart w:id="0" w:name="PO_15528_PM002_1"/>
      <w:r>
        <w:rPr>
          <w:rFonts w:hint="eastAsia" w:ascii="宋体" w:hAnsi="宋体"/>
          <w:b/>
          <w:bCs/>
          <w:color w:val="000000"/>
          <w:sz w:val="36"/>
          <w:szCs w:val="36"/>
          <w:lang w:eastAsia="zh-CN"/>
        </w:rPr>
        <w:t>浙江省省本级、杭州市按疾病诊断相关分组（DRGs）点数法支付方式专业化服务项目</w:t>
      </w:r>
      <w:bookmarkEnd w:id="0"/>
    </w:p>
    <w:p>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ZZCG2023T-GK-168</w:t>
      </w:r>
      <w:bookmarkEnd w:id="1"/>
    </w:p>
    <w:p>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pPr>
        <w:pStyle w:val="33"/>
        <w:spacing w:before="156" w:after="156" w:line="360" w:lineRule="auto"/>
        <w:jc w:val="center"/>
        <w:rPr>
          <w:rFonts w:hAnsi="宋体" w:eastAsia="仿宋_GB2312"/>
          <w:color w:val="000000"/>
          <w:sz w:val="32"/>
          <w:szCs w:val="32"/>
        </w:rPr>
      </w:pPr>
    </w:p>
    <w:p>
      <w:pPr>
        <w:pStyle w:val="42"/>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w:t>
      </w:r>
      <w:r>
        <w:rPr>
          <w:rFonts w:hint="eastAsia" w:hAnsi="宋体"/>
          <w:szCs w:val="36"/>
          <w:lang w:val="en-US" w:eastAsia="zh-CN"/>
        </w:rPr>
        <w:t xml:space="preserve">  </w:t>
      </w:r>
      <w:r>
        <w:rPr>
          <w:rFonts w:hint="eastAsia" w:hAnsi="宋体"/>
          <w:szCs w:val="36"/>
        </w:rPr>
        <w:t>公开招标采购公告</w:t>
      </w:r>
      <w:r>
        <w:tab/>
      </w:r>
      <w:r>
        <w:fldChar w:fldCharType="begin"/>
      </w:r>
      <w:r>
        <w:instrText xml:space="preserve"> PAGEREF _Toc2371 \h </w:instrText>
      </w:r>
      <w:r>
        <w:fldChar w:fldCharType="separate"/>
      </w:r>
      <w:r>
        <w:t>3</w:t>
      </w:r>
      <w:r>
        <w:fldChar w:fldCharType="end"/>
      </w:r>
      <w:r>
        <w:fldChar w:fldCharType="end"/>
      </w:r>
    </w:p>
    <w:p>
      <w:pPr>
        <w:pStyle w:val="42"/>
        <w:tabs>
          <w:tab w:val="right" w:leader="dot" w:pos="8312"/>
        </w:tabs>
      </w:pPr>
      <w:r>
        <w:fldChar w:fldCharType="begin"/>
      </w:r>
      <w:r>
        <w:instrText xml:space="preserve"> HYPERLINK \l "_Toc29498" </w:instrText>
      </w:r>
      <w:r>
        <w:fldChar w:fldCharType="separate"/>
      </w:r>
      <w:r>
        <w:rPr>
          <w:rFonts w:hint="eastAsia" w:ascii="仿宋" w:hAnsi="仿宋"/>
          <w:szCs w:val="36"/>
        </w:rPr>
        <w:t>第二章</w:t>
      </w:r>
      <w:r>
        <w:rPr>
          <w:rFonts w:hint="eastAsia" w:ascii="仿宋" w:hAnsi="仿宋"/>
          <w:szCs w:val="36"/>
          <w:lang w:val="en-US" w:eastAsia="zh-CN"/>
        </w:rPr>
        <w:t xml:space="preserve">  </w:t>
      </w:r>
      <w:r>
        <w:rPr>
          <w:rFonts w:hint="eastAsia" w:ascii="仿宋" w:hAnsi="仿宋"/>
          <w:szCs w:val="36"/>
        </w:rPr>
        <w:t>投标人须知</w:t>
      </w:r>
      <w:r>
        <w:tab/>
      </w:r>
      <w:r>
        <w:fldChar w:fldCharType="begin"/>
      </w:r>
      <w:r>
        <w:instrText xml:space="preserve"> PAGEREF _Toc29498 \h </w:instrText>
      </w:r>
      <w:r>
        <w:fldChar w:fldCharType="separate"/>
      </w:r>
      <w:r>
        <w:t>7</w:t>
      </w:r>
      <w:r>
        <w:fldChar w:fldCharType="end"/>
      </w:r>
      <w:r>
        <w:fldChar w:fldCharType="end"/>
      </w:r>
    </w:p>
    <w:p>
      <w:pPr>
        <w:pStyle w:val="42"/>
        <w:tabs>
          <w:tab w:val="right" w:leader="dot" w:pos="8312"/>
        </w:tabs>
      </w:pPr>
      <w:r>
        <w:fldChar w:fldCharType="begin"/>
      </w:r>
      <w:r>
        <w:instrText xml:space="preserve"> HYPERLINK \l "_Toc2834" </w:instrText>
      </w:r>
      <w:r>
        <w:fldChar w:fldCharType="separate"/>
      </w:r>
      <w:r>
        <w:rPr>
          <w:rFonts w:hint="eastAsia" w:hAnsi="宋体"/>
          <w:szCs w:val="36"/>
        </w:rPr>
        <w:t>第三章</w:t>
      </w:r>
      <w:r>
        <w:rPr>
          <w:rFonts w:hint="eastAsia" w:hAnsi="宋体"/>
          <w:szCs w:val="36"/>
          <w:lang w:val="en-US" w:eastAsia="zh-CN"/>
        </w:rPr>
        <w:t xml:space="preserve">  </w:t>
      </w:r>
      <w:r>
        <w:rPr>
          <w:rFonts w:hint="eastAsia" w:hAnsi="宋体"/>
          <w:szCs w:val="36"/>
        </w:rPr>
        <w:t>评标办法及评分标准</w:t>
      </w:r>
      <w:r>
        <w:tab/>
      </w:r>
      <w:r>
        <w:fldChar w:fldCharType="begin"/>
      </w:r>
      <w:r>
        <w:instrText xml:space="preserve"> PAGEREF _Toc2834 \h </w:instrText>
      </w:r>
      <w:r>
        <w:fldChar w:fldCharType="separate"/>
      </w:r>
      <w:r>
        <w:t>27</w:t>
      </w:r>
      <w:r>
        <w:fldChar w:fldCharType="end"/>
      </w:r>
      <w:r>
        <w:fldChar w:fldCharType="end"/>
      </w:r>
    </w:p>
    <w:p>
      <w:pPr>
        <w:pStyle w:val="42"/>
        <w:tabs>
          <w:tab w:val="right" w:leader="dot" w:pos="8312"/>
        </w:tabs>
      </w:pPr>
      <w:r>
        <w:fldChar w:fldCharType="begin"/>
      </w:r>
      <w:r>
        <w:instrText xml:space="preserve"> HYPERLINK \l "_Toc24960" </w:instrText>
      </w:r>
      <w:r>
        <w:fldChar w:fldCharType="separate"/>
      </w:r>
      <w:r>
        <w:rPr>
          <w:rFonts w:hint="eastAsia" w:hAnsi="宋体"/>
          <w:szCs w:val="36"/>
        </w:rPr>
        <w:t>第四章</w:t>
      </w:r>
      <w:r>
        <w:rPr>
          <w:rFonts w:hint="eastAsia" w:hAnsi="宋体"/>
          <w:szCs w:val="36"/>
          <w:lang w:val="en-US" w:eastAsia="zh-CN"/>
        </w:rPr>
        <w:t xml:space="preserve">  </w:t>
      </w:r>
      <w:r>
        <w:rPr>
          <w:rFonts w:hint="eastAsia" w:hAnsi="宋体"/>
          <w:szCs w:val="36"/>
        </w:rPr>
        <w:t>招标需求</w:t>
      </w:r>
      <w:r>
        <w:tab/>
      </w:r>
      <w:r>
        <w:fldChar w:fldCharType="begin"/>
      </w:r>
      <w:r>
        <w:instrText xml:space="preserve"> PAGEREF _Toc24960 \h </w:instrText>
      </w:r>
      <w:r>
        <w:fldChar w:fldCharType="separate"/>
      </w:r>
      <w:r>
        <w:t>32</w:t>
      </w:r>
      <w:r>
        <w:fldChar w:fldCharType="end"/>
      </w:r>
      <w:r>
        <w:fldChar w:fldCharType="end"/>
      </w:r>
    </w:p>
    <w:p>
      <w:pPr>
        <w:pStyle w:val="42"/>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w:t>
      </w:r>
      <w:r>
        <w:rPr>
          <w:rFonts w:hint="eastAsia" w:hAnsi="宋体"/>
          <w:szCs w:val="36"/>
          <w:lang w:val="en-US" w:eastAsia="zh-CN"/>
        </w:rPr>
        <w:t xml:space="preserve">  </w:t>
      </w:r>
      <w:r>
        <w:rPr>
          <w:rFonts w:hint="eastAsia" w:hAnsi="宋体"/>
          <w:szCs w:val="36"/>
        </w:rPr>
        <w:t>浙江省政府采购合同主要条款指引</w:t>
      </w:r>
      <w:r>
        <w:tab/>
      </w:r>
      <w:r>
        <w:rPr>
          <w:rFonts w:hint="eastAsia"/>
          <w:lang w:val="en-US" w:eastAsia="zh-CN"/>
        </w:rPr>
        <w:t>5</w:t>
      </w:r>
      <w:r>
        <w:fldChar w:fldCharType="end"/>
      </w:r>
      <w:r>
        <w:rPr>
          <w:rFonts w:hint="eastAsia"/>
          <w:lang w:val="en-US" w:eastAsia="zh-CN"/>
        </w:rPr>
        <w:t>0</w:t>
      </w:r>
    </w:p>
    <w:p>
      <w:pPr>
        <w:pStyle w:val="42"/>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w:t>
      </w:r>
      <w:r>
        <w:rPr>
          <w:rFonts w:hint="eastAsia" w:hAnsi="宋体"/>
          <w:szCs w:val="36"/>
          <w:lang w:val="en-US" w:eastAsia="zh-CN"/>
        </w:rPr>
        <w:t xml:space="preserve">  </w:t>
      </w:r>
      <w:r>
        <w:rPr>
          <w:rFonts w:hint="eastAsia" w:hAnsi="宋体"/>
          <w:szCs w:val="36"/>
        </w:rPr>
        <w:t>投标文件格式附件</w:t>
      </w:r>
      <w:r>
        <w:tab/>
      </w:r>
      <w:r>
        <w:rPr>
          <w:rFonts w:hint="eastAsia"/>
          <w:lang w:val="en-US" w:eastAsia="zh-CN"/>
        </w:rPr>
        <w:t>5</w:t>
      </w:r>
      <w:r>
        <w:fldChar w:fldCharType="end"/>
      </w:r>
      <w:r>
        <w:rPr>
          <w:rFonts w:hint="eastAsia"/>
          <w:lang w:val="en-US" w:eastAsia="zh-CN"/>
        </w:rPr>
        <w:t>5</w:t>
      </w:r>
    </w:p>
    <w:p>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pPr>
        <w:pStyle w:val="33"/>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pPr>
        <w:pStyle w:val="398"/>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ZZCG2023T-GK-168</w:t>
      </w:r>
      <w:bookmarkEnd w:id="3"/>
    </w:p>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1"/>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702"/>
        <w:gridCol w:w="719"/>
        <w:gridCol w:w="780"/>
        <w:gridCol w:w="1184"/>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597"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42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461"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700"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286"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1597"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浙江省省本级、杭州市按疾病诊断相关分组（DRGs）点数法支付方式专业化服务项目</w:t>
            </w:r>
          </w:p>
        </w:tc>
        <w:tc>
          <w:tcPr>
            <w:tcW w:w="42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461"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项</w:t>
            </w:r>
          </w:p>
        </w:tc>
        <w:tc>
          <w:tcPr>
            <w:tcW w:w="700"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990</w:t>
            </w:r>
          </w:p>
        </w:tc>
        <w:tc>
          <w:tcPr>
            <w:tcW w:w="1286"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bookmarkEnd w:id="4"/>
    </w:tbl>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投标人的特定条件：[项目采购-供应商特定资格要求]</w:t>
      </w:r>
    </w:p>
    <w:p>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2023-11-10 09:00:00</w:t>
      </w:r>
      <w:bookmarkEnd w:id="6"/>
      <w:r>
        <w:rPr>
          <w:rFonts w:hint="eastAsia" w:ascii="宋体" w:hAnsi="宋体"/>
          <w:color w:val="000000"/>
          <w:kern w:val="0"/>
          <w:sz w:val="28"/>
          <w:szCs w:val="28"/>
        </w:rPr>
        <w:t>。</w:t>
      </w:r>
    </w:p>
    <w:p>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sz w:val="28"/>
          <w:szCs w:val="28"/>
        </w:rPr>
        <w:t>http://zfcg.czt.zj.gov.cn/</w:t>
      </w:r>
      <w:r>
        <w:rPr>
          <w:rStyle w:val="70"/>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pPr>
        <w:pStyle w:val="33"/>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2023-11-10 09:00:00</w:t>
      </w:r>
      <w:bookmarkEnd w:id="7"/>
      <w:r>
        <w:rPr>
          <w:rFonts w:hint="eastAsia" w:hAnsi="宋体"/>
          <w:b/>
          <w:color w:val="000000"/>
          <w:kern w:val="0"/>
          <w:sz w:val="28"/>
          <w:szCs w:val="28"/>
        </w:rPr>
        <w:t>。</w:t>
      </w:r>
    </w:p>
    <w:p>
      <w:pPr>
        <w:pStyle w:val="33"/>
        <w:adjustRightInd w:val="0"/>
        <w:snapToGrid w:val="0"/>
        <w:spacing w:before="156" w:after="156" w:line="500" w:lineRule="exact"/>
        <w:ind w:firstLine="562" w:firstLineChars="201"/>
        <w:rPr>
          <w:rFonts w:hint="eastAsia"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3"/>
        <w:adjustRightInd w:val="0"/>
        <w:snapToGrid w:val="0"/>
        <w:spacing w:before="156" w:after="156" w:line="500" w:lineRule="exact"/>
        <w:ind w:firstLine="562" w:firstLineChars="201"/>
        <w:rPr>
          <w:rFonts w:hint="eastAsia" w:hAnsi="宋体"/>
          <w:color w:val="000000"/>
          <w:kern w:val="0"/>
          <w:sz w:val="28"/>
          <w:szCs w:val="28"/>
        </w:rPr>
      </w:pPr>
      <w:r>
        <w:rPr>
          <w:rFonts w:hint="eastAsia" w:hAnsi="宋体"/>
          <w:color w:val="C00000"/>
          <w:kern w:val="0"/>
          <w:sz w:val="28"/>
          <w:szCs w:val="28"/>
        </w:rPr>
        <w:t>本项目须提供演示文件，以U盘形式存储，请各投标人在投标截止时间前，通过邮寄方式，送达指定地点，逾期送达或未密封将被拒收，请合理安排好邮寄时间。演示U盘或光盘应当密封包装并在包装上标注演示U盘或演示光盘、项目名称、标项、供应商名称并加盖公章。未按文件要求提供演示U盘或演示光盘造成评审专家无法正常评审的风险由供应商自行承担。（演示U盘或光盘请单独封装）。</w:t>
      </w:r>
    </w:p>
    <w:p>
      <w:pPr>
        <w:pStyle w:val="33"/>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3"/>
        <w:adjustRightInd w:val="0"/>
        <w:snapToGrid w:val="0"/>
        <w:spacing w:before="156" w:after="156" w:line="500" w:lineRule="exact"/>
        <w:ind w:firstLine="562" w:firstLineChars="201"/>
        <w:rPr>
          <w:rFonts w:hAnsi="宋体" w:cs="Times New Roman"/>
          <w:color w:val="000000"/>
          <w:kern w:val="0"/>
          <w:sz w:val="28"/>
          <w:szCs w:val="28"/>
        </w:rPr>
      </w:pPr>
      <w:r>
        <w:rPr>
          <w:rFonts w:hint="eastAsia" w:hAnsi="宋体" w:cs="Times New Roman"/>
          <w:color w:val="000000"/>
          <w:kern w:val="0"/>
          <w:sz w:val="28"/>
          <w:szCs w:val="28"/>
          <w:lang w:val="en-US" w:eastAsia="zh-CN"/>
        </w:rPr>
        <w:t>演示及</w:t>
      </w:r>
      <w:r>
        <w:rPr>
          <w:rFonts w:hint="eastAsia" w:hAnsi="宋体" w:cs="Times New Roman"/>
          <w:color w:val="000000"/>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3"/>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2023-11-10 09:00:00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西湖区浙江省杭州市西湖区宝石一路3号203开标室</w:t>
      </w:r>
      <w:bookmarkEnd w:id="9"/>
      <w:r>
        <w:rPr>
          <w:rFonts w:hint="eastAsia" w:ascii="宋体" w:hAnsi="宋体" w:cs="Arial"/>
          <w:b/>
          <w:color w:val="000000"/>
          <w:sz w:val="28"/>
          <w:szCs w:val="28"/>
        </w:rPr>
        <w:t>开标。</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201开标室：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202开标室：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0571-8890779</w:t>
            </w:r>
            <w:r>
              <w:rPr>
                <w:rFonts w:ascii="宋体" w:hAnsi="宋体"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70"/>
          <w:color w:val="000000"/>
          <w:sz w:val="28"/>
          <w:szCs w:val="28"/>
        </w:rPr>
        <w:t>http://zfcg.czt.zj.gov.cn/</w:t>
      </w:r>
      <w:r>
        <w:rPr>
          <w:rStyle w:val="70"/>
          <w:color w:val="000000"/>
          <w:sz w:val="28"/>
          <w:szCs w:val="28"/>
        </w:rPr>
        <w:fldChar w:fldCharType="end"/>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0"/>
        <w:tblpPr w:leftFromText="180" w:rightFromText="180" w:vertAnchor="text" w:horzAnchor="page" w:tblpX="1337" w:tblpY="223"/>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05"/>
        <w:gridCol w:w="2085"/>
        <w:gridCol w:w="94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560"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56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560"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32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0" w:name="PO_15528_PM032"/>
            <w:r>
              <w:rPr>
                <w:rFonts w:hint="eastAsia" w:ascii="仿宋" w:hAnsi="仿宋" w:eastAsia="仿宋" w:cs="仿宋"/>
                <w:color w:val="000000"/>
                <w:sz w:val="28"/>
                <w:szCs w:val="28"/>
                <w:lang w:eastAsia="zh-CN"/>
              </w:rPr>
              <w:t>商</w:t>
            </w:r>
            <w:bookmarkEnd w:id="10"/>
            <w:r>
              <w:rPr>
                <w:rFonts w:hint="eastAsia" w:ascii="仿宋" w:hAnsi="仿宋" w:eastAsia="仿宋" w:cs="仿宋"/>
                <w:color w:val="000000"/>
                <w:sz w:val="28"/>
                <w:szCs w:val="28"/>
                <w:lang w:val="en-US" w:eastAsia="zh-CN"/>
              </w:rPr>
              <w:t>女士</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1" w:name="PO_15528_PM033"/>
            <w:r>
              <w:rPr>
                <w:rFonts w:hint="eastAsia" w:ascii="仿宋" w:hAnsi="仿宋" w:eastAsia="仿宋" w:cs="仿宋"/>
                <w:color w:val="000000"/>
                <w:sz w:val="28"/>
                <w:szCs w:val="28"/>
                <w:lang w:eastAsia="zh-CN"/>
              </w:rPr>
              <w:t>0571-88907706</w:t>
            </w:r>
            <w:bookmarkEnd w:id="11"/>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2" w:name="PO_15528_PM034"/>
            <w:r>
              <w:rPr>
                <w:rFonts w:hint="eastAsia" w:ascii="仿宋" w:hAnsi="仿宋" w:eastAsia="仿宋" w:cs="仿宋"/>
                <w:color w:val="000000"/>
                <w:sz w:val="28"/>
                <w:szCs w:val="28"/>
                <w:lang w:eastAsia="zh-CN"/>
              </w:rPr>
              <w:t xml:space="preserve"> </w:t>
            </w:r>
            <w:bookmarkEnd w:id="12"/>
          </w:p>
        </w:tc>
        <w:tc>
          <w:tcPr>
            <w:tcW w:w="3225"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四楼</w:t>
            </w:r>
            <w:bookmarkStart w:id="13" w:name="PO_409_PM001385"/>
            <w:r>
              <w:rPr>
                <w:rFonts w:hint="eastAsia" w:ascii="仿宋" w:hAnsi="仿宋" w:eastAsia="仿宋" w:cs="仿宋"/>
                <w:color w:val="000000"/>
                <w:sz w:val="28"/>
                <w:szCs w:val="28"/>
                <w:lang w:eastAsia="zh-CN"/>
              </w:rPr>
              <w:t>办公室</w:t>
            </w:r>
            <w:bookmarkEnd w:id="13"/>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2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高女士</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0571-88907717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2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2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p>
      <w:pPr>
        <w:snapToGrid w:val="0"/>
        <w:spacing w:line="440" w:lineRule="exact"/>
        <w:ind w:firstLine="600" w:firstLineChars="200"/>
        <w:jc w:val="center"/>
        <w:rPr>
          <w:rFonts w:hint="eastAsia" w:ascii="仿宋_GB2312" w:hAnsi="仿宋" w:eastAsia="仿宋_GB2312"/>
          <w:color w:val="000000"/>
          <w:sz w:val="30"/>
          <w:szCs w:val="30"/>
          <w:vertAlign w:val="baseline"/>
          <w:lang w:eastAsia="zh-CN"/>
        </w:rPr>
      </w:pPr>
      <w:bookmarkStart w:id="14" w:name="PO_TDCUS_ITEM_PRC_TABLE_1_1_2"/>
      <w:r>
        <w:rPr>
          <w:rFonts w:hint="eastAsia" w:ascii="仿宋_GB2312" w:hAnsi="仿宋" w:eastAsia="仿宋_GB2312"/>
          <w:color w:val="000000"/>
          <w:sz w:val="30"/>
          <w:szCs w:val="30"/>
          <w:lang w:eastAsia="zh-CN"/>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浙江省医疗保障事业管理服务中心（浙江省医保大数据监测和反欺诈中心）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杭州市体育场路538号金祝大厦6010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林先生、许女士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pPr>
              <w:snapToGrid w:val="0"/>
              <w:spacing w:line="440" w:lineRule="exact"/>
              <w:jc w:val="center"/>
              <w:rPr>
                <w:rFonts w:hint="eastAsia" w:ascii="仿宋_GB2312" w:hAnsi="仿宋" w:eastAsia="仿宋_GB2312" w:cs="Times New Roman"/>
                <w:color w:val="000000"/>
                <w:sz w:val="30"/>
                <w:szCs w:val="30"/>
                <w:vertAlign w:val="baseline"/>
                <w:lang w:eastAsia="zh-CN"/>
              </w:rPr>
            </w:pPr>
            <w:r>
              <w:rPr>
                <w:rFonts w:hint="eastAsia" w:ascii="仿宋_GB2312" w:hAnsi="仿宋" w:eastAsia="仿宋_GB2312" w:cs="Times New Roman"/>
                <w:color w:val="000000"/>
                <w:sz w:val="30"/>
                <w:szCs w:val="30"/>
                <w:vertAlign w:val="baseline"/>
                <w:lang w:eastAsia="zh-CN"/>
              </w:rPr>
              <w:t>0571-85119373、571-89583111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tbl>
    <w:p>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14"/>
    </w:p>
    <w:p>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pPr>
        <w:pStyle w:val="33"/>
        <w:spacing w:before="156" w:after="156" w:line="360" w:lineRule="auto"/>
        <w:ind w:firstLine="2891" w:firstLineChars="800"/>
        <w:jc w:val="both"/>
        <w:outlineLvl w:val="0"/>
        <w:rPr>
          <w:rFonts w:hAnsi="宋体"/>
          <w:b/>
          <w:color w:val="000000"/>
          <w:sz w:val="36"/>
          <w:szCs w:val="36"/>
        </w:rPr>
      </w:pPr>
      <w:bookmarkStart w:id="15" w:name="_Toc496796636"/>
      <w:bookmarkStart w:id="16" w:name="_Toc29498"/>
      <w:r>
        <w:rPr>
          <w:rFonts w:hint="eastAsia" w:ascii="仿宋" w:hAnsi="仿宋" w:eastAsia="仿宋"/>
          <w:b/>
          <w:color w:val="000000"/>
          <w:sz w:val="36"/>
          <w:szCs w:val="36"/>
        </w:rPr>
        <w:t>第二章</w:t>
      </w:r>
      <w:bookmarkStart w:id="17"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5"/>
      <w:bookmarkEnd w:id="16"/>
      <w:bookmarkEnd w:id="17"/>
    </w:p>
    <w:p>
      <w:pPr>
        <w:snapToGrid w:val="0"/>
        <w:rPr>
          <w:rFonts w:ascii="宋体" w:hAnsi="宋体"/>
          <w:color w:val="000000"/>
          <w:sz w:val="28"/>
          <w:szCs w:val="28"/>
        </w:rPr>
      </w:pPr>
      <w:r>
        <w:rPr>
          <w:rFonts w:hint="eastAsia" w:ascii="宋体" w:hAnsi="宋体"/>
          <w:color w:val="000000"/>
          <w:sz w:val="28"/>
          <w:szCs w:val="28"/>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u w:val="single"/>
                <w:lang w:val="en-US" w:eastAsia="zh-CN"/>
              </w:rPr>
              <w:t>不</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83"/>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项目属性（服务类）</w:t>
            </w:r>
          </w:p>
          <w:p>
            <w:pPr>
              <w:pStyle w:val="183"/>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rPr>
                <w:rFonts w:hint="default" w:ascii="仿宋" w:hAnsi="仿宋" w:eastAsia="仿宋"/>
                <w:b/>
                <w:color w:val="000000"/>
                <w:sz w:val="24"/>
                <w:szCs w:val="24"/>
                <w:lang w:val="en-US" w:eastAsia="zh-CN"/>
              </w:rPr>
            </w:pPr>
            <w:r>
              <w:rPr>
                <w:rFonts w:hint="eastAsia" w:ascii="仿宋" w:hAnsi="仿宋" w:eastAsia="仿宋"/>
                <w:b/>
                <w:color w:val="000000"/>
                <w:sz w:val="24"/>
                <w:szCs w:val="24"/>
              </w:rPr>
              <w:t>采购标的：</w:t>
            </w:r>
            <w:r>
              <w:rPr>
                <w:rFonts w:hint="eastAsia" w:ascii="宋体" w:hAnsi="宋体"/>
                <w:color w:val="000000"/>
                <w:sz w:val="36"/>
                <w:szCs w:val="36"/>
              </w:rPr>
              <w:t xml:space="preserve"> </w:t>
            </w:r>
            <w:r>
              <w:rPr>
                <w:rFonts w:hint="eastAsia" w:ascii="仿宋" w:hAnsi="仿宋" w:eastAsia="仿宋" w:cs="Times New Roman"/>
                <w:b/>
                <w:color w:val="000000"/>
                <w:kern w:val="0"/>
                <w:sz w:val="24"/>
                <w:szCs w:val="24"/>
                <w:lang w:val="en-US" w:eastAsia="zh-CN" w:bidi="ar-SA"/>
              </w:rPr>
              <w:t>浙江省省本级、杭州市按疾病诊断相关分组（DRGs）点数法支付方式专业化服务项目</w:t>
            </w:r>
            <w:r>
              <w:rPr>
                <w:rFonts w:hint="eastAsia" w:ascii="仿宋" w:hAnsi="仿宋" w:eastAsia="仿宋"/>
                <w:b/>
                <w:color w:val="000000"/>
                <w:sz w:val="24"/>
                <w:szCs w:val="24"/>
              </w:rPr>
              <w:t xml:space="preserve"> ，所属行业：</w:t>
            </w:r>
            <w:r>
              <w:rPr>
                <w:rFonts w:hint="eastAsia" w:ascii="仿宋" w:hAnsi="仿宋" w:eastAsia="仿宋"/>
                <w:b/>
                <w:color w:val="000000"/>
                <w:sz w:val="24"/>
                <w:szCs w:val="24"/>
                <w:lang w:val="en-US" w:eastAsia="zh-CN"/>
              </w:rPr>
              <w:t>软件和信息技术服务业</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的扣除，用扣除后的价格参加评审。</w:t>
            </w:r>
          </w:p>
          <w:p>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18" w:name="PO_15528_PM042"/>
            <w:r>
              <w:rPr>
                <w:rFonts w:hint="eastAsia" w:ascii="仿宋" w:hAnsi="仿宋" w:eastAsia="仿宋"/>
                <w:color w:val="000000"/>
                <w:sz w:val="24"/>
                <w:szCs w:val="24"/>
                <w:lang w:eastAsia="zh-CN"/>
              </w:rPr>
              <w:t>不允许进口产品</w:t>
            </w:r>
            <w:bookmarkEnd w:id="18"/>
            <w:r>
              <w:rPr>
                <w:rFonts w:hint="eastAsia" w:ascii="仿宋" w:hAnsi="仿宋" w:eastAsia="仿宋"/>
                <w:color w:val="000000"/>
                <w:sz w:val="24"/>
                <w:szCs w:val="24"/>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19" w:name="PO_15528_PM044"/>
            <w:r>
              <w:rPr>
                <w:rFonts w:hint="eastAsia" w:ascii="仿宋_GB2312" w:hAnsi="仿宋" w:eastAsia="仿宋_GB2312"/>
                <w:bCs/>
                <w:color w:val="000000"/>
                <w:sz w:val="24"/>
              </w:rPr>
              <w:t>允许分包</w:t>
            </w:r>
            <w:bookmarkEnd w:id="19"/>
            <w:r>
              <w:rPr>
                <w:rFonts w:hint="eastAsia" w:ascii="仿宋_GB2312" w:hAnsi="仿宋" w:eastAsia="仿宋_GB2312"/>
                <w:bCs/>
                <w:color w:val="000000"/>
                <w:sz w:val="24"/>
              </w:rPr>
              <w:t>；</w:t>
            </w:r>
            <w:r>
              <w:rPr>
                <w:rFonts w:hint="eastAsia" w:ascii="仿宋_GB2312" w:hAnsi="仿宋" w:eastAsia="仿宋_GB2312"/>
                <w:bCs/>
                <w:color w:val="000000"/>
                <w:sz w:val="24"/>
                <w:lang w:eastAsia="zh-CN"/>
              </w:rPr>
              <w:t>仅</w:t>
            </w:r>
            <w:r>
              <w:rPr>
                <w:rFonts w:hint="eastAsia" w:ascii="仿宋_GB2312" w:hAnsi="仿宋" w:eastAsia="仿宋_GB2312"/>
                <w:bCs/>
                <w:color w:val="000000"/>
                <w:sz w:val="24"/>
              </w:rPr>
              <w:t>DRG业务领域专家咨询服务、DRG业务培训服务</w:t>
            </w:r>
            <w:r>
              <w:rPr>
                <w:rFonts w:hint="eastAsia" w:ascii="仿宋_GB2312" w:hAnsi="仿宋" w:eastAsia="仿宋_GB2312"/>
                <w:bCs/>
                <w:color w:val="000000"/>
                <w:sz w:val="24"/>
                <w:lang w:eastAsia="zh-CN"/>
              </w:rPr>
              <w:t>等</w:t>
            </w:r>
            <w:r>
              <w:rPr>
                <w:rFonts w:hint="eastAsia" w:ascii="仿宋_GB2312" w:hAnsi="仿宋" w:eastAsia="仿宋_GB2312"/>
                <w:bCs/>
                <w:color w:val="000000"/>
                <w:sz w:val="24"/>
              </w:rPr>
              <w:t>非主体、非关键性工作允许分包。</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hAnsi="仿宋" w:eastAsia="仿宋_GB2312"/>
                <w:bCs/>
                <w:color w:val="000000"/>
                <w:sz w:val="24"/>
              </w:rPr>
            </w:pPr>
            <w:bookmarkStart w:id="20" w:name="PO_15528_PM007_1"/>
            <w:r>
              <w:rPr>
                <w:rFonts w:hint="eastAsia" w:ascii="仿宋_GB2312" w:hAnsi="仿宋" w:eastAsia="仿宋_GB2312"/>
                <w:bCs/>
                <w:color w:val="000000"/>
                <w:sz w:val="24"/>
                <w:lang w:eastAsia="zh-CN"/>
              </w:rPr>
              <w:t>允许联合体投标</w:t>
            </w:r>
            <w:bookmarkEnd w:id="20"/>
            <w:r>
              <w:rPr>
                <w:rFonts w:hint="eastAsia" w:ascii="仿宋_GB2312" w:hAnsi="仿宋"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1" w:name="PO_15528_PM040"/>
            <w:r>
              <w:rPr>
                <w:rFonts w:hint="eastAsia" w:ascii="仿宋" w:hAnsi="仿宋" w:eastAsia="仿宋"/>
                <w:color w:val="000000"/>
                <w:sz w:val="24"/>
                <w:szCs w:val="24"/>
                <w:lang w:eastAsia="zh-CN"/>
              </w:rPr>
              <w:t>不组织现场踏勘</w:t>
            </w:r>
            <w:bookmarkEnd w:id="21"/>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本项目进行演示, 演示顺序原则上按投标文件“解密时间从早到晚”顺序，演示时间15分钟内。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2" w:name="PO_1000000445_PM043"/>
            <w:r>
              <w:rPr>
                <w:rFonts w:hint="eastAsia" w:ascii="仿宋" w:hAnsi="仿宋" w:eastAsia="仿宋"/>
                <w:color w:val="000000"/>
                <w:sz w:val="24"/>
                <w:szCs w:val="24"/>
                <w:lang w:eastAsia="zh-CN"/>
              </w:rPr>
              <w:t>不要求提供样品</w:t>
            </w:r>
            <w:bookmarkEnd w:id="22"/>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sz w:val="24"/>
                <w:szCs w:val="24"/>
              </w:rPr>
              <w:t>https://middle.zcygov.cn/v-settle-front/registry</w:t>
            </w:r>
            <w:r>
              <w:rPr>
                <w:rStyle w:val="70"/>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sz w:val="24"/>
                <w:szCs w:val="24"/>
              </w:rPr>
              <w:t>http://zfcg.czt.zj.gov.cn/bidClientTemplate/2019-09-24/12975.html</w:t>
            </w:r>
            <w:r>
              <w:rPr>
                <w:rStyle w:val="70"/>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sz w:val="24"/>
                <w:szCs w:val="24"/>
              </w:rPr>
              <w:t>https://edu.zcygov.cn/luban/e-biding</w:t>
            </w:r>
            <w:r>
              <w:rPr>
                <w:rStyle w:val="70"/>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sz w:val="24"/>
                <w:szCs w:val="24"/>
              </w:rPr>
              <w:t>http://www.zjzfcg.gov.cn</w:t>
            </w:r>
            <w:r>
              <w:rPr>
                <w:rStyle w:val="70"/>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pPr>
        <w:pStyle w:val="33"/>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3"/>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color w:val="000000"/>
          <w:sz w:val="28"/>
          <w:szCs w:val="28"/>
        </w:rPr>
        <w:t>http://zfcg.czt.zj.gov.cn/</w:t>
      </w:r>
      <w:r>
        <w:rPr>
          <w:rStyle w:val="70"/>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pPr>
        <w:pStyle w:val="33"/>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pPr>
        <w:pStyle w:val="33"/>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sz w:val="28"/>
          <w:szCs w:val="28"/>
        </w:rPr>
        <w:t>http://zfcg.czt.zj.gov.cn/bidClientTemplate/2019-09-24/12975.html</w:t>
      </w:r>
      <w:r>
        <w:rPr>
          <w:rStyle w:val="70"/>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pPr>
        <w:pStyle w:val="52"/>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pPr>
        <w:pStyle w:val="17"/>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pPr>
        <w:pStyle w:val="33"/>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pPr>
        <w:pStyle w:val="33"/>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pPr>
        <w:pStyle w:val="33"/>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pPr>
        <w:pStyle w:val="33"/>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pPr>
        <w:pStyle w:val="33"/>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pPr>
        <w:pStyle w:val="33"/>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pPr>
        <w:pStyle w:val="33"/>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pPr>
        <w:pStyle w:val="33"/>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pPr>
        <w:pStyle w:val="33"/>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3"/>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pPr>
        <w:pStyle w:val="33"/>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3"/>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pPr>
        <w:pStyle w:val="33"/>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3"/>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pPr>
        <w:pStyle w:val="33"/>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3"/>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pPr>
        <w:pStyle w:val="33"/>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3"/>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pPr>
        <w:pStyle w:val="33"/>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pPr>
        <w:pStyle w:val="33"/>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3" w:name="_Toc496796637"/>
      <w:bookmarkStart w:id="24" w:name="_Toc2834"/>
      <w:r>
        <w:rPr>
          <w:rFonts w:hint="eastAsia" w:hAnsi="宋体"/>
          <w:b/>
          <w:color w:val="000000"/>
          <w:kern w:val="0"/>
          <w:sz w:val="36"/>
          <w:szCs w:val="36"/>
          <w:lang w:val="en-US" w:eastAsia="zh-CN"/>
        </w:rPr>
        <w:t xml:space="preserve">  </w:t>
      </w:r>
      <w:r>
        <w:rPr>
          <w:rFonts w:hint="eastAsia" w:hAnsi="宋体"/>
          <w:b/>
          <w:color w:val="000000"/>
          <w:sz w:val="36"/>
          <w:szCs w:val="36"/>
        </w:rPr>
        <w:t>第三章</w:t>
      </w:r>
      <w:bookmarkStart w:id="25"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3"/>
      <w:bookmarkEnd w:id="24"/>
      <w:bookmarkEnd w:id="25"/>
    </w:p>
    <w:p>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sz w:val="30"/>
          <w:szCs w:val="30"/>
        </w:rPr>
      </w:pPr>
    </w:p>
    <w:p>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pPr>
        <w:spacing w:before="156" w:beforeLines="50" w:after="156" w:afterLines="50" w:line="460" w:lineRule="exact"/>
        <w:rPr>
          <w:rFonts w:ascii="仿宋" w:hAnsi="仿宋" w:eastAsia="宋体"/>
          <w:bCs/>
          <w:color w:val="000000"/>
          <w:sz w:val="30"/>
          <w:szCs w:val="30"/>
        </w:rPr>
      </w:pPr>
    </w:p>
    <w:p>
      <w:pPr>
        <w:spacing w:before="156" w:beforeLines="50" w:after="156" w:afterLines="50" w:line="320" w:lineRule="exact"/>
        <w:rPr>
          <w:rFonts w:hAnsi="宋体"/>
          <w:b/>
          <w:color w:val="000000"/>
          <w:sz w:val="36"/>
          <w:szCs w:val="36"/>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6" w:name="PO_15528_PM051"/>
      <w:bookmarkStart w:id="27" w:name="_Toc496796638"/>
      <w:r>
        <w:rPr>
          <w:rFonts w:hint="eastAsia" w:ascii="仿宋_GB2312" w:hAnsi="宋体" w:eastAsia="仿宋_GB2312"/>
          <w:b/>
          <w:color w:val="000000"/>
          <w:sz w:val="32"/>
          <w:szCs w:val="32"/>
          <w:lang w:eastAsia="zh-CN"/>
        </w:rPr>
        <w:t xml:space="preserve"> </w:t>
      </w:r>
      <w:bookmarkEnd w:id="26"/>
    </w:p>
    <w:tbl>
      <w:tblPr>
        <w:tblStyle w:val="60"/>
        <w:tblW w:w="53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49"/>
        <w:gridCol w:w="6121"/>
        <w:gridCol w:w="78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409" w:type="pct"/>
            <w:noWrap w:val="0"/>
            <w:vAlign w:val="top"/>
          </w:tcPr>
          <w:p>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评分类型</w:t>
            </w:r>
          </w:p>
        </w:tc>
        <w:tc>
          <w:tcPr>
            <w:tcW w:w="3345" w:type="pct"/>
            <w:noWrap w:val="0"/>
            <w:vAlign w:val="top"/>
          </w:tcPr>
          <w:p>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426" w:type="pct"/>
            <w:noWrap w:val="0"/>
            <w:vAlign w:val="top"/>
          </w:tcPr>
          <w:p>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分值</w:t>
            </w:r>
          </w:p>
        </w:tc>
        <w:tc>
          <w:tcPr>
            <w:tcW w:w="469" w:type="pct"/>
            <w:noWrap w:val="0"/>
            <w:vAlign w:val="top"/>
          </w:tcPr>
          <w:p>
            <w:pPr>
              <w:spacing w:before="156" w:beforeLines="50" w:after="156" w:afterLines="50" w:line="34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报价</w:t>
            </w:r>
          </w:p>
        </w:tc>
        <w:tc>
          <w:tcPr>
            <w:tcW w:w="3345"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(最低报价/投标报价)*最大分值</w:t>
            </w:r>
          </w:p>
        </w:tc>
        <w:tc>
          <w:tcPr>
            <w:tcW w:w="426" w:type="pct"/>
            <w:noWrap w:val="0"/>
            <w:vAlign w:val="top"/>
          </w:tcPr>
          <w:p>
            <w:pPr>
              <w:spacing w:before="156" w:beforeLines="50" w:after="156" w:afterLines="50" w:line="3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10</w:t>
            </w:r>
          </w:p>
        </w:tc>
        <w:tc>
          <w:tcPr>
            <w:tcW w:w="469" w:type="pct"/>
            <w:noWrap w:val="0"/>
            <w:vAlign w:val="top"/>
          </w:tcPr>
          <w:p>
            <w:pPr>
              <w:spacing w:before="156" w:beforeLines="50" w:after="156" w:afterLines="50" w:line="340" w:lineRule="exact"/>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投标人具有如下DRG服务相关能力，每提供1项得1分，本项最多得5分。</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包括但不限于：①DRG支付方式改革运行评估能力、②DRG支付测算能力、③基金运行和监测能力、④DRG病例分组质控及审核能力、⑤DRG住院病历审核能力、⑥基于医学知识图谱的疾病分析能力、⑦大数据评价指标分析能力。</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注：提供有效期内的相关软件著作权证书复印件并加盖公章，未提供或无法证明的不得分。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5</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（1）投标人对全国DRG支付方式改革的必要性、紧迫性和改革内容等方面的理解进行书面阐述，根据投标人的理解度和服务内容的准确度、全面性等方面进行评分，本项最多3分。</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（2）投标人对浙江省DRG支付方式改革政策的理解进行书面阐述，包含但不限于已开展情况、存在问题、意见建议，根据投标人的阐述情况与实际情况相符度、意见建议的时效性等方面进行评分，本项最多3分。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6</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对整体实施方案里提供的项目实施管理组织方案、风险控制举措、应急处理预案等方面进行书面阐述，根据管理组织方案是否贴合省市实际情况、风险控制措施是否有可操作性、应急处理预案是否全面客观等方面进行评分，本项最多3分。</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2）对整体实施方案里提供的项目进度控制措施、协调沟通措施等方面进行书面阐述，根据项目进度控制措施能否确保及时高质量完成年度结算清算工作、协调沟通举措是否有详细梳理各项业务流程、能否推动项目快速落实等方面进行评分，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6</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DRG支付方式改革运行评估能力实施方案</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DRG支付方式改革运行评估实施方案，包括但不限于省市DRG政策预期评估、总体实施方案优化迭代、基金运行分析等方面，围绕实施方案的专业性、合理性、针对性等方面进行评分，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3</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DRG</w:t>
            </w:r>
            <w:r>
              <w:rPr>
                <w:rFonts w:hint="eastAsia" w:ascii="CESI仿宋-GB2312" w:hAnsi="CESI仿宋-GB2312" w:eastAsia="CESI仿宋-GB2312" w:cs="CESI仿宋-GB2312"/>
                <w:szCs w:val="21"/>
                <w:lang w:eastAsia="zh-CN"/>
              </w:rPr>
              <w:t>付费</w:t>
            </w:r>
            <w:r>
              <w:rPr>
                <w:rFonts w:hint="eastAsia" w:ascii="CESI仿宋-GB2312" w:hAnsi="CESI仿宋-GB2312" w:eastAsia="CESI仿宋-GB2312" w:cs="CESI仿宋-GB2312"/>
                <w:szCs w:val="21"/>
              </w:rPr>
              <w:t>支撑服务实施方案</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根据投标人提供的DRG</w:t>
            </w:r>
            <w:r>
              <w:rPr>
                <w:rFonts w:hint="eastAsia" w:ascii="CESI仿宋-GB2312" w:hAnsi="CESI仿宋-GB2312" w:eastAsia="CESI仿宋-GB2312" w:cs="CESI仿宋-GB2312"/>
                <w:szCs w:val="21"/>
                <w:lang w:eastAsia="zh-CN"/>
              </w:rPr>
              <w:t>付费</w:t>
            </w:r>
            <w:r>
              <w:rPr>
                <w:rFonts w:hint="eastAsia" w:ascii="CESI仿宋-GB2312" w:hAnsi="CESI仿宋-GB2312" w:eastAsia="CESI仿宋-GB2312" w:cs="CESI仿宋-GB2312"/>
                <w:szCs w:val="21"/>
              </w:rPr>
              <w:t>支撑服务实施方案，包含但不仅限于点数测算服务、成本系数测算服务、点值测算服务，围绕实施方案阐述的服务内容是否详细、能否确保DRG核心数据计算的精准性及可操作性、能否提供详细模拟分析报告和模拟测算方案等方面进行评分，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3</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6</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DRG点数法付费的结算</w:t>
            </w:r>
            <w:r>
              <w:rPr>
                <w:rFonts w:hint="eastAsia" w:ascii="CESI仿宋-GB2312" w:hAnsi="CESI仿宋-GB2312" w:eastAsia="CESI仿宋-GB2312" w:cs="CESI仿宋-GB2312"/>
                <w:szCs w:val="21"/>
                <w:lang w:eastAsia="zh-CN"/>
              </w:rPr>
              <w:t>清算</w:t>
            </w:r>
            <w:r>
              <w:rPr>
                <w:rFonts w:hint="eastAsia" w:ascii="CESI仿宋-GB2312" w:hAnsi="CESI仿宋-GB2312" w:eastAsia="CESI仿宋-GB2312" w:cs="CESI仿宋-GB2312"/>
                <w:szCs w:val="21"/>
              </w:rPr>
              <w:t>服务</w:t>
            </w:r>
            <w:r>
              <w:rPr>
                <w:rFonts w:hint="eastAsia" w:ascii="CESI仿宋-GB2312" w:hAnsi="CESI仿宋-GB2312" w:eastAsia="CESI仿宋-GB2312" w:cs="CESI仿宋-GB2312"/>
                <w:szCs w:val="21"/>
                <w:lang w:eastAsia="zh-CN"/>
              </w:rPr>
              <w:t>实施</w:t>
            </w:r>
            <w:r>
              <w:rPr>
                <w:rFonts w:hint="eastAsia" w:ascii="CESI仿宋-GB2312" w:hAnsi="CESI仿宋-GB2312" w:eastAsia="CESI仿宋-GB2312" w:cs="CESI仿宋-GB2312"/>
                <w:szCs w:val="21"/>
              </w:rPr>
              <w:t>方案</w:t>
            </w:r>
          </w:p>
          <w:p>
            <w:pPr>
              <w:spacing w:line="360" w:lineRule="exact"/>
              <w:jc w:val="left"/>
              <w:rPr>
                <w:rFonts w:hint="eastAsia" w:ascii="仿宋" w:hAnsi="仿宋" w:eastAsia="仿宋" w:cs="仿宋"/>
                <w:bCs/>
                <w:color w:val="000000"/>
                <w:kern w:val="0"/>
                <w:sz w:val="24"/>
                <w:szCs w:val="24"/>
                <w:lang w:bidi="ar"/>
              </w:rPr>
            </w:pPr>
            <w:r>
              <w:rPr>
                <w:rFonts w:hint="eastAsia" w:ascii="CESI仿宋-GB2312" w:hAnsi="CESI仿宋-GB2312" w:eastAsia="CESI仿宋-GB2312" w:cs="CESI仿宋-GB2312"/>
                <w:szCs w:val="21"/>
              </w:rPr>
              <w:t>根据投标人提供的基于DRG点数法付费的结算服务方案，围绕服务方案能否确保</w:t>
            </w:r>
            <w:r>
              <w:rPr>
                <w:rFonts w:hint="eastAsia" w:ascii="CESI仿宋-GB2312" w:hAnsi="CESI仿宋-GB2312" w:eastAsia="CESI仿宋-GB2312" w:cs="CESI仿宋-GB2312"/>
                <w:szCs w:val="21"/>
                <w:lang w:eastAsia="zh-CN"/>
              </w:rPr>
              <w:t>月度</w:t>
            </w:r>
            <w:r>
              <w:rPr>
                <w:rFonts w:hint="eastAsia" w:ascii="CESI仿宋-GB2312" w:hAnsi="CESI仿宋-GB2312" w:eastAsia="CESI仿宋-GB2312" w:cs="CESI仿宋-GB2312"/>
                <w:szCs w:val="21"/>
              </w:rPr>
              <w:t>结算、</w:t>
            </w:r>
            <w:r>
              <w:rPr>
                <w:rFonts w:hint="eastAsia" w:ascii="CESI仿宋-GB2312" w:hAnsi="CESI仿宋-GB2312" w:eastAsia="CESI仿宋-GB2312" w:cs="CESI仿宋-GB2312"/>
                <w:szCs w:val="21"/>
                <w:lang w:eastAsia="zh-CN"/>
              </w:rPr>
              <w:t>年度清算、清算结果</w:t>
            </w:r>
            <w:r>
              <w:rPr>
                <w:rFonts w:hint="eastAsia" w:ascii="CESI仿宋-GB2312" w:hAnsi="CESI仿宋-GB2312" w:eastAsia="CESI仿宋-GB2312" w:cs="CESI仿宋-GB2312"/>
                <w:szCs w:val="21"/>
              </w:rPr>
              <w:t>公示等工作的全面性、客观性、高效性等方面进行综合评议，本项最多3分。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3</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DRG病例分组质控及审核</w:t>
            </w:r>
            <w:r>
              <w:rPr>
                <w:rFonts w:hint="eastAsia" w:ascii="CESI仿宋-GB2312" w:hAnsi="CESI仿宋-GB2312" w:eastAsia="CESI仿宋-GB2312" w:cs="CESI仿宋-GB2312"/>
                <w:szCs w:val="21"/>
                <w:lang w:eastAsia="zh-CN"/>
              </w:rPr>
              <w:t>服务</w:t>
            </w:r>
            <w:r>
              <w:rPr>
                <w:rFonts w:hint="eastAsia" w:ascii="CESI仿宋-GB2312" w:hAnsi="CESI仿宋-GB2312" w:eastAsia="CESI仿宋-GB2312" w:cs="CESI仿宋-GB2312"/>
                <w:szCs w:val="21"/>
              </w:rPr>
              <w:t>实施方案</w:t>
            </w:r>
          </w:p>
          <w:p>
            <w:pPr>
              <w:spacing w:line="360" w:lineRule="exact"/>
              <w:jc w:val="left"/>
              <w:rPr>
                <w:rFonts w:hint="eastAsia" w:ascii="仿宋" w:hAnsi="仿宋" w:eastAsia="仿宋" w:cs="仿宋"/>
                <w:bCs/>
                <w:color w:val="000000"/>
                <w:kern w:val="0"/>
                <w:sz w:val="24"/>
                <w:szCs w:val="24"/>
                <w:lang w:bidi="ar"/>
              </w:rPr>
            </w:pPr>
            <w:r>
              <w:rPr>
                <w:rFonts w:hint="eastAsia" w:ascii="CESI仿宋-GB2312" w:hAnsi="CESI仿宋-GB2312" w:eastAsia="CESI仿宋-GB2312" w:cs="CESI仿宋-GB2312"/>
                <w:szCs w:val="21"/>
              </w:rPr>
              <w:t>根据投标人提供的DRG病例审核服务实施方案，包含但不仅限于临床医学知识库服务、</w:t>
            </w:r>
            <w:r>
              <w:rPr>
                <w:rFonts w:hint="eastAsia" w:ascii="CESI仿宋-GB2312" w:hAnsi="CESI仿宋-GB2312" w:eastAsia="CESI仿宋-GB2312" w:cs="CESI仿宋-GB2312"/>
                <w:szCs w:val="21"/>
                <w:lang w:eastAsia="zh-CN"/>
              </w:rPr>
              <w:t>审核</w:t>
            </w:r>
            <w:r>
              <w:rPr>
                <w:rFonts w:hint="eastAsia" w:ascii="CESI仿宋-GB2312" w:hAnsi="CESI仿宋-GB2312" w:eastAsia="CESI仿宋-GB2312" w:cs="CESI仿宋-GB2312"/>
                <w:szCs w:val="21"/>
              </w:rPr>
              <w:t>规则库服务、DRG分组质控</w:t>
            </w:r>
            <w:r>
              <w:rPr>
                <w:rFonts w:hint="eastAsia" w:ascii="CESI仿宋-GB2312" w:hAnsi="CESI仿宋-GB2312" w:eastAsia="CESI仿宋-GB2312" w:cs="CESI仿宋-GB2312"/>
                <w:szCs w:val="21"/>
                <w:lang w:eastAsia="zh-CN"/>
              </w:rPr>
              <w:t>服务、</w:t>
            </w:r>
            <w:r>
              <w:rPr>
                <w:rFonts w:hint="eastAsia" w:ascii="CESI仿宋-GB2312" w:hAnsi="CESI仿宋-GB2312" w:eastAsia="CESI仿宋-GB2312" w:cs="CESI仿宋-GB2312"/>
                <w:szCs w:val="21"/>
              </w:rPr>
              <w:t>DRG审核管理服务、关键药品手术操作管理服务、高套多编审核服务、多维度疑点病例审核分析服务等，围绕实施方案的专业性、合理性、可行性、针对性是否较强进行评分，本项最多5分。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5</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8</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DRG指标大数据预警分析服务实施方案</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DRG指标预警分析服务实施方案，包含但不仅限于DRG指标定义及阈值服务、医疗机构画像服务、医疗机构违规分析服务、医疗机构指标预警服务、DRG综合指标分析服务、DRG专项数据分析服务，围绕能否从多维度开展预警监测和指标案例分析进行评分，本项最多5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5</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9</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lang w:val="en-US" w:eastAsia="zh-CN"/>
              </w:rPr>
              <w:t>DRG</w:t>
            </w:r>
            <w:r>
              <w:rPr>
                <w:rFonts w:hint="eastAsia" w:ascii="CESI仿宋-GB2312" w:hAnsi="CESI仿宋-GB2312" w:eastAsia="CESI仿宋-GB2312" w:cs="CESI仿宋-GB2312"/>
                <w:szCs w:val="21"/>
              </w:rPr>
              <w:t>病案交叉评审、特病单议等服务</w:t>
            </w:r>
            <w:r>
              <w:rPr>
                <w:rFonts w:hint="eastAsia" w:ascii="CESI仿宋-GB2312" w:hAnsi="CESI仿宋-GB2312" w:eastAsia="CESI仿宋-GB2312" w:cs="CESI仿宋-GB2312"/>
                <w:szCs w:val="21"/>
                <w:lang w:eastAsia="zh-CN"/>
              </w:rPr>
              <w:t>实施</w:t>
            </w:r>
            <w:r>
              <w:rPr>
                <w:rFonts w:hint="eastAsia" w:ascii="CESI仿宋-GB2312" w:hAnsi="CESI仿宋-GB2312" w:eastAsia="CESI仿宋-GB2312" w:cs="CESI仿宋-GB2312"/>
                <w:szCs w:val="21"/>
              </w:rPr>
              <w:t>方案</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根据投标人提供的基于DRG点数法付费的病案交叉评审、特病单议等服务方案，围绕实施方案的专业性、合理性、可行性、针对性是否较强进行评分，本项最多3分。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3</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10</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center"/>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DRG改革绩效评价及统计分析等服务实施方案</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DRG改革绩效评价、大数据统计分析等服务实施方案，包含但不仅限于DRG绩效评价统计与分析服务、DRG清算综合指标统计与分析服务等，围绕能否精准开展计算DRG考核评价相关指标计算、能否提供各医疗机构的费用结构、医疗质量、医疗能力等多维度DRG数据分析服务等方面进行评分，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3</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11</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center"/>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平台衔接交互服务方案</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根据投标人提供的与省“智慧医保”平台衔接交互服务方案，围绕服务方案是否全面、完整、专业、可行等方面进行综合评议，本项最多3分。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3</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12</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实践演示</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根据招标文件要求，重点对DRG</w:t>
            </w:r>
            <w:r>
              <w:rPr>
                <w:rFonts w:hint="eastAsia" w:ascii="CESI仿宋-GB2312" w:hAnsi="CESI仿宋-GB2312" w:eastAsia="CESI仿宋-GB2312" w:cs="CESI仿宋-GB2312"/>
                <w:szCs w:val="21"/>
                <w:lang w:eastAsia="zh-CN"/>
              </w:rPr>
              <w:t>智能</w:t>
            </w:r>
            <w:r>
              <w:rPr>
                <w:rFonts w:hint="eastAsia" w:ascii="CESI仿宋-GB2312" w:hAnsi="CESI仿宋-GB2312" w:eastAsia="CESI仿宋-GB2312" w:cs="CESI仿宋-GB2312"/>
                <w:szCs w:val="21"/>
              </w:rPr>
              <w:t>审核体系、大数据指标预警</w:t>
            </w:r>
            <w:r>
              <w:rPr>
                <w:rFonts w:hint="eastAsia" w:ascii="CESI仿宋-GB2312" w:hAnsi="CESI仿宋-GB2312" w:eastAsia="CESI仿宋-GB2312" w:cs="CESI仿宋-GB2312"/>
                <w:szCs w:val="21"/>
                <w:lang w:eastAsia="zh-CN"/>
              </w:rPr>
              <w:t>分析及绩效评价</w:t>
            </w:r>
            <w:r>
              <w:rPr>
                <w:rFonts w:hint="eastAsia" w:ascii="CESI仿宋-GB2312" w:hAnsi="CESI仿宋-GB2312" w:eastAsia="CESI仿宋-GB2312" w:cs="CESI仿宋-GB2312"/>
                <w:szCs w:val="21"/>
              </w:rPr>
              <w:t>体系等方面的服务进行演示，根据演示效果进行打分。</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（1）根据演示的服务数量设置基础分，每提供一项服务得0.5分，最多4分；</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（2）根据每项服务的内容，围绕是否符合招标文件需求、功能是否全面详细等方面进行评分，单项内容最多1分。该大项最多6分。</w:t>
            </w:r>
          </w:p>
          <w:p>
            <w:pPr>
              <w:spacing w:line="360" w:lineRule="exact"/>
              <w:jc w:val="left"/>
              <w:rPr>
                <w:rFonts w:hint="eastAsia" w:ascii="仿宋" w:hAnsi="仿宋" w:eastAsia="仿宋" w:cs="仿宋"/>
                <w:bCs/>
                <w:sz w:val="24"/>
                <w:szCs w:val="24"/>
              </w:rPr>
            </w:pPr>
            <w:r>
              <w:rPr>
                <w:rFonts w:hint="eastAsia" w:ascii="CESI仿宋-GB2312" w:hAnsi="CESI仿宋-GB2312" w:eastAsia="CESI仿宋-GB2312" w:cs="CESI仿宋-GB2312"/>
                <w:szCs w:val="21"/>
              </w:rPr>
              <w:t>注：实践演示总时长控制在15分钟以内，采用录屏演示。</w:t>
            </w:r>
          </w:p>
        </w:tc>
        <w:tc>
          <w:tcPr>
            <w:tcW w:w="426" w:type="pct"/>
            <w:noWrap w:val="0"/>
            <w:vAlign w:val="center"/>
          </w:tcPr>
          <w:p>
            <w:pPr>
              <w:spacing w:line="400" w:lineRule="exact"/>
              <w:jc w:val="center"/>
              <w:rPr>
                <w:rFonts w:ascii="仿宋" w:hAnsi="仿宋" w:eastAsia="仿宋" w:cs="仿宋"/>
                <w:bCs/>
                <w:color w:val="000000"/>
                <w:sz w:val="24"/>
                <w:szCs w:val="24"/>
              </w:rPr>
            </w:pPr>
            <w:r>
              <w:rPr>
                <w:rFonts w:hint="eastAsia" w:ascii="CESI仿宋-GB2312" w:hAnsi="CESI仿宋-GB2312" w:eastAsia="CESI仿宋-GB2312" w:cs="CESI仿宋-GB2312"/>
                <w:sz w:val="24"/>
                <w:szCs w:val="24"/>
              </w:rPr>
              <w:t>10</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13</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长期驻场服务团队</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对投标人拟派的长期驻场服务团队进行评审，</w:t>
            </w:r>
            <w:r>
              <w:rPr>
                <w:rFonts w:hint="eastAsia" w:ascii="CESI仿宋-GB2312" w:hAnsi="CESI仿宋-GB2312" w:eastAsia="CESI仿宋-GB2312" w:cs="CESI仿宋-GB2312"/>
                <w:szCs w:val="21"/>
                <w:lang w:eastAsia="zh-CN"/>
              </w:rPr>
              <w:t>按人员配备情况赋分（总人数少于</w:t>
            </w:r>
            <w:r>
              <w:rPr>
                <w:rFonts w:hint="eastAsia" w:ascii="CESI仿宋-GB2312" w:hAnsi="CESI仿宋-GB2312" w:eastAsia="CESI仿宋-GB2312" w:cs="CESI仿宋-GB2312"/>
                <w:szCs w:val="21"/>
                <w:lang w:val="en-US" w:eastAsia="zh-CN"/>
              </w:rPr>
              <w:t>1</w:t>
            </w:r>
            <w:r>
              <w:rPr>
                <w:rFonts w:hint="eastAsia" w:ascii="CESI仿宋-GB2312" w:hAnsi="CESI仿宋-GB2312" w:eastAsia="CESI仿宋-GB2312" w:cs="CESI仿宋-GB2312"/>
                <w:szCs w:val="21"/>
                <w:lang w:val="en-US" w:eastAsia="zh"/>
              </w:rPr>
              <w:t>4</w:t>
            </w:r>
            <w:r>
              <w:rPr>
                <w:rFonts w:hint="eastAsia" w:ascii="CESI仿宋-GB2312" w:hAnsi="CESI仿宋-GB2312" w:eastAsia="CESI仿宋-GB2312" w:cs="CESI仿宋-GB2312"/>
                <w:szCs w:val="21"/>
                <w:lang w:eastAsia="zh-CN"/>
              </w:rPr>
              <w:t>人的，该项不得分）</w:t>
            </w:r>
            <w:r>
              <w:rPr>
                <w:rFonts w:hint="eastAsia" w:ascii="CESI仿宋-GB2312" w:hAnsi="CESI仿宋-GB2312" w:eastAsia="CESI仿宋-GB2312" w:cs="CESI仿宋-GB2312"/>
                <w:szCs w:val="21"/>
              </w:rPr>
              <w:t>，</w:t>
            </w:r>
            <w:r>
              <w:rPr>
                <w:rFonts w:hint="eastAsia" w:ascii="CESI仿宋-GB2312" w:hAnsi="CESI仿宋-GB2312" w:eastAsia="CESI仿宋-GB2312" w:cs="CESI仿宋-GB2312"/>
                <w:szCs w:val="21"/>
                <w:lang w:eastAsia="zh-CN"/>
              </w:rPr>
              <w:t>在基础人数之上每加</w:t>
            </w:r>
            <w:r>
              <w:rPr>
                <w:rFonts w:hint="eastAsia" w:ascii="CESI仿宋-GB2312" w:hAnsi="CESI仿宋-GB2312" w:eastAsia="CESI仿宋-GB2312" w:cs="CESI仿宋-GB2312"/>
                <w:szCs w:val="21"/>
                <w:lang w:val="en-US" w:eastAsia="zh-CN"/>
              </w:rPr>
              <w:t>1</w:t>
            </w:r>
            <w:r>
              <w:rPr>
                <w:rFonts w:hint="eastAsia" w:ascii="CESI仿宋-GB2312" w:hAnsi="CESI仿宋-GB2312" w:eastAsia="CESI仿宋-GB2312" w:cs="CESI仿宋-GB2312"/>
                <w:szCs w:val="21"/>
              </w:rPr>
              <w:t>人</w:t>
            </w:r>
            <w:r>
              <w:rPr>
                <w:rFonts w:hint="eastAsia" w:ascii="CESI仿宋-GB2312" w:hAnsi="CESI仿宋-GB2312" w:eastAsia="CESI仿宋-GB2312" w:cs="CESI仿宋-GB2312"/>
                <w:szCs w:val="21"/>
                <w:lang w:eastAsia="zh-CN"/>
              </w:rPr>
              <w:t>得</w:t>
            </w:r>
            <w:r>
              <w:rPr>
                <w:rFonts w:hint="eastAsia" w:ascii="CESI仿宋-GB2312" w:hAnsi="CESI仿宋-GB2312" w:eastAsia="CESI仿宋-GB2312" w:cs="CESI仿宋-GB2312"/>
                <w:szCs w:val="21"/>
              </w:rPr>
              <w:t>0.5分，单项加分不超过2分，</w:t>
            </w:r>
            <w:r>
              <w:rPr>
                <w:rFonts w:hint="eastAsia" w:ascii="CESI仿宋-GB2312" w:hAnsi="CESI仿宋-GB2312" w:eastAsia="CESI仿宋-GB2312" w:cs="CESI仿宋-GB2312"/>
                <w:szCs w:val="21"/>
                <w:lang w:eastAsia="zh-CN"/>
              </w:rPr>
              <w:t>该大项</w:t>
            </w:r>
            <w:r>
              <w:rPr>
                <w:rFonts w:hint="eastAsia" w:ascii="CESI仿宋-GB2312" w:hAnsi="CESI仿宋-GB2312" w:eastAsia="CESI仿宋-GB2312" w:cs="CESI仿宋-GB2312"/>
                <w:szCs w:val="21"/>
              </w:rPr>
              <w:t>最高得1</w:t>
            </w:r>
            <w:r>
              <w:rPr>
                <w:rFonts w:hint="eastAsia" w:ascii="CESI仿宋-GB2312" w:hAnsi="CESI仿宋-GB2312" w:eastAsia="CESI仿宋-GB2312" w:cs="CESI仿宋-GB2312"/>
                <w:szCs w:val="21"/>
                <w:lang w:val="en-US" w:eastAsia="zh-CN"/>
              </w:rPr>
              <w:t>6</w:t>
            </w:r>
            <w:r>
              <w:rPr>
                <w:rFonts w:hint="eastAsia" w:ascii="CESI仿宋-GB2312" w:hAnsi="CESI仿宋-GB2312" w:eastAsia="CESI仿宋-GB2312" w:cs="CESI仿宋-GB2312"/>
                <w:szCs w:val="21"/>
              </w:rPr>
              <w:t>分。</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（1）投标人的长期驻场服务团队提供</w:t>
            </w:r>
            <w:r>
              <w:rPr>
                <w:rFonts w:hint="eastAsia" w:ascii="CESI仿宋-GB2312" w:hAnsi="CESI仿宋-GB2312" w:eastAsia="CESI仿宋-GB2312" w:cs="CESI仿宋-GB2312"/>
                <w:szCs w:val="21"/>
                <w:lang w:eastAsia="zh-CN"/>
              </w:rPr>
              <w:t>不少于</w:t>
            </w:r>
            <w:r>
              <w:rPr>
                <w:rFonts w:hint="eastAsia" w:ascii="CESI仿宋-GB2312" w:hAnsi="CESI仿宋-GB2312" w:eastAsia="CESI仿宋-GB2312" w:cs="CESI仿宋-GB2312"/>
                <w:szCs w:val="21"/>
                <w:lang w:val="en-US" w:eastAsia="zh-CN"/>
              </w:rPr>
              <w:t>4</w:t>
            </w:r>
            <w:r>
              <w:rPr>
                <w:rFonts w:hint="eastAsia" w:ascii="CESI仿宋-GB2312" w:hAnsi="CESI仿宋-GB2312" w:eastAsia="CESI仿宋-GB2312" w:cs="CESI仿宋-GB2312"/>
                <w:szCs w:val="21"/>
              </w:rPr>
              <w:t>名临床医学专业人员</w:t>
            </w:r>
            <w:r>
              <w:rPr>
                <w:rFonts w:hint="eastAsia" w:ascii="CESI仿宋-GB2312" w:hAnsi="CESI仿宋-GB2312" w:eastAsia="CESI仿宋-GB2312" w:cs="CESI仿宋-GB2312"/>
                <w:szCs w:val="21"/>
                <w:lang w:eastAsia="zh-CN"/>
              </w:rPr>
              <w:t>，每</w:t>
            </w:r>
            <w:r>
              <w:rPr>
                <w:rFonts w:hint="eastAsia" w:ascii="CESI仿宋-GB2312" w:hAnsi="CESI仿宋-GB2312" w:eastAsia="CESI仿宋-GB2312" w:cs="CESI仿宋-GB2312"/>
                <w:szCs w:val="21"/>
                <w:lang w:val="en-US" w:eastAsia="zh-CN"/>
              </w:rPr>
              <w:t>1人</w:t>
            </w:r>
            <w:r>
              <w:rPr>
                <w:rFonts w:hint="eastAsia" w:ascii="CESI仿宋-GB2312" w:hAnsi="CESI仿宋-GB2312" w:eastAsia="CESI仿宋-GB2312" w:cs="CESI仿宋-GB2312"/>
                <w:szCs w:val="21"/>
              </w:rPr>
              <w:t>得1分；（专业人员指具备临床医学专业硕士研究生及以上学历或具有医学中级及以上职称）</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（2）投标人的长期驻场服务团队提供</w:t>
            </w:r>
            <w:r>
              <w:rPr>
                <w:rFonts w:hint="eastAsia" w:ascii="CESI仿宋-GB2312" w:hAnsi="CESI仿宋-GB2312" w:eastAsia="CESI仿宋-GB2312" w:cs="CESI仿宋-GB2312"/>
                <w:szCs w:val="21"/>
                <w:lang w:eastAsia="zh-CN"/>
              </w:rPr>
              <w:t>不少于</w:t>
            </w:r>
            <w:r>
              <w:rPr>
                <w:rFonts w:hint="eastAsia" w:ascii="CESI仿宋-GB2312" w:hAnsi="CESI仿宋-GB2312" w:eastAsia="CESI仿宋-GB2312" w:cs="CESI仿宋-GB2312"/>
                <w:szCs w:val="21"/>
              </w:rPr>
              <w:t>1名中医学专业人员</w:t>
            </w:r>
            <w:r>
              <w:rPr>
                <w:rFonts w:hint="eastAsia" w:ascii="CESI仿宋-GB2312" w:hAnsi="CESI仿宋-GB2312" w:eastAsia="CESI仿宋-GB2312" w:cs="CESI仿宋-GB2312"/>
                <w:szCs w:val="21"/>
                <w:lang w:eastAsia="zh-CN"/>
              </w:rPr>
              <w:t>，每</w:t>
            </w:r>
            <w:r>
              <w:rPr>
                <w:rFonts w:hint="eastAsia" w:ascii="CESI仿宋-GB2312" w:hAnsi="CESI仿宋-GB2312" w:eastAsia="CESI仿宋-GB2312" w:cs="CESI仿宋-GB2312"/>
                <w:szCs w:val="21"/>
                <w:lang w:val="en-US" w:eastAsia="zh-CN"/>
              </w:rPr>
              <w:t>1人</w:t>
            </w:r>
            <w:r>
              <w:rPr>
                <w:rFonts w:hint="eastAsia" w:ascii="CESI仿宋-GB2312" w:hAnsi="CESI仿宋-GB2312" w:eastAsia="CESI仿宋-GB2312" w:cs="CESI仿宋-GB2312"/>
                <w:szCs w:val="21"/>
              </w:rPr>
              <w:t>得1分；（专业人员指具备中医学专业硕士研究生及以上学历或具有中医学中级及以上职称）</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（3）投标人的长期驻场服务团队提供</w:t>
            </w:r>
            <w:r>
              <w:rPr>
                <w:rFonts w:hint="eastAsia" w:ascii="CESI仿宋-GB2312" w:hAnsi="CESI仿宋-GB2312" w:eastAsia="CESI仿宋-GB2312" w:cs="CESI仿宋-GB2312"/>
                <w:szCs w:val="21"/>
                <w:lang w:eastAsia="zh-CN"/>
              </w:rPr>
              <w:t>不少于</w:t>
            </w:r>
            <w:r>
              <w:rPr>
                <w:rFonts w:hint="eastAsia" w:ascii="CESI仿宋-GB2312" w:hAnsi="CESI仿宋-GB2312" w:eastAsia="CESI仿宋-GB2312" w:cs="CESI仿宋-GB2312"/>
                <w:szCs w:val="21"/>
                <w:lang w:val="en-US" w:eastAsia="zh-CN"/>
              </w:rPr>
              <w:t>1</w:t>
            </w:r>
            <w:r>
              <w:rPr>
                <w:rFonts w:hint="eastAsia" w:ascii="CESI仿宋-GB2312" w:hAnsi="CESI仿宋-GB2312" w:eastAsia="CESI仿宋-GB2312" w:cs="CESI仿宋-GB2312"/>
                <w:szCs w:val="21"/>
              </w:rPr>
              <w:t>名药学专业人员</w:t>
            </w:r>
            <w:r>
              <w:rPr>
                <w:rFonts w:hint="eastAsia" w:ascii="CESI仿宋-GB2312" w:hAnsi="CESI仿宋-GB2312" w:eastAsia="CESI仿宋-GB2312" w:cs="CESI仿宋-GB2312"/>
                <w:szCs w:val="21"/>
                <w:lang w:eastAsia="zh-CN"/>
              </w:rPr>
              <w:t>，每</w:t>
            </w:r>
            <w:r>
              <w:rPr>
                <w:rFonts w:hint="eastAsia" w:ascii="CESI仿宋-GB2312" w:hAnsi="CESI仿宋-GB2312" w:eastAsia="CESI仿宋-GB2312" w:cs="CESI仿宋-GB2312"/>
                <w:szCs w:val="21"/>
                <w:lang w:val="en-US" w:eastAsia="zh-CN"/>
              </w:rPr>
              <w:t>1人</w:t>
            </w:r>
            <w:r>
              <w:rPr>
                <w:rFonts w:hint="eastAsia" w:ascii="CESI仿宋-GB2312" w:hAnsi="CESI仿宋-GB2312" w:eastAsia="CESI仿宋-GB2312" w:cs="CESI仿宋-GB2312"/>
                <w:szCs w:val="21"/>
              </w:rPr>
              <w:t>得1分；（专业人员指具备药学专业硕士研究生及以上学历或具有药学中级及以上职称）</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（4) 投标人的长期驻场服务团队提供</w:t>
            </w:r>
            <w:r>
              <w:rPr>
                <w:rFonts w:hint="eastAsia" w:ascii="CESI仿宋-GB2312" w:hAnsi="CESI仿宋-GB2312" w:eastAsia="CESI仿宋-GB2312" w:cs="CESI仿宋-GB2312"/>
                <w:szCs w:val="21"/>
                <w:lang w:eastAsia="zh-CN"/>
              </w:rPr>
              <w:t>不少于</w:t>
            </w:r>
            <w:r>
              <w:rPr>
                <w:rFonts w:hint="eastAsia" w:ascii="CESI仿宋-GB2312" w:hAnsi="CESI仿宋-GB2312" w:eastAsia="CESI仿宋-GB2312" w:cs="CESI仿宋-GB2312"/>
                <w:szCs w:val="21"/>
              </w:rPr>
              <w:t>1名病</w:t>
            </w:r>
            <w:r>
              <w:rPr>
                <w:rFonts w:hint="eastAsia" w:ascii="CESI仿宋-GB2312" w:hAnsi="CESI仿宋-GB2312" w:eastAsia="CESI仿宋-GB2312" w:cs="CESI仿宋-GB2312"/>
                <w:color w:val="000000"/>
                <w:szCs w:val="21"/>
              </w:rPr>
              <w:t>案管理专业人员</w:t>
            </w:r>
            <w:r>
              <w:rPr>
                <w:rFonts w:hint="eastAsia" w:ascii="CESI仿宋-GB2312" w:hAnsi="CESI仿宋-GB2312" w:eastAsia="CESI仿宋-GB2312" w:cs="CESI仿宋-GB2312"/>
                <w:szCs w:val="21"/>
                <w:lang w:eastAsia="zh-CN"/>
              </w:rPr>
              <w:t>，每</w:t>
            </w:r>
            <w:r>
              <w:rPr>
                <w:rFonts w:hint="eastAsia" w:ascii="CESI仿宋-GB2312" w:hAnsi="CESI仿宋-GB2312" w:eastAsia="CESI仿宋-GB2312" w:cs="CESI仿宋-GB2312"/>
                <w:szCs w:val="21"/>
                <w:lang w:val="en-US" w:eastAsia="zh-CN"/>
              </w:rPr>
              <w:t>1人</w:t>
            </w:r>
            <w:r>
              <w:rPr>
                <w:rFonts w:hint="eastAsia" w:ascii="CESI仿宋-GB2312" w:hAnsi="CESI仿宋-GB2312" w:eastAsia="CESI仿宋-GB2312" w:cs="CESI仿宋-GB2312"/>
                <w:szCs w:val="21"/>
              </w:rPr>
              <w:t>得1分</w:t>
            </w:r>
            <w:r>
              <w:rPr>
                <w:rFonts w:hint="eastAsia" w:ascii="CESI仿宋-GB2312" w:hAnsi="CESI仿宋-GB2312" w:eastAsia="CESI仿宋-GB2312" w:cs="CESI仿宋-GB2312"/>
                <w:color w:val="000000"/>
                <w:szCs w:val="21"/>
              </w:rPr>
              <w:t>；（专业人员指</w:t>
            </w:r>
            <w:r>
              <w:rPr>
                <w:rFonts w:hint="eastAsia" w:ascii="CESI仿宋-GB2312" w:hAnsi="CESI仿宋-GB2312" w:eastAsia="CESI仿宋-GB2312" w:cs="CESI仿宋-GB2312"/>
                <w:color w:val="000000"/>
                <w:szCs w:val="21"/>
                <w:lang w:eastAsia="zh-CN"/>
              </w:rPr>
              <w:t>具备</w:t>
            </w:r>
            <w:r>
              <w:rPr>
                <w:rFonts w:hint="eastAsia" w:ascii="CESI仿宋-GB2312" w:hAnsi="CESI仿宋-GB2312" w:eastAsia="CESI仿宋-GB2312" w:cs="CESI仿宋-GB2312"/>
                <w:color w:val="000000"/>
                <w:szCs w:val="21"/>
              </w:rPr>
              <w:t>病案学相关专业</w:t>
            </w:r>
            <w:r>
              <w:rPr>
                <w:rFonts w:hint="eastAsia" w:ascii="CESI仿宋-GB2312" w:hAnsi="CESI仿宋-GB2312" w:eastAsia="CESI仿宋-GB2312" w:cs="CESI仿宋-GB2312"/>
                <w:color w:val="000000"/>
                <w:szCs w:val="21"/>
                <w:lang w:eastAsia="zh-CN"/>
              </w:rPr>
              <w:t>本科</w:t>
            </w:r>
            <w:r>
              <w:rPr>
                <w:rFonts w:hint="eastAsia" w:ascii="CESI仿宋-GB2312" w:hAnsi="CESI仿宋-GB2312" w:eastAsia="CESI仿宋-GB2312" w:cs="CESI仿宋-GB2312"/>
                <w:color w:val="000000"/>
                <w:szCs w:val="21"/>
              </w:rPr>
              <w:t>及以上学历</w:t>
            </w:r>
            <w:r>
              <w:rPr>
                <w:rFonts w:hint="eastAsia" w:ascii="CESI仿宋-GB2312" w:hAnsi="CESI仿宋-GB2312" w:eastAsia="CESI仿宋-GB2312" w:cs="CESI仿宋-GB2312"/>
                <w:color w:val="000000"/>
                <w:szCs w:val="21"/>
                <w:lang w:eastAsia="zh-CN"/>
              </w:rPr>
              <w:t>且从事</w:t>
            </w:r>
            <w:r>
              <w:rPr>
                <w:rFonts w:hint="eastAsia" w:ascii="CESI仿宋-GB2312" w:hAnsi="CESI仿宋-GB2312" w:eastAsia="CESI仿宋-GB2312" w:cs="CESI仿宋-GB2312"/>
                <w:color w:val="000000"/>
                <w:szCs w:val="21"/>
                <w:lang w:val="en-US" w:eastAsia="zh-CN"/>
              </w:rPr>
              <w:t>2年及以上医疗机构病案编码工作经验</w:t>
            </w:r>
            <w:r>
              <w:rPr>
                <w:rFonts w:hint="eastAsia" w:ascii="CESI仿宋-GB2312" w:hAnsi="CESI仿宋-GB2312" w:eastAsia="CESI仿宋-GB2312" w:cs="CESI仿宋-GB2312"/>
                <w:color w:val="000000"/>
                <w:szCs w:val="21"/>
              </w:rPr>
              <w:t>或具有病案信息技术中级及以上职称）</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（5）投标人的长期驻场服务团队提供</w:t>
            </w:r>
            <w:r>
              <w:rPr>
                <w:rFonts w:hint="eastAsia" w:ascii="CESI仿宋-GB2312" w:hAnsi="CESI仿宋-GB2312" w:eastAsia="CESI仿宋-GB2312" w:cs="CESI仿宋-GB2312"/>
                <w:szCs w:val="21"/>
                <w:lang w:eastAsia="zh-CN"/>
              </w:rPr>
              <w:t>不少于</w:t>
            </w:r>
            <w:r>
              <w:rPr>
                <w:rFonts w:hint="eastAsia" w:ascii="CESI仿宋-GB2312" w:hAnsi="CESI仿宋-GB2312" w:eastAsia="CESI仿宋-GB2312" w:cs="CESI仿宋-GB2312"/>
                <w:szCs w:val="21"/>
              </w:rPr>
              <w:t>3名统计学专业人员</w:t>
            </w:r>
            <w:r>
              <w:rPr>
                <w:rFonts w:hint="eastAsia" w:ascii="CESI仿宋-GB2312" w:hAnsi="CESI仿宋-GB2312" w:eastAsia="CESI仿宋-GB2312" w:cs="CESI仿宋-GB2312"/>
                <w:szCs w:val="21"/>
                <w:lang w:eastAsia="zh-CN"/>
              </w:rPr>
              <w:t>，每</w:t>
            </w:r>
            <w:r>
              <w:rPr>
                <w:rFonts w:hint="eastAsia" w:ascii="CESI仿宋-GB2312" w:hAnsi="CESI仿宋-GB2312" w:eastAsia="CESI仿宋-GB2312" w:cs="CESI仿宋-GB2312"/>
                <w:szCs w:val="21"/>
                <w:lang w:val="en-US" w:eastAsia="zh-CN"/>
              </w:rPr>
              <w:t>1人</w:t>
            </w:r>
            <w:r>
              <w:rPr>
                <w:rFonts w:hint="eastAsia" w:ascii="CESI仿宋-GB2312" w:hAnsi="CESI仿宋-GB2312" w:eastAsia="CESI仿宋-GB2312" w:cs="CESI仿宋-GB2312"/>
                <w:szCs w:val="21"/>
              </w:rPr>
              <w:t>得1分。（专业人员指具备统计学专业本科及以上学历）</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（6）投标人的长期驻场服务团队提供</w:t>
            </w:r>
            <w:r>
              <w:rPr>
                <w:rFonts w:hint="eastAsia" w:ascii="CESI仿宋-GB2312" w:hAnsi="CESI仿宋-GB2312" w:eastAsia="CESI仿宋-GB2312" w:cs="CESI仿宋-GB2312"/>
                <w:szCs w:val="21"/>
                <w:lang w:eastAsia="zh-CN"/>
              </w:rPr>
              <w:t>不少于</w:t>
            </w:r>
            <w:r>
              <w:rPr>
                <w:rFonts w:hint="eastAsia" w:ascii="CESI仿宋-GB2312" w:hAnsi="CESI仿宋-GB2312" w:eastAsia="CESI仿宋-GB2312" w:cs="CESI仿宋-GB2312"/>
                <w:szCs w:val="21"/>
              </w:rPr>
              <w:t>4名计算机信息相关专业人员</w:t>
            </w:r>
            <w:r>
              <w:rPr>
                <w:rFonts w:hint="eastAsia" w:ascii="CESI仿宋-GB2312" w:hAnsi="CESI仿宋-GB2312" w:eastAsia="CESI仿宋-GB2312" w:cs="CESI仿宋-GB2312"/>
                <w:szCs w:val="21"/>
                <w:lang w:eastAsia="zh-CN"/>
              </w:rPr>
              <w:t>，每</w:t>
            </w:r>
            <w:r>
              <w:rPr>
                <w:rFonts w:hint="eastAsia" w:ascii="CESI仿宋-GB2312" w:hAnsi="CESI仿宋-GB2312" w:eastAsia="CESI仿宋-GB2312" w:cs="CESI仿宋-GB2312"/>
                <w:szCs w:val="21"/>
                <w:lang w:val="en-US" w:eastAsia="zh-CN"/>
              </w:rPr>
              <w:t>1人</w:t>
            </w:r>
            <w:r>
              <w:rPr>
                <w:rFonts w:hint="eastAsia" w:ascii="CESI仿宋-GB2312" w:hAnsi="CESI仿宋-GB2312" w:eastAsia="CESI仿宋-GB2312" w:cs="CESI仿宋-GB2312"/>
                <w:szCs w:val="21"/>
              </w:rPr>
              <w:t>得</w:t>
            </w:r>
            <w:r>
              <w:rPr>
                <w:rFonts w:hint="eastAsia" w:ascii="CESI仿宋-GB2312" w:hAnsi="CESI仿宋-GB2312" w:eastAsia="CESI仿宋-GB2312" w:cs="CESI仿宋-GB2312"/>
                <w:szCs w:val="21"/>
                <w:lang w:val="en-US" w:eastAsia="zh-CN"/>
              </w:rPr>
              <w:t>1</w:t>
            </w:r>
            <w:r>
              <w:rPr>
                <w:rFonts w:hint="eastAsia" w:ascii="CESI仿宋-GB2312" w:hAnsi="CESI仿宋-GB2312" w:eastAsia="CESI仿宋-GB2312" w:cs="CESI仿宋-GB2312"/>
                <w:szCs w:val="21"/>
              </w:rPr>
              <w:t>分。（专业人员指具备人社部门颁发的系统分析师或数据分析师证书）</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注：须提供上述人员有效期内证书复印件、工作履历表并加盖公章，投标人为上述人员缴纳的社保证明复印件（近3个月）并加盖公章，未提供不得分。如供应商为联合体，需联合体主办单位缴纳社保证明才可得分。</w:t>
            </w:r>
          </w:p>
          <w:p>
            <w:pPr>
              <w:spacing w:line="360" w:lineRule="exact"/>
              <w:jc w:val="left"/>
              <w:rPr>
                <w:rFonts w:hint="eastAsia" w:ascii="仿宋" w:hAnsi="仿宋" w:eastAsia="仿宋" w:cs="仿宋"/>
                <w:bCs/>
                <w:sz w:val="24"/>
                <w:szCs w:val="24"/>
              </w:rPr>
            </w:pP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lang w:val="en-US" w:eastAsia="zh-CN"/>
              </w:rPr>
              <w:t>16</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14</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短期驻场及远程专业服务团队</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短期驻场及远程专业服务团队项目负责人：具备医学相关专业硕士研究生及以上学历、中级及以上职称或计算机信息相关专业本科以上学历、具备人社部门颁发的信息系统项目管理师证书，同时具备3年及以上DRG相关工作经验的，得1分。</w:t>
            </w:r>
          </w:p>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（2）短期驻场及远程专业服务团队其他成员:具备医学、药学、统计学</w:t>
            </w:r>
            <w:r>
              <w:rPr>
                <w:rFonts w:hint="eastAsia" w:ascii="CESI仿宋-GB2312" w:hAnsi="CESI仿宋-GB2312" w:eastAsia="CESI仿宋-GB2312" w:cs="CESI仿宋-GB2312"/>
                <w:szCs w:val="21"/>
                <w:lang w:eastAsia="zh-CN"/>
              </w:rPr>
              <w:t>专业中级及以上职称</w:t>
            </w:r>
            <w:r>
              <w:rPr>
                <w:rFonts w:hint="eastAsia" w:ascii="CESI仿宋-GB2312" w:hAnsi="CESI仿宋-GB2312" w:eastAsia="CESI仿宋-GB2312" w:cs="CESI仿宋-GB2312"/>
                <w:szCs w:val="21"/>
              </w:rPr>
              <w:t>或具备人社部门颁发的系统分析师</w:t>
            </w:r>
            <w:r>
              <w:rPr>
                <w:rFonts w:hint="eastAsia" w:ascii="CESI仿宋-GB2312" w:hAnsi="CESI仿宋-GB2312" w:eastAsia="CESI仿宋-GB2312" w:cs="CESI仿宋-GB2312"/>
                <w:szCs w:val="21"/>
                <w:lang w:eastAsia="zh-CN"/>
              </w:rPr>
              <w:t>、</w:t>
            </w:r>
            <w:r>
              <w:rPr>
                <w:rFonts w:hint="eastAsia" w:ascii="CESI仿宋-GB2312" w:hAnsi="CESI仿宋-GB2312" w:eastAsia="CESI仿宋-GB2312" w:cs="CESI仿宋-GB2312"/>
                <w:szCs w:val="21"/>
              </w:rPr>
              <w:t>数据分析师证的专业人员，每人得0.5分，最高得4分。</w:t>
            </w:r>
          </w:p>
          <w:p>
            <w:pPr>
              <w:spacing w:line="360" w:lineRule="exact"/>
              <w:jc w:val="left"/>
              <w:rPr>
                <w:rFonts w:hint="eastAsia" w:ascii="仿宋" w:hAnsi="仿宋" w:eastAsia="仿宋" w:cs="仿宋"/>
                <w:bCs/>
                <w:sz w:val="24"/>
                <w:szCs w:val="24"/>
              </w:rPr>
            </w:pPr>
            <w:r>
              <w:rPr>
                <w:rFonts w:hint="eastAsia" w:ascii="CESI仿宋-GB2312" w:hAnsi="CESI仿宋-GB2312" w:eastAsia="CESI仿宋-GB2312" w:cs="CESI仿宋-GB2312"/>
                <w:szCs w:val="21"/>
              </w:rPr>
              <w:t>注：须提供上述人员有效期内证书复印件、工作履历表并加盖公章，投标人为上述人员缴纳的社保证明复印件（近3个月）并加盖公章，未提供不得分。如供应商为联合体，需联合体主办单位缴纳社保证明才可得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5</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15</w:t>
            </w:r>
          </w:p>
        </w:tc>
        <w:tc>
          <w:tcPr>
            <w:tcW w:w="40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技术</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投标人具备12名医学、药学、病案学</w:t>
            </w:r>
            <w:r>
              <w:rPr>
                <w:rFonts w:hint="eastAsia" w:ascii="CESI仿宋-GB2312" w:hAnsi="CESI仿宋-GB2312" w:eastAsia="CESI仿宋-GB2312" w:cs="CESI仿宋-GB2312"/>
                <w:szCs w:val="21"/>
                <w:lang w:eastAsia="zh-CN"/>
              </w:rPr>
              <w:t>等</w:t>
            </w:r>
            <w:r>
              <w:rPr>
                <w:rFonts w:hint="eastAsia" w:ascii="CESI仿宋-GB2312" w:hAnsi="CESI仿宋-GB2312" w:eastAsia="CESI仿宋-GB2312" w:cs="CESI仿宋-GB2312"/>
                <w:szCs w:val="21"/>
              </w:rPr>
              <w:t>高级职称</w:t>
            </w:r>
            <w:r>
              <w:rPr>
                <w:rFonts w:hint="eastAsia" w:ascii="CESI仿宋-GB2312" w:hAnsi="CESI仿宋-GB2312" w:eastAsia="CESI仿宋-GB2312" w:cs="CESI仿宋-GB2312"/>
                <w:color w:val="000000"/>
                <w:szCs w:val="21"/>
              </w:rPr>
              <w:t>培训团队专家的，得3分；未</w:t>
            </w:r>
            <w:r>
              <w:rPr>
                <w:rFonts w:hint="eastAsia" w:ascii="CESI仿宋-GB2312" w:hAnsi="CESI仿宋-GB2312" w:eastAsia="CESI仿宋-GB2312" w:cs="CESI仿宋-GB2312"/>
                <w:szCs w:val="21"/>
              </w:rPr>
              <w:t>达到医学、药学、病案学专家各2名的，每少1类专家扣0.5分；人数</w:t>
            </w:r>
            <w:r>
              <w:rPr>
                <w:rFonts w:hint="eastAsia" w:ascii="CESI仿宋-GB2312" w:hAnsi="CESI仿宋-GB2312" w:eastAsia="CESI仿宋-GB2312" w:cs="CESI仿宋-GB2312"/>
                <w:color w:val="000000"/>
                <w:szCs w:val="21"/>
              </w:rPr>
              <w:t>未达12人的，本项不得分。</w:t>
            </w:r>
            <w:r>
              <w:rPr>
                <w:rFonts w:hint="eastAsia" w:ascii="CESI仿宋-GB2312" w:hAnsi="CESI仿宋-GB2312" w:eastAsia="CESI仿宋-GB2312" w:cs="CESI仿宋-GB2312"/>
                <w:szCs w:val="21"/>
              </w:rPr>
              <w:t>在此基础上，每增加1名符合上述要求的专家得0.5分</w:t>
            </w:r>
            <w:r>
              <w:rPr>
                <w:rFonts w:hint="eastAsia" w:ascii="CESI仿宋-GB2312" w:hAnsi="CESI仿宋-GB2312" w:eastAsia="CESI仿宋-GB2312" w:cs="CESI仿宋-GB2312"/>
                <w:szCs w:val="21"/>
                <w:lang w:eastAsia="zh-CN"/>
              </w:rPr>
              <w:t>。</w:t>
            </w:r>
            <w:r>
              <w:rPr>
                <w:rFonts w:hint="eastAsia" w:ascii="CESI仿宋-GB2312" w:hAnsi="CESI仿宋-GB2312" w:eastAsia="CESI仿宋-GB2312" w:cs="CESI仿宋-GB2312"/>
                <w:szCs w:val="21"/>
              </w:rPr>
              <w:t>本项最多得5分。</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注：须提供上述人员有效期内证书复印件并加盖公章，投标人与上述人员关联关系的证明材料（协议合同或社保缴纳证明）并加盖公章，未提供不得分。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rPr>
              <w:t>5</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16</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商务资信</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培训师资力量</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根据投标人提供的实施方案，围绕方案中的师资力量、培训次数等方面进行综合评议，本项最多</w:t>
            </w:r>
            <w:r>
              <w:rPr>
                <w:rFonts w:hint="eastAsia" w:ascii="CESI仿宋-GB2312" w:hAnsi="CESI仿宋-GB2312" w:eastAsia="CESI仿宋-GB2312" w:cs="CESI仿宋-GB2312"/>
                <w:szCs w:val="21"/>
                <w:lang w:val="en-US" w:eastAsia="zh-CN"/>
              </w:rPr>
              <w:t>2</w:t>
            </w:r>
            <w:r>
              <w:rPr>
                <w:rFonts w:hint="eastAsia" w:ascii="CESI仿宋-GB2312" w:hAnsi="CESI仿宋-GB2312" w:eastAsia="CESI仿宋-GB2312" w:cs="CESI仿宋-GB2312"/>
                <w:szCs w:val="21"/>
              </w:rPr>
              <w:t>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lang w:val="en-US" w:eastAsia="zh-CN"/>
              </w:rPr>
              <w:t>2</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17</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商务资信</w:t>
            </w:r>
          </w:p>
        </w:tc>
        <w:tc>
          <w:tcPr>
            <w:tcW w:w="3345" w:type="pct"/>
            <w:noWrap w:val="0"/>
            <w:vAlign w:val="top"/>
          </w:tcPr>
          <w:p>
            <w:pPr>
              <w:spacing w:line="360" w:lineRule="exact"/>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培训内容</w:t>
            </w:r>
          </w:p>
          <w:p>
            <w:pPr>
              <w:spacing w:line="360" w:lineRule="exact"/>
              <w:jc w:val="left"/>
              <w:rPr>
                <w:rFonts w:hint="eastAsia" w:ascii="仿宋" w:hAnsi="仿宋" w:eastAsia="仿宋" w:cs="仿宋"/>
                <w:bCs/>
                <w:color w:val="000000"/>
                <w:sz w:val="24"/>
                <w:szCs w:val="24"/>
              </w:rPr>
            </w:pPr>
            <w:r>
              <w:rPr>
                <w:rFonts w:hint="eastAsia" w:ascii="CESI仿宋-GB2312" w:hAnsi="CESI仿宋-GB2312" w:eastAsia="CESI仿宋-GB2312" w:cs="CESI仿宋-GB2312"/>
                <w:szCs w:val="21"/>
              </w:rPr>
              <w:t>根据投标人提供的培训方案，围绕培训内容详细是否贴合项目需求、实操内容是否接近实际运用、能否根据采购人实际需求提供相关培训支持（如电脑、车辆等） 等方面进行综合评议，本项最多</w:t>
            </w:r>
            <w:r>
              <w:rPr>
                <w:rFonts w:hint="eastAsia" w:ascii="CESI仿宋-GB2312" w:hAnsi="CESI仿宋-GB2312" w:eastAsia="CESI仿宋-GB2312" w:cs="CESI仿宋-GB2312"/>
                <w:szCs w:val="21"/>
                <w:lang w:val="en-US" w:eastAsia="zh-CN"/>
              </w:rPr>
              <w:t>2</w:t>
            </w:r>
            <w:r>
              <w:rPr>
                <w:rFonts w:hint="eastAsia" w:ascii="CESI仿宋-GB2312" w:hAnsi="CESI仿宋-GB2312" w:eastAsia="CESI仿宋-GB2312" w:cs="CESI仿宋-GB2312"/>
                <w:szCs w:val="21"/>
              </w:rPr>
              <w:t>分。</w:t>
            </w:r>
          </w:p>
        </w:tc>
        <w:tc>
          <w:tcPr>
            <w:tcW w:w="426" w:type="pct"/>
            <w:noWrap w:val="0"/>
            <w:vAlign w:val="center"/>
          </w:tcPr>
          <w:p>
            <w:pPr>
              <w:spacing w:line="400" w:lineRule="exact"/>
              <w:jc w:val="center"/>
              <w:rPr>
                <w:rFonts w:hint="eastAsia" w:ascii="仿宋" w:hAnsi="仿宋" w:eastAsia="仿宋" w:cs="仿宋"/>
                <w:bCs/>
                <w:color w:val="000000"/>
                <w:sz w:val="24"/>
                <w:szCs w:val="24"/>
              </w:rPr>
            </w:pPr>
            <w:r>
              <w:rPr>
                <w:rFonts w:hint="eastAsia" w:ascii="CESI仿宋-GB2312" w:hAnsi="CESI仿宋-GB2312" w:eastAsia="CESI仿宋-GB2312" w:cs="CESI仿宋-GB2312"/>
                <w:sz w:val="24"/>
                <w:szCs w:val="24"/>
                <w:lang w:val="en-US" w:eastAsia="zh-CN"/>
              </w:rPr>
              <w:t>2</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18</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商务资信</w:t>
            </w:r>
          </w:p>
        </w:tc>
        <w:tc>
          <w:tcPr>
            <w:tcW w:w="3345" w:type="pct"/>
            <w:noWrap w:val="0"/>
            <w:vAlign w:val="top"/>
          </w:tcPr>
          <w:p>
            <w:pPr>
              <w:widowControl/>
              <w:textAlignment w:val="top"/>
              <w:rPr>
                <w:rFonts w:hint="eastAsia" w:ascii="CESI仿宋-GB2312" w:hAnsi="CESI仿宋-GB2312" w:eastAsia="CESI仿宋-GB2312" w:cs="CESI仿宋-GB2312"/>
                <w:szCs w:val="21"/>
              </w:rPr>
            </w:pPr>
          </w:p>
          <w:p>
            <w:pPr>
              <w:widowControl/>
              <w:textAlignment w:val="top"/>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公司技术力量情况（详见商务要求表）。</w:t>
            </w:r>
          </w:p>
        </w:tc>
        <w:tc>
          <w:tcPr>
            <w:tcW w:w="426" w:type="pct"/>
            <w:noWrap w:val="0"/>
            <w:vAlign w:val="top"/>
          </w:tcPr>
          <w:p>
            <w:pPr>
              <w:spacing w:before="156" w:beforeLines="50" w:after="156" w:afterLines="50" w:line="3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4</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19</w:t>
            </w:r>
          </w:p>
        </w:tc>
        <w:tc>
          <w:tcPr>
            <w:tcW w:w="409" w:type="pct"/>
            <w:noWrap w:val="0"/>
            <w:vAlign w:val="top"/>
          </w:tcPr>
          <w:p>
            <w:pPr>
              <w:spacing w:before="156" w:beforeLines="50" w:after="156" w:afterLines="50" w:line="3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商务资信</w:t>
            </w:r>
          </w:p>
        </w:tc>
        <w:tc>
          <w:tcPr>
            <w:tcW w:w="3345" w:type="pct"/>
            <w:noWrap w:val="0"/>
            <w:vAlign w:val="top"/>
          </w:tcPr>
          <w:p>
            <w:pPr>
              <w:widowControl/>
              <w:textAlignment w:val="top"/>
              <w:rPr>
                <w:rFonts w:hint="eastAsia" w:ascii="CESI仿宋-GB2312" w:hAnsi="CESI仿宋-GB2312" w:eastAsia="CESI仿宋-GB2312" w:cs="CESI仿宋-GB2312"/>
                <w:szCs w:val="21"/>
              </w:rPr>
            </w:pPr>
          </w:p>
          <w:p>
            <w:pPr>
              <w:widowControl/>
              <w:textAlignment w:val="top"/>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经验及业绩（详见商务要求表）。</w:t>
            </w:r>
          </w:p>
        </w:tc>
        <w:tc>
          <w:tcPr>
            <w:tcW w:w="426" w:type="pct"/>
            <w:noWrap w:val="0"/>
            <w:vAlign w:val="top"/>
          </w:tcPr>
          <w:p>
            <w:pPr>
              <w:spacing w:before="156" w:beforeLines="50" w:after="156" w:afterLines="50" w:line="3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469" w:type="pct"/>
            <w:noWrap w:val="0"/>
            <w:vAlign w:val="top"/>
          </w:tcPr>
          <w:p>
            <w:pPr>
              <w:spacing w:before="156" w:beforeLines="50" w:after="156" w:afterLines="50" w:line="340" w:lineRule="exact"/>
              <w:rPr>
                <w:rFonts w:ascii="仿宋" w:hAnsi="仿宋" w:eastAsia="仿宋" w:cs="仿宋"/>
                <w:bCs/>
                <w:color w:val="000000"/>
                <w:sz w:val="24"/>
                <w:szCs w:val="24"/>
              </w:rPr>
            </w:pPr>
            <w:r>
              <w:rPr>
                <w:rFonts w:hint="eastAsia" w:ascii="仿宋" w:hAnsi="仿宋" w:eastAsia="仿宋" w:cs="仿宋"/>
                <w:bCs/>
                <w:color w:val="000000"/>
                <w:sz w:val="24"/>
                <w:szCs w:val="24"/>
              </w:rPr>
              <w:t>客观分</w:t>
            </w:r>
          </w:p>
        </w:tc>
      </w:tr>
    </w:tbl>
    <w:p>
      <w:pPr>
        <w:spacing w:after="312" w:afterLines="100" w:line="340" w:lineRule="exact"/>
        <w:jc w:val="center"/>
        <w:outlineLvl w:val="0"/>
        <w:rPr>
          <w:rFonts w:hAnsi="宋体"/>
          <w:b/>
          <w:color w:val="000000"/>
          <w:sz w:val="36"/>
          <w:szCs w:val="36"/>
        </w:rPr>
      </w:pPr>
    </w:p>
    <w:p>
      <w:pPr>
        <w:spacing w:after="312" w:afterLines="100" w:line="340" w:lineRule="exact"/>
        <w:jc w:val="center"/>
        <w:outlineLvl w:val="0"/>
        <w:rPr>
          <w:rFonts w:hAnsi="宋体"/>
          <w:b/>
          <w:color w:val="000000"/>
          <w:sz w:val="36"/>
          <w:szCs w:val="36"/>
        </w:rPr>
      </w:pPr>
    </w:p>
    <w:p>
      <w:pPr>
        <w:spacing w:after="312" w:afterLines="100" w:line="340" w:lineRule="exact"/>
        <w:jc w:val="center"/>
        <w:outlineLvl w:val="0"/>
        <w:rPr>
          <w:rFonts w:hAnsi="宋体"/>
          <w:b/>
          <w:color w:val="000000"/>
          <w:sz w:val="36"/>
          <w:szCs w:val="36"/>
        </w:rPr>
      </w:pPr>
    </w:p>
    <w:p>
      <w:pPr>
        <w:spacing w:after="312" w:afterLines="100" w:line="340" w:lineRule="exact"/>
        <w:jc w:val="center"/>
        <w:outlineLvl w:val="0"/>
        <w:rPr>
          <w:rFonts w:hAnsi="宋体"/>
          <w:b/>
          <w:color w:val="000000"/>
          <w:sz w:val="36"/>
          <w:szCs w:val="36"/>
        </w:rPr>
      </w:pPr>
    </w:p>
    <w:p>
      <w:pPr>
        <w:spacing w:after="312" w:afterLines="100" w:line="340" w:lineRule="exact"/>
        <w:jc w:val="center"/>
        <w:outlineLvl w:val="0"/>
        <w:rPr>
          <w:rFonts w:hAnsi="宋体"/>
          <w:b/>
          <w:color w:val="000000"/>
          <w:sz w:val="36"/>
          <w:szCs w:val="36"/>
        </w:rPr>
      </w:pPr>
    </w:p>
    <w:p>
      <w:pPr>
        <w:spacing w:after="312" w:afterLines="100" w:line="340" w:lineRule="exact"/>
        <w:jc w:val="center"/>
        <w:outlineLvl w:val="0"/>
        <w:rPr>
          <w:rFonts w:hAnsi="宋体"/>
          <w:b/>
          <w:color w:val="000000"/>
          <w:sz w:val="36"/>
          <w:szCs w:val="36"/>
        </w:rPr>
      </w:pPr>
    </w:p>
    <w:p>
      <w:pPr>
        <w:spacing w:after="312" w:afterLines="100" w:line="340" w:lineRule="exact"/>
        <w:ind w:firstLine="2530" w:firstLineChars="700"/>
        <w:jc w:val="both"/>
        <w:outlineLvl w:val="0"/>
        <w:rPr>
          <w:rFonts w:hAnsi="宋体"/>
          <w:b/>
          <w:color w:val="000000"/>
          <w:sz w:val="36"/>
          <w:szCs w:val="36"/>
        </w:rPr>
      </w:pPr>
      <w:bookmarkStart w:id="28" w:name="_Toc24960"/>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7"/>
      <w:bookmarkEnd w:id="28"/>
    </w:p>
    <w:p>
      <w:pPr>
        <w:snapToGrid w:val="0"/>
        <w:spacing w:before="156" w:beforeLines="50" w:after="156" w:afterLines="50"/>
        <w:rPr>
          <w:rFonts w:ascii="宋体" w:hAnsi="宋体" w:eastAsia="宋体"/>
          <w:b/>
          <w:color w:val="000000"/>
          <w:spacing w:val="40"/>
          <w:kern w:val="0"/>
          <w:sz w:val="36"/>
          <w:szCs w:val="36"/>
        </w:rPr>
      </w:pPr>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pPr>
        <w:spacing w:before="312" w:beforeLines="100" w:line="360" w:lineRule="auto"/>
        <w:jc w:val="center"/>
        <w:rPr>
          <w:rFonts w:hint="eastAsia" w:ascii="宋体" w:hAnsi="宋体"/>
          <w:color w:val="000000"/>
          <w:sz w:val="36"/>
          <w:szCs w:val="36"/>
        </w:rPr>
      </w:pPr>
      <w:bookmarkStart w:id="29" w:name="PO_416_PM050"/>
      <w:bookmarkStart w:id="30" w:name="_Toc496796639"/>
      <w:r>
        <w:rPr>
          <w:rFonts w:hint="eastAsia" w:hAnsi="宋体"/>
          <w:b/>
          <w:color w:val="000000"/>
          <w:sz w:val="36"/>
          <w:szCs w:val="36"/>
          <w:lang w:eastAsia="zh-CN"/>
        </w:rPr>
        <w:t xml:space="preserve"> </w:t>
      </w:r>
      <w:bookmarkEnd w:id="29"/>
      <w:bookmarkStart w:id="31" w:name="PO_TDCUS_ITEM_PB_REQ_PR_1_1_0"/>
      <w:r>
        <w:rPr>
          <w:rFonts w:hint="eastAsia" w:ascii="宋体" w:hAnsi="宋体"/>
          <w:b/>
          <w:bCs/>
          <w:color w:val="000000"/>
          <w:sz w:val="36"/>
          <w:szCs w:val="36"/>
          <w:lang w:eastAsia="zh-CN"/>
        </w:rPr>
        <w:t>浙江省省本级、杭州市按疾病诊断相关分组（DRGs）点数法支付方式专业化服务项目</w:t>
      </w:r>
      <w:r>
        <w:rPr>
          <w:rFonts w:hint="eastAsia" w:hAnsi="宋体"/>
          <w:b/>
          <w:color w:val="000000"/>
          <w:sz w:val="36"/>
          <w:szCs w:val="36"/>
          <w:lang w:eastAsia="zh-CN"/>
        </w:rPr>
        <w:t>的需求文档:</w:t>
      </w:r>
      <w:bookmarkEnd w:id="31"/>
      <w:bookmarkStart w:id="32" w:name="PO_TDCUS_ITEM_PB_REQ_FILE_1_1_0"/>
      <w:r>
        <w:rPr>
          <w:rFonts w:hint="eastAsia" w:ascii="宋体" w:hAnsi="宋体"/>
          <w:color w:val="000000"/>
          <w:sz w:val="36"/>
          <w:szCs w:val="36"/>
        </w:rPr>
        <w:t xml:space="preserve"> </w:t>
      </w:r>
    </w:p>
    <w:p>
      <w:pPr>
        <w:adjustRightInd w:val="0"/>
        <w:jc w:val="center"/>
        <w:rPr>
          <w:rFonts w:hint="eastAsia" w:ascii="宋体" w:hAnsi="宋体" w:eastAsia="宋体" w:cs="Times New Roman"/>
          <w:b/>
          <w:bCs/>
          <w:color w:val="000000"/>
          <w:sz w:val="36"/>
          <w:szCs w:val="36"/>
          <w:lang w:eastAsia="zh-CN"/>
        </w:rPr>
      </w:pPr>
    </w:p>
    <w:p>
      <w:pPr>
        <w:pStyle w:val="4"/>
        <w:ind w:firstLine="420"/>
        <w:rPr>
          <w:rFonts w:cs="Calibri"/>
        </w:rPr>
      </w:pPr>
      <w:r>
        <w:rPr>
          <w:rFonts w:hint="eastAsia" w:cs="Calibri"/>
        </w:rPr>
        <w:t>一、</w:t>
      </w:r>
      <w:r>
        <w:rPr>
          <w:rFonts w:cs="Calibri"/>
        </w:rPr>
        <w:t>采购内容一览表</w:t>
      </w:r>
    </w:p>
    <w:tbl>
      <w:tblPr>
        <w:tblStyle w:val="60"/>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78"/>
        <w:gridCol w:w="683"/>
        <w:gridCol w:w="758"/>
        <w:gridCol w:w="1075"/>
        <w:gridCol w:w="1526"/>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cs="Calibri"/>
                <w:kern w:val="0"/>
                <w:szCs w:val="21"/>
              </w:rPr>
            </w:pPr>
            <w:r>
              <w:rPr>
                <w:rFonts w:cs="Calibri"/>
                <w:kern w:val="0"/>
                <w:szCs w:val="21"/>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cs="Calibri"/>
                <w:szCs w:val="21"/>
              </w:rPr>
            </w:pPr>
            <w:r>
              <w:rPr>
                <w:rFonts w:hint="eastAsia" w:ascii="黑体" w:hAnsi="黑体" w:eastAsia="黑体" w:cs="黑体"/>
                <w:color w:val="000000"/>
                <w:kern w:val="0"/>
                <w:szCs w:val="21"/>
              </w:rPr>
              <w:t>浙江省省本级、杭州市按疾病诊断相关分组（DRGs）点数法支付方式专业化服务项目</w:t>
            </w: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Calibri"/>
                <w:kern w:val="0"/>
                <w:szCs w:val="21"/>
              </w:rPr>
            </w:pPr>
            <w:r>
              <w:rPr>
                <w:rFonts w:cs="Calibri"/>
                <w:kern w:val="0"/>
                <w:szCs w:val="21"/>
              </w:rPr>
              <w:t>1</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Calibri"/>
                <w:kern w:val="0"/>
                <w:szCs w:val="21"/>
              </w:rPr>
            </w:pPr>
            <w:r>
              <w:rPr>
                <w:rFonts w:cs="Calibri"/>
                <w:kern w:val="0"/>
                <w:szCs w:val="21"/>
              </w:rPr>
              <w:t>项</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rPr>
                <w:rFonts w:hint="eastAsia" w:cs="Calibri"/>
              </w:rPr>
            </w:pPr>
            <w:r>
              <w:rPr>
                <w:rFonts w:hint="eastAsia" w:cs="Calibri"/>
                <w:kern w:val="0"/>
                <w:szCs w:val="21"/>
              </w:rPr>
              <w:t>9900000</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Calibri"/>
                <w:szCs w:val="21"/>
              </w:rPr>
            </w:pPr>
            <w:r>
              <w:rPr>
                <w:rFonts w:cs="Calibri"/>
                <w:kern w:val="0"/>
                <w:szCs w:val="21"/>
              </w:rPr>
              <w:t>详见“</w:t>
            </w:r>
            <w:r>
              <w:rPr>
                <w:rFonts w:cs="Calibri"/>
                <w:color w:val="000000"/>
              </w:rPr>
              <w:t xml:space="preserve">第二部分 </w:t>
            </w:r>
            <w:r>
              <w:rPr>
                <w:rFonts w:hint="eastAsia" w:cs="Calibri"/>
                <w:color w:val="000000"/>
              </w:rPr>
              <w:t>技术要求</w:t>
            </w:r>
            <w:r>
              <w:rPr>
                <w:rFonts w:cs="Calibri"/>
                <w:kern w:val="0"/>
                <w:szCs w:val="21"/>
              </w:rPr>
              <w:t>”。</w:t>
            </w:r>
          </w:p>
        </w:tc>
        <w:tc>
          <w:tcPr>
            <w:tcW w:w="2385" w:type="dxa"/>
            <w:noWrap w:val="0"/>
            <w:vAlign w:val="center"/>
          </w:tcPr>
          <w:p>
            <w:pPr>
              <w:rPr>
                <w:rFonts w:cs="Calibri"/>
                <w:kern w:val="0"/>
                <w:szCs w:val="21"/>
              </w:rPr>
            </w:pPr>
          </w:p>
          <w:p>
            <w:pPr>
              <w:rPr>
                <w:rFonts w:cs="Calibri"/>
                <w:kern w:val="0"/>
                <w:szCs w:val="21"/>
              </w:rPr>
            </w:pPr>
            <w:r>
              <w:rPr>
                <w:rFonts w:cs="Calibri"/>
                <w:kern w:val="0"/>
                <w:szCs w:val="21"/>
              </w:rPr>
              <w:t>最高限价：</w:t>
            </w:r>
            <w:r>
              <w:rPr>
                <w:rFonts w:hint="eastAsia" w:cs="Calibri"/>
                <w:kern w:val="0"/>
                <w:szCs w:val="21"/>
              </w:rPr>
              <w:t>9900000</w:t>
            </w:r>
            <w:r>
              <w:rPr>
                <w:rFonts w:cs="Calibri"/>
                <w:kern w:val="0"/>
                <w:szCs w:val="21"/>
              </w:rPr>
              <w:t>元；</w:t>
            </w:r>
          </w:p>
          <w:p>
            <w:pPr>
              <w:rPr>
                <w:rFonts w:cs="Calibri"/>
                <w:kern w:val="0"/>
                <w:szCs w:val="21"/>
              </w:rPr>
            </w:pPr>
            <w:r>
              <w:rPr>
                <w:rFonts w:cs="Calibri"/>
                <w:kern w:val="0"/>
                <w:szCs w:val="21"/>
              </w:rPr>
              <w:t>类型：服务项目。</w:t>
            </w:r>
          </w:p>
        </w:tc>
      </w:tr>
    </w:tbl>
    <w:p>
      <w:pPr>
        <w:pStyle w:val="425"/>
        <w:spacing w:line="300" w:lineRule="auto"/>
        <w:ind w:firstLine="420" w:firstLineChars="200"/>
        <w:rPr>
          <w:rFonts w:ascii="Calibri" w:hAnsi="Calibri" w:cs="Calibri"/>
        </w:rPr>
      </w:pPr>
    </w:p>
    <w:p>
      <w:pPr>
        <w:pStyle w:val="4"/>
        <w:ind w:firstLine="420"/>
        <w:rPr>
          <w:rFonts w:hint="eastAsia" w:cs="Calibri"/>
        </w:rPr>
      </w:pPr>
      <w:r>
        <w:rPr>
          <w:rFonts w:cs="Calibri"/>
        </w:rPr>
        <w:t xml:space="preserve">第二部分 </w:t>
      </w:r>
      <w:r>
        <w:rPr>
          <w:rFonts w:hint="eastAsia" w:cs="Calibri"/>
        </w:rPr>
        <w:t>技术要求</w:t>
      </w:r>
    </w:p>
    <w:p>
      <w:pPr>
        <w:keepNext/>
        <w:keepLines/>
        <w:numPr>
          <w:ilvl w:val="0"/>
          <w:numId w:val="31"/>
        </w:numPr>
        <w:outlineLvl w:val="1"/>
        <w:rPr>
          <w:rFonts w:hint="eastAsia" w:ascii="仿宋" w:hAnsi="仿宋" w:eastAsia="仿宋" w:cs="仿宋"/>
          <w:b/>
          <w:bCs/>
          <w:sz w:val="28"/>
          <w:szCs w:val="28"/>
        </w:rPr>
      </w:pPr>
      <w:r>
        <w:rPr>
          <w:rFonts w:hint="eastAsia" w:ascii="仿宋" w:hAnsi="仿宋" w:eastAsia="仿宋" w:cs="仿宋"/>
          <w:b/>
          <w:bCs/>
          <w:sz w:val="28"/>
          <w:szCs w:val="28"/>
        </w:rPr>
        <w:t>项目背景</w:t>
      </w:r>
    </w:p>
    <w:p>
      <w:pPr>
        <w:pStyle w:val="321"/>
        <w:adjustRightInd/>
        <w:snapToGrid/>
        <w:spacing w:line="480" w:lineRule="atLeast"/>
        <w:ind w:firstLine="560"/>
        <w:rPr>
          <w:rFonts w:hint="eastAsia" w:ascii="仿宋" w:hAnsi="仿宋" w:eastAsia="仿宋" w:cs="仿宋"/>
          <w:sz w:val="28"/>
          <w:szCs w:val="28"/>
          <w:shd w:val="clear" w:color="auto" w:fill="FFFFFF"/>
          <w:lang w:eastAsia="zh-Hans"/>
        </w:rPr>
      </w:pPr>
      <w:r>
        <w:rPr>
          <w:rFonts w:hint="eastAsia" w:ascii="仿宋" w:hAnsi="仿宋" w:eastAsia="仿宋" w:cs="仿宋"/>
          <w:sz w:val="28"/>
          <w:szCs w:val="28"/>
          <w:shd w:val="clear" w:color="auto" w:fill="FFFFFF"/>
          <w:lang w:eastAsia="zh-Hans"/>
        </w:rPr>
        <w:t>根据《关于推进全省县域医共体基本医疗保险支付方式改革的意见》（浙医保联发〔2019〕12号）《浙江省基本医疗保险住院费用DRGs点数付费暂行办法》（浙医保联发〔2019〕21号）</w:t>
      </w:r>
      <w:r>
        <w:rPr>
          <w:rFonts w:hint="eastAsia" w:ascii="仿宋" w:hAnsi="仿宋" w:eastAsia="仿宋" w:cs="仿宋"/>
          <w:sz w:val="28"/>
          <w:szCs w:val="28"/>
          <w:shd w:val="clear" w:color="auto" w:fill="FFFFFF"/>
        </w:rPr>
        <w:t>等</w:t>
      </w:r>
      <w:r>
        <w:rPr>
          <w:rFonts w:hint="eastAsia" w:ascii="仿宋" w:hAnsi="仿宋" w:eastAsia="仿宋" w:cs="仿宋"/>
          <w:sz w:val="28"/>
          <w:szCs w:val="28"/>
          <w:shd w:val="clear" w:color="auto" w:fill="FFFFFF"/>
          <w:lang w:eastAsia="zh-Hans"/>
        </w:rPr>
        <w:t>精神，</w:t>
      </w:r>
      <w:r>
        <w:rPr>
          <w:rFonts w:hint="eastAsia" w:ascii="仿宋" w:hAnsi="仿宋" w:eastAsia="仿宋" w:cs="仿宋"/>
          <w:sz w:val="28"/>
          <w:szCs w:val="28"/>
          <w:shd w:val="clear" w:color="auto" w:fill="FFFFFF"/>
        </w:rPr>
        <w:t>自</w:t>
      </w:r>
      <w:r>
        <w:rPr>
          <w:rFonts w:hint="eastAsia" w:ascii="仿宋" w:hAnsi="仿宋" w:eastAsia="仿宋" w:cs="仿宋"/>
          <w:sz w:val="28"/>
          <w:szCs w:val="28"/>
          <w:shd w:val="clear" w:color="auto" w:fill="FFFFFF"/>
          <w:lang w:eastAsia="zh-Hans"/>
        </w:rPr>
        <w:t>2020年</w:t>
      </w:r>
      <w:r>
        <w:rPr>
          <w:rFonts w:hint="eastAsia" w:ascii="仿宋" w:hAnsi="仿宋" w:eastAsia="仿宋" w:cs="仿宋"/>
          <w:sz w:val="28"/>
          <w:szCs w:val="28"/>
          <w:shd w:val="clear" w:color="auto" w:fill="FFFFFF"/>
        </w:rPr>
        <w:t>起，浙江省</w:t>
      </w:r>
      <w:r>
        <w:rPr>
          <w:rFonts w:hint="eastAsia" w:ascii="仿宋" w:hAnsi="仿宋" w:eastAsia="仿宋" w:cs="仿宋"/>
          <w:sz w:val="28"/>
          <w:szCs w:val="28"/>
          <w:shd w:val="clear" w:color="auto" w:fill="FFFFFF"/>
          <w:lang w:eastAsia="zh-Hans"/>
        </w:rPr>
        <w:t>全面推进医保支付方式改革，对住院医疗服务实施在总额预算管理下的按疾病诊断相关分组（以下简称DRGs）结合点数付费。从实施后的运行情况看，</w:t>
      </w:r>
      <w:r>
        <w:rPr>
          <w:rFonts w:hint="eastAsia" w:ascii="仿宋" w:hAnsi="仿宋" w:eastAsia="仿宋" w:cs="仿宋"/>
          <w:sz w:val="28"/>
          <w:szCs w:val="28"/>
          <w:shd w:val="clear" w:color="auto" w:fill="FFFFFF"/>
        </w:rPr>
        <w:t>DRG</w:t>
      </w:r>
      <w:r>
        <w:rPr>
          <w:rFonts w:hint="eastAsia" w:ascii="仿宋" w:hAnsi="仿宋" w:eastAsia="仿宋" w:cs="仿宋"/>
          <w:sz w:val="28"/>
          <w:szCs w:val="28"/>
          <w:shd w:val="clear" w:color="auto" w:fill="FFFFFF"/>
          <w:lang w:eastAsia="zh-Hans"/>
        </w:rPr>
        <w:t>支付方式改革工作在在保障群众获得优质医药服务、推动医疗机构高质量发展、防范化解基金运行风险、引导医疗机构合理配置方面发挥了关键作用，有效促进了医疗、医药、医保“三医联动”，真正实现了群众、医院、政府多方共赢。</w:t>
      </w:r>
    </w:p>
    <w:p>
      <w:pPr>
        <w:pStyle w:val="321"/>
        <w:adjustRightInd/>
        <w:snapToGrid/>
        <w:spacing w:line="480" w:lineRule="atLeast"/>
        <w:ind w:firstLine="560"/>
        <w:rPr>
          <w:rFonts w:hint="eastAsia" w:ascii="仿宋" w:hAnsi="仿宋" w:eastAsia="仿宋" w:cs="仿宋"/>
          <w:sz w:val="28"/>
          <w:szCs w:val="28"/>
          <w:shd w:val="clear" w:color="auto" w:fill="FFFFFF"/>
          <w:lang w:eastAsia="zh-Hans"/>
        </w:rPr>
      </w:pPr>
      <w:r>
        <w:rPr>
          <w:rFonts w:hint="eastAsia" w:ascii="仿宋" w:hAnsi="仿宋" w:eastAsia="仿宋" w:cs="仿宋"/>
          <w:sz w:val="28"/>
          <w:szCs w:val="28"/>
          <w:shd w:val="clear" w:color="auto" w:fill="FFFFFF"/>
          <w:lang w:eastAsia="zh-Hans"/>
        </w:rPr>
        <w:t>2020年4月，《浙江省省级及杭州市基本医疗保险住院费用DRGs点数付费实施细则（试行）》（浙医保联发〔2020〕11号）要求医保经办机构应不断加强病案质量监控，建立健全医保相关病历审核等机制，定期组织病案交叉抽样检查。</w:t>
      </w:r>
    </w:p>
    <w:p>
      <w:pPr>
        <w:pStyle w:val="321"/>
        <w:adjustRightInd/>
        <w:snapToGrid/>
        <w:spacing w:line="480" w:lineRule="atLeast"/>
        <w:ind w:firstLine="560"/>
        <w:rPr>
          <w:rFonts w:hint="eastAsia" w:ascii="仿宋" w:hAnsi="仿宋" w:eastAsia="仿宋" w:cs="仿宋"/>
          <w:sz w:val="28"/>
          <w:szCs w:val="28"/>
          <w:shd w:val="clear" w:color="auto" w:fill="FFFFFF"/>
          <w:lang w:eastAsia="zh-Hans"/>
        </w:rPr>
      </w:pPr>
      <w:r>
        <w:rPr>
          <w:rFonts w:hint="eastAsia" w:ascii="仿宋" w:hAnsi="仿宋" w:eastAsia="仿宋" w:cs="仿宋"/>
          <w:sz w:val="28"/>
          <w:szCs w:val="28"/>
          <w:shd w:val="clear" w:color="auto" w:fill="FFFFFF"/>
          <w:lang w:eastAsia="zh-Hans"/>
        </w:rPr>
        <w:t>2021年9月，《浙江省基本医疗保险DRGs点数付费评价办法（试行）》（浙医保发〔2021〕50号）要求医保部门日常对医疗机构“分解住院”等违规医疗行为进行监管，组织有关部门和专家组对医疗机构执行DRGs点数付费改革工作开展评价。</w:t>
      </w:r>
    </w:p>
    <w:p>
      <w:pPr>
        <w:pStyle w:val="321"/>
        <w:adjustRightInd/>
        <w:snapToGrid/>
        <w:spacing w:line="480" w:lineRule="atLeast"/>
        <w:ind w:firstLine="560"/>
        <w:rPr>
          <w:rFonts w:hint="eastAsia" w:ascii="仿宋" w:hAnsi="仿宋" w:eastAsia="仿宋" w:cs="仿宋"/>
          <w:sz w:val="28"/>
          <w:szCs w:val="28"/>
          <w:shd w:val="clear" w:color="auto" w:fill="FFFFFF"/>
          <w:lang w:eastAsia="zh-Hans"/>
        </w:rPr>
      </w:pPr>
      <w:r>
        <w:rPr>
          <w:rFonts w:hint="eastAsia" w:ascii="仿宋" w:hAnsi="仿宋" w:eastAsia="仿宋" w:cs="仿宋"/>
          <w:sz w:val="28"/>
          <w:szCs w:val="28"/>
          <w:shd w:val="clear" w:color="auto" w:fill="FFFFFF"/>
          <w:lang w:eastAsia="zh-Hans"/>
        </w:rPr>
        <w:t>2022年3月，浙江省医疗保障局印发《浙江省全面推进医保支付方式改革三年行动计划》（浙医保发〔2022〕14号）提出“以加快建立管用高效的医保支付机制为目标，分期推进门诊支付方式改革，迭代升级住院DRG支付方式改革”的要求，聚焦抓扩面、建机制、打基础、推协同四个方面，分阶段、抓重点、螺旋式推进改革工作，建立完善机制，注重提质增效，高质量完成支付方式改革各项任务。</w:t>
      </w:r>
    </w:p>
    <w:p>
      <w:pPr>
        <w:pStyle w:val="321"/>
        <w:adjustRightInd/>
        <w:snapToGrid/>
        <w:spacing w:line="480" w:lineRule="atLeast"/>
        <w:ind w:firstLine="560"/>
        <w:rPr>
          <w:rFonts w:hint="eastAsia" w:ascii="仿宋" w:hAnsi="仿宋" w:eastAsia="仿宋" w:cs="仿宋"/>
          <w:sz w:val="28"/>
          <w:szCs w:val="28"/>
          <w:shd w:val="clear" w:color="auto" w:fill="FFFFFF"/>
          <w:lang w:eastAsia="zh-Hans"/>
        </w:rPr>
      </w:pPr>
      <w:r>
        <w:rPr>
          <w:rFonts w:hint="eastAsia" w:ascii="仿宋" w:hAnsi="仿宋" w:eastAsia="仿宋" w:cs="仿宋"/>
          <w:sz w:val="28"/>
          <w:szCs w:val="28"/>
          <w:shd w:val="clear" w:color="auto" w:fill="FFFFFF"/>
          <w:lang w:eastAsia="zh-Hans"/>
        </w:rPr>
        <w:t>为持续迭代升级住院DRG支付方式改革，不断加强DRG</w:t>
      </w:r>
      <w:r>
        <w:rPr>
          <w:rFonts w:hint="eastAsia" w:ascii="仿宋" w:hAnsi="仿宋" w:eastAsia="仿宋" w:cs="仿宋"/>
          <w:sz w:val="28"/>
          <w:szCs w:val="28"/>
          <w:shd w:val="clear" w:color="auto" w:fill="FFFFFF"/>
        </w:rPr>
        <w:t>审核</w:t>
      </w:r>
      <w:r>
        <w:rPr>
          <w:rFonts w:hint="eastAsia" w:ascii="仿宋" w:hAnsi="仿宋" w:eastAsia="仿宋" w:cs="仿宋"/>
          <w:sz w:val="28"/>
          <w:szCs w:val="28"/>
          <w:shd w:val="clear" w:color="auto" w:fill="FFFFFF"/>
          <w:lang w:eastAsia="zh-Hans"/>
        </w:rPr>
        <w:t>与精细化管理水平，综合DRG支付方式改革工作任务量大、专业性强</w:t>
      </w:r>
      <w:r>
        <w:rPr>
          <w:rFonts w:hint="eastAsia" w:ascii="仿宋" w:hAnsi="仿宋" w:eastAsia="仿宋" w:cs="仿宋"/>
          <w:sz w:val="28"/>
          <w:szCs w:val="28"/>
          <w:shd w:val="clear" w:color="auto" w:fill="FFFFFF"/>
          <w:lang w:eastAsia="zh-CN"/>
        </w:rPr>
        <w:t>等</w:t>
      </w:r>
      <w:r>
        <w:rPr>
          <w:rFonts w:hint="eastAsia" w:ascii="仿宋" w:hAnsi="仿宋" w:eastAsia="仿宋" w:cs="仿宋"/>
          <w:sz w:val="28"/>
          <w:szCs w:val="28"/>
          <w:shd w:val="clear" w:color="auto" w:fill="FFFFFF"/>
          <w:lang w:eastAsia="zh-Hans"/>
        </w:rPr>
        <w:t>实际情况，决定继续以公开招标的形式，确定第三方服务供应商，协助医保部门开展DRG支付方式改革工作，从而全面建成医保基金预算更加合理、分类方法更加科学、协同保障更加有力、资源配置更加有效的医保支付新机制。</w:t>
      </w:r>
    </w:p>
    <w:p>
      <w:pPr>
        <w:keepNext/>
        <w:keepLines/>
        <w:numPr>
          <w:ilvl w:val="0"/>
          <w:numId w:val="0"/>
        </w:numPr>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sz w:val="28"/>
          <w:szCs w:val="28"/>
        </w:rPr>
        <w:t>、</w:t>
      </w:r>
      <w:r>
        <w:rPr>
          <w:rFonts w:hint="eastAsia" w:ascii="仿宋" w:hAnsi="仿宋" w:eastAsia="仿宋" w:cs="仿宋"/>
          <w:b/>
          <w:bCs/>
          <w:sz w:val="28"/>
          <w:szCs w:val="28"/>
        </w:rPr>
        <w:t>服务内容</w:t>
      </w:r>
    </w:p>
    <w:p>
      <w:pPr>
        <w:widowControl/>
        <w:spacing w:line="360" w:lineRule="auto"/>
        <w:ind w:firstLine="560" w:firstLineChars="200"/>
        <w:jc w:val="left"/>
        <w:textAlignment w:val="baseline"/>
        <w:rPr>
          <w:rFonts w:hint="eastAsia" w:ascii="仿宋" w:hAnsi="仿宋" w:eastAsia="仿宋" w:cs="仿宋"/>
          <w:kern w:val="0"/>
          <w:sz w:val="28"/>
          <w:szCs w:val="28"/>
          <w:shd w:val="clear" w:color="auto" w:fill="FFFFFF"/>
          <w:lang w:val="zh-CN"/>
        </w:rPr>
      </w:pPr>
      <w:r>
        <w:rPr>
          <w:rFonts w:hint="eastAsia" w:ascii="仿宋" w:hAnsi="仿宋" w:eastAsia="仿宋" w:cs="仿宋"/>
          <w:sz w:val="28"/>
          <w:szCs w:val="28"/>
          <w:shd w:val="clear" w:color="auto" w:fill="FFFFFF"/>
        </w:rPr>
        <w:t>服务内容包含如下内容：</w:t>
      </w:r>
    </w:p>
    <w:p>
      <w:pPr>
        <w:keepNext/>
        <w:keepLines/>
        <w:numPr>
          <w:ilvl w:val="1"/>
          <w:numId w:val="0"/>
        </w:numPr>
        <w:spacing w:line="360" w:lineRule="auto"/>
        <w:ind w:firstLine="562" w:firstLineChars="200"/>
        <w:jc w:val="left"/>
        <w:outlineLvl w:val="2"/>
        <w:rPr>
          <w:rFonts w:hint="eastAsia" w:ascii="仿宋" w:hAnsi="仿宋" w:eastAsia="仿宋" w:cs="仿宋"/>
          <w:b/>
          <w:bCs/>
          <w:sz w:val="28"/>
          <w:szCs w:val="28"/>
        </w:rPr>
      </w:pPr>
      <w:r>
        <w:rPr>
          <w:rFonts w:hint="eastAsia" w:ascii="仿宋" w:hAnsi="仿宋" w:eastAsia="仿宋" w:cs="仿宋"/>
          <w:b/>
          <w:bCs/>
          <w:sz w:val="28"/>
          <w:szCs w:val="28"/>
        </w:rPr>
        <w:t>（一）DRG点数法付费服务</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1、根据DRG点数法建立付费支撑体系及持续优化服务</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提供DRG支付方式改革运行评估服务。根据年度就医整体人次变化情况、人次人头比变化情况、次均床日变化情况、患者自费情况、定点医疗机构结付率情况、轻重症患者就医情况、基金结余情况、服务能力、效率、质量指标变化情况等，对按DRG付费的整体政策进行运行评估与优化调整。</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rPr>
        <w:t>）提供DRG费用支付支撑服务。基于历史数据法、作业成本法，开展DRG点数、点值、差异系数、成本系数等核心指标的测算，并充分考虑当前医保政策带给支付的影响因素，以及业务管理需求，从多个维度与历史清算结果进行分析对比，</w:t>
      </w:r>
      <w:r>
        <w:rPr>
          <w:rFonts w:hint="eastAsia" w:ascii="仿宋" w:hAnsi="仿宋" w:eastAsia="仿宋" w:cs="仿宋"/>
          <w:sz w:val="28"/>
          <w:szCs w:val="28"/>
          <w:lang w:eastAsia="zh-Hans"/>
        </w:rPr>
        <w:t>确保DRG</w:t>
      </w:r>
      <w:r>
        <w:rPr>
          <w:rFonts w:hint="eastAsia" w:ascii="仿宋" w:hAnsi="仿宋" w:eastAsia="仿宋" w:cs="仿宋"/>
          <w:sz w:val="28"/>
          <w:szCs w:val="28"/>
        </w:rPr>
        <w:t>支付方案</w:t>
      </w:r>
      <w:r>
        <w:rPr>
          <w:rFonts w:hint="eastAsia" w:ascii="仿宋" w:hAnsi="仿宋" w:eastAsia="仿宋" w:cs="仿宋"/>
          <w:sz w:val="28"/>
          <w:szCs w:val="28"/>
          <w:lang w:eastAsia="zh-Hans"/>
        </w:rPr>
        <w:t>的准确</w:t>
      </w:r>
      <w:r>
        <w:rPr>
          <w:rFonts w:hint="eastAsia" w:ascii="仿宋" w:hAnsi="仿宋" w:eastAsia="仿宋" w:cs="仿宋"/>
          <w:sz w:val="28"/>
          <w:szCs w:val="28"/>
        </w:rPr>
        <w:t>可靠。</w:t>
      </w:r>
    </w:p>
    <w:p>
      <w:pPr>
        <w:widowControl/>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sz w:val="28"/>
          <w:szCs w:val="28"/>
        </w:rPr>
        <w:t>3）提供对测算指标等重要参数的查询及校验服务。</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2、基于DRG点数法付费构建配套结算</w:t>
      </w:r>
      <w:r>
        <w:rPr>
          <w:rFonts w:hint="eastAsia" w:ascii="仿宋" w:hAnsi="仿宋" w:eastAsia="仿宋" w:cs="仿宋"/>
          <w:b/>
          <w:sz w:val="28"/>
          <w:szCs w:val="28"/>
          <w:lang w:eastAsia="zh-CN"/>
        </w:rPr>
        <w:t>清算</w:t>
      </w:r>
      <w:r>
        <w:rPr>
          <w:rFonts w:hint="eastAsia" w:ascii="仿宋" w:hAnsi="仿宋" w:eastAsia="仿宋" w:cs="仿宋"/>
          <w:b/>
          <w:sz w:val="28"/>
          <w:szCs w:val="28"/>
        </w:rPr>
        <w:t>体系服务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1）提供预算</w:t>
      </w:r>
      <w:r>
        <w:rPr>
          <w:rFonts w:hint="eastAsia" w:ascii="仿宋" w:hAnsi="仿宋" w:eastAsia="仿宋" w:cs="仿宋"/>
          <w:sz w:val="28"/>
          <w:szCs w:val="28"/>
          <w:lang w:eastAsia="zh-CN"/>
        </w:rPr>
        <w:t>管理</w:t>
      </w:r>
      <w:r>
        <w:rPr>
          <w:rFonts w:hint="eastAsia" w:ascii="仿宋" w:hAnsi="仿宋" w:eastAsia="仿宋" w:cs="仿宋"/>
          <w:sz w:val="28"/>
          <w:szCs w:val="28"/>
        </w:rPr>
        <w:t>服务。协助医保部门做好医保资源分配及医疗资源规划，按照以收定支、收支平衡、略有结余的原则，综合考虑各类支出风险的情况下，统筹考虑物价水平、参保人医疗消费行为、总额增长率等因素，合理确定医保总额预算指标，提供预算</w:t>
      </w:r>
      <w:r>
        <w:rPr>
          <w:rFonts w:hint="eastAsia" w:ascii="仿宋" w:hAnsi="仿宋" w:eastAsia="仿宋" w:cs="仿宋"/>
          <w:sz w:val="28"/>
          <w:szCs w:val="28"/>
          <w:lang w:eastAsia="zh-CN"/>
        </w:rPr>
        <w:t>管理</w:t>
      </w:r>
      <w:r>
        <w:rPr>
          <w:rFonts w:hint="eastAsia" w:ascii="仿宋" w:hAnsi="仿宋" w:eastAsia="仿宋" w:cs="仿宋"/>
          <w:sz w:val="28"/>
          <w:szCs w:val="28"/>
        </w:rPr>
        <w:t>方案。</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2）提供基金结算服务。通过与核心业务进行DRG结算数据交互，实现月度</w:t>
      </w:r>
      <w:r>
        <w:rPr>
          <w:rFonts w:hint="eastAsia" w:ascii="仿宋" w:hAnsi="仿宋" w:eastAsia="仿宋" w:cs="仿宋"/>
          <w:sz w:val="28"/>
          <w:szCs w:val="28"/>
          <w:lang w:eastAsia="zh-CN"/>
        </w:rPr>
        <w:t>结算</w:t>
      </w:r>
      <w:r>
        <w:rPr>
          <w:rFonts w:hint="eastAsia" w:ascii="仿宋" w:hAnsi="仿宋" w:eastAsia="仿宋" w:cs="仿宋"/>
          <w:sz w:val="28"/>
          <w:szCs w:val="28"/>
        </w:rPr>
        <w:t>、年终清算、支付相关的各类系数管理等事项服务；协助经办机构对床日、15日再入院、特病单议等病例进行审核，并通知定点医疗机构提交相关病例材料。定期对医疗机构提交的相关病例材料组织专家或委托符合条件的第三方机构进行现场评定，根据评审结果在年度清算时给予调整。</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3）提供DRG</w:t>
      </w:r>
      <w:r>
        <w:rPr>
          <w:rFonts w:hint="eastAsia" w:ascii="仿宋" w:hAnsi="仿宋" w:eastAsia="仿宋" w:cs="仿宋"/>
          <w:sz w:val="28"/>
          <w:szCs w:val="28"/>
          <w:lang w:eastAsia="zh-CN"/>
        </w:rPr>
        <w:t>清算结果</w:t>
      </w:r>
      <w:r>
        <w:rPr>
          <w:rFonts w:hint="eastAsia" w:ascii="仿宋" w:hAnsi="仿宋" w:eastAsia="仿宋" w:cs="仿宋"/>
          <w:sz w:val="28"/>
          <w:szCs w:val="28"/>
        </w:rPr>
        <w:t>公示服务。协助医保部门向定点医疗机构就病例分组结果、病例相应分值、病例支付标准等相关信息进行公示，并对存在异议的分组结果进行汇总评估，将定点医疗机构的合理反馈做出相应的调整。</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4）提供医保结算清单入组情况分析服务。对定点医疗机构上传的医保结算清单入组情况进行整体分析与评估，不限于未入组病案占比、已入组病案占比、未入组病案的原因分类分析，包括编码质量、数据质量、未按时上报医保结算清单等。</w:t>
      </w:r>
    </w:p>
    <w:p>
      <w:pPr>
        <w:widowControl/>
        <w:spacing w:line="360" w:lineRule="auto"/>
        <w:ind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（二）DRG点数法智能审核及大数据预警服务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对定点医疗机构存在的高套多编、转嫁医疗费用、医疗服务不足、低指征入院、推诿重患等行为进行有效管理，提升医保基金使用效率和医院的精细化管理水平，服务包含如下内容：</w:t>
      </w:r>
    </w:p>
    <w:p>
      <w:pPr>
        <w:widowControl/>
        <w:spacing w:line="360" w:lineRule="auto"/>
        <w:ind w:firstLine="562" w:firstLineChars="200"/>
        <w:jc w:val="left"/>
        <w:textAlignment w:val="baseline"/>
        <w:rPr>
          <w:rFonts w:hint="eastAsia" w:ascii="仿宋" w:hAnsi="仿宋" w:eastAsia="仿宋" w:cs="仿宋"/>
          <w:b/>
          <w:sz w:val="28"/>
          <w:szCs w:val="28"/>
        </w:rPr>
      </w:pPr>
      <w:r>
        <w:rPr>
          <w:rFonts w:hint="eastAsia" w:ascii="仿宋" w:hAnsi="仿宋" w:eastAsia="仿宋" w:cs="仿宋"/>
          <w:b/>
          <w:sz w:val="28"/>
          <w:szCs w:val="28"/>
        </w:rPr>
        <w:t>1、提供DRG病例分组质控及审核服务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基于人工智能、自然语言识别技术的疾病治疗核心体系，结合疾病治疗关键消耗与关键特征，构建</w:t>
      </w:r>
      <w:r>
        <w:rPr>
          <w:rFonts w:hint="eastAsia" w:ascii="仿宋" w:hAnsi="仿宋" w:eastAsia="仿宋" w:cs="仿宋"/>
          <w:sz w:val="28"/>
          <w:szCs w:val="28"/>
          <w:lang w:eastAsia="zh-CN"/>
        </w:rPr>
        <w:t>具备</w:t>
      </w:r>
      <w:r>
        <w:rPr>
          <w:rFonts w:hint="eastAsia" w:ascii="仿宋" w:hAnsi="仿宋" w:eastAsia="仿宋" w:cs="仿宋"/>
          <w:sz w:val="28"/>
          <w:szCs w:val="28"/>
        </w:rPr>
        <w:t>临床医学知识库、审核规则库</w:t>
      </w:r>
      <w:r>
        <w:rPr>
          <w:rFonts w:hint="eastAsia" w:ascii="仿宋" w:hAnsi="仿宋" w:eastAsia="仿宋" w:cs="仿宋"/>
          <w:sz w:val="28"/>
          <w:szCs w:val="28"/>
          <w:lang w:eastAsia="zh-CN"/>
        </w:rPr>
        <w:t>的</w:t>
      </w:r>
      <w:r>
        <w:rPr>
          <w:rFonts w:hint="eastAsia" w:ascii="仿宋" w:hAnsi="仿宋" w:eastAsia="仿宋" w:cs="仿宋"/>
          <w:sz w:val="28"/>
          <w:szCs w:val="28"/>
        </w:rPr>
        <w:t>DRG分组质控及智能审核体系，协助完善审核规则体系，开展DRG病例分组质控及智能审核服务等。</w:t>
      </w:r>
    </w:p>
    <w:p>
      <w:pPr>
        <w:widowControl/>
        <w:spacing w:line="360" w:lineRule="auto"/>
        <w:ind w:firstLine="562" w:firstLineChars="200"/>
        <w:jc w:val="left"/>
        <w:textAlignment w:val="baseline"/>
        <w:rPr>
          <w:rFonts w:hint="eastAsia" w:ascii="仿宋" w:hAnsi="仿宋" w:eastAsia="仿宋" w:cs="仿宋"/>
          <w:b/>
          <w:sz w:val="28"/>
          <w:szCs w:val="28"/>
        </w:rPr>
      </w:pPr>
      <w:r>
        <w:rPr>
          <w:rFonts w:hint="eastAsia" w:ascii="仿宋" w:hAnsi="仿宋" w:eastAsia="仿宋" w:cs="仿宋"/>
          <w:b/>
          <w:sz w:val="28"/>
          <w:szCs w:val="28"/>
        </w:rPr>
        <w:t>2、提供基于大数据的DRG数据预警分析服务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通过</w:t>
      </w:r>
      <w:r>
        <w:rPr>
          <w:rFonts w:hint="eastAsia" w:ascii="仿宋" w:hAnsi="仿宋" w:eastAsia="仿宋" w:cs="仿宋"/>
          <w:sz w:val="28"/>
          <w:szCs w:val="28"/>
          <w:lang w:eastAsia="zh-CN"/>
        </w:rPr>
        <w:t>设置</w:t>
      </w:r>
      <w:r>
        <w:rPr>
          <w:rFonts w:hint="eastAsia" w:ascii="仿宋" w:hAnsi="仿宋" w:eastAsia="仿宋" w:cs="仿宋"/>
          <w:sz w:val="28"/>
          <w:szCs w:val="28"/>
        </w:rPr>
        <w:t>DRG指标定义及阈值</w:t>
      </w:r>
      <w:r>
        <w:rPr>
          <w:rFonts w:hint="eastAsia" w:ascii="仿宋" w:hAnsi="仿宋" w:eastAsia="仿宋" w:cs="仿宋"/>
          <w:sz w:val="28"/>
          <w:szCs w:val="28"/>
          <w:lang w:eastAsia="zh-CN"/>
        </w:rPr>
        <w:t>，围绕</w:t>
      </w:r>
      <w:r>
        <w:rPr>
          <w:rFonts w:hint="eastAsia" w:ascii="仿宋" w:hAnsi="仿宋" w:eastAsia="仿宋" w:cs="仿宋"/>
          <w:sz w:val="28"/>
          <w:szCs w:val="28"/>
        </w:rPr>
        <w:t>医院的服务能力、服务效率、服务质量</w:t>
      </w:r>
      <w:r>
        <w:rPr>
          <w:rFonts w:hint="eastAsia" w:ascii="仿宋" w:hAnsi="仿宋" w:eastAsia="仿宋" w:cs="仿宋"/>
          <w:sz w:val="28"/>
          <w:szCs w:val="28"/>
          <w:lang w:eastAsia="zh-CN"/>
        </w:rPr>
        <w:t>等方面</w:t>
      </w:r>
      <w:r>
        <w:rPr>
          <w:rFonts w:hint="eastAsia" w:ascii="仿宋" w:hAnsi="仿宋" w:eastAsia="仿宋" w:cs="仿宋"/>
          <w:sz w:val="28"/>
          <w:szCs w:val="28"/>
        </w:rPr>
        <w:t>进行DRG综合指标分析、DRG专项</w:t>
      </w:r>
      <w:r>
        <w:rPr>
          <w:rFonts w:hint="eastAsia" w:ascii="仿宋" w:hAnsi="仿宋" w:eastAsia="仿宋" w:cs="仿宋"/>
          <w:sz w:val="28"/>
          <w:szCs w:val="28"/>
          <w:lang w:eastAsia="zh-CN"/>
        </w:rPr>
        <w:t>数据</w:t>
      </w:r>
      <w:r>
        <w:rPr>
          <w:rFonts w:hint="eastAsia" w:ascii="仿宋" w:hAnsi="仿宋" w:eastAsia="仿宋" w:cs="仿宋"/>
          <w:sz w:val="28"/>
          <w:szCs w:val="28"/>
        </w:rPr>
        <w:t>分析等服务</w:t>
      </w:r>
      <w:r>
        <w:rPr>
          <w:rFonts w:hint="eastAsia" w:ascii="仿宋" w:hAnsi="仿宋" w:eastAsia="仿宋" w:cs="仿宋"/>
          <w:sz w:val="28"/>
          <w:szCs w:val="28"/>
          <w:lang w:eastAsia="zh-CN"/>
        </w:rPr>
        <w:t>，</w:t>
      </w:r>
      <w:r>
        <w:rPr>
          <w:rFonts w:hint="eastAsia" w:ascii="仿宋" w:hAnsi="仿宋" w:eastAsia="仿宋" w:cs="仿宋"/>
          <w:sz w:val="28"/>
          <w:szCs w:val="28"/>
        </w:rPr>
        <w:t>对医疗服务行为异常的医疗机构及时向医保部门进行预警。按综合分析形成的医疗机构精准画像，对医疗机构的医疗行为进行客观、科学的评价，使医院有针对性的加强医疗质量管理、规范诊疗流程、减少医疗消耗、控制医疗费用、提高医疗服务效率。</w:t>
      </w:r>
    </w:p>
    <w:p>
      <w:pPr>
        <w:widowControl/>
        <w:spacing w:line="360" w:lineRule="auto"/>
        <w:ind w:firstLine="562" w:firstLineChars="200"/>
        <w:jc w:val="left"/>
        <w:textAlignment w:val="baseline"/>
        <w:rPr>
          <w:rFonts w:hint="eastAsia" w:ascii="仿宋" w:hAnsi="仿宋" w:eastAsia="仿宋" w:cs="仿宋"/>
          <w:b/>
          <w:sz w:val="28"/>
          <w:szCs w:val="28"/>
        </w:rPr>
      </w:pPr>
      <w:r>
        <w:rPr>
          <w:rFonts w:hint="eastAsia" w:ascii="仿宋" w:hAnsi="仿宋" w:eastAsia="仿宋" w:cs="仿宋"/>
          <w:b/>
          <w:sz w:val="28"/>
          <w:szCs w:val="28"/>
        </w:rPr>
        <w:t>3、提供基于DRG点数法付费的病案交叉评审、特病单议评审服务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通过建立病案评审专家库，建立健全随机抽取病案、大数据筛查病案及特病单议病案等线上与线下相结合的评审管理机制，随机抽取评审专家及评审病案，通过初审、复审、交叉审核，对电子病历、医保结算清单、医保结算费用明细、DRG分组结果、特病单议病案进行全流程的评审，确保病案审核结果的公平、公正。</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（三）DRG改革绩效评价及统计分析服务</w:t>
      </w:r>
    </w:p>
    <w:p>
      <w:pPr>
        <w:widowControl/>
        <w:spacing w:line="360" w:lineRule="auto"/>
        <w:ind w:firstLine="562" w:firstLineChars="200"/>
        <w:jc w:val="left"/>
        <w:textAlignment w:val="baseline"/>
        <w:rPr>
          <w:rFonts w:hint="eastAsia" w:ascii="仿宋" w:hAnsi="仿宋" w:eastAsia="仿宋" w:cs="仿宋"/>
          <w:b/>
          <w:sz w:val="28"/>
          <w:szCs w:val="28"/>
        </w:rPr>
      </w:pPr>
      <w:r>
        <w:rPr>
          <w:rFonts w:hint="eastAsia" w:ascii="仿宋" w:hAnsi="仿宋" w:eastAsia="仿宋" w:cs="仿宋"/>
          <w:b/>
          <w:sz w:val="28"/>
          <w:szCs w:val="28"/>
        </w:rPr>
        <w:t>1、提供DRG改革绩效评价服务</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根据DRG点数付费评价暂行办法，协助医保部门围绕定点医疗机构的服务能力、行为规范、DRGs费用控制等方面进行总体绩效评价，并对定点医疗机构的自评情况开展审核和复查。</w:t>
      </w:r>
    </w:p>
    <w:p>
      <w:pPr>
        <w:widowControl/>
        <w:spacing w:line="360" w:lineRule="auto"/>
        <w:ind w:firstLine="562" w:firstLineChars="200"/>
        <w:jc w:val="left"/>
        <w:textAlignment w:val="baseline"/>
        <w:rPr>
          <w:rFonts w:hint="eastAsia" w:ascii="仿宋" w:hAnsi="仿宋" w:eastAsia="仿宋" w:cs="仿宋"/>
          <w:b/>
          <w:sz w:val="28"/>
          <w:szCs w:val="28"/>
        </w:rPr>
      </w:pPr>
      <w:r>
        <w:rPr>
          <w:rFonts w:hint="eastAsia" w:ascii="仿宋" w:hAnsi="仿宋" w:eastAsia="仿宋" w:cs="仿宋"/>
          <w:b/>
          <w:sz w:val="28"/>
          <w:szCs w:val="28"/>
        </w:rPr>
        <w:t>2、提供DRG数据统计分析服务</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1）提供DRG清算综合指标统计服务，包括但不限于CMI值、各类费用占比、点值增幅、次均费用增幅、住院人次增幅、住院医疗费用增长率、住院医保基金支出增长率等。</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2）提供DRG清算综合指标分析服务，包括但不限于DRG点数法费用报表、费用结构报表、医疗服务能力、医疗服务效率、医疗服务质量、费用项目、住院医院关联、病例的审查分析（包括：合并症、离散病历、关键消耗等）等分析服务。</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通过上述三大类服务，形成包括但不限于如下的成果物：</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1）付费运行评估：协助医保部门对DRG支付方式改革的运行结果进行评估，出具评估分析报告。</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2）付费绩效评价：根据全省DRG付费评价办法，协助医保部门对纳入DRG点数付费的定点医疗机构开展绩效评价工作，出具定点医疗机构专项分析报告。</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3）业务运行支撑：</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①每年根据需求出具不少于4次DRG相关分析报表；</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②每年DRG年终清算后出具1次年度决算报告；</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③每年出具1次DRG年度绩效评价结果表；</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④每月按时完成DRG月度公示反馈、拨付等相关工作，并形成报告；</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⑤每月按时开展DRG工作例会讨论，并提供会议纪要；</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⑥每月按时对提出的DRG专项需求进行处理，并提供报告。</w:t>
      </w:r>
    </w:p>
    <w:p>
      <w:pPr>
        <w:keepNext/>
        <w:keepLines/>
        <w:numPr>
          <w:ilvl w:val="1"/>
          <w:numId w:val="0"/>
        </w:numPr>
        <w:spacing w:line="360" w:lineRule="auto"/>
        <w:ind w:firstLine="562" w:firstLineChars="200"/>
        <w:jc w:val="left"/>
        <w:outlineLvl w:val="2"/>
        <w:rPr>
          <w:rFonts w:hint="eastAsia" w:ascii="仿宋" w:hAnsi="仿宋" w:eastAsia="仿宋" w:cs="仿宋"/>
          <w:b/>
          <w:bCs/>
          <w:sz w:val="28"/>
          <w:szCs w:val="28"/>
        </w:rPr>
      </w:pPr>
      <w:r>
        <w:rPr>
          <w:rFonts w:hint="eastAsia" w:ascii="仿宋" w:hAnsi="仿宋" w:eastAsia="仿宋" w:cs="仿宋"/>
          <w:b/>
          <w:bCs/>
          <w:sz w:val="28"/>
          <w:szCs w:val="28"/>
        </w:rPr>
        <w:t>（四）与浙江省“智慧医保”系统衔接交互服务</w:t>
      </w:r>
    </w:p>
    <w:p>
      <w:pPr>
        <w:widowControl/>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kern w:val="0"/>
          <w:sz w:val="28"/>
          <w:szCs w:val="28"/>
        </w:rPr>
        <w:t>按要求</w:t>
      </w:r>
      <w:r>
        <w:rPr>
          <w:rFonts w:hint="eastAsia" w:ascii="仿宋" w:hAnsi="仿宋" w:eastAsia="仿宋" w:cs="仿宋"/>
          <w:kern w:val="0"/>
          <w:sz w:val="28"/>
          <w:szCs w:val="28"/>
          <w:lang w:val="zh-CN"/>
        </w:rPr>
        <w:t>与浙江省“智慧医保”系统完成两个方面的信息交互：一是在浙江省“智慧医保”系统数据专区获取定点医疗机构的医保结算清</w:t>
      </w:r>
      <w:r>
        <w:rPr>
          <w:rFonts w:hint="eastAsia" w:ascii="仿宋" w:hAnsi="仿宋" w:eastAsia="仿宋" w:cs="仿宋"/>
          <w:kern w:val="0"/>
          <w:sz w:val="28"/>
          <w:szCs w:val="28"/>
        </w:rPr>
        <w:t>单、医保结算清单的入组结果</w:t>
      </w:r>
      <w:r>
        <w:rPr>
          <w:rFonts w:hint="eastAsia" w:ascii="仿宋" w:hAnsi="仿宋" w:eastAsia="仿宋" w:cs="仿宋"/>
          <w:kern w:val="0"/>
          <w:sz w:val="28"/>
          <w:szCs w:val="28"/>
          <w:lang w:eastAsia="zh-CN"/>
        </w:rPr>
        <w:t>等</w:t>
      </w:r>
      <w:r>
        <w:rPr>
          <w:rFonts w:hint="eastAsia" w:ascii="仿宋" w:hAnsi="仿宋" w:eastAsia="仿宋" w:cs="仿宋"/>
          <w:kern w:val="0"/>
          <w:sz w:val="28"/>
          <w:szCs w:val="28"/>
        </w:rPr>
        <w:t>；二是将</w:t>
      </w:r>
      <w:r>
        <w:rPr>
          <w:rFonts w:hint="eastAsia" w:ascii="仿宋" w:hAnsi="仿宋" w:eastAsia="仿宋" w:cs="仿宋"/>
          <w:kern w:val="0"/>
          <w:sz w:val="28"/>
          <w:szCs w:val="28"/>
          <w:lang w:eastAsia="zh-CN"/>
        </w:rPr>
        <w:t>住院</w:t>
      </w:r>
      <w:r>
        <w:rPr>
          <w:rFonts w:hint="eastAsia" w:ascii="仿宋" w:hAnsi="仿宋" w:eastAsia="仿宋" w:cs="仿宋"/>
          <w:kern w:val="0"/>
          <w:sz w:val="28"/>
          <w:szCs w:val="28"/>
        </w:rPr>
        <w:t>病例的付费标准等信息</w:t>
      </w:r>
      <w:r>
        <w:rPr>
          <w:rFonts w:hint="eastAsia" w:ascii="仿宋" w:hAnsi="仿宋" w:eastAsia="仿宋" w:cs="仿宋"/>
          <w:kern w:val="0"/>
          <w:sz w:val="28"/>
          <w:szCs w:val="28"/>
          <w:lang w:eastAsia="zh-CN"/>
        </w:rPr>
        <w:t>固化在数据专区，并交互</w:t>
      </w:r>
      <w:r>
        <w:rPr>
          <w:rFonts w:hint="eastAsia" w:ascii="仿宋" w:hAnsi="仿宋" w:eastAsia="仿宋" w:cs="仿宋"/>
          <w:kern w:val="0"/>
          <w:sz w:val="28"/>
          <w:szCs w:val="28"/>
        </w:rPr>
        <w:t>到浙江省“智慧医保”系统。</w:t>
      </w:r>
    </w:p>
    <w:p>
      <w:pPr>
        <w:keepNext/>
        <w:keepLines/>
        <w:numPr>
          <w:ilvl w:val="1"/>
          <w:numId w:val="0"/>
        </w:numPr>
        <w:spacing w:line="360" w:lineRule="auto"/>
        <w:ind w:firstLine="562" w:firstLineChars="200"/>
        <w:jc w:val="left"/>
        <w:outlineLvl w:val="2"/>
        <w:rPr>
          <w:rFonts w:hint="eastAsia" w:ascii="仿宋" w:hAnsi="仿宋" w:eastAsia="仿宋" w:cs="仿宋"/>
          <w:b/>
          <w:bCs/>
          <w:sz w:val="28"/>
          <w:szCs w:val="28"/>
        </w:rPr>
      </w:pPr>
      <w:bookmarkStart w:id="33" w:name="_Toc37151929"/>
      <w:bookmarkStart w:id="34" w:name="_Toc44244555"/>
      <w:r>
        <w:rPr>
          <w:rFonts w:hint="eastAsia" w:ascii="仿宋" w:hAnsi="仿宋" w:eastAsia="仿宋" w:cs="仿宋"/>
          <w:b/>
          <w:bCs/>
          <w:sz w:val="28"/>
          <w:szCs w:val="28"/>
        </w:rPr>
        <w:t>（五）DRG业务领域专家咨询服务</w:t>
      </w:r>
      <w:bookmarkEnd w:id="33"/>
      <w:bookmarkEnd w:id="34"/>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DRG点数法付费服务项目是探索和实践共存的过程，是一项复杂而又艰巨的工程，为确保项目正确有序推进，需要建立专家支撑服务体系，在各个环节和流程中给与专业化、权威性的建议与指导，通过专家服务提供专业高效的人力服务，按要求提供医药学、计算机等专业人员，组建驻场服务团队，为DRG付费支付方式改革工作提供强有力的人力服务支撑。具体服务内容如下：</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1、DRG相关业务咨询服务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在项目建设过程中，邀请DRG相关业务专家，为医保部门DRG相关人员，针对DRG业务知识、项目推进过程中的困难点、注意事项等内容，提供针对性讲解和咨询服务。</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2、病案编码填写咨询服务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邀请DRG相关业务专家，针对各定点医疗机构的病案管理及相关编码人员和医保中心端的相关经办人员，以会议讲解形式，详细介绍基于DRG付费下，病历编写的注意事项及常出现错误的问题列表，切实提升病案编码质量。</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3、病案质量针对性指导服务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邀请DRG相关业务专家，对已采集的病案进行质量分析，召集全市医疗机构病案质量管理及相关编码人员，针对相关医疗机构总结出的病案问题，给予专项指导、培训服务。</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bookmarkStart w:id="35" w:name="_Toc37151930"/>
      <w:bookmarkStart w:id="36" w:name="_Toc44244556"/>
      <w:r>
        <w:rPr>
          <w:rFonts w:hint="eastAsia" w:ascii="仿宋" w:hAnsi="仿宋" w:eastAsia="仿宋" w:cs="仿宋"/>
          <w:b/>
          <w:sz w:val="28"/>
          <w:szCs w:val="28"/>
        </w:rPr>
        <w:t>4、付费方案论证咨询服务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在服务过程中，待分组结果论证结束后，中标方需邀请相关业务专家与医疗机构的临床专家，对付费方案进行合理性论证，包含点数、点值、差异系数等支付参数的论证；按要求参与采购人与付费医疗机构点数等事项的谈判；协助采购人对付费情况进行评估并出具评估报告。</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5、病案核查指导服务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针对DRG病案审核业务的开展，邀请业务专家和定点医疗机构专家，在DRG业务开展的各个阶段，提供病案核查咨询与指导服务，并协助开展病案审核工作的开展。</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6、病案评审服务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针对病案审核业务的开展，根据采购人的要求，邀请 DRGs 相关专家、医疗机构专家，针对审核中发现的问题，协助组织开展病案评审服务、特病单议服务，并形成评审报告。</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7、常态化沟通指导服务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建立针对性指导服务沟通渠道，能够为医保经办部门、定点医疗机构提供问题咨询服务，不限于医保结算清单填写、病案审核、医保编码等必要的指导咨询服务。</w:t>
      </w:r>
    </w:p>
    <w:p>
      <w:pPr>
        <w:widowControl/>
        <w:spacing w:line="360" w:lineRule="auto"/>
        <w:ind w:firstLine="562" w:firstLineChars="200"/>
        <w:jc w:val="left"/>
        <w:textAlignment w:val="baseline"/>
        <w:rPr>
          <w:rFonts w:hint="eastAsia" w:ascii="仿宋" w:hAnsi="仿宋" w:eastAsia="仿宋" w:cs="仿宋"/>
          <w:b/>
          <w:kern w:val="0"/>
          <w:sz w:val="28"/>
          <w:szCs w:val="28"/>
          <w:lang w:val="zh-CN"/>
        </w:rPr>
      </w:pPr>
      <w:r>
        <w:rPr>
          <w:rFonts w:hint="eastAsia" w:ascii="仿宋" w:hAnsi="仿宋" w:eastAsia="仿宋" w:cs="仿宋"/>
          <w:b/>
          <w:sz w:val="28"/>
          <w:szCs w:val="28"/>
        </w:rPr>
        <w:t>8、其它专业领域专家支撑服务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专家顾问支持：针对专科疾病专项研讨、医保基金合理性分配举行项目研讨会。</w:t>
      </w:r>
    </w:p>
    <w:p>
      <w:pPr>
        <w:widowControl/>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2）专家现场支持：医疗机构走访调研、病案评审现场评审会议、特病单议现场评审会议等现场支持。</w:t>
      </w:r>
    </w:p>
    <w:p>
      <w:pPr>
        <w:widowControl/>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3）专业的各项培训和不定期的行业专家指导工作：根据实际情况，进行大范围住院按DRG点数法相关培训或沟通会议。</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注：以上培训每次评审、会议、培训可根据实际需求每次进行多个内容的培训，培训形式为会议集中培训</w:t>
      </w:r>
      <w:r>
        <w:rPr>
          <w:rFonts w:hint="eastAsia" w:ascii="仿宋" w:hAnsi="仿宋" w:eastAsia="仿宋" w:cs="仿宋"/>
          <w:kern w:val="0"/>
          <w:sz w:val="28"/>
          <w:szCs w:val="28"/>
        </w:rPr>
        <w:t>或其他形式</w:t>
      </w:r>
      <w:r>
        <w:rPr>
          <w:rFonts w:hint="eastAsia" w:ascii="仿宋" w:hAnsi="仿宋" w:eastAsia="仿宋" w:cs="仿宋"/>
          <w:kern w:val="0"/>
          <w:sz w:val="28"/>
          <w:szCs w:val="28"/>
          <w:lang w:val="zh-CN"/>
        </w:rPr>
        <w:t>。由此产生的专家劳务费等相关费用由中标人支付。</w:t>
      </w:r>
    </w:p>
    <w:bookmarkEnd w:id="35"/>
    <w:bookmarkEnd w:id="36"/>
    <w:p>
      <w:pPr>
        <w:keepNext/>
        <w:keepLines/>
        <w:numPr>
          <w:ilvl w:val="0"/>
          <w:numId w:val="31"/>
        </w:numPr>
        <w:outlineLvl w:val="1"/>
        <w:rPr>
          <w:rFonts w:hint="eastAsia" w:ascii="仿宋" w:hAnsi="仿宋" w:eastAsia="仿宋" w:cs="仿宋"/>
          <w:b/>
          <w:bCs/>
          <w:sz w:val="28"/>
          <w:szCs w:val="28"/>
        </w:rPr>
      </w:pPr>
      <w:r>
        <w:rPr>
          <w:rFonts w:hint="eastAsia" w:ascii="仿宋" w:hAnsi="仿宋" w:eastAsia="仿宋" w:cs="仿宋"/>
          <w:b/>
          <w:bCs/>
          <w:sz w:val="28"/>
          <w:szCs w:val="28"/>
        </w:rPr>
        <w:t>服务要求</w:t>
      </w:r>
    </w:p>
    <w:p>
      <w:pPr>
        <w:keepNext/>
        <w:keepLines/>
        <w:numPr>
          <w:ilvl w:val="1"/>
          <w:numId w:val="0"/>
        </w:numPr>
        <w:spacing w:line="360" w:lineRule="auto"/>
        <w:ind w:firstLine="562" w:firstLineChars="200"/>
        <w:jc w:val="left"/>
        <w:outlineLvl w:val="2"/>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（一）服务周期及要求</w:t>
      </w:r>
    </w:p>
    <w:p>
      <w:pPr>
        <w:widowControl/>
        <w:spacing w:line="360" w:lineRule="auto"/>
        <w:ind w:firstLine="562" w:firstLineChars="200"/>
        <w:jc w:val="left"/>
        <w:textAlignment w:val="baseline"/>
        <w:rPr>
          <w:rFonts w:hint="eastAsia" w:ascii="仿宋" w:hAnsi="仿宋" w:eastAsia="仿宋" w:cs="仿宋"/>
          <w:b/>
          <w:bCs/>
          <w:color w:val="000000"/>
          <w:sz w:val="28"/>
          <w:szCs w:val="28"/>
          <w:highlight w:val="none"/>
          <w:u w:val="single"/>
        </w:rPr>
      </w:pPr>
      <w:r>
        <w:rPr>
          <w:rFonts w:hint="eastAsia" w:ascii="仿宋" w:hAnsi="仿宋" w:eastAsia="仿宋" w:cs="仿宋"/>
          <w:b/>
          <w:bCs/>
          <w:color w:val="000000"/>
          <w:sz w:val="28"/>
          <w:szCs w:val="28"/>
          <w:highlight w:val="none"/>
          <w:u w:val="single"/>
        </w:rPr>
        <w:t>本项目服务周期为3年，服务合同为三年一签。</w:t>
      </w:r>
    </w:p>
    <w:p>
      <w:pPr>
        <w:widowControl/>
        <w:spacing w:line="360"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服务期内中标方应完成对应年度省本级和杭州市的年终清算工作，中标方需对清算结果负责。如中标方在合作期内出现擅自降低服务条件和服务内容、未按照中标协议承诺履行相应的责任和义务等行为，我方将扣减中标人中标金额的2%-8%。</w:t>
      </w:r>
    </w:p>
    <w:p>
      <w:pPr>
        <w:widowControl/>
        <w:spacing w:line="360" w:lineRule="auto"/>
        <w:ind w:firstLine="560" w:firstLineChars="200"/>
        <w:jc w:val="left"/>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sz w:val="28"/>
          <w:szCs w:val="28"/>
          <w:lang w:eastAsia="zh-CN"/>
        </w:rPr>
        <w:t>若中标方提供的服务未能达到采购方的要求，采购方有权上报同级财政部门申请解除合同，除扣除相应款项外，中标方应赔偿采购方相应的损失。</w:t>
      </w:r>
    </w:p>
    <w:p>
      <w:pPr>
        <w:keepNext/>
        <w:keepLines/>
        <w:numPr>
          <w:ilvl w:val="1"/>
          <w:numId w:val="0"/>
        </w:numPr>
        <w:spacing w:line="360" w:lineRule="auto"/>
        <w:ind w:firstLine="562" w:firstLineChars="200"/>
        <w:jc w:val="left"/>
        <w:outlineLvl w:val="2"/>
        <w:rPr>
          <w:rFonts w:hint="eastAsia" w:ascii="仿宋" w:hAnsi="仿宋" w:eastAsia="仿宋" w:cs="仿宋"/>
          <w:b/>
          <w:bCs/>
          <w:color w:val="000000"/>
          <w:sz w:val="28"/>
          <w:szCs w:val="28"/>
        </w:rPr>
      </w:pPr>
      <w:bookmarkStart w:id="37" w:name="_Toc44244567"/>
      <w:r>
        <w:rPr>
          <w:rFonts w:hint="eastAsia" w:ascii="仿宋" w:hAnsi="仿宋" w:eastAsia="仿宋" w:cs="仿宋"/>
          <w:b/>
          <w:bCs/>
          <w:color w:val="000000"/>
          <w:sz w:val="28"/>
          <w:szCs w:val="28"/>
        </w:rPr>
        <w:t>（二）项目人员要求</w:t>
      </w:r>
      <w:bookmarkEnd w:id="37"/>
    </w:p>
    <w:p>
      <w:pPr>
        <w:widowControl/>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sz w:val="28"/>
          <w:szCs w:val="28"/>
        </w:rPr>
        <w:t>本项目专业服务人员要求条件：中标方应为本项目提供的服务人员不少于</w:t>
      </w:r>
      <w:r>
        <w:rPr>
          <w:rFonts w:hint="eastAsia" w:ascii="仿宋" w:hAnsi="仿宋" w:eastAsia="仿宋" w:cs="仿宋"/>
          <w:sz w:val="28"/>
          <w:szCs w:val="28"/>
          <w:lang w:val="en-US" w:eastAsia="zh-CN"/>
        </w:rPr>
        <w:t>14</w:t>
      </w:r>
      <w:r>
        <w:rPr>
          <w:rFonts w:hint="eastAsia" w:ascii="仿宋" w:hAnsi="仿宋" w:eastAsia="仿宋" w:cs="仿宋"/>
          <w:sz w:val="28"/>
          <w:szCs w:val="28"/>
        </w:rPr>
        <w:t>人的长期驻场人员，其医学人员、药学人员、病案学、统计学人员、计算机信息技术人员及其它人员应配备合理的比例，在本项目服务周期内须根据采购方要求提供驻场服务，服从采购方安排。项目组成人员要求具有医保DRG项目建设及服务经验。中标方需自行承担驻场人员办公场地费。除长期驻场人员外，中标方还需提供短期驻场及远程专业团队服务。</w:t>
      </w:r>
      <w:r>
        <w:rPr>
          <w:rFonts w:hint="eastAsia" w:ascii="仿宋" w:hAnsi="仿宋" w:eastAsia="仿宋" w:cs="仿宋"/>
          <w:sz w:val="28"/>
          <w:szCs w:val="28"/>
          <w:lang w:eastAsia="zh-Hans"/>
        </w:rPr>
        <w:t>长期驻场服务人员与短期驻场及远程专业服务人员、专家培训团队成员不得重复</w:t>
      </w:r>
      <w:r>
        <w:rPr>
          <w:rFonts w:hint="eastAsia" w:ascii="仿宋" w:hAnsi="仿宋" w:eastAsia="仿宋" w:cs="仿宋"/>
          <w:sz w:val="28"/>
          <w:szCs w:val="28"/>
        </w:rPr>
        <w:t>。（注：医学包含临床医学、中医学专业，药学包含药学、药理学专业，病案学包含病案信息学、卫生信息管理、卫生统计学、医学信息管理、流行病与统计、档案学（医学方向）等专业）</w:t>
      </w:r>
    </w:p>
    <w:p>
      <w:pPr>
        <w:keepNext/>
        <w:keepLines/>
        <w:numPr>
          <w:ilvl w:val="1"/>
          <w:numId w:val="0"/>
        </w:numPr>
        <w:spacing w:line="360" w:lineRule="auto"/>
        <w:ind w:firstLine="562" w:firstLineChars="200"/>
        <w:jc w:val="left"/>
        <w:outlineLvl w:val="2"/>
        <w:rPr>
          <w:rFonts w:hint="eastAsia" w:ascii="仿宋" w:hAnsi="仿宋" w:eastAsia="仿宋" w:cs="仿宋"/>
          <w:b/>
          <w:bCs/>
          <w:sz w:val="28"/>
          <w:szCs w:val="28"/>
        </w:rPr>
      </w:pPr>
      <w:r>
        <w:rPr>
          <w:rFonts w:hint="eastAsia" w:ascii="仿宋" w:hAnsi="仿宋" w:eastAsia="仿宋" w:cs="仿宋"/>
          <w:b/>
          <w:bCs/>
          <w:sz w:val="28"/>
          <w:szCs w:val="28"/>
        </w:rPr>
        <w:t>（三）安全要求</w:t>
      </w:r>
    </w:p>
    <w:p>
      <w:pPr>
        <w:widowControl/>
        <w:spacing w:line="360" w:lineRule="auto"/>
        <w:ind w:firstLine="562" w:firstLineChars="200"/>
        <w:jc w:val="left"/>
        <w:textAlignment w:val="baseline"/>
        <w:rPr>
          <w:rFonts w:hint="eastAsia" w:ascii="仿宋" w:hAnsi="仿宋" w:eastAsia="仿宋" w:cs="仿宋"/>
          <w:b/>
          <w:bCs/>
          <w:sz w:val="28"/>
          <w:szCs w:val="28"/>
        </w:rPr>
      </w:pPr>
      <w:r>
        <w:rPr>
          <w:rFonts w:hint="eastAsia" w:ascii="仿宋" w:hAnsi="仿宋" w:eastAsia="仿宋" w:cs="仿宋"/>
          <w:b/>
          <w:bCs/>
          <w:sz w:val="28"/>
          <w:szCs w:val="28"/>
          <w:highlight w:val="none"/>
          <w:u w:val="none"/>
        </w:rPr>
        <w:t>▲投标人必须具备良好的履约能力，自2023年1月1日以来，未在浙江省医保领域发生过重大信息安全事件并造成不良影响的。</w:t>
      </w:r>
      <w:r>
        <w:rPr>
          <w:rFonts w:hint="eastAsia" w:ascii="仿宋" w:hAnsi="仿宋" w:eastAsia="仿宋" w:cs="仿宋"/>
          <w:b/>
          <w:bCs/>
          <w:sz w:val="28"/>
          <w:szCs w:val="28"/>
          <w:highlight w:val="none"/>
          <w:u w:val="none"/>
        </w:rPr>
        <w:br w:type="textWrapping"/>
      </w:r>
      <w:r>
        <w:rPr>
          <w:rFonts w:hint="eastAsia" w:ascii="仿宋" w:hAnsi="仿宋" w:eastAsia="仿宋" w:cs="仿宋"/>
          <w:b/>
          <w:bCs/>
          <w:sz w:val="28"/>
          <w:szCs w:val="28"/>
          <w:highlight w:val="none"/>
          <w:u w:val="none"/>
          <w:lang w:val="en-US" w:eastAsia="zh-CN"/>
        </w:rPr>
        <w:t xml:space="preserve">    </w:t>
      </w:r>
      <w:r>
        <w:rPr>
          <w:rFonts w:hint="eastAsia" w:ascii="仿宋" w:hAnsi="仿宋" w:eastAsia="仿宋" w:cs="仿宋"/>
          <w:b/>
          <w:bCs/>
          <w:sz w:val="28"/>
          <w:szCs w:val="28"/>
          <w:highlight w:val="none"/>
          <w:u w:val="none"/>
        </w:rPr>
        <w:t>▲</w:t>
      </w:r>
      <w:r>
        <w:rPr>
          <w:rFonts w:hint="eastAsia" w:ascii="仿宋" w:hAnsi="仿宋" w:eastAsia="仿宋" w:cs="仿宋"/>
          <w:b/>
          <w:bCs/>
          <w:sz w:val="28"/>
          <w:szCs w:val="28"/>
        </w:rPr>
        <w:t>自2023年1月1日以来，投标人（含联合体）及其关联企业（包括但不限于其子公司、控股公司）未向浙江省本级、杭州市定点医疗机构提供与DRG支付方式改革相关的结算清算、审核监测及分组预测、决策分析等专业化服务，且承诺中标后不参与DRG支付方式改革相关的结算清算、审核监测及分组预测、决策分析等专业化服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中标人须严格按照国家医疗保障局《医保信息系统安全开发规范》要求，组织研究和实施。</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中标人应提供详细的安全设计方案并详细说明在应用安全和数据安全方面采取的安全的措施。</w:t>
      </w:r>
    </w:p>
    <w:p>
      <w:pPr>
        <w:keepNext/>
        <w:keepLines/>
        <w:numPr>
          <w:ilvl w:val="0"/>
          <w:numId w:val="31"/>
        </w:numPr>
        <w:outlineLvl w:val="1"/>
        <w:rPr>
          <w:rFonts w:hint="eastAsia" w:ascii="仿宋" w:hAnsi="仿宋" w:eastAsia="仿宋" w:cs="仿宋"/>
          <w:b/>
          <w:bCs/>
          <w:sz w:val="28"/>
          <w:szCs w:val="28"/>
        </w:rPr>
      </w:pPr>
      <w:bookmarkStart w:id="38" w:name="_Toc44244569"/>
      <w:r>
        <w:rPr>
          <w:rFonts w:hint="eastAsia" w:ascii="仿宋" w:hAnsi="仿宋" w:eastAsia="仿宋" w:cs="仿宋"/>
          <w:b/>
          <w:bCs/>
          <w:sz w:val="28"/>
          <w:szCs w:val="28"/>
        </w:rPr>
        <w:t>培训要求</w:t>
      </w:r>
    </w:p>
    <w:p>
      <w:pPr>
        <w:keepNext/>
        <w:keepLines/>
        <w:numPr>
          <w:ilvl w:val="1"/>
          <w:numId w:val="0"/>
        </w:numPr>
        <w:spacing w:line="360" w:lineRule="auto"/>
        <w:ind w:firstLine="562" w:firstLineChars="200"/>
        <w:jc w:val="left"/>
        <w:outlineLvl w:val="2"/>
        <w:rPr>
          <w:rFonts w:hint="eastAsia" w:ascii="仿宋" w:hAnsi="仿宋" w:eastAsia="仿宋" w:cs="仿宋"/>
          <w:b/>
          <w:bCs/>
          <w:sz w:val="28"/>
          <w:szCs w:val="28"/>
        </w:rPr>
      </w:pPr>
      <w:r>
        <w:rPr>
          <w:rFonts w:hint="eastAsia" w:ascii="仿宋" w:hAnsi="仿宋" w:eastAsia="仿宋" w:cs="仿宋"/>
          <w:b/>
          <w:bCs/>
          <w:sz w:val="28"/>
          <w:szCs w:val="28"/>
        </w:rPr>
        <w:t>（一）对医保经办人员的培训</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根据各级人员的业务特点和工作角色分工，</w:t>
      </w:r>
      <w:r>
        <w:rPr>
          <w:rFonts w:hint="eastAsia" w:ascii="仿宋" w:hAnsi="仿宋" w:eastAsia="仿宋" w:cs="仿宋"/>
          <w:sz w:val="28"/>
          <w:szCs w:val="28"/>
          <w:lang w:eastAsia="zh-CN"/>
        </w:rPr>
        <w:t>并</w:t>
      </w:r>
      <w:r>
        <w:rPr>
          <w:rFonts w:hint="eastAsia" w:ascii="仿宋" w:hAnsi="仿宋" w:eastAsia="仿宋" w:cs="仿宋"/>
          <w:sz w:val="28"/>
          <w:szCs w:val="28"/>
        </w:rPr>
        <w:t>结合实际工作</w:t>
      </w:r>
      <w:r>
        <w:rPr>
          <w:rFonts w:hint="eastAsia" w:ascii="仿宋" w:hAnsi="仿宋" w:eastAsia="仿宋" w:cs="仿宋"/>
          <w:sz w:val="28"/>
          <w:szCs w:val="28"/>
          <w:lang w:eastAsia="zh-CN"/>
        </w:rPr>
        <w:t>，</w:t>
      </w:r>
      <w:r>
        <w:rPr>
          <w:rFonts w:hint="eastAsia" w:ascii="仿宋" w:hAnsi="仿宋" w:eastAsia="仿宋" w:cs="仿宋"/>
          <w:sz w:val="28"/>
          <w:szCs w:val="28"/>
        </w:rPr>
        <w:t>对医保经办人员的培训分为两个层次：</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1、对医保的行政部门培训的主要目的是使有关行政部门领导对DRG业务及相关国家政策有一定的了解，同时能够进行决策、指挥工作。</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2、对医保业务经办人员的培训，主要使他们在各业务环境下能够很好地完成相应的业务工作，提高工作效率，提高信息的准确性和全面性。</w:t>
      </w:r>
    </w:p>
    <w:p>
      <w:pPr>
        <w:keepNext/>
        <w:keepLines/>
        <w:numPr>
          <w:ilvl w:val="1"/>
          <w:numId w:val="0"/>
        </w:numPr>
        <w:spacing w:line="360" w:lineRule="auto"/>
        <w:ind w:firstLine="562" w:firstLineChars="200"/>
        <w:jc w:val="left"/>
        <w:outlineLvl w:val="2"/>
        <w:rPr>
          <w:rFonts w:hint="eastAsia" w:ascii="仿宋" w:hAnsi="仿宋" w:eastAsia="仿宋" w:cs="仿宋"/>
          <w:b/>
          <w:bCs/>
          <w:sz w:val="28"/>
          <w:szCs w:val="28"/>
        </w:rPr>
      </w:pPr>
      <w:r>
        <w:rPr>
          <w:rFonts w:hint="eastAsia" w:ascii="仿宋" w:hAnsi="仿宋" w:eastAsia="仿宋" w:cs="仿宋"/>
          <w:b/>
          <w:bCs/>
          <w:sz w:val="28"/>
          <w:szCs w:val="28"/>
        </w:rPr>
        <w:t>（二）对定点医疗机构相关人员的培训</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1、对定点医疗机构的临床医生、病案编码人员的培训</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 xml:space="preserve">对医疗机构的临床医生、病案编码人员，针对病案填写规范、病案、医保结算清单质控等相关共性问题进行培训。 </w:t>
      </w:r>
    </w:p>
    <w:p>
      <w:pPr>
        <w:widowControl/>
        <w:spacing w:line="360" w:lineRule="auto"/>
        <w:ind w:firstLine="560" w:firstLineChars="200"/>
        <w:jc w:val="left"/>
        <w:textAlignment w:val="baseline"/>
        <w:rPr>
          <w:rFonts w:hint="eastAsia" w:ascii="仿宋" w:hAnsi="仿宋" w:eastAsia="仿宋" w:cs="仿宋"/>
          <w:kern w:val="0"/>
          <w:sz w:val="28"/>
          <w:szCs w:val="28"/>
          <w:lang w:val="zh-CN"/>
        </w:rPr>
      </w:pPr>
      <w:r>
        <w:rPr>
          <w:rFonts w:hint="eastAsia" w:ascii="仿宋" w:hAnsi="仿宋" w:eastAsia="仿宋" w:cs="仿宋"/>
          <w:sz w:val="28"/>
          <w:szCs w:val="28"/>
        </w:rPr>
        <w:t>2、对定点医疗机构负责人及医保部门工作人员的培训</w:t>
      </w:r>
    </w:p>
    <w:p>
      <w:pPr>
        <w:widowControl/>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提供医保DRG绩效评价、DRG主要的业务知识及改革政策进行培训。</w:t>
      </w:r>
      <w:bookmarkEnd w:id="38"/>
    </w:p>
    <w:p>
      <w:pPr>
        <w:keepNext/>
        <w:keepLines/>
        <w:numPr>
          <w:ilvl w:val="0"/>
          <w:numId w:val="31"/>
        </w:numPr>
        <w:outlineLvl w:val="1"/>
        <w:rPr>
          <w:rFonts w:hint="eastAsia" w:ascii="仿宋" w:hAnsi="仿宋" w:eastAsia="仿宋" w:cs="仿宋"/>
          <w:b/>
          <w:bCs/>
          <w:sz w:val="28"/>
          <w:szCs w:val="28"/>
        </w:rPr>
      </w:pPr>
      <w:r>
        <w:rPr>
          <w:rFonts w:hint="eastAsia" w:ascii="仿宋" w:hAnsi="仿宋" w:eastAsia="仿宋" w:cs="仿宋"/>
          <w:b/>
          <w:bCs/>
          <w:sz w:val="28"/>
          <w:szCs w:val="28"/>
        </w:rPr>
        <w:t>考核及验收要求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甲方将按下表内容对乙方服务情况进行考核，考核结果将作为验收依据之一。</w:t>
      </w:r>
    </w:p>
    <w:tbl>
      <w:tblPr>
        <w:tblStyle w:val="6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988"/>
        <w:gridCol w:w="1560"/>
        <w:gridCol w:w="1125"/>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988"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考核项</w:t>
            </w: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考核指标</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考核分数</w:t>
            </w:r>
          </w:p>
        </w:tc>
        <w:tc>
          <w:tcPr>
            <w:tcW w:w="441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988" w:type="dxa"/>
            <w:vMerge w:val="restart"/>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服务团队（10）</w:t>
            </w: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长期驻场人数情况</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人数未达到数量要求的，每少1人扣1分，扣完为止。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988" w:type="dxa"/>
            <w:vMerge w:val="continue"/>
            <w:noWrap w:val="0"/>
            <w:vAlign w:val="center"/>
          </w:tcPr>
          <w:p>
            <w:pPr>
              <w:spacing w:line="360" w:lineRule="auto"/>
              <w:jc w:val="center"/>
              <w:rPr>
                <w:rFonts w:hint="eastAsia" w:ascii="仿宋" w:hAnsi="仿宋" w:eastAsia="仿宋" w:cs="仿宋"/>
                <w:sz w:val="28"/>
                <w:szCs w:val="28"/>
              </w:rPr>
            </w:pP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长期驻场人员情况</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人员资质未达到招投标要求的，每少1人扣1分，扣完为止。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988" w:type="dxa"/>
            <w:vMerge w:val="restart"/>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方案执行情况（75）</w:t>
            </w: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DRG支付服务情况</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30</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1.协助做好基金运行和预算分析工作，根据业务需求出具分析报告（5分）；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2.协助做好月度DRG数据分组、分组调整审核、结算清单重传审核等月度结算工作（5分）；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3.协助制定年度DRG清算工作方案，做好基准点数、差异系数、床日支付限额等核心指标的测算清算（5分）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4.协助做好DRG绩效评价工作，若评价指标有误并造成影响的，该项不得分（5分）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5.年度清算完成后出具DRG清算报告，若清算结果有误并造成影响的，该项不得分（5分）；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6.根据业务需求做好DRG付费运行结果评估，出具评估报告（5分）。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988" w:type="dxa"/>
            <w:vMerge w:val="continue"/>
            <w:noWrap w:val="0"/>
            <w:vAlign w:val="center"/>
          </w:tcPr>
          <w:p>
            <w:pPr>
              <w:spacing w:line="360" w:lineRule="auto"/>
              <w:jc w:val="center"/>
              <w:rPr>
                <w:rFonts w:hint="eastAsia" w:ascii="仿宋" w:hAnsi="仿宋" w:eastAsia="仿宋" w:cs="仿宋"/>
                <w:sz w:val="28"/>
                <w:szCs w:val="28"/>
              </w:rPr>
            </w:pP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DRG审核服务情况</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20</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1.协助做好新技术、中医、床日病例的审核、反馈、汇总、扣减等工作（5分）；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2.协助建立完善审核规则体系，做好DRG病例审核管理，大数据筛查疑似违规病例和分析审核工作（5分）；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3.协助做好DRG病案交叉检查，按要求抽取一定比例的病案，提供病案核查分析，汇总形成工作报告（5分）；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4.协助做好特病单议的申报、审核，组织现场评审会议，汇总形成报告工作（5分）。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988" w:type="dxa"/>
            <w:vMerge w:val="continue"/>
            <w:noWrap w:val="0"/>
            <w:vAlign w:val="center"/>
          </w:tcPr>
          <w:p>
            <w:pPr>
              <w:spacing w:line="360" w:lineRule="auto"/>
              <w:jc w:val="center"/>
              <w:rPr>
                <w:rFonts w:hint="eastAsia" w:ascii="仿宋" w:hAnsi="仿宋" w:eastAsia="仿宋" w:cs="仿宋"/>
                <w:sz w:val="28"/>
                <w:szCs w:val="28"/>
              </w:rPr>
            </w:pP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分析预警服务情况</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1.做好DRG指标分析，开展费用结构分析、服务能力分析等工作,形成医疗机构精准画像，出具定点医疗机构专项分析报告（5分）；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2.做好DRG指标监测,对医疗机构的异化行为进行事前、事中的预警提醒（5分）。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988" w:type="dxa"/>
            <w:vMerge w:val="continue"/>
            <w:noWrap w:val="0"/>
            <w:vAlign w:val="center"/>
          </w:tcPr>
          <w:p>
            <w:pPr>
              <w:spacing w:line="360" w:lineRule="auto"/>
              <w:jc w:val="center"/>
              <w:rPr>
                <w:rFonts w:hint="eastAsia" w:ascii="仿宋" w:hAnsi="仿宋" w:eastAsia="仿宋" w:cs="仿宋"/>
                <w:sz w:val="28"/>
                <w:szCs w:val="28"/>
              </w:rPr>
            </w:pP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培训咨询服务情况</w:t>
            </w:r>
          </w:p>
        </w:tc>
        <w:tc>
          <w:tcPr>
            <w:tcW w:w="1125"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1.协助开展DRG付费相关的政策解读、业务培训和业务讨论等工作</w:t>
            </w:r>
            <w:r>
              <w:rPr>
                <w:rFonts w:hint="eastAsia" w:ascii="仿宋" w:hAnsi="仿宋" w:eastAsia="仿宋" w:cs="仿宋"/>
                <w:sz w:val="28"/>
                <w:szCs w:val="28"/>
                <w:lang w:eastAsia="zh-CN"/>
              </w:rPr>
              <w:t>，</w:t>
            </w:r>
            <w:r>
              <w:rPr>
                <w:rFonts w:hint="eastAsia" w:ascii="仿宋" w:hAnsi="仿宋" w:eastAsia="仿宋" w:cs="仿宋"/>
                <w:sz w:val="28"/>
                <w:szCs w:val="28"/>
              </w:rPr>
              <w:t>每年不少于2场</w:t>
            </w:r>
            <w:r>
              <w:rPr>
                <w:rFonts w:hint="eastAsia" w:ascii="仿宋" w:hAnsi="仿宋" w:eastAsia="仿宋" w:cs="仿宋"/>
                <w:sz w:val="28"/>
                <w:szCs w:val="28"/>
                <w:lang w:eastAsia="zh-CN"/>
              </w:rPr>
              <w:t>，</w:t>
            </w:r>
            <w:r>
              <w:rPr>
                <w:rFonts w:hint="eastAsia" w:ascii="仿宋" w:hAnsi="仿宋" w:eastAsia="仿宋" w:cs="仿宋"/>
                <w:sz w:val="28"/>
                <w:szCs w:val="28"/>
              </w:rPr>
              <w:t>提供必要的培训支持（5分）；</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2.协助医保部门为医疗机构提供咨询服务，定期对医疗机构提出的问题和意见进行梳理和分析，形成分析报告（5分）。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35"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988" w:type="dxa"/>
            <w:vMerge w:val="restart"/>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指定性工作完成情况（15）</w:t>
            </w:r>
          </w:p>
        </w:tc>
        <w:tc>
          <w:tcPr>
            <w:tcW w:w="1560"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成果物完成情况</w:t>
            </w:r>
          </w:p>
        </w:tc>
        <w:tc>
          <w:tcPr>
            <w:tcW w:w="1125" w:type="dxa"/>
            <w:noWrap w:val="0"/>
            <w:vAlign w:val="center"/>
          </w:tcPr>
          <w:p>
            <w:pPr>
              <w:spacing w:line="360" w:lineRule="auto"/>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4410" w:type="dxa"/>
            <w:noWrap w:val="0"/>
            <w:vAlign w:val="center"/>
          </w:tcPr>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每少1份成果物报告扣1分，扣完为止。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988" w:type="dxa"/>
            <w:vMerge w:val="continue"/>
            <w:noWrap w:val="0"/>
            <w:vAlign w:val="center"/>
          </w:tcPr>
          <w:p>
            <w:pPr>
              <w:spacing w:line="360" w:lineRule="auto"/>
              <w:jc w:val="center"/>
              <w:rPr>
                <w:rFonts w:hint="eastAsia" w:ascii="仿宋" w:hAnsi="仿宋" w:eastAsia="仿宋" w:cs="仿宋"/>
                <w:sz w:val="28"/>
                <w:szCs w:val="28"/>
              </w:rPr>
            </w:pP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完成及时性及质量</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c>
          <w:tcPr>
            <w:tcW w:w="4410" w:type="dxa"/>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未按要求时限完成或完成质量较差的,每发生1次扣2分。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3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9</w:t>
            </w:r>
          </w:p>
        </w:tc>
        <w:tc>
          <w:tcPr>
            <w:tcW w:w="988" w:type="dxa"/>
            <w:vMerge w:val="continue"/>
            <w:noWrap w:val="0"/>
            <w:vAlign w:val="center"/>
          </w:tcPr>
          <w:p>
            <w:pPr>
              <w:spacing w:line="360" w:lineRule="auto"/>
              <w:jc w:val="center"/>
              <w:rPr>
                <w:rFonts w:hint="eastAsia" w:ascii="仿宋" w:hAnsi="仿宋" w:eastAsia="仿宋" w:cs="仿宋"/>
                <w:sz w:val="28"/>
                <w:szCs w:val="28"/>
              </w:rPr>
            </w:pPr>
          </w:p>
        </w:tc>
        <w:tc>
          <w:tcPr>
            <w:tcW w:w="156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奖励激励</w:t>
            </w:r>
          </w:p>
        </w:tc>
        <w:tc>
          <w:tcPr>
            <w:tcW w:w="11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4410"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得到上级部门肯定的，每次加2分。</w:t>
            </w:r>
          </w:p>
        </w:tc>
      </w:tr>
    </w:tbl>
    <w:p>
      <w:pPr>
        <w:widowControl/>
        <w:spacing w:line="360" w:lineRule="auto"/>
        <w:ind w:firstLine="560" w:firstLineChars="200"/>
        <w:jc w:val="left"/>
        <w:rPr>
          <w:rFonts w:hint="eastAsia" w:ascii="仿宋" w:hAnsi="仿宋" w:eastAsia="仿宋" w:cs="仿宋"/>
          <w:color w:val="000000"/>
          <w:sz w:val="28"/>
          <w:szCs w:val="28"/>
          <w:lang w:bidi="ar"/>
        </w:rPr>
      </w:pPr>
    </w:p>
    <w:p>
      <w:pPr>
        <w:widowControl/>
        <w:spacing w:line="360" w:lineRule="auto"/>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备注：1.根据本项目招标文件要求及合同相关条款，按下述各项内容进行年度验收考核：</w:t>
      </w:r>
    </w:p>
    <w:p>
      <w:pPr>
        <w:widowControl/>
        <w:spacing w:line="360" w:lineRule="auto"/>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优秀：90（含）—100分，支付当年度合同余款的100%；</w:t>
      </w:r>
    </w:p>
    <w:p>
      <w:pPr>
        <w:widowControl/>
        <w:spacing w:line="360" w:lineRule="auto"/>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良好：80（含）—90（不含）分，支付当年度合同余款的98%；</w:t>
      </w:r>
    </w:p>
    <w:p>
      <w:pPr>
        <w:widowControl/>
        <w:spacing w:line="360" w:lineRule="auto"/>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合格：70（含）—80（不含）分，支付当年度合同余款的95%；</w:t>
      </w:r>
    </w:p>
    <w:p>
      <w:pPr>
        <w:widowControl/>
        <w:spacing w:line="360" w:lineRule="auto"/>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不合格：70分以下需进行整改，经整改合格后支付当年合同余款的92%。</w:t>
      </w:r>
    </w:p>
    <w:p>
      <w:pPr>
        <w:spacing w:line="360" w:lineRule="auto"/>
        <w:ind w:firstLine="560" w:firstLineChars="200"/>
        <w:jc w:val="lef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2.采购人可以根据实际运行情况，经双方沟通一致后，变更或增加相关考核内容。</w:t>
      </w:r>
    </w:p>
    <w:p>
      <w:pPr>
        <w:keepNext/>
        <w:keepLines/>
        <w:numPr>
          <w:ilvl w:val="0"/>
          <w:numId w:val="31"/>
        </w:numPr>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演示及讲解</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投标人需提供项目演示及讲解视频，提供的讲解视频要清晰、格式正确，语音要有准确的字幕。演示视频时间控制在15分钟以内，视频格式要求为MP4等常用格式，以U盘为存储介质邮寄方式送至采购代理机构。以投标文件解密时间先后次序为准，演示单独密封并标记供应商全称、相关联系人及其联系方式、项目名称、项目编号、“项目演示”字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2.演示顺序以投标文件解密时间先后次序为准。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3.演示内容详见评标办法。</w:t>
      </w:r>
    </w:p>
    <w:p>
      <w:pPr>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z w:val="28"/>
          <w:szCs w:val="28"/>
        </w:rPr>
        <w:t>4.</w:t>
      </w:r>
      <w:r>
        <w:rPr>
          <w:rFonts w:hint="eastAsia" w:ascii="仿宋" w:hAnsi="仿宋" w:eastAsia="仿宋" w:cs="仿宋"/>
          <w:snapToGrid w:val="0"/>
          <w:kern w:val="0"/>
          <w:sz w:val="28"/>
          <w:szCs w:val="28"/>
        </w:rPr>
        <w:t>演示视频递交截止时间：同投标截止时间，未提供或逾期送达将会造成不利评审。</w:t>
      </w:r>
    </w:p>
    <w:p>
      <w:pPr>
        <w:spacing w:line="360" w:lineRule="auto"/>
        <w:ind w:firstLine="562" w:firstLineChars="200"/>
        <w:rPr>
          <w:rFonts w:hint="eastAsia" w:ascii="仿宋" w:hAnsi="仿宋" w:eastAsia="仿宋" w:cs="仿宋"/>
          <w:snapToGrid w:val="0"/>
          <w:kern w:val="0"/>
          <w:sz w:val="28"/>
          <w:szCs w:val="28"/>
          <w:lang w:val="en-US" w:eastAsia="zh-CN"/>
        </w:rPr>
      </w:pPr>
      <w:r>
        <w:rPr>
          <w:rFonts w:hint="eastAsia" w:ascii="仿宋" w:hAnsi="仿宋" w:eastAsia="仿宋" w:cs="仿宋"/>
          <w:b/>
          <w:bCs/>
          <w:snapToGrid w:val="0"/>
          <w:kern w:val="0"/>
          <w:sz w:val="28"/>
          <w:szCs w:val="28"/>
          <w:lang w:val="en-US" w:eastAsia="zh-CN"/>
        </w:rPr>
        <w:t>注：</w:t>
      </w:r>
      <w:r>
        <w:rPr>
          <w:rFonts w:hint="eastAsia" w:ascii="仿宋" w:hAnsi="仿宋" w:eastAsia="仿宋" w:cs="仿宋"/>
          <w:b/>
          <w:bCs/>
          <w:snapToGrid w:val="0"/>
          <w:kern w:val="0"/>
          <w:sz w:val="28"/>
          <w:szCs w:val="28"/>
        </w:rPr>
        <w:t>实践演示总时长控制在15分钟以内，采用系统demo录屏演示，PPT演示、不演示不得分。</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七、合同签订方式</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项目由浙江省医疗保障事业管理服务中心（浙江省医保大数据监测和反欺诈中心）作为招标人进行招标，合同甲方分别为浙江省医疗保障事业管理服务中心（浙江省医保大数据监测和反欺诈中心）、杭州市医疗保障管理服务中心（杭州市医疗保障稽查支队）及杭州市各区县市医保中心；乙方为中标人。</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乙方与浙江省医疗保障事业管理服务中心（浙江省医保大数据监测和反欺诈中心）签订的合同金额为总中标金额的33.33%；乙方与杭州市医疗保障管理服务中心（杭州市医疗保障稽查支队）及杭州市各区县市医保中心签订的合同金额为总中标金额的66.67%。</w:t>
      </w:r>
    </w:p>
    <w:p>
      <w:pPr>
        <w:spacing w:line="360" w:lineRule="auto"/>
        <w:ind w:firstLine="560" w:firstLineChars="200"/>
        <w:rPr>
          <w:rFonts w:hint="eastAsia" w:ascii="仿宋" w:hAnsi="仿宋" w:eastAsia="仿宋" w:cs="仿宋"/>
          <w:b/>
          <w:bCs/>
          <w:color w:val="000000"/>
          <w:sz w:val="28"/>
          <w:szCs w:val="28"/>
        </w:rPr>
      </w:pPr>
      <w:r>
        <w:rPr>
          <w:rFonts w:hint="eastAsia" w:ascii="仿宋" w:hAnsi="仿宋" w:eastAsia="仿宋" w:cs="仿宋"/>
          <w:color w:val="000000"/>
          <w:sz w:val="28"/>
          <w:szCs w:val="28"/>
        </w:rPr>
        <w:t>3.合同款由浙江省医疗保障事业管理服务中心（浙江省医保大数据监测和反欺诈中心）、杭州市医疗保障管理服务中心（杭州市医疗保障稽查支队）及杭州市各区县市医保中心按合同约定的财政分担情况各自支付给乙方。</w:t>
      </w:r>
    </w:p>
    <w:p>
      <w:pPr>
        <w:spacing w:line="360" w:lineRule="auto"/>
        <w:rPr>
          <w:rFonts w:hint="eastAsia" w:ascii="仿宋" w:hAnsi="仿宋" w:eastAsia="仿宋"/>
          <w:b/>
          <w:bCs/>
          <w:color w:val="000000"/>
          <w:sz w:val="28"/>
          <w:szCs w:val="28"/>
        </w:rPr>
      </w:pPr>
    </w:p>
    <w:p>
      <w:pPr>
        <w:spacing w:line="360" w:lineRule="auto"/>
        <w:rPr>
          <w:rFonts w:ascii="仿宋" w:hAnsi="仿宋" w:eastAsia="仿宋"/>
          <w:b/>
          <w:bCs/>
          <w:color w:val="000000"/>
          <w:sz w:val="28"/>
          <w:szCs w:val="28"/>
        </w:rPr>
      </w:pPr>
      <w:r>
        <w:rPr>
          <w:rFonts w:hint="eastAsia" w:ascii="仿宋" w:hAnsi="仿宋" w:eastAsia="仿宋"/>
          <w:b/>
          <w:bCs/>
          <w:color w:val="000000"/>
          <w:sz w:val="28"/>
          <w:szCs w:val="28"/>
        </w:rPr>
        <w:t>商务要求表</w:t>
      </w:r>
    </w:p>
    <w:tbl>
      <w:tblPr>
        <w:tblStyle w:val="60"/>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8"/>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▲项目工期（交货期）及地点</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000000"/>
                <w:sz w:val="24"/>
                <w:szCs w:val="24"/>
              </w:rPr>
            </w:pPr>
            <w:r>
              <w:rPr>
                <w:rFonts w:hint="eastAsia" w:ascii="仿宋" w:hAnsi="仿宋" w:eastAsia="仿宋"/>
                <w:b/>
                <w:bCs/>
                <w:color w:val="000000"/>
                <w:sz w:val="24"/>
                <w:szCs w:val="24"/>
              </w:rPr>
              <w:t>服务期限：</w:t>
            </w:r>
            <w:r>
              <w:rPr>
                <w:rFonts w:hint="eastAsia" w:ascii="仿宋" w:hAnsi="仿宋" w:eastAsia="仿宋"/>
                <w:color w:val="000000"/>
                <w:sz w:val="24"/>
                <w:szCs w:val="24"/>
              </w:rPr>
              <w:t>详见第二部分技术要求。</w:t>
            </w:r>
          </w:p>
          <w:p>
            <w:pPr>
              <w:rPr>
                <w:rFonts w:hint="eastAsia" w:ascii="仿宋" w:hAnsi="仿宋" w:eastAsia="仿宋"/>
                <w:color w:val="000000"/>
                <w:sz w:val="24"/>
                <w:szCs w:val="24"/>
              </w:rPr>
            </w:pPr>
            <w:r>
              <w:rPr>
                <w:rFonts w:hint="eastAsia" w:ascii="仿宋" w:hAnsi="仿宋" w:eastAsia="仿宋"/>
                <w:b/>
                <w:bCs/>
                <w:color w:val="000000"/>
                <w:sz w:val="24"/>
                <w:szCs w:val="24"/>
              </w:rPr>
              <w:t>服务地点：</w:t>
            </w:r>
            <w:r>
              <w:rPr>
                <w:rFonts w:hint="eastAsia" w:ascii="仿宋" w:hAnsi="仿宋" w:eastAsia="仿宋"/>
                <w:color w:val="000000"/>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▲付款条件</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szCs w:val="24"/>
              </w:rPr>
            </w:pPr>
            <w:r>
              <w:rPr>
                <w:rFonts w:hint="eastAsia" w:ascii="仿宋" w:hAnsi="仿宋" w:eastAsia="仿宋"/>
                <w:color w:val="000000"/>
                <w:sz w:val="24"/>
                <w:szCs w:val="24"/>
              </w:rPr>
              <w:t>一、.本项目按中标金额均分3年支付，具体支付方式如下：</w:t>
            </w:r>
          </w:p>
          <w:p>
            <w:pP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合同签订后，甲方向合同乙方支付第一年度70%的款项；</w:t>
            </w:r>
          </w:p>
          <w:p>
            <w:pP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乙方通过甲方第一年度的初步验收，2023年12月31日前，甲方向合同乙方支付第一年度30%的款项；</w:t>
            </w:r>
          </w:p>
          <w:p>
            <w:pPr>
              <w:rPr>
                <w:rFonts w:ascii="仿宋" w:hAnsi="仿宋" w:eastAsia="仿宋"/>
                <w:color w:val="000000"/>
                <w:sz w:val="24"/>
                <w:szCs w:val="24"/>
              </w:rPr>
            </w:pPr>
            <w:r>
              <w:rPr>
                <w:rFonts w:ascii="仿宋" w:hAnsi="仿宋" w:eastAsia="仿宋"/>
                <w:color w:val="000000"/>
                <w:sz w:val="24"/>
                <w:szCs w:val="24"/>
              </w:rPr>
              <w:t>第一年度年终清算完成且经第一年度验收考核后，甲方向合同乙方支付第二年度50%的款项；若第一年度有考核扣款的，则扣除后支付；</w:t>
            </w:r>
          </w:p>
          <w:p>
            <w:pPr>
              <w:rPr>
                <w:rFonts w:ascii="仿宋" w:hAnsi="仿宋" w:eastAsia="仿宋"/>
                <w:color w:val="000000"/>
                <w:sz w:val="24"/>
                <w:szCs w:val="24"/>
              </w:rPr>
            </w:pPr>
            <w:r>
              <w:rPr>
                <w:rFonts w:hint="eastAsia" w:ascii="仿宋" w:hAnsi="仿宋" w:eastAsia="仿宋"/>
                <w:color w:val="000000"/>
                <w:sz w:val="24"/>
                <w:szCs w:val="24"/>
              </w:rPr>
              <w:t>（3）、</w:t>
            </w:r>
            <w:r>
              <w:rPr>
                <w:rFonts w:ascii="仿宋" w:hAnsi="仿宋" w:eastAsia="仿宋"/>
                <w:color w:val="000000"/>
                <w:sz w:val="24"/>
                <w:szCs w:val="24"/>
              </w:rPr>
              <w:t>乙方通过甲方第二年度的初步验收，2024年12月31日前，甲方向合同乙方支付第二年度50%的款项；</w:t>
            </w:r>
          </w:p>
          <w:p>
            <w:pPr>
              <w:rPr>
                <w:rFonts w:ascii="仿宋" w:hAnsi="仿宋" w:eastAsia="仿宋"/>
                <w:color w:val="000000"/>
                <w:sz w:val="24"/>
                <w:szCs w:val="24"/>
              </w:rPr>
            </w:pPr>
            <w:r>
              <w:rPr>
                <w:rFonts w:hint="eastAsia" w:ascii="仿宋" w:hAnsi="仿宋" w:eastAsia="仿宋"/>
                <w:color w:val="000000"/>
                <w:sz w:val="24"/>
                <w:szCs w:val="24"/>
              </w:rPr>
              <w:t>（4）、</w:t>
            </w:r>
            <w:r>
              <w:rPr>
                <w:rFonts w:ascii="仿宋" w:hAnsi="仿宋" w:eastAsia="仿宋"/>
                <w:color w:val="000000"/>
                <w:sz w:val="24"/>
                <w:szCs w:val="24"/>
              </w:rPr>
              <w:t>第二年度年终清算完成且经第二年度验收考核后，甲方向合同乙方支付第三年度50%的款项；若第二年度有考核扣款的，则扣除后支付；</w:t>
            </w:r>
          </w:p>
          <w:p>
            <w:pPr>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（5）、</w:t>
            </w:r>
            <w:r>
              <w:rPr>
                <w:rFonts w:ascii="仿宋" w:hAnsi="仿宋" w:eastAsia="仿宋"/>
                <w:color w:val="000000"/>
                <w:sz w:val="24"/>
                <w:szCs w:val="24"/>
              </w:rPr>
              <w:t>乙方通过甲方第三年度的初步验收，2025年12月31日前，甲方向合同乙方支付第三年度42%的款项；</w:t>
            </w:r>
          </w:p>
          <w:p>
            <w:pPr>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第三年度年终清算完成且经第三年度验收考核后，甲方向合同乙方支付第三年度扣除考核扣款后的剩余款项。</w:t>
            </w:r>
          </w:p>
          <w:p>
            <w:pPr>
              <w:rPr>
                <w:rFonts w:hint="eastAsia" w:ascii="仿宋" w:hAnsi="仿宋" w:eastAsia="仿宋"/>
                <w:color w:val="000000"/>
                <w:sz w:val="24"/>
                <w:szCs w:val="24"/>
              </w:rPr>
            </w:pPr>
            <w:r>
              <w:rPr>
                <w:rFonts w:hint="eastAsia" w:ascii="仿宋" w:hAnsi="仿宋" w:eastAsia="仿宋"/>
                <w:color w:val="000000"/>
                <w:sz w:val="24"/>
                <w:szCs w:val="24"/>
              </w:rPr>
              <w:t>说明：（1）在签订合同时，如合同乙方明确表示无需预付款或者主动要求降低预付款比例的，预付款比例以双方协商为准。</w:t>
            </w:r>
          </w:p>
          <w:p>
            <w:pPr>
              <w:rPr>
                <w:rFonts w:hint="eastAsia" w:ascii="仿宋" w:hAnsi="仿宋" w:eastAsia="仿宋"/>
                <w:color w:val="000000"/>
                <w:sz w:val="24"/>
                <w:szCs w:val="24"/>
              </w:rPr>
            </w:pPr>
            <w:r>
              <w:rPr>
                <w:rFonts w:hint="eastAsia" w:ascii="仿宋" w:hAnsi="仿宋" w:eastAsia="仿宋"/>
                <w:color w:val="000000"/>
                <w:sz w:val="24"/>
                <w:szCs w:val="24"/>
              </w:rPr>
              <w:t>（2）预付款：合同生效以及具备实施条件后7个工作日内支付；</w:t>
            </w:r>
          </w:p>
          <w:p>
            <w:pPr>
              <w:rPr>
                <w:rFonts w:hint="eastAsia" w:ascii="仿宋" w:hAnsi="仿宋" w:eastAsia="仿宋"/>
                <w:color w:val="000000"/>
                <w:sz w:val="24"/>
                <w:szCs w:val="24"/>
              </w:rPr>
            </w:pPr>
            <w:r>
              <w:rPr>
                <w:rFonts w:hint="eastAsia" w:ascii="仿宋" w:hAnsi="仿宋" w:eastAsia="仿宋"/>
                <w:color w:val="000000"/>
                <w:sz w:val="24"/>
                <w:szCs w:val="24"/>
              </w:rPr>
              <w:t>（3）其余合同款：满足支付条件后，合同甲方收到乙方提交的正规票据（符合合同甲方财务管理要求）后7个工作日内支付至合同乙方账户。</w:t>
            </w:r>
          </w:p>
          <w:p>
            <w:pPr>
              <w:rPr>
                <w:rFonts w:hint="eastAsia" w:ascii="仿宋" w:hAnsi="仿宋" w:eastAsia="仿宋"/>
                <w:color w:val="000000"/>
                <w:sz w:val="24"/>
                <w:szCs w:val="24"/>
              </w:rPr>
            </w:pPr>
            <w:r>
              <w:rPr>
                <w:rFonts w:hint="eastAsia" w:ascii="仿宋" w:hAnsi="仿宋" w:eastAsia="仿宋"/>
                <w:color w:val="000000"/>
                <w:sz w:val="24"/>
                <w:szCs w:val="24"/>
              </w:rPr>
              <w:t>二、1.合同乙方应在合同签订后5个工作日内向合同甲方提交合同金额的1%作为履约保证金。</w:t>
            </w:r>
          </w:p>
          <w:p>
            <w:pPr>
              <w:rPr>
                <w:rFonts w:hint="eastAsia" w:ascii="仿宋" w:hAnsi="仿宋" w:eastAsia="仿宋"/>
                <w:color w:val="000000"/>
                <w:sz w:val="24"/>
                <w:szCs w:val="24"/>
              </w:rPr>
            </w:pPr>
            <w:r>
              <w:rPr>
                <w:rFonts w:hint="eastAsia" w:ascii="仿宋" w:hAnsi="仿宋" w:eastAsia="仿宋"/>
                <w:color w:val="000000"/>
                <w:sz w:val="24"/>
                <w:szCs w:val="24"/>
              </w:rPr>
              <w:t>2.履约保证金应使用本合同货币，按下述方式中【A】形式提交：</w:t>
            </w:r>
          </w:p>
          <w:p>
            <w:pPr>
              <w:rPr>
                <w:rFonts w:hint="eastAsia" w:ascii="仿宋" w:hAnsi="仿宋" w:eastAsia="仿宋"/>
                <w:color w:val="000000"/>
                <w:sz w:val="24"/>
                <w:szCs w:val="24"/>
              </w:rPr>
            </w:pPr>
            <w:r>
              <w:rPr>
                <w:rFonts w:hint="eastAsia" w:ascii="仿宋" w:hAnsi="仿宋" w:eastAsia="仿宋"/>
                <w:color w:val="000000"/>
                <w:sz w:val="24"/>
                <w:szCs w:val="24"/>
              </w:rPr>
              <w:t>A.在中华人民共和国注册和营业的银行出具的保函，或保险公司出具的保函。B.支票。C.汇票。D.其他非现金形式。</w:t>
            </w:r>
          </w:p>
          <w:p>
            <w:pPr>
              <w:rPr>
                <w:rFonts w:hint="eastAsia" w:ascii="仿宋" w:hAnsi="仿宋" w:eastAsia="仿宋"/>
                <w:color w:val="000000"/>
                <w:sz w:val="24"/>
                <w:szCs w:val="24"/>
              </w:rPr>
            </w:pPr>
            <w:r>
              <w:rPr>
                <w:rFonts w:hint="eastAsia" w:ascii="仿宋" w:hAnsi="仿宋" w:eastAsia="仿宋"/>
                <w:color w:val="000000"/>
                <w:sz w:val="24"/>
                <w:szCs w:val="24"/>
              </w:rPr>
              <w:t>3.履约保证金有效期限：合同签订之日起至项目通过合同甲方验收后结束。</w:t>
            </w:r>
          </w:p>
          <w:p>
            <w:pPr>
              <w:rPr>
                <w:rFonts w:hint="eastAsia" w:ascii="仿宋" w:hAnsi="仿宋" w:eastAsia="仿宋"/>
                <w:color w:val="000000"/>
                <w:sz w:val="24"/>
                <w:szCs w:val="24"/>
              </w:rPr>
            </w:pPr>
            <w:r>
              <w:rPr>
                <w:rFonts w:hint="eastAsia" w:ascii="仿宋" w:hAnsi="仿宋" w:eastAsia="仿宋"/>
                <w:color w:val="000000"/>
                <w:sz w:val="24"/>
                <w:szCs w:val="24"/>
              </w:rPr>
              <w:t>4.履约保证金退还：</w:t>
            </w:r>
          </w:p>
          <w:p>
            <w:pPr>
              <w:rPr>
                <w:rFonts w:hint="eastAsia" w:ascii="仿宋" w:hAnsi="仿宋" w:eastAsia="仿宋"/>
                <w:color w:val="000000"/>
                <w:sz w:val="24"/>
                <w:szCs w:val="24"/>
              </w:rPr>
            </w:pPr>
            <w:r>
              <w:rPr>
                <w:rFonts w:hint="eastAsia" w:ascii="仿宋" w:hAnsi="仿宋" w:eastAsia="仿宋"/>
                <w:color w:val="000000"/>
                <w:sz w:val="24"/>
                <w:szCs w:val="24"/>
              </w:rPr>
              <w:sym w:font="Wingdings 2" w:char="0052"/>
            </w:r>
            <w:r>
              <w:rPr>
                <w:rFonts w:hint="eastAsia" w:ascii="仿宋" w:hAnsi="仿宋" w:eastAsia="仿宋"/>
                <w:color w:val="000000"/>
                <w:sz w:val="24"/>
                <w:szCs w:val="24"/>
              </w:rPr>
              <w:t>保函形式：有效期限满后七个工作日内将本保函正本退还。</w:t>
            </w:r>
          </w:p>
          <w:p>
            <w:pPr>
              <w:rPr>
                <w:rFonts w:hint="eastAsia" w:ascii="仿宋" w:hAnsi="仿宋" w:eastAsia="仿宋"/>
                <w:color w:val="000000"/>
                <w:sz w:val="24"/>
                <w:szCs w:val="24"/>
              </w:rPr>
            </w:pPr>
            <w:r>
              <w:rPr>
                <w:rFonts w:hint="eastAsia" w:ascii="仿宋" w:hAnsi="仿宋" w:eastAsia="仿宋"/>
                <w:color w:val="000000"/>
                <w:sz w:val="24"/>
                <w:szCs w:val="24"/>
              </w:rPr>
              <w:sym w:font="Wingdings 2" w:char="00A3"/>
            </w:r>
            <w:r>
              <w:rPr>
                <w:rFonts w:hint="eastAsia" w:ascii="仿宋" w:hAnsi="仿宋" w:eastAsia="仿宋"/>
                <w:color w:val="000000"/>
                <w:sz w:val="24"/>
                <w:szCs w:val="24"/>
              </w:rPr>
              <w:t>支票等其他形式：有效期限满后七个工作日内退还履约保证金。逾期退还的，除退还履约保证金本金外，并按中国人民银行同期贷款基准利率上浮20%后的利率支付超期资金占用费。</w:t>
            </w:r>
          </w:p>
          <w:p>
            <w:pPr>
              <w:rPr>
                <w:rFonts w:ascii="仿宋" w:hAnsi="仿宋" w:eastAsia="仿宋"/>
                <w:color w:val="000000"/>
                <w:sz w:val="24"/>
                <w:szCs w:val="24"/>
              </w:rPr>
            </w:pPr>
            <w:r>
              <w:rPr>
                <w:rFonts w:hint="eastAsia" w:ascii="仿宋" w:hAnsi="仿宋" w:eastAsia="仿宋"/>
                <w:color w:val="000000"/>
                <w:sz w:val="24"/>
                <w:szCs w:val="24"/>
              </w:rPr>
              <w:t>说明：合同乙方也可以采取其他形式提交履约保证金。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1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违约责任及争议解决方式</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szCs w:val="24"/>
              </w:rPr>
            </w:pPr>
            <w:r>
              <w:rPr>
                <w:rFonts w:hint="eastAsia" w:ascii="仿宋" w:hAnsi="仿宋" w:eastAsia="仿宋"/>
                <w:color w:val="000000"/>
                <w:sz w:val="24"/>
                <w:szCs w:val="24"/>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color w:val="000000"/>
                <w:sz w:val="24"/>
                <w:szCs w:val="24"/>
              </w:rPr>
            </w:pPr>
            <w:r>
              <w:rPr>
                <w:rFonts w:hint="eastAsia" w:ascii="仿宋" w:hAnsi="仿宋" w:eastAsia="仿宋"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8"/>
                <w:szCs w:val="28"/>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投标人要求紧密结合省市医保支付方式改革工作的实际需要，提供主动、便捷、高效的服务工作。积极响应省市医保经办机构的需求，对实施的项目提供24小时不间断技术支持服务，提供现场驻点、远程服务多种方式的支持服务，全方位及时响应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8"/>
                <w:szCs w:val="28"/>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left"/>
              <w:textAlignment w:val="baseline"/>
              <w:rPr>
                <w:rFonts w:ascii="仿宋" w:hAnsi="仿宋" w:eastAsia="仿宋"/>
                <w:color w:val="000000"/>
                <w:sz w:val="24"/>
                <w:szCs w:val="24"/>
              </w:rPr>
            </w:pPr>
            <w:r>
              <w:rPr>
                <w:rFonts w:hint="eastAsia" w:ascii="仿宋" w:hAnsi="仿宋" w:eastAsia="仿宋"/>
                <w:color w:val="000000"/>
                <w:sz w:val="24"/>
                <w:szCs w:val="24"/>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履约能力</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投标人技术力量情况</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000000"/>
                <w:sz w:val="24"/>
                <w:szCs w:val="24"/>
              </w:rPr>
            </w:pPr>
            <w:r>
              <w:rPr>
                <w:rFonts w:hint="eastAsia" w:ascii="仿宋" w:hAnsi="仿宋" w:eastAsia="仿宋"/>
                <w:color w:val="000000"/>
                <w:sz w:val="24"/>
                <w:szCs w:val="24"/>
              </w:rPr>
              <w:t>投标人具有ISO22301业务连续性管理体系认证、ISO27701隐私信息管理体系认证、ISO27001信息安全管理体系认证、中国合格评定国家认可委员会评定的软件评测实验室资质认证，每有一个得1分，最多得4分。</w:t>
            </w:r>
          </w:p>
          <w:p>
            <w:pPr>
              <w:rPr>
                <w:rFonts w:hint="eastAsia" w:ascii="仿宋" w:hAnsi="仿宋" w:eastAsia="仿宋"/>
                <w:color w:val="000000"/>
                <w:sz w:val="24"/>
                <w:szCs w:val="24"/>
              </w:rPr>
            </w:pPr>
            <w:r>
              <w:rPr>
                <w:rFonts w:hint="eastAsia" w:ascii="仿宋" w:hAnsi="仿宋" w:eastAsia="仿宋"/>
                <w:color w:val="000000"/>
                <w:sz w:val="24"/>
                <w:szCs w:val="24"/>
              </w:rPr>
              <w:t>注：提供有效期内的证书或认证复印件并加盖公章，未提供或无法证明的不得分。如供应商为联合体，联合体主办单位具备才可得分。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b/>
                <w:color w:val="000000"/>
                <w:sz w:val="28"/>
                <w:szCs w:val="28"/>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经验或业绩要求</w:t>
            </w:r>
          </w:p>
        </w:tc>
        <w:tc>
          <w:tcPr>
            <w:tcW w:w="67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000000"/>
                <w:sz w:val="24"/>
                <w:szCs w:val="24"/>
              </w:rPr>
            </w:pPr>
            <w:r>
              <w:rPr>
                <w:rFonts w:hint="eastAsia" w:ascii="仿宋" w:hAnsi="仿宋" w:eastAsia="仿宋"/>
                <w:color w:val="000000"/>
                <w:sz w:val="24"/>
                <w:szCs w:val="24"/>
              </w:rPr>
              <w:t>2020年1月1日以来（时间以合同签订时间为准），投标人有参与实施</w:t>
            </w:r>
            <w:r>
              <w:rPr>
                <w:rFonts w:hint="eastAsia" w:ascii="仿宋" w:hAnsi="仿宋" w:eastAsia="仿宋"/>
                <w:color w:val="000000"/>
                <w:sz w:val="24"/>
                <w:szCs w:val="24"/>
                <w:lang w:eastAsia="zh-CN"/>
              </w:rPr>
              <w:t>医保</w:t>
            </w:r>
            <w:r>
              <w:rPr>
                <w:rFonts w:hint="eastAsia" w:ascii="仿宋" w:hAnsi="仿宋" w:eastAsia="仿宋"/>
                <w:color w:val="000000"/>
                <w:sz w:val="24"/>
                <w:szCs w:val="24"/>
              </w:rPr>
              <w:t>DRG支付方式改革项目的,每个得0.5分，本项满分1分。</w:t>
            </w:r>
          </w:p>
          <w:p>
            <w:pPr>
              <w:rPr>
                <w:rFonts w:hint="eastAsia" w:ascii="仿宋" w:hAnsi="仿宋" w:eastAsia="仿宋"/>
                <w:color w:val="000000"/>
                <w:sz w:val="24"/>
                <w:szCs w:val="24"/>
              </w:rPr>
            </w:pPr>
            <w:r>
              <w:rPr>
                <w:rFonts w:hint="eastAsia" w:ascii="仿宋" w:hAnsi="仿宋" w:eastAsia="仿宋"/>
                <w:color w:val="000000"/>
                <w:sz w:val="24"/>
                <w:szCs w:val="24"/>
              </w:rPr>
              <w:t>注：须提供项目合同及验收报告的复印件并加盖公章。未提供或无法证明的不得分。如供应商为联合体，联合体主办单位具备才可得分。</w:t>
            </w:r>
          </w:p>
        </w:tc>
      </w:tr>
    </w:tbl>
    <w:p>
      <w:pPr>
        <w:widowControl/>
        <w:jc w:val="left"/>
        <w:rPr>
          <w:rFonts w:hAnsi="宋体"/>
          <w:b/>
          <w:color w:val="000000"/>
          <w:sz w:val="36"/>
          <w:szCs w:val="36"/>
        </w:rPr>
      </w:pPr>
      <w:r>
        <w:rPr>
          <w:rFonts w:ascii="仿宋" w:hAnsi="仿宋" w:eastAsia="仿宋" w:cs="仿宋"/>
          <w:b/>
          <w:bCs/>
          <w:color w:val="000000"/>
          <w:spacing w:val="30"/>
          <w:sz w:val="28"/>
          <w:szCs w:val="28"/>
        </w:rPr>
        <w:br w:type="page"/>
      </w:r>
      <w:r>
        <w:rPr>
          <w:rFonts w:hint="eastAsia" w:ascii="仿宋" w:hAnsi="仿宋" w:eastAsia="仿宋" w:cs="仿宋"/>
          <w:b/>
          <w:bCs/>
          <w:color w:val="000000"/>
          <w:spacing w:val="30"/>
          <w:sz w:val="28"/>
          <w:szCs w:val="28"/>
        </w:rPr>
        <w:t xml:space="preserve"> </w:t>
      </w:r>
      <w:bookmarkEnd w:id="32"/>
      <w:bookmarkStart w:id="39" w:name="PO_TDCUS_ITEM_PB_REQ_TABLE_1_1_0"/>
      <w:bookmarkEnd w:id="39"/>
      <w:bookmarkStart w:id="40" w:name="_Toc26308"/>
      <w:r>
        <w:rPr>
          <w:rFonts w:hint="eastAsia" w:ascii="仿宋" w:hAnsi="仿宋" w:eastAsia="仿宋" w:cs="仿宋"/>
          <w:b/>
          <w:bCs/>
          <w:color w:val="000000"/>
          <w:spacing w:val="30"/>
          <w:sz w:val="28"/>
          <w:szCs w:val="28"/>
          <w:lang w:val="en-US" w:eastAsia="zh-CN"/>
        </w:rPr>
        <w:t xml:space="preserve">   </w:t>
      </w: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30"/>
      <w:bookmarkEnd w:id="40"/>
    </w:p>
    <w:p>
      <w:pPr>
        <w:rPr>
          <w:color w:val="000000"/>
        </w:rPr>
      </w:pPr>
    </w:p>
    <w:p>
      <w:pPr>
        <w:pStyle w:val="33"/>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3"/>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3"/>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3"/>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3"/>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3"/>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3"/>
              <w:spacing w:after="120" w:line="460" w:lineRule="exact"/>
              <w:ind w:left="1890"/>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3"/>
              <w:spacing w:after="120" w:line="460" w:lineRule="exact"/>
              <w:ind w:firstLine="639" w:firstLineChars="213"/>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3"/>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3"/>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3"/>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3"/>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3"/>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3"/>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3"/>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3"/>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3"/>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spacing w:line="360" w:lineRule="auto"/>
        <w:rPr>
          <w:rFonts w:hint="default" w:ascii="仿宋" w:hAnsi="仿宋" w:eastAsia="仿宋"/>
          <w:bCs/>
          <w:snapToGrid w:val="0"/>
          <w:color w:val="000000"/>
          <w:sz w:val="30"/>
          <w:szCs w:val="30"/>
          <w:lang w:val="en-US" w:eastAsia="zh-CN"/>
        </w:rPr>
      </w:pPr>
      <w:r>
        <w:rPr>
          <w:rFonts w:hint="eastAsia" w:ascii="仿宋" w:hAnsi="仿宋" w:eastAsia="仿宋"/>
          <w:bCs/>
          <w:snapToGrid w:val="0"/>
          <w:color w:val="000000"/>
          <w:sz w:val="30"/>
          <w:szCs w:val="30"/>
        </w:rPr>
        <w:t xml:space="preserve"> 付款方式：</w:t>
      </w:r>
      <w:r>
        <w:rPr>
          <w:rFonts w:hint="eastAsia" w:ascii="仿宋" w:hAnsi="仿宋" w:eastAsia="仿宋"/>
          <w:bCs/>
          <w:snapToGrid w:val="0"/>
          <w:color w:val="000000"/>
          <w:sz w:val="30"/>
          <w:szCs w:val="30"/>
          <w:lang w:val="en-US" w:eastAsia="zh-CN"/>
        </w:rPr>
        <w:t>详见商务要求表</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3"/>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3"/>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3"/>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3"/>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3"/>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3"/>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p>
    <w:p>
      <w:pPr>
        <w:pStyle w:val="33"/>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3"/>
        <w:adjustRightInd w:val="0"/>
        <w:snapToGrid w:val="0"/>
        <w:spacing w:before="156" w:after="156" w:line="460" w:lineRule="exact"/>
        <w:ind w:firstLine="639" w:firstLineChars="213"/>
        <w:rPr>
          <w:rFonts w:ascii="仿宋" w:hAnsi="仿宋" w:eastAsia="仿宋"/>
          <w:snapToGrid w:val="0"/>
          <w:color w:val="000000"/>
          <w:sz w:val="30"/>
          <w:szCs w:val="30"/>
        </w:rPr>
      </w:pPr>
    </w:p>
    <w:p>
      <w:pPr>
        <w:rPr>
          <w:color w:val="000000"/>
          <w:szCs w:val="30"/>
        </w:rPr>
      </w:pPr>
    </w:p>
    <w:p>
      <w:pPr>
        <w:pStyle w:val="33"/>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41"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41"/>
    </w:p>
    <w:p>
      <w:pPr>
        <w:pStyle w:val="33"/>
        <w:spacing w:before="156" w:after="156" w:line="360" w:lineRule="auto"/>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3"/>
        <w:adjustRightInd w:val="0"/>
        <w:snapToGrid w:val="0"/>
        <w:spacing w:before="156" w:after="156" w:line="460" w:lineRule="exact"/>
        <w:ind w:left="1" w:firstLine="770" w:firstLineChars="213"/>
        <w:jc w:val="center"/>
        <w:rPr>
          <w:rFonts w:hAnsi="宋体" w:eastAsia="仿宋_GB2312"/>
          <w:b/>
          <w:color w:val="000000"/>
          <w:sz w:val="36"/>
          <w:szCs w:val="36"/>
        </w:rPr>
      </w:pPr>
    </w:p>
    <w:p>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312" w:beforeLines="100" w:line="240" w:lineRule="atLeast"/>
        <w:jc w:val="center"/>
        <w:rPr>
          <w:rFonts w:hint="eastAsia" w:ascii="仿宋" w:hAnsi="仿宋" w:eastAsia="仿宋"/>
          <w:color w:val="000000"/>
          <w:sz w:val="44"/>
          <w:szCs w:val="44"/>
          <w:lang w:eastAsia="zh-CN"/>
        </w:rPr>
      </w:pPr>
      <w:bookmarkStart w:id="42" w:name="PO_1000000445_PM002_2"/>
      <w:r>
        <w:rPr>
          <w:rFonts w:hint="eastAsia" w:ascii="仿宋" w:hAnsi="仿宋" w:eastAsia="仿宋"/>
          <w:b/>
          <w:color w:val="000000"/>
          <w:spacing w:val="40"/>
          <w:sz w:val="44"/>
          <w:szCs w:val="44"/>
          <w:lang w:eastAsia="zh-CN"/>
        </w:rPr>
        <w:t>浙江省省本级、杭州市按疾病诊断相关分组（DRGs）点数法支付方式专业化服务项目</w:t>
      </w:r>
      <w:bookmarkEnd w:id="42"/>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3" w:name="PO_15528_PM001_2"/>
      <w:r>
        <w:rPr>
          <w:rFonts w:hint="eastAsia" w:ascii="仿宋" w:hAnsi="仿宋" w:eastAsia="仿宋"/>
          <w:color w:val="000000"/>
          <w:sz w:val="36"/>
          <w:szCs w:val="36"/>
          <w:lang w:eastAsia="zh-CN"/>
        </w:rPr>
        <w:t>ZZCG2023T-GK-168</w:t>
      </w:r>
      <w:bookmarkEnd w:id="43"/>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3"/>
        <w:snapToGrid w:val="0"/>
        <w:spacing w:before="156" w:after="156" w:line="240" w:lineRule="auto"/>
        <w:rPr>
          <w:rFonts w:ascii="仿宋" w:hAnsi="仿宋" w:eastAsia="仿宋"/>
          <w:sz w:val="30"/>
          <w:szCs w:val="30"/>
        </w:rPr>
      </w:pPr>
    </w:p>
    <w:p>
      <w:pPr>
        <w:pStyle w:val="33"/>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4" w:name="PO_3000002632_PM002"/>
      <w:r>
        <w:rPr>
          <w:rFonts w:hint="eastAsia" w:ascii="仿宋" w:hAnsi="仿宋" w:eastAsia="仿宋"/>
          <w:b/>
          <w:sz w:val="30"/>
          <w:szCs w:val="30"/>
          <w:u w:val="single"/>
          <w:lang w:eastAsia="zh-CN"/>
        </w:rPr>
        <w:t>浙江省省本级、杭州市按疾病诊断相关分组（DRGs）点数法支付方式专业化服务项目</w:t>
      </w:r>
      <w:bookmarkEnd w:id="44"/>
      <w:r>
        <w:rPr>
          <w:rFonts w:hint="eastAsia" w:ascii="仿宋" w:hAnsi="仿宋" w:eastAsia="仿宋"/>
          <w:sz w:val="30"/>
          <w:szCs w:val="30"/>
          <w:u w:val="single"/>
        </w:rPr>
        <w:t>（编号为</w:t>
      </w:r>
      <w:bookmarkStart w:id="45" w:name="PO_15528_PM001_3"/>
      <w:r>
        <w:rPr>
          <w:rFonts w:hint="eastAsia" w:ascii="仿宋" w:hAnsi="仿宋" w:eastAsia="仿宋"/>
          <w:sz w:val="30"/>
          <w:szCs w:val="30"/>
          <w:u w:val="single"/>
          <w:lang w:eastAsia="zh-CN"/>
        </w:rPr>
        <w:t>ZZCG2023T-GK-168</w:t>
      </w:r>
      <w:bookmarkEnd w:id="4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6" w:name="PO_3000002632_PM002_1"/>
      <w:r>
        <w:rPr>
          <w:rFonts w:hint="eastAsia" w:ascii="仿宋" w:hAnsi="仿宋" w:eastAsia="仿宋"/>
          <w:b/>
          <w:sz w:val="30"/>
          <w:szCs w:val="30"/>
          <w:u w:val="single"/>
          <w:lang w:eastAsia="zh-CN"/>
        </w:rPr>
        <w:t>浙江省省本级、杭州市按疾病诊断相关分组（DRGs）点数法支付方式专业化服务项目</w:t>
      </w:r>
      <w:bookmarkEnd w:id="46"/>
      <w:r>
        <w:rPr>
          <w:rFonts w:hint="eastAsia" w:ascii="仿宋" w:hAnsi="仿宋" w:eastAsia="仿宋"/>
          <w:sz w:val="30"/>
          <w:szCs w:val="30"/>
        </w:rPr>
        <w:t xml:space="preserve"> 项目编号：</w:t>
      </w:r>
      <w:bookmarkStart w:id="47" w:name="PO_3000002632_PM001"/>
      <w:r>
        <w:rPr>
          <w:rFonts w:hint="eastAsia" w:ascii="仿宋" w:hAnsi="仿宋" w:eastAsia="仿宋"/>
          <w:b/>
          <w:sz w:val="30"/>
          <w:szCs w:val="30"/>
          <w:u w:val="single"/>
          <w:lang w:eastAsia="zh-CN"/>
        </w:rPr>
        <w:t>ZZCG2023T-GK-168</w:t>
      </w:r>
      <w:bookmarkEnd w:id="47"/>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附件4：</w:t>
      </w:r>
      <w:r>
        <w:rPr>
          <w:rFonts w:hint="eastAsia" w:ascii="仿宋" w:hAnsi="仿宋" w:eastAsia="仿宋"/>
          <w:sz w:val="30"/>
          <w:szCs w:val="30"/>
          <w:lang w:val="en-US" w:eastAsia="zh-CN"/>
        </w:rPr>
        <w:t xml:space="preserve">            </w:t>
      </w: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8" w:name="PO_3000002632_PM001_1"/>
      <w:r>
        <w:rPr>
          <w:rFonts w:hint="eastAsia" w:ascii="仿宋" w:hAnsi="仿宋" w:eastAsia="仿宋"/>
          <w:b/>
          <w:sz w:val="30"/>
          <w:szCs w:val="30"/>
          <w:u w:val="single"/>
          <w:lang w:eastAsia="zh-CN"/>
        </w:rPr>
        <w:t>ZZCG2023T-GK-168</w:t>
      </w:r>
      <w:bookmarkEnd w:id="48"/>
      <w:r>
        <w:rPr>
          <w:rFonts w:hint="eastAsia" w:ascii="仿宋" w:hAnsi="仿宋" w:eastAsia="仿宋"/>
          <w:sz w:val="30"/>
          <w:szCs w:val="30"/>
        </w:rPr>
        <w:t>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8"/>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9"/>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lang w:val="en-US" w:eastAsia="zh-CN"/>
        </w:rPr>
        <w:t xml:space="preserve">         </w:t>
      </w: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sectPr>
          <w:footerReference r:id="rId3" w:type="default"/>
          <w:pgSz w:w="11906" w:h="16838"/>
          <w:pgMar w:top="1440" w:right="1800" w:bottom="1440" w:left="1800" w:header="851" w:footer="992" w:gutter="0"/>
          <w:cols w:space="720"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hint="eastAsia" w:ascii="仿宋" w:hAnsi="仿宋" w:eastAsia="仿宋"/>
          <w:color w:val="000000"/>
          <w:sz w:val="30"/>
          <w:szCs w:val="30"/>
        </w:rPr>
      </w:pPr>
    </w:p>
    <w:p>
      <w:pPr>
        <w:widowControl/>
        <w:jc w:val="left"/>
        <w:rPr>
          <w:rFonts w:ascii="仿宋" w:hAnsi="仿宋" w:eastAsia="仿宋"/>
          <w:b/>
          <w:color w:val="000000"/>
          <w:sz w:val="30"/>
          <w:szCs w:val="30"/>
        </w:rPr>
      </w:pP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44"/>
          <w:szCs w:val="44"/>
          <w:lang w:eastAsia="zh-CN"/>
        </w:rPr>
      </w:pPr>
      <w:bookmarkStart w:id="49" w:name="PO_1000000445_PM002"/>
      <w:r>
        <w:rPr>
          <w:rFonts w:hint="eastAsia" w:ascii="仿宋" w:hAnsi="仿宋" w:eastAsia="仿宋"/>
          <w:b/>
          <w:color w:val="000000"/>
          <w:spacing w:val="40"/>
          <w:sz w:val="44"/>
          <w:szCs w:val="44"/>
          <w:lang w:eastAsia="zh-CN"/>
        </w:rPr>
        <w:t>浙江省省本级、杭州市按疾病诊断相关分组（DRGs）点数法支付方式专业化服务项目</w:t>
      </w:r>
      <w:bookmarkEnd w:id="49"/>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50" w:name="PO_15528_PM001_4"/>
      <w:r>
        <w:rPr>
          <w:rFonts w:hint="eastAsia" w:ascii="仿宋" w:hAnsi="仿宋" w:eastAsia="仿宋"/>
          <w:color w:val="000000"/>
          <w:sz w:val="36"/>
          <w:szCs w:val="36"/>
          <w:lang w:eastAsia="zh-CN"/>
        </w:rPr>
        <w:t>ZZCG2023T-GK-168</w:t>
      </w:r>
      <w:bookmarkEnd w:id="50"/>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9"/>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9"/>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3"/>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3"/>
              <w:snapToGrid w:val="0"/>
              <w:spacing w:before="120" w:after="120" w:line="240" w:lineRule="auto"/>
              <w:outlineLvl w:val="0"/>
              <w:rPr>
                <w:rFonts w:ascii="仿宋" w:hAnsi="仿宋" w:eastAsia="仿宋"/>
                <w:color w:val="000000"/>
                <w:sz w:val="30"/>
                <w:szCs w:val="30"/>
              </w:rPr>
            </w:pPr>
          </w:p>
        </w:tc>
      </w:tr>
    </w:tbl>
    <w:p>
      <w:pPr>
        <w:pStyle w:val="24"/>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6"/>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3"/>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footerReference r:id="rId4"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9"/>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44"/>
          <w:szCs w:val="44"/>
          <w:lang w:eastAsia="zh-CN"/>
        </w:rPr>
      </w:pPr>
      <w:bookmarkStart w:id="51" w:name="PO_1000000445_PM002_1"/>
      <w:r>
        <w:rPr>
          <w:rFonts w:hint="eastAsia" w:ascii="仿宋" w:hAnsi="仿宋" w:eastAsia="仿宋"/>
          <w:b/>
          <w:color w:val="000000"/>
          <w:spacing w:val="40"/>
          <w:sz w:val="44"/>
          <w:szCs w:val="44"/>
          <w:lang w:eastAsia="zh-CN"/>
        </w:rPr>
        <w:t>浙江省省本级、杭州市按疾病诊断相关分组（DRGs）点数法支付方式专业化服务项目</w:t>
      </w:r>
      <w:bookmarkEnd w:id="51"/>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52" w:name="PO_1000000445_PM001"/>
      <w:r>
        <w:rPr>
          <w:rFonts w:hint="eastAsia" w:ascii="仿宋" w:hAnsi="仿宋" w:eastAsia="仿宋"/>
          <w:b/>
          <w:color w:val="000000"/>
          <w:sz w:val="36"/>
          <w:szCs w:val="36"/>
          <w:lang w:eastAsia="zh-CN"/>
        </w:rPr>
        <w:t>ZZCG2023T-GK-168</w:t>
      </w:r>
      <w:bookmarkEnd w:id="52"/>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pStyle w:val="36"/>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6"/>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pPr>
        <w:pStyle w:val="36"/>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pStyle w:val="33"/>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pPr>
        <w:pStyle w:val="33"/>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3"/>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hAnsi="宋体"/>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kern w:val="0"/>
          <w:sz w:val="30"/>
          <w:szCs w:val="30"/>
          <w:lang w:val="en-US" w:eastAsia="zh-CN"/>
        </w:rPr>
        <w:t xml:space="preserve">                  </w:t>
      </w:r>
      <w:r>
        <w:rPr>
          <w:rFonts w:hint="eastAsia" w:hAnsi="宋体"/>
          <w:b/>
          <w:color w:val="000000"/>
          <w:sz w:val="36"/>
          <w:szCs w:val="36"/>
        </w:rPr>
        <w:t>开 标 一 览 表</w:t>
      </w:r>
    </w:p>
    <w:p>
      <w:pPr>
        <w:pStyle w:val="33"/>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hAnsi="宋体"/>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kern w:val="0"/>
          <w:sz w:val="30"/>
          <w:szCs w:val="30"/>
          <w:lang w:val="en-US" w:eastAsia="zh-CN"/>
        </w:rPr>
        <w:t xml:space="preserve">                     </w:t>
      </w:r>
      <w:r>
        <w:rPr>
          <w:rFonts w:hint="eastAsia" w:hAnsi="宋体"/>
          <w:b/>
          <w:color w:val="000000"/>
          <w:sz w:val="36"/>
          <w:szCs w:val="36"/>
        </w:rPr>
        <w:t>开 标 一 览 表</w:t>
      </w:r>
    </w:p>
    <w:p>
      <w:pPr>
        <w:pStyle w:val="33"/>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7"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color w:val="000000"/>
                <w:sz w:val="24"/>
                <w:szCs w:val="24"/>
              </w:rPr>
              <w:t>开标时，现场工作人员当众拆封，并宣布投标人名称、投标总价合计金额。</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widowControl/>
        <w:tabs>
          <w:tab w:val="center" w:pos="4755"/>
          <w:tab w:val="right" w:pos="9070"/>
        </w:tabs>
        <w:jc w:val="left"/>
        <w:rPr>
          <w:rFonts w:ascii="宋体" w:cs="Arial"/>
          <w:color w:val="000000"/>
          <w:kern w:val="0"/>
          <w:sz w:val="18"/>
          <w:szCs w:val="18"/>
        </w:rPr>
      </w:pPr>
    </w:p>
    <w:p>
      <w:pPr>
        <w:pStyle w:val="42"/>
        <w:spacing w:after="120"/>
        <w:rPr>
          <w:color w:val="000000"/>
        </w:rPr>
      </w:pPr>
    </w:p>
    <w:p>
      <w:pPr>
        <w:rPr>
          <w:color w:val="00000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rPr>
          <w:color w:val="000000"/>
        </w:rPr>
      </w:pPr>
    </w:p>
    <w:p>
      <w:pPr>
        <w:rPr>
          <w:rFonts w:hint="default"/>
          <w:lang w:val="en-US" w:eastAsia="zh-CN"/>
        </w:rPr>
      </w:pPr>
    </w:p>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Wingdings 2">
    <w:panose1 w:val="05020102010507070707"/>
    <w:charset w:val="02"/>
    <w:family w:val="roman"/>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61</w:t>
    </w:r>
    <w:r>
      <w:rPr>
        <w:rFonts w:ascii="宋体" w:hAnsi="宋体"/>
        <w:sz w:val="28"/>
        <w:szCs w:val="28"/>
      </w:rPr>
      <w:fldChar w:fldCharType="end"/>
    </w:r>
    <w:r>
      <w:rPr>
        <w:rStyle w:val="67"/>
        <w:rFonts w:hint="eastAsia" w:ascii="宋体" w:hAnsi="宋体"/>
        <w:sz w:val="28"/>
        <w:szCs w:val="28"/>
      </w:rPr>
      <w:t xml:space="preserve"> —</w:t>
    </w:r>
  </w:p>
  <w:p>
    <w:pPr>
      <w:pStyle w:val="40"/>
      <w:ind w:right="720" w:firstLine="180" w:firstLineChars="100"/>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E4B3A"/>
    <w:multiLevelType w:val="singleLevel"/>
    <w:tmpl w:val="E7DE4B3A"/>
    <w:lvl w:ilvl="0" w:tentative="0">
      <w:start w:val="1"/>
      <w:numFmt w:val="chineseCounting"/>
      <w:suff w:val="nothing"/>
      <w:lvlText w:val="%1、"/>
      <w:lvlJc w:val="left"/>
      <w:pPr>
        <w:ind w:left="0" w:firstLine="420"/>
      </w:pPr>
      <w:rPr>
        <w:rFonts w:hint="eastAsia"/>
      </w:rPr>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062654"/>
    <w:rsid w:val="000561F5"/>
    <w:rsid w:val="00062654"/>
    <w:rsid w:val="000869A0"/>
    <w:rsid w:val="00097B32"/>
    <w:rsid w:val="000A0C44"/>
    <w:rsid w:val="000C308D"/>
    <w:rsid w:val="000D7230"/>
    <w:rsid w:val="000F7EE7"/>
    <w:rsid w:val="00120088"/>
    <w:rsid w:val="0012017A"/>
    <w:rsid w:val="0012619A"/>
    <w:rsid w:val="0012623F"/>
    <w:rsid w:val="001440B6"/>
    <w:rsid w:val="00162E15"/>
    <w:rsid w:val="00162FF4"/>
    <w:rsid w:val="00172DEA"/>
    <w:rsid w:val="00176C4B"/>
    <w:rsid w:val="001A46E4"/>
    <w:rsid w:val="001B3980"/>
    <w:rsid w:val="001D0E9A"/>
    <w:rsid w:val="002641A2"/>
    <w:rsid w:val="002F3E2E"/>
    <w:rsid w:val="003325FB"/>
    <w:rsid w:val="0033574A"/>
    <w:rsid w:val="0033659A"/>
    <w:rsid w:val="003520FA"/>
    <w:rsid w:val="00360F0E"/>
    <w:rsid w:val="0036152B"/>
    <w:rsid w:val="00366051"/>
    <w:rsid w:val="00391A6D"/>
    <w:rsid w:val="003D1384"/>
    <w:rsid w:val="003E2398"/>
    <w:rsid w:val="00411BA0"/>
    <w:rsid w:val="0044498E"/>
    <w:rsid w:val="00473394"/>
    <w:rsid w:val="00474CBE"/>
    <w:rsid w:val="004825F5"/>
    <w:rsid w:val="00484F83"/>
    <w:rsid w:val="0049675C"/>
    <w:rsid w:val="004A290E"/>
    <w:rsid w:val="004A76BE"/>
    <w:rsid w:val="004B659A"/>
    <w:rsid w:val="004C0111"/>
    <w:rsid w:val="004F4AD3"/>
    <w:rsid w:val="00515296"/>
    <w:rsid w:val="00533700"/>
    <w:rsid w:val="00550B3D"/>
    <w:rsid w:val="005855C1"/>
    <w:rsid w:val="005C254C"/>
    <w:rsid w:val="005E17E9"/>
    <w:rsid w:val="005F25FA"/>
    <w:rsid w:val="006111E0"/>
    <w:rsid w:val="00640492"/>
    <w:rsid w:val="0065516D"/>
    <w:rsid w:val="00672794"/>
    <w:rsid w:val="00676060"/>
    <w:rsid w:val="006A75FB"/>
    <w:rsid w:val="006E1042"/>
    <w:rsid w:val="006F3E5C"/>
    <w:rsid w:val="00741CB1"/>
    <w:rsid w:val="007456F9"/>
    <w:rsid w:val="00753349"/>
    <w:rsid w:val="00765186"/>
    <w:rsid w:val="0079512C"/>
    <w:rsid w:val="007B33D8"/>
    <w:rsid w:val="007B39CD"/>
    <w:rsid w:val="007E12E3"/>
    <w:rsid w:val="008010EC"/>
    <w:rsid w:val="008139C8"/>
    <w:rsid w:val="00831259"/>
    <w:rsid w:val="0084546F"/>
    <w:rsid w:val="00924B7C"/>
    <w:rsid w:val="00935B2B"/>
    <w:rsid w:val="00993FC4"/>
    <w:rsid w:val="009A098E"/>
    <w:rsid w:val="009A1F91"/>
    <w:rsid w:val="009A2344"/>
    <w:rsid w:val="009B0D12"/>
    <w:rsid w:val="009F00A7"/>
    <w:rsid w:val="00A45A96"/>
    <w:rsid w:val="00A63B06"/>
    <w:rsid w:val="00A7178C"/>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778B0"/>
    <w:rsid w:val="00C8441C"/>
    <w:rsid w:val="00CF474F"/>
    <w:rsid w:val="00D06379"/>
    <w:rsid w:val="00D34D4C"/>
    <w:rsid w:val="00D67996"/>
    <w:rsid w:val="00DB219B"/>
    <w:rsid w:val="00E05EDB"/>
    <w:rsid w:val="00E201D7"/>
    <w:rsid w:val="00E41BE8"/>
    <w:rsid w:val="00E777DE"/>
    <w:rsid w:val="00E7787D"/>
    <w:rsid w:val="00E9556E"/>
    <w:rsid w:val="00EA67ED"/>
    <w:rsid w:val="00ED4653"/>
    <w:rsid w:val="00EE11E2"/>
    <w:rsid w:val="00EE4DD6"/>
    <w:rsid w:val="00EF085D"/>
    <w:rsid w:val="00F65079"/>
    <w:rsid w:val="00F65755"/>
    <w:rsid w:val="00F7339A"/>
    <w:rsid w:val="00FC29AB"/>
    <w:rsid w:val="00FD3EEC"/>
    <w:rsid w:val="01655111"/>
    <w:rsid w:val="0362221B"/>
    <w:rsid w:val="08C4329D"/>
    <w:rsid w:val="10FE6F78"/>
    <w:rsid w:val="151C1A3B"/>
    <w:rsid w:val="15B912F9"/>
    <w:rsid w:val="19834C82"/>
    <w:rsid w:val="1A9A20D3"/>
    <w:rsid w:val="1D430CBE"/>
    <w:rsid w:val="1E350604"/>
    <w:rsid w:val="22376A23"/>
    <w:rsid w:val="25BD1A38"/>
    <w:rsid w:val="26897B64"/>
    <w:rsid w:val="2815703B"/>
    <w:rsid w:val="2A4E0620"/>
    <w:rsid w:val="2B2D5B0A"/>
    <w:rsid w:val="2B3168F8"/>
    <w:rsid w:val="2C7A0D2C"/>
    <w:rsid w:val="2D5779CF"/>
    <w:rsid w:val="3840162B"/>
    <w:rsid w:val="3A7252F3"/>
    <w:rsid w:val="3BED0173"/>
    <w:rsid w:val="3D8B7FA9"/>
    <w:rsid w:val="3FBE9B9D"/>
    <w:rsid w:val="41364CDF"/>
    <w:rsid w:val="419A6214"/>
    <w:rsid w:val="44E10B71"/>
    <w:rsid w:val="4E731CFE"/>
    <w:rsid w:val="4E7B594C"/>
    <w:rsid w:val="4F043B94"/>
    <w:rsid w:val="54902DF9"/>
    <w:rsid w:val="5AD04B0E"/>
    <w:rsid w:val="5ADD3A8D"/>
    <w:rsid w:val="5BBA2A08"/>
    <w:rsid w:val="5C506779"/>
    <w:rsid w:val="5E9D4C47"/>
    <w:rsid w:val="5F4F0E7A"/>
    <w:rsid w:val="6006114B"/>
    <w:rsid w:val="61BECC03"/>
    <w:rsid w:val="62311ACF"/>
    <w:rsid w:val="63750765"/>
    <w:rsid w:val="640E35FD"/>
    <w:rsid w:val="6760172C"/>
    <w:rsid w:val="69EE1011"/>
    <w:rsid w:val="6BDFCAA6"/>
    <w:rsid w:val="6CAA2432"/>
    <w:rsid w:val="6CC06AB9"/>
    <w:rsid w:val="6EAB2545"/>
    <w:rsid w:val="6F6F9968"/>
    <w:rsid w:val="70D0143C"/>
    <w:rsid w:val="72A0189E"/>
    <w:rsid w:val="72A80125"/>
    <w:rsid w:val="739753D2"/>
    <w:rsid w:val="73FFEDD0"/>
    <w:rsid w:val="76B1B93A"/>
    <w:rsid w:val="77EF5B71"/>
    <w:rsid w:val="795ECF16"/>
    <w:rsid w:val="7B506683"/>
    <w:rsid w:val="7B7B565A"/>
    <w:rsid w:val="7BE5615C"/>
    <w:rsid w:val="7BF74B35"/>
    <w:rsid w:val="7D0630C7"/>
    <w:rsid w:val="7D34644A"/>
    <w:rsid w:val="7E8DAE58"/>
    <w:rsid w:val="7EFA4794"/>
    <w:rsid w:val="7EFA7994"/>
    <w:rsid w:val="7F6D0151"/>
    <w:rsid w:val="7FDE4E97"/>
    <w:rsid w:val="9F7F72C5"/>
    <w:rsid w:val="BBB9EB4B"/>
    <w:rsid w:val="BEDF109A"/>
    <w:rsid w:val="BEFACA1D"/>
    <w:rsid w:val="BFBBFF97"/>
    <w:rsid w:val="BFEBBDD1"/>
    <w:rsid w:val="BFFB48B4"/>
    <w:rsid w:val="CEAE52D0"/>
    <w:rsid w:val="D569AA88"/>
    <w:rsid w:val="DD5EC9CB"/>
    <w:rsid w:val="DFB1FBA4"/>
    <w:rsid w:val="DFF7E8B3"/>
    <w:rsid w:val="F3162DC1"/>
    <w:rsid w:val="F67766C7"/>
    <w:rsid w:val="FB778519"/>
    <w:rsid w:val="FE7F055F"/>
    <w:rsid w:val="FEEB063C"/>
    <w:rsid w:val="FF5BF1A2"/>
    <w:rsid w:val="FFFBF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93"/>
    <w:qFormat/>
    <w:uiPriority w:val="1"/>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99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95"/>
    <w:qFormat/>
    <w:uiPriority w:val="9"/>
    <w:pPr>
      <w:keepNext/>
      <w:keepLines/>
      <w:spacing w:before="260" w:after="260" w:line="416" w:lineRule="auto"/>
      <w:outlineLvl w:val="2"/>
    </w:pPr>
    <w:rPr>
      <w:b/>
      <w:bCs/>
      <w:sz w:val="32"/>
      <w:szCs w:val="32"/>
    </w:rPr>
  </w:style>
  <w:style w:type="paragraph" w:styleId="6">
    <w:name w:val="heading 4"/>
    <w:basedOn w:val="1"/>
    <w:next w:val="1"/>
    <w:link w:val="996"/>
    <w:qFormat/>
    <w:uiPriority w:val="1"/>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7"/>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998"/>
    <w:qFormat/>
    <w:uiPriority w:val="1"/>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999"/>
    <w:qFormat/>
    <w:uiPriority w:val="9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000"/>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01"/>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unhideWhenUsed/>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shd w:val="pct20" w:color="auto" w:fill="auto"/>
    </w:rPr>
  </w:style>
  <w:style w:type="paragraph" w:styleId="12">
    <w:name w:val="List 3"/>
    <w:basedOn w:val="1"/>
    <w:qFormat/>
    <w:uiPriority w:val="99"/>
    <w:pPr>
      <w:ind w:left="100" w:leftChars="400" w:hanging="200" w:hangingChars="200"/>
    </w:pPr>
    <w:rPr>
      <w:rFonts w:ascii="Times New Roman" w:hAnsi="Times New Roman"/>
      <w:szCs w:val="20"/>
    </w:rPr>
  </w:style>
  <w:style w:type="paragraph" w:styleId="13">
    <w:name w:val="toc 7"/>
    <w:basedOn w:val="1"/>
    <w:next w:val="1"/>
    <w:qFormat/>
    <w:uiPriority w:val="99"/>
    <w:pPr>
      <w:ind w:left="1260"/>
      <w:jc w:val="left"/>
    </w:pPr>
    <w:rPr>
      <w:rFonts w:ascii="Times New Roman" w:hAnsi="Times New Roman"/>
      <w:sz w:val="18"/>
      <w:szCs w:val="18"/>
    </w:rPr>
  </w:style>
  <w:style w:type="paragraph" w:styleId="14">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6">
    <w:name w:val="List Bullet 4"/>
    <w:basedOn w:val="1"/>
    <w:qFormat/>
    <w:uiPriority w:val="99"/>
    <w:pPr>
      <w:numPr>
        <w:ilvl w:val="0"/>
        <w:numId w:val="2"/>
      </w:numPr>
    </w:pPr>
    <w:rPr>
      <w:rFonts w:ascii="Times New Roman" w:hAnsi="Times New Roman"/>
      <w:szCs w:val="24"/>
    </w:rPr>
  </w:style>
  <w:style w:type="paragraph" w:styleId="17">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02"/>
    <w:qFormat/>
    <w:uiPriority w:val="0"/>
    <w:pPr>
      <w:ind w:firstLine="420"/>
    </w:pPr>
    <w:rPr>
      <w:szCs w:val="20"/>
    </w:rPr>
  </w:style>
  <w:style w:type="paragraph" w:styleId="19">
    <w:name w:val="caption"/>
    <w:basedOn w:val="1"/>
    <w:next w:val="1"/>
    <w:link w:val="1003"/>
    <w:qFormat/>
    <w:uiPriority w:val="0"/>
    <w:pPr>
      <w:spacing w:before="152" w:after="160"/>
    </w:pPr>
    <w:rPr>
      <w:rFonts w:ascii="Arial" w:hAnsi="Arial" w:eastAsia="黑体"/>
      <w:sz w:val="20"/>
      <w:szCs w:val="20"/>
    </w:rPr>
  </w:style>
  <w:style w:type="paragraph" w:styleId="20">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1004"/>
    <w:qFormat/>
    <w:uiPriority w:val="99"/>
    <w:rPr>
      <w:rFonts w:ascii="宋体"/>
      <w:sz w:val="18"/>
      <w:szCs w:val="18"/>
    </w:rPr>
  </w:style>
  <w:style w:type="paragraph" w:styleId="22">
    <w:name w:val="annotation text"/>
    <w:basedOn w:val="1"/>
    <w:link w:val="1005"/>
    <w:qFormat/>
    <w:uiPriority w:val="99"/>
    <w:pPr>
      <w:jc w:val="left"/>
    </w:pPr>
  </w:style>
  <w:style w:type="paragraph" w:styleId="23">
    <w:name w:val="Salutation"/>
    <w:basedOn w:val="1"/>
    <w:next w:val="1"/>
    <w:link w:val="1006"/>
    <w:qFormat/>
    <w:uiPriority w:val="99"/>
    <w:rPr>
      <w:rFonts w:ascii="宋体" w:hAnsi="Times New Roman"/>
      <w:b/>
      <w:sz w:val="28"/>
      <w:szCs w:val="20"/>
    </w:rPr>
  </w:style>
  <w:style w:type="paragraph" w:styleId="24">
    <w:name w:val="Body Text 3"/>
    <w:basedOn w:val="1"/>
    <w:link w:val="1007"/>
    <w:qFormat/>
    <w:uiPriority w:val="99"/>
    <w:pPr>
      <w:snapToGrid w:val="0"/>
      <w:spacing w:before="50" w:after="50"/>
    </w:pPr>
    <w:rPr>
      <w:rFonts w:ascii="Times New Roman" w:hAnsi="宋体" w:eastAsia="仿宋_GB2312"/>
      <w:b/>
      <w:bCs/>
      <w:sz w:val="24"/>
      <w:szCs w:val="20"/>
    </w:rPr>
  </w:style>
  <w:style w:type="paragraph" w:styleId="25">
    <w:name w:val="Body Text"/>
    <w:basedOn w:val="1"/>
    <w:next w:val="26"/>
    <w:link w:val="1008"/>
    <w:qFormat/>
    <w:uiPriority w:val="1"/>
    <w:pPr>
      <w:spacing w:after="120"/>
    </w:pPr>
    <w:rPr>
      <w:sz w:val="28"/>
      <w:szCs w:val="24"/>
    </w:rPr>
  </w:style>
  <w:style w:type="paragraph" w:styleId="26">
    <w:name w:val="Body Text First Indent"/>
    <w:basedOn w:val="25"/>
    <w:link w:val="1009"/>
    <w:qFormat/>
    <w:uiPriority w:val="99"/>
    <w:pPr>
      <w:ind w:firstLine="420" w:firstLineChars="100"/>
    </w:pPr>
    <w:rPr>
      <w:sz w:val="21"/>
      <w:szCs w:val="22"/>
    </w:rPr>
  </w:style>
  <w:style w:type="paragraph" w:styleId="27">
    <w:name w:val="Body Text Indent"/>
    <w:basedOn w:val="1"/>
    <w:link w:val="1010"/>
    <w:qFormat/>
    <w:uiPriority w:val="99"/>
    <w:pPr>
      <w:spacing w:line="200" w:lineRule="exact"/>
      <w:ind w:firstLine="301"/>
    </w:pPr>
    <w:rPr>
      <w:rFonts w:ascii="宋体" w:hAnsi="Courier New"/>
      <w:spacing w:val="-4"/>
      <w:sz w:val="18"/>
      <w:szCs w:val="20"/>
    </w:rPr>
  </w:style>
  <w:style w:type="paragraph" w:styleId="28">
    <w:name w:val="List Number 3"/>
    <w:basedOn w:val="1"/>
    <w:qFormat/>
    <w:uiPriority w:val="99"/>
    <w:pPr>
      <w:numPr>
        <w:ilvl w:val="0"/>
        <w:numId w:val="3"/>
      </w:numPr>
    </w:pPr>
    <w:rPr>
      <w:rFonts w:ascii="Times New Roman" w:hAnsi="Times New Roman"/>
      <w:szCs w:val="24"/>
    </w:rPr>
  </w:style>
  <w:style w:type="paragraph" w:styleId="29">
    <w:name w:val="List 2"/>
    <w:basedOn w:val="1"/>
    <w:qFormat/>
    <w:uiPriority w:val="99"/>
    <w:pPr>
      <w:ind w:left="100" w:leftChars="200" w:hanging="200" w:hangingChars="200"/>
    </w:pPr>
    <w:rPr>
      <w:rFonts w:ascii="Times New Roman" w:hAnsi="Times New Roman"/>
      <w:sz w:val="28"/>
      <w:szCs w:val="24"/>
    </w:rPr>
  </w:style>
  <w:style w:type="paragraph" w:styleId="30">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2">
    <w:name w:val="toc 3"/>
    <w:basedOn w:val="1"/>
    <w:next w:val="1"/>
    <w:unhideWhenUsed/>
    <w:qFormat/>
    <w:uiPriority w:val="99"/>
    <w:pPr>
      <w:ind w:left="840" w:leftChars="400"/>
    </w:pPr>
  </w:style>
  <w:style w:type="paragraph" w:styleId="33">
    <w:name w:val="Plain Text"/>
    <w:basedOn w:val="1"/>
    <w:link w:val="1011"/>
    <w:qFormat/>
    <w:uiPriority w:val="0"/>
    <w:pPr>
      <w:spacing w:beforeLines="50" w:afterLines="50" w:line="400" w:lineRule="exact"/>
    </w:pPr>
    <w:rPr>
      <w:rFonts w:ascii="宋体" w:hAnsi="Courier New"/>
      <w:sz w:val="24"/>
      <w:szCs w:val="24"/>
    </w:rPr>
  </w:style>
  <w:style w:type="paragraph" w:styleId="34">
    <w:name w:val="List Bullet 5"/>
    <w:basedOn w:val="1"/>
    <w:qFormat/>
    <w:uiPriority w:val="99"/>
    <w:pPr>
      <w:numPr>
        <w:ilvl w:val="0"/>
        <w:numId w:val="4"/>
      </w:numPr>
    </w:pPr>
    <w:rPr>
      <w:rFonts w:ascii="Times New Roman" w:hAnsi="Times New Roman"/>
      <w:szCs w:val="24"/>
    </w:rPr>
  </w:style>
  <w:style w:type="paragraph" w:styleId="35">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6">
    <w:name w:val="Date"/>
    <w:basedOn w:val="1"/>
    <w:next w:val="1"/>
    <w:link w:val="1012"/>
    <w:qFormat/>
    <w:uiPriority w:val="0"/>
    <w:pPr>
      <w:ind w:left="2500" w:leftChars="2500"/>
    </w:pPr>
    <w:rPr>
      <w:rFonts w:eastAsia="楷体_GB2312"/>
      <w:sz w:val="32"/>
      <w:szCs w:val="20"/>
    </w:rPr>
  </w:style>
  <w:style w:type="paragraph" w:styleId="37">
    <w:name w:val="Body Text Indent 2"/>
    <w:basedOn w:val="1"/>
    <w:link w:val="1013"/>
    <w:qFormat/>
    <w:uiPriority w:val="99"/>
    <w:pPr>
      <w:snapToGrid w:val="0"/>
      <w:ind w:firstLine="542" w:firstLineChars="225"/>
    </w:pPr>
    <w:rPr>
      <w:rFonts w:ascii="仿宋_GB2312" w:hAnsi="宋体"/>
      <w:b/>
      <w:bCs/>
      <w:color w:val="000000"/>
      <w:sz w:val="24"/>
      <w:szCs w:val="24"/>
    </w:rPr>
  </w:style>
  <w:style w:type="paragraph" w:styleId="38">
    <w:name w:val="endnote text"/>
    <w:basedOn w:val="1"/>
    <w:link w:val="1014"/>
    <w:qFormat/>
    <w:uiPriority w:val="99"/>
    <w:pPr>
      <w:numPr>
        <w:ilvl w:val="0"/>
        <w:numId w:val="5"/>
      </w:numPr>
      <w:snapToGrid w:val="0"/>
      <w:spacing w:afterLines="50"/>
      <w:jc w:val="left"/>
    </w:pPr>
    <w:rPr>
      <w:rFonts w:ascii="宋体"/>
      <w:snapToGrid w:val="0"/>
      <w:kern w:val="0"/>
      <w:szCs w:val="20"/>
    </w:rPr>
  </w:style>
  <w:style w:type="paragraph" w:styleId="39">
    <w:name w:val="Balloon Text"/>
    <w:basedOn w:val="1"/>
    <w:link w:val="1015"/>
    <w:qFormat/>
    <w:uiPriority w:val="99"/>
    <w:rPr>
      <w:sz w:val="18"/>
      <w:szCs w:val="18"/>
    </w:rPr>
  </w:style>
  <w:style w:type="paragraph" w:styleId="40">
    <w:name w:val="footer"/>
    <w:basedOn w:val="1"/>
    <w:link w:val="1016"/>
    <w:unhideWhenUsed/>
    <w:qFormat/>
    <w:uiPriority w:val="99"/>
    <w:pPr>
      <w:tabs>
        <w:tab w:val="center" w:pos="4153"/>
        <w:tab w:val="right" w:pos="8306"/>
      </w:tabs>
      <w:snapToGrid w:val="0"/>
      <w:jc w:val="left"/>
    </w:pPr>
    <w:rPr>
      <w:sz w:val="18"/>
      <w:szCs w:val="18"/>
    </w:rPr>
  </w:style>
  <w:style w:type="paragraph" w:styleId="41">
    <w:name w:val="header"/>
    <w:basedOn w:val="1"/>
    <w:link w:val="1017"/>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99"/>
    <w:pPr>
      <w:spacing w:before="240" w:after="240"/>
    </w:pPr>
    <w:rPr>
      <w:rFonts w:ascii="Times New Roman" w:hAnsi="Times New Roman" w:eastAsia="仿宋"/>
      <w:sz w:val="36"/>
      <w:szCs w:val="24"/>
    </w:rPr>
  </w:style>
  <w:style w:type="paragraph" w:styleId="43">
    <w:name w:val="toc 4"/>
    <w:basedOn w:val="1"/>
    <w:next w:val="1"/>
    <w:unhideWhenUsed/>
    <w:qFormat/>
    <w:uiPriority w:val="39"/>
    <w:pPr>
      <w:ind w:left="1260" w:leftChars="600"/>
    </w:pPr>
  </w:style>
  <w:style w:type="paragraph" w:styleId="44">
    <w:name w:val="Subtitle"/>
    <w:basedOn w:val="1"/>
    <w:link w:val="1018"/>
    <w:qFormat/>
    <w:uiPriority w:val="11"/>
    <w:pPr>
      <w:spacing w:afterLines="50"/>
      <w:jc w:val="center"/>
    </w:pPr>
    <w:rPr>
      <w:rFonts w:ascii="Times New Roman" w:hAnsi="Times New Roman" w:eastAsia="Times New Roman"/>
      <w:sz w:val="18"/>
      <w:szCs w:val="18"/>
    </w:rPr>
  </w:style>
  <w:style w:type="paragraph" w:styleId="45">
    <w:name w:val="List"/>
    <w:basedOn w:val="1"/>
    <w:qFormat/>
    <w:uiPriority w:val="99"/>
    <w:pPr>
      <w:ind w:left="200" w:hanging="200" w:hangingChars="200"/>
    </w:pPr>
    <w:rPr>
      <w:rFonts w:ascii="Times New Roman" w:hAnsi="Times New Roman"/>
      <w:sz w:val="28"/>
      <w:szCs w:val="24"/>
    </w:rPr>
  </w:style>
  <w:style w:type="paragraph" w:styleId="46">
    <w:name w:val="footnote text"/>
    <w:basedOn w:val="1"/>
    <w:link w:val="1019"/>
    <w:unhideWhenUsed/>
    <w:qFormat/>
    <w:uiPriority w:val="99"/>
    <w:pPr>
      <w:snapToGrid w:val="0"/>
      <w:jc w:val="left"/>
    </w:pPr>
    <w:rPr>
      <w:sz w:val="18"/>
      <w:szCs w:val="18"/>
    </w:rPr>
  </w:style>
  <w:style w:type="paragraph" w:styleId="47">
    <w:name w:val="toc 6"/>
    <w:basedOn w:val="1"/>
    <w:next w:val="1"/>
    <w:qFormat/>
    <w:uiPriority w:val="99"/>
    <w:pPr>
      <w:ind w:left="1050"/>
      <w:jc w:val="left"/>
    </w:pPr>
    <w:rPr>
      <w:rFonts w:ascii="Times New Roman" w:hAnsi="Times New Roman"/>
      <w:sz w:val="18"/>
      <w:szCs w:val="18"/>
    </w:rPr>
  </w:style>
  <w:style w:type="paragraph" w:styleId="48">
    <w:name w:val="Body Text Indent 3"/>
    <w:basedOn w:val="1"/>
    <w:link w:val="1020"/>
    <w:qFormat/>
    <w:uiPriority w:val="99"/>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99"/>
    <w:pPr>
      <w:ind w:left="1680"/>
      <w:jc w:val="left"/>
    </w:pPr>
    <w:rPr>
      <w:rFonts w:ascii="Times New Roman" w:hAnsi="Times New Roman"/>
      <w:sz w:val="18"/>
      <w:szCs w:val="18"/>
    </w:rPr>
  </w:style>
  <w:style w:type="paragraph" w:styleId="52">
    <w:name w:val="Body Text 2"/>
    <w:basedOn w:val="1"/>
    <w:link w:val="1021"/>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22"/>
    <w:qFormat/>
    <w:uiPriority w:val="99"/>
    <w:rPr>
      <w:rFonts w:ascii="Courier New" w:hAnsi="Courier New"/>
      <w:sz w:val="20"/>
      <w:szCs w:val="20"/>
    </w:rPr>
  </w:style>
  <w:style w:type="paragraph" w:styleId="5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99"/>
    <w:rPr>
      <w:rFonts w:ascii="Times New Roman" w:hAnsi="Times New Roman"/>
      <w:szCs w:val="20"/>
    </w:rPr>
  </w:style>
  <w:style w:type="paragraph" w:styleId="57">
    <w:name w:val="Title"/>
    <w:basedOn w:val="1"/>
    <w:link w:val="1023"/>
    <w:qFormat/>
    <w:uiPriority w:val="99"/>
    <w:pPr>
      <w:spacing w:before="240" w:after="60"/>
      <w:jc w:val="center"/>
      <w:outlineLvl w:val="0"/>
    </w:pPr>
    <w:rPr>
      <w:rFonts w:ascii="Arial" w:hAnsi="Arial"/>
      <w:b/>
      <w:bCs/>
      <w:sz w:val="32"/>
      <w:szCs w:val="32"/>
    </w:rPr>
  </w:style>
  <w:style w:type="paragraph" w:styleId="58">
    <w:name w:val="annotation subject"/>
    <w:basedOn w:val="22"/>
    <w:next w:val="22"/>
    <w:link w:val="1024"/>
    <w:qFormat/>
    <w:uiPriority w:val="99"/>
    <w:rPr>
      <w:b/>
      <w:bCs/>
    </w:rPr>
  </w:style>
  <w:style w:type="paragraph" w:styleId="59">
    <w:name w:val="Body Text First Indent 2"/>
    <w:basedOn w:val="27"/>
    <w:link w:val="1025"/>
    <w:qFormat/>
    <w:uiPriority w:val="99"/>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99"/>
    <w:rPr>
      <w:sz w:val="21"/>
      <w:szCs w:val="21"/>
    </w:rPr>
  </w:style>
  <w:style w:type="character" w:styleId="72">
    <w:name w:val="footnote reference"/>
    <w:unhideWhenUsed/>
    <w:qFormat/>
    <w:uiPriority w:val="99"/>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7"/>
    <w:qFormat/>
    <w:uiPriority w:val="99"/>
    <w:rPr>
      <w:rFonts w:ascii="宋体" w:hAnsi="Courier New" w:eastAsia="宋体" w:cs="Times New Roman"/>
      <w:spacing w:val="-4"/>
      <w:sz w:val="18"/>
      <w:szCs w:val="20"/>
    </w:rPr>
  </w:style>
  <w:style w:type="character" w:customStyle="1" w:styleId="88">
    <w:name w:val="纯文本 字符"/>
    <w:basedOn w:val="65"/>
    <w:link w:val="3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99"/>
    <w:rPr>
      <w:rFonts w:ascii="仿宋_GB2312" w:hAnsi="宋体" w:eastAsia="宋体" w:cs="Times New Roman"/>
      <w:b/>
      <w:bCs/>
      <w:color w:val="000000"/>
      <w:sz w:val="24"/>
      <w:szCs w:val="24"/>
    </w:rPr>
  </w:style>
  <w:style w:type="character" w:customStyle="1" w:styleId="91">
    <w:name w:val="尾注文本 字符"/>
    <w:basedOn w:val="65"/>
    <w:link w:val="38"/>
    <w:qFormat/>
    <w:uiPriority w:val="99"/>
    <w:rPr>
      <w:rFonts w:ascii="宋体" w:hAnsi="Calibri" w:eastAsia="宋体" w:cs="Times New Roman"/>
      <w:snapToGrid w:val="0"/>
      <w:kern w:val="0"/>
      <w:szCs w:val="20"/>
    </w:rPr>
  </w:style>
  <w:style w:type="character" w:customStyle="1" w:styleId="92">
    <w:name w:val="批注框文本 字符"/>
    <w:basedOn w:val="65"/>
    <w:link w:val="39"/>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26"/>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1026"/>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1"/>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8"/>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26"/>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26"/>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7"/>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3"/>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eastAsiaTheme="minorEastAsia"/>
      <w:vanish/>
      <w:kern w:val="0"/>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897">
    <w:name w:val="z-窗体底端2"/>
    <w:basedOn w:val="1"/>
    <w:next w:val="1"/>
    <w:link w:val="895"/>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eastAsiaTheme="minorEastAsia"/>
      <w:vanish/>
      <w:kern w:val="0"/>
      <w:sz w:val="16"/>
      <w:szCs w:val="16"/>
    </w:rPr>
  </w:style>
  <w:style w:type="paragraph" w:customStyle="1" w:styleId="900">
    <w:name w:val="HTML Top of Form"/>
    <w:basedOn w:val="1"/>
    <w:next w:val="1"/>
    <w:link w:val="899"/>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1">
    <w:name w:val="z-窗体顶端2"/>
    <w:basedOn w:val="1"/>
    <w:next w:val="1"/>
    <w:link w:val="899"/>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5"/>
    <w:semiHidden/>
    <w:qFormat/>
    <w:uiPriority w:val="99"/>
    <w:rPr>
      <w:rFonts w:ascii="Arial" w:hAnsi="Arial" w:eastAsia="宋体" w:cs="Arial"/>
      <w:vanish/>
      <w:sz w:val="16"/>
      <w:szCs w:val="16"/>
    </w:rPr>
  </w:style>
  <w:style w:type="character" w:customStyle="1" w:styleId="905">
    <w:name w:val="z-窗体顶端 Char1"/>
    <w:basedOn w:val="65"/>
    <w:semiHidden/>
    <w:qFormat/>
    <w:uiPriority w:val="99"/>
    <w:rPr>
      <w:rFonts w:ascii="Arial" w:hAnsi="Arial" w:eastAsia="宋体" w:cs="Arial"/>
      <w:vanish/>
      <w:sz w:val="16"/>
      <w:szCs w:val="16"/>
    </w:rPr>
  </w:style>
  <w:style w:type="paragraph" w:customStyle="1" w:styleId="906">
    <w:name w:val="Revision"/>
    <w:semiHidden/>
    <w:qFormat/>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5"/>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5"/>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3"/>
    <w:link w:val="58"/>
    <w:qFormat/>
    <w:uiPriority w:val="99"/>
    <w:rPr>
      <w:rFonts w:ascii="Calibri" w:hAnsi="Calibri" w:eastAsia="宋体" w:cs="Times New Roman"/>
      <w:b/>
      <w:bCs/>
    </w:rPr>
  </w:style>
  <w:style w:type="character" w:customStyle="1" w:styleId="967">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8">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9">
    <w:name w:val="批注引用1"/>
    <w:qFormat/>
    <w:uiPriority w:val="0"/>
    <w:rPr>
      <w:sz w:val="21"/>
      <w:szCs w:val="21"/>
    </w:rPr>
  </w:style>
  <w:style w:type="paragraph" w:customStyle="1" w:styleId="970">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1">
    <w:name w:val="正文文本 字符"/>
    <w:qFormat/>
    <w:uiPriority w:val="99"/>
    <w:rPr>
      <w:rFonts w:eastAsia="宋体"/>
      <w:kern w:val="2"/>
      <w:sz w:val="28"/>
      <w:szCs w:val="24"/>
      <w:lang w:val="en-US" w:eastAsia="zh-CN" w:bidi="ar-SA"/>
    </w:rPr>
  </w:style>
  <w:style w:type="character" w:customStyle="1" w:styleId="972">
    <w:name w:val="批注文字 字符"/>
    <w:qFormat/>
    <w:uiPriority w:val="99"/>
    <w:rPr>
      <w:kern w:val="2"/>
      <w:sz w:val="21"/>
      <w:szCs w:val="22"/>
    </w:rPr>
  </w:style>
  <w:style w:type="character" w:customStyle="1" w:styleId="973">
    <w:name w:val="正文文本缩进 字符"/>
    <w:qFormat/>
    <w:uiPriority w:val="99"/>
    <w:rPr>
      <w:rFonts w:ascii="宋体" w:hAnsi="Courier New" w:eastAsia="宋体"/>
      <w:spacing w:val="-4"/>
      <w:kern w:val="2"/>
      <w:sz w:val="18"/>
      <w:lang w:val="en-US" w:eastAsia="zh-CN" w:bidi="ar-SA"/>
    </w:rPr>
  </w:style>
  <w:style w:type="character" w:customStyle="1" w:styleId="974">
    <w:name w:val="标题 字符1"/>
    <w:basedOn w:val="65"/>
    <w:qFormat/>
    <w:uiPriority w:val="10"/>
    <w:rPr>
      <w:rFonts w:asciiTheme="majorHAnsi" w:hAnsiTheme="majorHAnsi" w:eastAsiaTheme="majorEastAsia" w:cstheme="majorBidi"/>
      <w:b/>
      <w:bCs/>
      <w:sz w:val="32"/>
      <w:szCs w:val="32"/>
    </w:rPr>
  </w:style>
  <w:style w:type="character" w:customStyle="1" w:styleId="975">
    <w:name w:val="副标题 字符1"/>
    <w:basedOn w:val="65"/>
    <w:qFormat/>
    <w:uiPriority w:val="11"/>
    <w:rPr>
      <w:b/>
      <w:bCs/>
      <w:kern w:val="28"/>
      <w:sz w:val="32"/>
      <w:szCs w:val="32"/>
    </w:rPr>
  </w:style>
  <w:style w:type="paragraph" w:customStyle="1" w:styleId="976">
    <w:name w:val="表格非标题文字"/>
    <w:link w:val="97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7">
    <w:name w:val="表格非标题文字 Char"/>
    <w:basedOn w:val="65"/>
    <w:link w:val="976"/>
    <w:qFormat/>
    <w:uiPriority w:val="0"/>
    <w:rPr>
      <w:rFonts w:ascii="Futura Bk" w:hAnsi="Futura Bk" w:eastAsia="宋体" w:cs="Times New Roman"/>
      <w:sz w:val="18"/>
      <w:szCs w:val="21"/>
    </w:rPr>
  </w:style>
  <w:style w:type="paragraph" w:customStyle="1" w:styleId="978">
    <w:name w:val="a2"/>
    <w:basedOn w:val="1"/>
    <w:qFormat/>
    <w:uiPriority w:val="99"/>
    <w:pPr>
      <w:widowControl/>
      <w:spacing w:after="150"/>
      <w:jc w:val="left"/>
    </w:pPr>
    <w:rPr>
      <w:rFonts w:ascii="宋体" w:hAnsi="宋体" w:cs="宋体"/>
      <w:kern w:val="0"/>
      <w:sz w:val="24"/>
      <w:szCs w:val="24"/>
    </w:rPr>
  </w:style>
  <w:style w:type="table" w:customStyle="1" w:styleId="979">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0">
    <w:name w:val="标题 2 Char2"/>
    <w:qFormat/>
    <w:uiPriority w:val="0"/>
    <w:rPr>
      <w:rFonts w:ascii="Arial" w:hAnsi="Arial" w:eastAsia="黑体" w:cs="Times New Roman"/>
      <w:b/>
      <w:bCs/>
      <w:sz w:val="32"/>
      <w:szCs w:val="32"/>
    </w:rPr>
  </w:style>
  <w:style w:type="character" w:customStyle="1" w:styleId="981">
    <w:name w:val="正文缩进 Char1"/>
    <w:qFormat/>
    <w:uiPriority w:val="0"/>
    <w:rPr>
      <w:rFonts w:ascii="Calibri" w:hAnsi="Calibri" w:eastAsia="宋体" w:cs="Times New Roman"/>
      <w:szCs w:val="20"/>
    </w:rPr>
  </w:style>
  <w:style w:type="paragraph" w:customStyle="1" w:styleId="982">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3">
    <w:name w:val="ref"/>
    <w:basedOn w:val="65"/>
    <w:qFormat/>
    <w:uiPriority w:val="0"/>
  </w:style>
  <w:style w:type="character" w:customStyle="1" w:styleId="984">
    <w:name w:val="书籍标题2"/>
    <w:qFormat/>
    <w:uiPriority w:val="33"/>
    <w:rPr>
      <w:b/>
      <w:bCs/>
      <w:smallCaps/>
      <w:spacing w:val="5"/>
    </w:rPr>
  </w:style>
  <w:style w:type="character" w:customStyle="1" w:styleId="985">
    <w:name w:val="明显参考2"/>
    <w:qFormat/>
    <w:uiPriority w:val="0"/>
    <w:rPr>
      <w:b/>
      <w:sz w:val="24"/>
      <w:u w:val="single"/>
    </w:rPr>
  </w:style>
  <w:style w:type="character" w:customStyle="1" w:styleId="986">
    <w:name w:val="不明显参考2"/>
    <w:qFormat/>
    <w:uiPriority w:val="31"/>
    <w:rPr>
      <w:smallCaps/>
      <w:color w:val="C0504D"/>
      <w:u w:val="single"/>
    </w:rPr>
  </w:style>
  <w:style w:type="paragraph" w:customStyle="1" w:styleId="987">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标题 1 Char"/>
    <w:link w:val="3"/>
    <w:qFormat/>
    <w:uiPriority w:val="1"/>
    <w:rPr>
      <w:rFonts w:ascii="Times New Roman" w:hAnsi="Times New Roman" w:eastAsia="隶书" w:cs="Times New Roman"/>
      <w:b/>
      <w:bCs/>
      <w:sz w:val="36"/>
      <w:szCs w:val="36"/>
    </w:rPr>
  </w:style>
  <w:style w:type="character" w:customStyle="1" w:styleId="994">
    <w:name w:val="标题 2 Char1"/>
    <w:link w:val="4"/>
    <w:qFormat/>
    <w:uiPriority w:val="0"/>
    <w:rPr>
      <w:rFonts w:ascii="Arial" w:hAnsi="Arial" w:eastAsia="黑体" w:cs="Times New Roman"/>
      <w:b/>
      <w:bCs/>
      <w:kern w:val="2"/>
      <w:sz w:val="32"/>
      <w:szCs w:val="32"/>
    </w:rPr>
  </w:style>
  <w:style w:type="character" w:customStyle="1" w:styleId="995">
    <w:name w:val="标题 3 Char"/>
    <w:link w:val="5"/>
    <w:qFormat/>
    <w:uiPriority w:val="9"/>
    <w:rPr>
      <w:rFonts w:ascii="Times New Roman" w:hAnsi="Times New Roman" w:eastAsia="宋体" w:cs="Times New Roman"/>
      <w:b/>
      <w:bCs/>
      <w:kern w:val="2"/>
      <w:sz w:val="32"/>
      <w:szCs w:val="32"/>
    </w:rPr>
  </w:style>
  <w:style w:type="character" w:customStyle="1" w:styleId="996">
    <w:name w:val="标题 4 Char"/>
    <w:link w:val="6"/>
    <w:qFormat/>
    <w:uiPriority w:val="1"/>
    <w:rPr>
      <w:rFonts w:ascii="Arial" w:hAnsi="Arial" w:eastAsia="黑体" w:cs="Times New Roman"/>
      <w:b/>
      <w:bCs/>
      <w:kern w:val="2"/>
      <w:sz w:val="28"/>
      <w:szCs w:val="28"/>
    </w:rPr>
  </w:style>
  <w:style w:type="character" w:customStyle="1" w:styleId="997">
    <w:name w:val="标题 5 Char"/>
    <w:link w:val="7"/>
    <w:qFormat/>
    <w:uiPriority w:val="0"/>
    <w:rPr>
      <w:rFonts w:ascii="Times New Roman" w:hAnsi="Times New Roman" w:eastAsia="宋体" w:cs="Times New Roman"/>
      <w:b/>
      <w:bCs/>
      <w:kern w:val="2"/>
      <w:sz w:val="28"/>
      <w:szCs w:val="28"/>
    </w:rPr>
  </w:style>
  <w:style w:type="character" w:customStyle="1" w:styleId="998">
    <w:name w:val="标题 6 Char"/>
    <w:link w:val="8"/>
    <w:qFormat/>
    <w:uiPriority w:val="1"/>
    <w:rPr>
      <w:rFonts w:ascii="Arial" w:hAnsi="Arial" w:eastAsia="黑体" w:cs="Times New Roman"/>
      <w:b/>
      <w:bCs/>
      <w:kern w:val="2"/>
      <w:sz w:val="24"/>
      <w:szCs w:val="24"/>
    </w:rPr>
  </w:style>
  <w:style w:type="character" w:customStyle="1" w:styleId="999">
    <w:name w:val="标题 7 Char"/>
    <w:link w:val="9"/>
    <w:qFormat/>
    <w:uiPriority w:val="99"/>
    <w:rPr>
      <w:rFonts w:ascii="Times New Roman" w:hAnsi="Times New Roman" w:eastAsia="宋体" w:cs="Times New Roman"/>
      <w:b/>
      <w:bCs/>
      <w:kern w:val="2"/>
      <w:sz w:val="24"/>
      <w:szCs w:val="24"/>
    </w:rPr>
  </w:style>
  <w:style w:type="character" w:customStyle="1" w:styleId="1000">
    <w:name w:val="标题 8 Char"/>
    <w:link w:val="10"/>
    <w:qFormat/>
    <w:uiPriority w:val="99"/>
    <w:rPr>
      <w:rFonts w:ascii="Cambria" w:hAnsi="Cambria" w:eastAsia="宋体" w:cs="Times New Roman"/>
      <w:kern w:val="2"/>
      <w:sz w:val="24"/>
      <w:szCs w:val="24"/>
    </w:rPr>
  </w:style>
  <w:style w:type="character" w:customStyle="1" w:styleId="1001">
    <w:name w:val="标题 9 Char"/>
    <w:link w:val="11"/>
    <w:qFormat/>
    <w:uiPriority w:val="99"/>
    <w:rPr>
      <w:rFonts w:ascii="Cambria" w:hAnsi="Cambria" w:eastAsia="宋体" w:cs="Times New Roman"/>
      <w:kern w:val="2"/>
      <w:sz w:val="21"/>
      <w:szCs w:val="21"/>
    </w:rPr>
  </w:style>
  <w:style w:type="character" w:customStyle="1" w:styleId="1002">
    <w:name w:val="正文缩进 Char"/>
    <w:link w:val="18"/>
    <w:qFormat/>
    <w:uiPriority w:val="0"/>
    <w:rPr>
      <w:rFonts w:ascii="Times New Roman" w:hAnsi="Times New Roman" w:eastAsia="宋体" w:cs="Times New Roman"/>
      <w:kern w:val="2"/>
      <w:sz w:val="21"/>
    </w:rPr>
  </w:style>
  <w:style w:type="character" w:customStyle="1" w:styleId="1003">
    <w:name w:val="题注 Char"/>
    <w:link w:val="19"/>
    <w:qFormat/>
    <w:uiPriority w:val="0"/>
    <w:rPr>
      <w:rFonts w:ascii="Arial" w:hAnsi="Arial" w:eastAsia="黑体" w:cs="Times New Roman"/>
      <w:kern w:val="2"/>
    </w:rPr>
  </w:style>
  <w:style w:type="character" w:customStyle="1" w:styleId="1004">
    <w:name w:val="文档结构图 Char"/>
    <w:link w:val="21"/>
    <w:qFormat/>
    <w:uiPriority w:val="99"/>
    <w:rPr>
      <w:rFonts w:ascii="宋体" w:hAnsi="Times New Roman" w:eastAsia="宋体" w:cs="Times New Roman"/>
      <w:kern w:val="2"/>
      <w:sz w:val="18"/>
      <w:szCs w:val="18"/>
    </w:rPr>
  </w:style>
  <w:style w:type="character" w:customStyle="1" w:styleId="1005">
    <w:name w:val="批注文字 Char"/>
    <w:link w:val="22"/>
    <w:qFormat/>
    <w:uiPriority w:val="99"/>
    <w:rPr>
      <w:rFonts w:ascii="Times New Roman" w:hAnsi="Times New Roman" w:eastAsia="宋体" w:cs="Times New Roman"/>
      <w:kern w:val="2"/>
      <w:sz w:val="21"/>
      <w:szCs w:val="22"/>
    </w:rPr>
  </w:style>
  <w:style w:type="character" w:customStyle="1" w:styleId="1006">
    <w:name w:val="称呼 Char"/>
    <w:link w:val="23"/>
    <w:qFormat/>
    <w:uiPriority w:val="99"/>
    <w:rPr>
      <w:rFonts w:ascii="宋体" w:hAnsi="Times New Roman" w:eastAsia="宋体" w:cs="Times New Roman"/>
      <w:b/>
      <w:kern w:val="2"/>
      <w:sz w:val="28"/>
    </w:rPr>
  </w:style>
  <w:style w:type="character" w:customStyle="1" w:styleId="1007">
    <w:name w:val="正文文本 3 Char"/>
    <w:link w:val="24"/>
    <w:qFormat/>
    <w:uiPriority w:val="99"/>
    <w:rPr>
      <w:rFonts w:ascii="Times New Roman" w:hAnsi="宋体" w:eastAsia="仿宋_GB2312" w:cs="Times New Roman"/>
      <w:b/>
      <w:bCs/>
      <w:kern w:val="2"/>
      <w:sz w:val="24"/>
    </w:rPr>
  </w:style>
  <w:style w:type="character" w:customStyle="1" w:styleId="1008">
    <w:name w:val="正文文本 Char"/>
    <w:link w:val="25"/>
    <w:qFormat/>
    <w:uiPriority w:val="1"/>
    <w:rPr>
      <w:rFonts w:ascii="Times New Roman" w:hAnsi="Times New Roman" w:eastAsia="宋体" w:cs="Times New Roman"/>
      <w:kern w:val="2"/>
      <w:sz w:val="28"/>
      <w:szCs w:val="24"/>
    </w:rPr>
  </w:style>
  <w:style w:type="character" w:customStyle="1" w:styleId="1009">
    <w:name w:val="正文首行缩进 Char"/>
    <w:link w:val="26"/>
    <w:qFormat/>
    <w:uiPriority w:val="99"/>
    <w:rPr>
      <w:rFonts w:ascii="Times New Roman" w:hAnsi="Times New Roman" w:eastAsia="宋体" w:cs="Times New Roman"/>
    </w:rPr>
  </w:style>
  <w:style w:type="character" w:customStyle="1" w:styleId="1010">
    <w:name w:val="正文文本缩进 Char"/>
    <w:link w:val="27"/>
    <w:qFormat/>
    <w:uiPriority w:val="99"/>
    <w:rPr>
      <w:rFonts w:ascii="宋体" w:hAnsi="Courier New" w:eastAsia="宋体" w:cs="Times New Roman"/>
      <w:spacing w:val="-4"/>
      <w:kern w:val="2"/>
      <w:sz w:val="18"/>
    </w:rPr>
  </w:style>
  <w:style w:type="character" w:customStyle="1" w:styleId="1011">
    <w:name w:val="纯文本 Char"/>
    <w:link w:val="33"/>
    <w:qFormat/>
    <w:uiPriority w:val="0"/>
    <w:rPr>
      <w:rFonts w:ascii="宋体" w:hAnsi="Courier New" w:eastAsia="宋体" w:cs="Times New Roman"/>
      <w:sz w:val="24"/>
      <w:szCs w:val="24"/>
    </w:rPr>
  </w:style>
  <w:style w:type="character" w:customStyle="1" w:styleId="1012">
    <w:name w:val="日期 Char"/>
    <w:link w:val="36"/>
    <w:qFormat/>
    <w:uiPriority w:val="0"/>
    <w:rPr>
      <w:rFonts w:ascii="Times New Roman" w:hAnsi="Times New Roman" w:eastAsia="楷体_GB2312" w:cs="Times New Roman"/>
      <w:kern w:val="2"/>
      <w:sz w:val="32"/>
    </w:rPr>
  </w:style>
  <w:style w:type="character" w:customStyle="1" w:styleId="1013">
    <w:name w:val="正文文本缩进 2 Char"/>
    <w:link w:val="37"/>
    <w:qFormat/>
    <w:uiPriority w:val="99"/>
    <w:rPr>
      <w:rFonts w:ascii="仿宋_GB2312" w:hAnsi="宋体" w:eastAsia="宋体" w:cs="Times New Roman"/>
      <w:b/>
      <w:bCs/>
      <w:color w:val="000000"/>
      <w:kern w:val="2"/>
      <w:sz w:val="24"/>
      <w:szCs w:val="24"/>
    </w:rPr>
  </w:style>
  <w:style w:type="character" w:customStyle="1" w:styleId="1014">
    <w:name w:val="尾注文本 Char"/>
    <w:link w:val="38"/>
    <w:qFormat/>
    <w:uiPriority w:val="99"/>
    <w:rPr>
      <w:rFonts w:ascii="宋体" w:hAnsi="Times New Roman" w:eastAsia="宋体" w:cs="Times New Roman"/>
      <w:snapToGrid/>
      <w:sz w:val="21"/>
    </w:rPr>
  </w:style>
  <w:style w:type="character" w:customStyle="1" w:styleId="1015">
    <w:name w:val="批注框文本 Char"/>
    <w:link w:val="39"/>
    <w:qFormat/>
    <w:uiPriority w:val="99"/>
    <w:rPr>
      <w:rFonts w:ascii="Times New Roman" w:hAnsi="Times New Roman" w:eastAsia="宋体" w:cs="Times New Roman"/>
      <w:kern w:val="2"/>
      <w:sz w:val="18"/>
      <w:szCs w:val="18"/>
    </w:rPr>
  </w:style>
  <w:style w:type="character" w:customStyle="1" w:styleId="1016">
    <w:name w:val="页脚 Char1"/>
    <w:link w:val="40"/>
    <w:qFormat/>
    <w:uiPriority w:val="99"/>
    <w:rPr>
      <w:rFonts w:ascii="Times New Roman" w:hAnsi="Times New Roman" w:eastAsia="宋体" w:cs="Times New Roman"/>
      <w:kern w:val="2"/>
      <w:sz w:val="18"/>
      <w:szCs w:val="18"/>
    </w:rPr>
  </w:style>
  <w:style w:type="character" w:customStyle="1" w:styleId="1017">
    <w:name w:val="页眉 Char1"/>
    <w:link w:val="41"/>
    <w:qFormat/>
    <w:uiPriority w:val="99"/>
    <w:rPr>
      <w:rFonts w:ascii="Times New Roman" w:hAnsi="Times New Roman" w:eastAsia="宋体" w:cs="Times New Roman"/>
      <w:kern w:val="2"/>
      <w:sz w:val="18"/>
      <w:szCs w:val="18"/>
    </w:rPr>
  </w:style>
  <w:style w:type="character" w:customStyle="1" w:styleId="1018">
    <w:name w:val="副标题 Char"/>
    <w:link w:val="44"/>
    <w:qFormat/>
    <w:uiPriority w:val="11"/>
    <w:rPr>
      <w:rFonts w:ascii="Times New Roman" w:hAnsi="Times New Roman" w:eastAsia="Times New Roman" w:cs="Times New Roman"/>
      <w:kern w:val="2"/>
      <w:sz w:val="18"/>
      <w:szCs w:val="18"/>
    </w:rPr>
  </w:style>
  <w:style w:type="character" w:customStyle="1" w:styleId="1019">
    <w:name w:val="脚注文本 Char"/>
    <w:link w:val="46"/>
    <w:qFormat/>
    <w:uiPriority w:val="99"/>
    <w:rPr>
      <w:rFonts w:ascii="Times New Roman" w:hAnsi="Times New Roman" w:eastAsia="宋体" w:cs="Times New Roman"/>
      <w:kern w:val="2"/>
      <w:sz w:val="18"/>
      <w:szCs w:val="18"/>
    </w:rPr>
  </w:style>
  <w:style w:type="character" w:customStyle="1" w:styleId="1020">
    <w:name w:val="正文文本缩进 3 Char"/>
    <w:link w:val="48"/>
    <w:qFormat/>
    <w:uiPriority w:val="99"/>
    <w:rPr>
      <w:rFonts w:ascii="仿宋_GB2312" w:hAnsi="宋体" w:eastAsia="仿宋_GB2312" w:cs="Times New Roman"/>
      <w:color w:val="000000"/>
      <w:kern w:val="2"/>
      <w:sz w:val="24"/>
      <w:szCs w:val="24"/>
    </w:rPr>
  </w:style>
  <w:style w:type="character" w:customStyle="1" w:styleId="1021">
    <w:name w:val="正文文本 2 Char"/>
    <w:link w:val="52"/>
    <w:qFormat/>
    <w:uiPriority w:val="0"/>
    <w:rPr>
      <w:rFonts w:ascii="宋体" w:hAnsi="宋体" w:eastAsia="宋体" w:cs="Times New Roman"/>
      <w:color w:val="000000"/>
      <w:kern w:val="2"/>
      <w:sz w:val="24"/>
      <w:szCs w:val="24"/>
    </w:rPr>
  </w:style>
  <w:style w:type="character" w:customStyle="1" w:styleId="1022">
    <w:name w:val="HTML 预设格式 Char"/>
    <w:link w:val="54"/>
    <w:qFormat/>
    <w:uiPriority w:val="99"/>
    <w:rPr>
      <w:rFonts w:ascii="Courier New" w:hAnsi="Courier New" w:eastAsia="宋体" w:cs="Times New Roman"/>
      <w:kern w:val="2"/>
    </w:rPr>
  </w:style>
  <w:style w:type="character" w:customStyle="1" w:styleId="1023">
    <w:name w:val="标题 Char"/>
    <w:link w:val="57"/>
    <w:qFormat/>
    <w:uiPriority w:val="99"/>
    <w:rPr>
      <w:rFonts w:ascii="Arial" w:hAnsi="Arial" w:eastAsia="宋体" w:cs="Times New Roman"/>
      <w:b/>
      <w:bCs/>
      <w:kern w:val="2"/>
      <w:sz w:val="32"/>
      <w:szCs w:val="32"/>
    </w:rPr>
  </w:style>
  <w:style w:type="character" w:customStyle="1" w:styleId="1024">
    <w:name w:val="批注主题 Char1"/>
    <w:link w:val="58"/>
    <w:qFormat/>
    <w:uiPriority w:val="99"/>
    <w:rPr>
      <w:rFonts w:ascii="Times New Roman" w:hAnsi="Times New Roman" w:eastAsia="宋体" w:cs="Times New Roman"/>
      <w:b/>
      <w:bCs/>
      <w:kern w:val="2"/>
      <w:sz w:val="21"/>
      <w:szCs w:val="22"/>
    </w:rPr>
  </w:style>
  <w:style w:type="character" w:customStyle="1" w:styleId="1025">
    <w:name w:val="正文首行缩进 2 Char1"/>
    <w:link w:val="59"/>
    <w:qFormat/>
    <w:uiPriority w:val="99"/>
    <w:rPr>
      <w:rFonts w:ascii="Times New Roman" w:hAnsi="Times New Roman" w:eastAsia="宋体" w:cs="Times New Roman"/>
    </w:rPr>
  </w:style>
  <w:style w:type="character" w:customStyle="1" w:styleId="1026">
    <w:name w:val="列出段落 Char"/>
    <w:link w:val="183"/>
    <w:qFormat/>
    <w:uiPriority w:val="0"/>
    <w:rPr>
      <w:rFonts w:ascii="Times New Roman" w:hAnsi="Times New Roman" w:eastAsia="宋体" w:cs="Times New Roman"/>
    </w:rPr>
  </w:style>
  <w:style w:type="paragraph" w:customStyle="1" w:styleId="1027">
    <w:name w:val="列表段落2"/>
    <w:basedOn w:val="1"/>
    <w:qFormat/>
    <w:uiPriority w:val="99"/>
    <w:pPr>
      <w:ind w:firstLine="420" w:firstLineChars="200"/>
    </w:pPr>
    <w:rPr>
      <w:rFonts w:ascii="Calibri" w:hAnsi="Calibri"/>
    </w:rPr>
  </w:style>
  <w:style w:type="table" w:customStyle="1" w:styleId="1028">
    <w:name w:val="Table Normal"/>
    <w:qFormat/>
    <w:uiPriority w:val="0"/>
    <w:rPr>
      <w:lang w:val="en-US" w:eastAsia="zh-CN" w:bidi="ar-SA"/>
    </w:rPr>
    <w:tblPr>
      <w:tblCellMar>
        <w:top w:w="0" w:type="dxa"/>
        <w:left w:w="0" w:type="dxa"/>
        <w:bottom w:w="0" w:type="dxa"/>
        <w:right w:w="0" w:type="dxa"/>
      </w:tblCellMar>
    </w:tblPr>
  </w:style>
  <w:style w:type="paragraph" w:customStyle="1" w:styleId="1029">
    <w:name w:val="正文缩进t"/>
    <w:basedOn w:val="1"/>
    <w:qFormat/>
    <w:uiPriority w:val="0"/>
    <w:pPr>
      <w:ind w:firstLine="48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35509</Words>
  <Characters>37392</Characters>
  <Lines>1276</Lines>
  <Paragraphs>997</Paragraphs>
  <TotalTime>1</TotalTime>
  <ScaleCrop>false</ScaleCrop>
  <LinksUpToDate>false</LinksUpToDate>
  <CharactersWithSpaces>39601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2023-10-20T06:05:19Z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43E676DA268644DFA1897D4064ABB1A1_12</vt:lpwstr>
  </property>
</Properties>
</file>