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宋体"/>
          <w:b/>
          <w:bCs/>
          <w:spacing w:val="40"/>
          <w:sz w:val="52"/>
          <w:szCs w:val="52"/>
        </w:rPr>
      </w:pPr>
      <w:bookmarkStart w:id="76" w:name="_GoBack"/>
      <w:bookmarkEnd w:id="76"/>
    </w:p>
    <w:p>
      <w:pPr>
        <w:numPr>
          <w:ilvl w:val="0"/>
          <w:numId w:val="0"/>
        </w:numPr>
        <w:shd w:val="clear" w:color="auto" w:fill="FFFFFF"/>
        <w:spacing w:line="240" w:lineRule="atLeast"/>
        <w:ind w:left="3092" w:leftChars="0" w:right="-108" w:rightChars="0" w:hanging="3092" w:hangingChars="700"/>
        <w:jc w:val="left"/>
        <w:rPr>
          <w:rFonts w:hint="eastAsia" w:ascii="仿宋" w:hAnsi="仿宋" w:eastAsia="仿宋" w:cs="宋体"/>
          <w:b/>
          <w:bCs/>
          <w:sz w:val="44"/>
          <w:szCs w:val="44"/>
          <w:lang w:eastAsia="zh-CN"/>
        </w:rPr>
      </w:pPr>
      <w:bookmarkStart w:id="0" w:name="PO_15526_PM002"/>
      <w:r>
        <w:rPr>
          <w:rFonts w:hint="eastAsia" w:ascii="仿宋" w:hAnsi="仿宋" w:eastAsia="仿宋" w:cs="宋体"/>
          <w:b/>
          <w:bCs/>
          <w:sz w:val="44"/>
          <w:szCs w:val="44"/>
          <w:lang w:eastAsia="zh-CN"/>
        </w:rPr>
        <w:t>省经信厅（本级）浙江省法人数字证书基础服务采购项目</w:t>
      </w:r>
      <w:bookmarkEnd w:id="0"/>
    </w:p>
    <w:p>
      <w:pPr>
        <w:shd w:val="clear" w:color="auto" w:fill="FFFFFF"/>
        <w:spacing w:line="240" w:lineRule="atLeast"/>
        <w:ind w:right="-108" w:firstLine="1800" w:firstLineChars="500"/>
        <w:jc w:val="both"/>
        <w:rPr>
          <w:rFonts w:hint="eastAsia" w:ascii="仿宋" w:hAnsi="仿宋" w:eastAsia="仿宋" w:cs="宋体"/>
          <w:sz w:val="36"/>
          <w:szCs w:val="36"/>
          <w:lang w:eastAsia="zh-CN"/>
        </w:rPr>
      </w:pPr>
      <w:r>
        <w:rPr>
          <w:rFonts w:hint="eastAsia" w:ascii="仿宋" w:hAnsi="仿宋" w:eastAsia="仿宋" w:cs="宋体"/>
          <w:sz w:val="36"/>
          <w:szCs w:val="36"/>
        </w:rPr>
        <w:t>项目编号：</w:t>
      </w:r>
      <w:bookmarkStart w:id="1" w:name="PO_15526_PM001"/>
      <w:r>
        <w:rPr>
          <w:rFonts w:hint="eastAsia" w:ascii="仿宋" w:hAnsi="仿宋" w:eastAsia="仿宋" w:cs="宋体"/>
          <w:sz w:val="36"/>
          <w:szCs w:val="36"/>
          <w:lang w:eastAsia="zh-CN"/>
        </w:rPr>
        <w:t>ZZCG2023Z-DY-101</w:t>
      </w:r>
      <w:bookmarkEnd w:id="1"/>
    </w:p>
    <w:p>
      <w:pPr>
        <w:shd w:val="clear" w:color="auto" w:fill="FFFFFF"/>
        <w:spacing w:after="100" w:afterAutospacing="1" w:line="820" w:lineRule="exact"/>
        <w:ind w:right="-108"/>
        <w:jc w:val="center"/>
        <w:rPr>
          <w:rFonts w:ascii="仿宋" w:hAnsi="仿宋" w:eastAsia="仿宋" w:cs="宋体"/>
          <w:bCs/>
          <w:spacing w:val="40"/>
          <w:sz w:val="84"/>
          <w:szCs w:val="84"/>
        </w:rPr>
      </w:pP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pPr>
        <w:spacing w:line="500" w:lineRule="exact"/>
        <w:ind w:right="532" w:firstLine="540" w:firstLineChars="150"/>
        <w:jc w:val="center"/>
        <w:rPr>
          <w:rFonts w:ascii="宋体" w:hAnsi="宋体"/>
          <w:color w:val="000000"/>
          <w:sz w:val="36"/>
          <w:szCs w:val="36"/>
        </w:rPr>
      </w:pPr>
      <w:bookmarkStart w:id="2" w:name="采购单位"/>
      <w:r>
        <w:rPr>
          <w:rFonts w:hint="eastAsia" w:ascii="宋体" w:hAnsi="宋体"/>
          <w:color w:val="000000"/>
          <w:sz w:val="36"/>
          <w:szCs w:val="36"/>
        </w:rPr>
        <w:t>浙江省政府采购中心</w:t>
      </w:r>
      <w:bookmarkEnd w:id="2"/>
    </w:p>
    <w:p>
      <w:pPr>
        <w:spacing w:line="500" w:lineRule="exact"/>
        <w:ind w:right="532" w:firstLine="540" w:firstLineChars="150"/>
        <w:jc w:val="center"/>
        <w:rPr>
          <w:rFonts w:ascii="宋体"/>
          <w:color w:val="000000"/>
          <w:sz w:val="36"/>
          <w:szCs w:val="36"/>
        </w:rPr>
      </w:pPr>
    </w:p>
    <w:p>
      <w:pPr>
        <w:wordWrap w:val="0"/>
        <w:spacing w:line="500" w:lineRule="exact"/>
        <w:ind w:right="-108" w:firstLine="540" w:firstLineChars="150"/>
        <w:jc w:val="center"/>
        <w:rPr>
          <w:rFonts w:ascii="宋体"/>
          <w:color w:val="000000"/>
          <w:sz w:val="36"/>
          <w:szCs w:val="36"/>
        </w:rPr>
      </w:pPr>
      <w:bookmarkStart w:id="3" w:name="地址"/>
      <w:r>
        <w:rPr>
          <w:rFonts w:hint="eastAsia" w:ascii="宋体" w:hAnsi="宋体"/>
          <w:color w:val="000000"/>
          <w:sz w:val="36"/>
          <w:szCs w:val="36"/>
        </w:rPr>
        <w:t>地址：杭州市西湖区宝石一路3号</w:t>
      </w:r>
      <w:bookmarkEnd w:id="3"/>
    </w:p>
    <w:p>
      <w:pPr>
        <w:pStyle w:val="23"/>
        <w:spacing w:before="156" w:line="360" w:lineRule="auto"/>
        <w:jc w:val="center"/>
        <w:rPr>
          <w:rFonts w:ascii="仿宋" w:hAnsi="仿宋" w:eastAsia="仿宋"/>
          <w:b/>
          <w:sz w:val="52"/>
          <w:szCs w:val="52"/>
        </w:rPr>
      </w:pPr>
    </w:p>
    <w:p>
      <w:pPr>
        <w:pStyle w:val="23"/>
        <w:spacing w:before="156" w:line="360" w:lineRule="auto"/>
        <w:jc w:val="center"/>
        <w:rPr>
          <w:rFonts w:ascii="仿宋" w:hAnsi="仿宋" w:eastAsia="仿宋"/>
          <w:b/>
          <w:sz w:val="52"/>
          <w:szCs w:val="52"/>
        </w:rPr>
      </w:pPr>
      <w:r>
        <w:rPr>
          <w:rFonts w:hint="eastAsia" w:ascii="仿宋" w:hAnsi="仿宋" w:eastAsia="仿宋"/>
          <w:b/>
          <w:sz w:val="52"/>
          <w:szCs w:val="52"/>
        </w:rPr>
        <w:t>目  录</w:t>
      </w:r>
    </w:p>
    <w:p>
      <w:pPr>
        <w:pStyle w:val="23"/>
        <w:spacing w:before="156" w:line="360" w:lineRule="auto"/>
        <w:jc w:val="center"/>
        <w:rPr>
          <w:rFonts w:ascii="仿宋" w:hAnsi="仿宋" w:eastAsia="仿宋"/>
          <w:b/>
          <w:sz w:val="52"/>
          <w:szCs w:val="52"/>
        </w:rPr>
      </w:pPr>
    </w:p>
    <w:p>
      <w:pPr>
        <w:pStyle w:val="30"/>
        <w:tabs>
          <w:tab w:val="right" w:leader="dot" w:pos="8296"/>
        </w:tabs>
        <w:rPr>
          <w:rFonts w:ascii="Calibri" w:hAnsi="Calibri"/>
          <w:sz w:val="28"/>
          <w:szCs w:val="28"/>
        </w:rPr>
      </w:pPr>
      <w:r>
        <w:rPr>
          <w:rFonts w:hint="eastAsia" w:ascii="宋体" w:hAnsi="宋体"/>
          <w:sz w:val="28"/>
          <w:szCs w:val="28"/>
        </w:rPr>
        <w:fldChar w:fldCharType="begin"/>
      </w:r>
      <w:r>
        <w:rPr>
          <w:rFonts w:hint="eastAsia" w:ascii="宋体" w:hAnsi="宋体"/>
          <w:sz w:val="28"/>
          <w:szCs w:val="28"/>
        </w:rPr>
        <w:instrText xml:space="preserve"> TOC \o "1-1" \h \z \u </w:instrText>
      </w:r>
      <w:r>
        <w:rPr>
          <w:rFonts w:hint="eastAsia" w:ascii="宋体" w:hAnsi="宋体"/>
          <w:sz w:val="28"/>
          <w:szCs w:val="28"/>
        </w:rPr>
        <w:fldChar w:fldCharType="separate"/>
      </w:r>
      <w:r>
        <w:fldChar w:fldCharType="begin"/>
      </w:r>
      <w:r>
        <w:instrText xml:space="preserve"> HYPERLINK "PageOfficeControl%20中的文档" \l "_Toc510136958" </w:instrText>
      </w:r>
      <w:r>
        <w:fldChar w:fldCharType="separate"/>
      </w:r>
      <w:r>
        <w:rPr>
          <w:rStyle w:val="51"/>
          <w:rFonts w:hint="eastAsia"/>
          <w:sz w:val="28"/>
          <w:szCs w:val="28"/>
        </w:rPr>
        <w:t>第一章单一来源采购邀请</w:t>
      </w:r>
      <w:r>
        <w:rPr>
          <w:rStyle w:val="51"/>
          <w:sz w:val="28"/>
          <w:szCs w:val="28"/>
        </w:rPr>
        <w:tab/>
      </w:r>
      <w:r>
        <w:rPr>
          <w:rStyle w:val="51"/>
          <w:sz w:val="28"/>
          <w:szCs w:val="28"/>
        </w:rPr>
        <w:fldChar w:fldCharType="begin"/>
      </w:r>
      <w:r>
        <w:rPr>
          <w:rStyle w:val="51"/>
          <w:sz w:val="28"/>
          <w:szCs w:val="28"/>
        </w:rPr>
        <w:instrText xml:space="preserve"> PAGEREF _Toc510136958 \h </w:instrText>
      </w:r>
      <w:r>
        <w:rPr>
          <w:rStyle w:val="51"/>
          <w:sz w:val="28"/>
          <w:szCs w:val="28"/>
        </w:rPr>
        <w:fldChar w:fldCharType="separate"/>
      </w:r>
      <w:r>
        <w:rPr>
          <w:rStyle w:val="51"/>
          <w:sz w:val="28"/>
          <w:szCs w:val="28"/>
        </w:rPr>
        <w:t>3</w:t>
      </w:r>
      <w:r>
        <w:rPr>
          <w:rStyle w:val="51"/>
          <w:sz w:val="28"/>
          <w:szCs w:val="28"/>
        </w:rPr>
        <w:fldChar w:fldCharType="end"/>
      </w:r>
      <w:r>
        <w:rPr>
          <w:rStyle w:val="51"/>
          <w:sz w:val="28"/>
          <w:szCs w:val="28"/>
        </w:rPr>
        <w:fldChar w:fldCharType="end"/>
      </w:r>
    </w:p>
    <w:p>
      <w:pPr>
        <w:pStyle w:val="30"/>
        <w:tabs>
          <w:tab w:val="right" w:leader="dot" w:pos="8296"/>
        </w:tabs>
        <w:rPr>
          <w:rFonts w:ascii="Calibri" w:hAnsi="Calibri"/>
          <w:sz w:val="28"/>
          <w:szCs w:val="28"/>
        </w:rPr>
      </w:pPr>
      <w:r>
        <w:fldChar w:fldCharType="begin"/>
      </w:r>
      <w:r>
        <w:instrText xml:space="preserve"> HYPERLINK "PageOfficeControl%20中的文档" \l "_Toc510136959" </w:instrText>
      </w:r>
      <w:r>
        <w:fldChar w:fldCharType="separate"/>
      </w:r>
      <w:r>
        <w:rPr>
          <w:rStyle w:val="51"/>
          <w:rFonts w:hint="eastAsia"/>
          <w:sz w:val="28"/>
          <w:szCs w:val="28"/>
        </w:rPr>
        <w:t>第二章响应方须知</w:t>
      </w:r>
      <w:r>
        <w:rPr>
          <w:rStyle w:val="51"/>
          <w:sz w:val="28"/>
          <w:szCs w:val="28"/>
        </w:rPr>
        <w:tab/>
      </w:r>
      <w:r>
        <w:rPr>
          <w:rStyle w:val="51"/>
          <w:sz w:val="28"/>
          <w:szCs w:val="28"/>
        </w:rPr>
        <w:fldChar w:fldCharType="begin"/>
      </w:r>
      <w:r>
        <w:rPr>
          <w:rStyle w:val="51"/>
          <w:sz w:val="28"/>
          <w:szCs w:val="28"/>
        </w:rPr>
        <w:instrText xml:space="preserve"> PAGEREF _Toc510136959 \h </w:instrText>
      </w:r>
      <w:r>
        <w:rPr>
          <w:rStyle w:val="51"/>
          <w:sz w:val="28"/>
          <w:szCs w:val="28"/>
        </w:rPr>
        <w:fldChar w:fldCharType="separate"/>
      </w:r>
      <w:r>
        <w:rPr>
          <w:rStyle w:val="51"/>
          <w:sz w:val="28"/>
          <w:szCs w:val="28"/>
        </w:rPr>
        <w:t>6</w:t>
      </w:r>
      <w:r>
        <w:rPr>
          <w:rStyle w:val="51"/>
          <w:sz w:val="28"/>
          <w:szCs w:val="28"/>
        </w:rPr>
        <w:fldChar w:fldCharType="end"/>
      </w:r>
      <w:r>
        <w:rPr>
          <w:rStyle w:val="51"/>
          <w:sz w:val="28"/>
          <w:szCs w:val="28"/>
        </w:rPr>
        <w:fldChar w:fldCharType="end"/>
      </w:r>
    </w:p>
    <w:p>
      <w:pPr>
        <w:pStyle w:val="30"/>
        <w:tabs>
          <w:tab w:val="right" w:leader="dot" w:pos="8296"/>
        </w:tabs>
        <w:rPr>
          <w:rFonts w:hint="eastAsia" w:ascii="Calibri" w:hAnsi="Calibri" w:eastAsia="宋体"/>
          <w:sz w:val="28"/>
          <w:szCs w:val="28"/>
          <w:lang w:val="en-US" w:eastAsia="zh-CN"/>
        </w:rPr>
      </w:pPr>
      <w:r>
        <w:fldChar w:fldCharType="begin"/>
      </w:r>
      <w:r>
        <w:instrText xml:space="preserve"> HYPERLINK "PageOfficeControl%20中的文档" \l "_Toc510136960" </w:instrText>
      </w:r>
      <w:r>
        <w:fldChar w:fldCharType="separate"/>
      </w:r>
      <w:r>
        <w:rPr>
          <w:rStyle w:val="51"/>
          <w:rFonts w:hint="eastAsia"/>
          <w:sz w:val="28"/>
          <w:szCs w:val="28"/>
        </w:rPr>
        <w:t>第三章采购内容</w:t>
      </w:r>
      <w:r>
        <w:rPr>
          <w:rStyle w:val="51"/>
          <w:sz w:val="28"/>
          <w:szCs w:val="28"/>
        </w:rPr>
        <w:tab/>
      </w:r>
      <w:r>
        <w:rPr>
          <w:rStyle w:val="51"/>
          <w:rFonts w:hint="eastAsia"/>
          <w:sz w:val="28"/>
          <w:szCs w:val="28"/>
          <w:lang w:val="en-US" w:eastAsia="zh-CN"/>
        </w:rPr>
        <w:t>2</w:t>
      </w:r>
      <w:r>
        <w:rPr>
          <w:rStyle w:val="51"/>
          <w:sz w:val="28"/>
          <w:szCs w:val="28"/>
        </w:rPr>
        <w:fldChar w:fldCharType="end"/>
      </w:r>
      <w:r>
        <w:rPr>
          <w:rStyle w:val="51"/>
          <w:rFonts w:hint="eastAsia"/>
          <w:sz w:val="28"/>
          <w:szCs w:val="28"/>
          <w:lang w:val="en-US" w:eastAsia="zh-CN"/>
        </w:rPr>
        <w:t>0</w:t>
      </w:r>
    </w:p>
    <w:p>
      <w:pPr>
        <w:pStyle w:val="30"/>
        <w:tabs>
          <w:tab w:val="right" w:leader="dot" w:pos="8296"/>
        </w:tabs>
        <w:rPr>
          <w:rFonts w:hint="eastAsia" w:ascii="Calibri" w:hAnsi="Calibri" w:eastAsia="宋体"/>
          <w:sz w:val="28"/>
          <w:szCs w:val="28"/>
          <w:lang w:val="en-US" w:eastAsia="zh-CN"/>
        </w:rPr>
      </w:pPr>
      <w:r>
        <w:fldChar w:fldCharType="begin"/>
      </w:r>
      <w:r>
        <w:instrText xml:space="preserve"> HYPERLINK "PageOfficeControl%20中的文档" \l "_Toc510136961" </w:instrText>
      </w:r>
      <w:r>
        <w:fldChar w:fldCharType="separate"/>
      </w:r>
      <w:r>
        <w:rPr>
          <w:rStyle w:val="51"/>
          <w:rFonts w:hint="eastAsia"/>
          <w:sz w:val="28"/>
          <w:szCs w:val="28"/>
        </w:rPr>
        <w:t>第四章浙江省政府采购合同主要条款指引</w:t>
      </w:r>
      <w:r>
        <w:rPr>
          <w:rStyle w:val="51"/>
          <w:sz w:val="28"/>
          <w:szCs w:val="28"/>
        </w:rPr>
        <w:tab/>
      </w:r>
      <w:r>
        <w:rPr>
          <w:rStyle w:val="51"/>
          <w:rFonts w:hint="eastAsia"/>
          <w:sz w:val="28"/>
          <w:szCs w:val="28"/>
          <w:lang w:val="en-US" w:eastAsia="zh-CN"/>
        </w:rPr>
        <w:t>5</w:t>
      </w:r>
      <w:r>
        <w:rPr>
          <w:rStyle w:val="51"/>
          <w:sz w:val="28"/>
          <w:szCs w:val="28"/>
        </w:rPr>
        <w:fldChar w:fldCharType="end"/>
      </w:r>
      <w:r>
        <w:rPr>
          <w:rStyle w:val="51"/>
          <w:rFonts w:hint="eastAsia"/>
          <w:sz w:val="28"/>
          <w:szCs w:val="28"/>
          <w:lang w:val="en-US" w:eastAsia="zh-CN"/>
        </w:rPr>
        <w:t>4</w:t>
      </w:r>
    </w:p>
    <w:p>
      <w:pPr>
        <w:pStyle w:val="30"/>
        <w:tabs>
          <w:tab w:val="right" w:leader="dot" w:pos="8296"/>
        </w:tabs>
        <w:rPr>
          <w:rFonts w:hint="eastAsia" w:ascii="Calibri" w:hAnsi="Calibri" w:eastAsia="宋体"/>
          <w:sz w:val="28"/>
          <w:szCs w:val="28"/>
          <w:lang w:val="en-US" w:eastAsia="zh-CN"/>
        </w:rPr>
      </w:pPr>
      <w:r>
        <w:fldChar w:fldCharType="begin"/>
      </w:r>
      <w:r>
        <w:instrText xml:space="preserve"> HYPERLINK "PageOfficeControl%20中的文档" \l "_Toc510136962" </w:instrText>
      </w:r>
      <w:r>
        <w:fldChar w:fldCharType="separate"/>
      </w:r>
      <w:r>
        <w:rPr>
          <w:rStyle w:val="51"/>
          <w:rFonts w:hint="eastAsia"/>
          <w:snapToGrid w:val="0"/>
          <w:sz w:val="28"/>
          <w:szCs w:val="28"/>
        </w:rPr>
        <w:t>第五章</w:t>
      </w:r>
      <w:r>
        <w:rPr>
          <w:rStyle w:val="51"/>
          <w:rFonts w:hint="eastAsia"/>
          <w:sz w:val="28"/>
          <w:szCs w:val="28"/>
        </w:rPr>
        <w:t>单一来源采购响应文件格式附件</w:t>
      </w:r>
      <w:r>
        <w:rPr>
          <w:rStyle w:val="51"/>
          <w:sz w:val="28"/>
          <w:szCs w:val="28"/>
        </w:rPr>
        <w:tab/>
      </w:r>
      <w:r>
        <w:rPr>
          <w:rStyle w:val="51"/>
          <w:rFonts w:hint="eastAsia"/>
          <w:sz w:val="28"/>
          <w:szCs w:val="28"/>
          <w:lang w:val="en-US" w:eastAsia="zh-CN"/>
        </w:rPr>
        <w:t>5</w:t>
      </w:r>
      <w:r>
        <w:rPr>
          <w:rStyle w:val="51"/>
          <w:sz w:val="28"/>
          <w:szCs w:val="28"/>
        </w:rPr>
        <w:fldChar w:fldCharType="end"/>
      </w:r>
      <w:r>
        <w:rPr>
          <w:rStyle w:val="51"/>
          <w:rFonts w:hint="eastAsia"/>
          <w:sz w:val="28"/>
          <w:szCs w:val="28"/>
          <w:lang w:val="en-US" w:eastAsia="zh-CN"/>
        </w:rPr>
        <w:t>9</w:t>
      </w:r>
    </w:p>
    <w:p>
      <w:pPr>
        <w:pStyle w:val="23"/>
        <w:spacing w:before="156" w:line="480" w:lineRule="auto"/>
        <w:jc w:val="left"/>
        <w:rPr>
          <w:rFonts w:ascii="仿宋" w:hAnsi="仿宋" w:eastAsia="仿宋"/>
          <w:sz w:val="28"/>
          <w:szCs w:val="28"/>
        </w:rPr>
      </w:pPr>
      <w:r>
        <w:rPr>
          <w:rFonts w:hint="eastAsia" w:hAnsi="宋体"/>
          <w:sz w:val="28"/>
          <w:szCs w:val="28"/>
        </w:rPr>
        <w:fldChar w:fldCharType="end"/>
      </w:r>
    </w:p>
    <w:p>
      <w:pPr>
        <w:pStyle w:val="41"/>
      </w:pPr>
      <w:r>
        <w:rPr>
          <w:b w:val="0"/>
          <w:bCs w:val="0"/>
          <w:sz w:val="30"/>
          <w:szCs w:val="30"/>
        </w:rPr>
        <w:br w:type="page"/>
      </w:r>
      <w:bookmarkStart w:id="4" w:name="_Toc510136958"/>
      <w:bookmarkStart w:id="5" w:name="_Toc451268214"/>
      <w:r>
        <w:rPr>
          <w:rFonts w:hint="eastAsia"/>
        </w:rPr>
        <w:t>第一章</w:t>
      </w:r>
      <w:r>
        <w:rPr>
          <w:rFonts w:hint="eastAsia"/>
          <w:lang w:val="en-US" w:eastAsia="zh-CN"/>
        </w:rPr>
        <w:t xml:space="preserve">  </w:t>
      </w:r>
      <w:r>
        <w:rPr>
          <w:rFonts w:hint="eastAsia"/>
        </w:rPr>
        <w:t>单一来源采购邀请</w:t>
      </w:r>
      <w:bookmarkEnd w:id="4"/>
      <w:bookmarkEnd w:id="5"/>
    </w:p>
    <w:p>
      <w:pPr>
        <w:spacing w:line="360" w:lineRule="auto"/>
        <w:ind w:firstLine="588" w:firstLineChars="196"/>
        <w:rPr>
          <w:rFonts w:ascii="仿宋" w:hAnsi="仿宋" w:eastAsia="仿宋" w:cs="仿宋"/>
          <w:sz w:val="28"/>
          <w:szCs w:val="28"/>
        </w:rPr>
      </w:pPr>
      <w:r>
        <w:rPr>
          <w:rFonts w:hint="eastAsia" w:ascii="仿宋" w:hAnsi="仿宋" w:eastAsia="仿宋"/>
          <w:sz w:val="30"/>
          <w:szCs w:val="30"/>
        </w:rPr>
        <w:t>根据《中华人民共和国政府采购法》、《政府采购非招标采购方式管理规定》、《中华人民共和国政府采购法实施条例》规定，经采购人推荐，浙江省财政厅批准，现就下列项目向</w:t>
      </w:r>
      <w:bookmarkStart w:id="6" w:name="PO_15526_PM001383"/>
      <w:r>
        <w:rPr>
          <w:rFonts w:hint="eastAsia" w:ascii="仿宋" w:hAnsi="仿宋" w:eastAsia="仿宋"/>
          <w:sz w:val="30"/>
          <w:szCs w:val="30"/>
          <w:lang w:eastAsia="zh-CN"/>
        </w:rPr>
        <w:t>标项1：(正式)浙江省数字安全证书管理有限公司；标项2：(正式)浙江汇信科技有限公司。</w:t>
      </w:r>
      <w:bookmarkEnd w:id="6"/>
      <w:r>
        <w:rPr>
          <w:rFonts w:hint="eastAsia" w:ascii="仿宋" w:hAnsi="仿宋" w:eastAsia="仿宋"/>
          <w:sz w:val="30"/>
          <w:szCs w:val="30"/>
        </w:rPr>
        <w:t>进行单一来源采购：</w:t>
      </w:r>
    </w:p>
    <w:p>
      <w:pPr>
        <w:snapToGrid w:val="0"/>
        <w:spacing w:line="460" w:lineRule="exact"/>
        <w:ind w:firstLine="600" w:firstLineChars="200"/>
        <w:rPr>
          <w:rFonts w:hint="eastAsia" w:ascii="仿宋" w:hAnsi="仿宋" w:eastAsia="仿宋"/>
          <w:kern w:val="0"/>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7" w:name="PO_15526_PM001_1"/>
      <w:r>
        <w:rPr>
          <w:rFonts w:hint="eastAsia" w:ascii="仿宋" w:hAnsi="仿宋" w:eastAsia="仿宋" w:cs="Arial"/>
          <w:b/>
          <w:bCs/>
          <w:sz w:val="30"/>
          <w:szCs w:val="30"/>
          <w:lang w:eastAsia="zh-CN"/>
        </w:rPr>
        <w:t>ZZCG2023Z-DY-101</w:t>
      </w:r>
      <w:bookmarkEnd w:id="7"/>
    </w:p>
    <w:p>
      <w:pPr>
        <w:snapToGrid w:val="0"/>
        <w:spacing w:line="460" w:lineRule="exact"/>
        <w:ind w:firstLine="602" w:firstLineChars="200"/>
        <w:rPr>
          <w:rFonts w:hint="eastAsia"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bookmarkStart w:id="8" w:name="PO_15526_PM004_1"/>
    </w:p>
    <w:p>
      <w:pPr>
        <w:snapToGrid w:val="0"/>
        <w:spacing w:line="460" w:lineRule="exact"/>
        <w:ind w:firstLine="602" w:firstLineChars="200"/>
        <w:rPr>
          <w:rFonts w:hint="eastAsia" w:ascii="仿宋" w:hAnsi="仿宋" w:eastAsia="仿宋" w:cs="Arial"/>
          <w:b/>
          <w:bCs/>
          <w:sz w:val="30"/>
          <w:szCs w:val="30"/>
          <w:vertAlign w:val="baseline"/>
          <w:lang w:eastAsia="zh-CN"/>
        </w:rPr>
      </w:pPr>
      <w:r>
        <w:rPr>
          <w:rFonts w:hint="eastAsia" w:ascii="仿宋" w:hAnsi="仿宋" w:eastAsia="仿宋" w:cs="Arial"/>
          <w:b/>
          <w:bCs/>
          <w:sz w:val="30"/>
          <w:szCs w:val="30"/>
          <w:lang w:eastAsia="zh-CN"/>
        </w:rPr>
        <w:t xml:space="preserve"> </w:t>
      </w:r>
    </w:p>
    <w:tbl>
      <w:tblPr>
        <w:tblStyle w:val="45"/>
        <w:tblW w:w="52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905"/>
        <w:gridCol w:w="600"/>
        <w:gridCol w:w="525"/>
        <w:gridCol w:w="180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65"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标项序号</w:t>
            </w:r>
          </w:p>
        </w:tc>
        <w:tc>
          <w:tcPr>
            <w:tcW w:w="1068"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标项名称</w:t>
            </w:r>
          </w:p>
        </w:tc>
        <w:tc>
          <w:tcPr>
            <w:tcW w:w="336"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数量</w:t>
            </w:r>
          </w:p>
        </w:tc>
        <w:tc>
          <w:tcPr>
            <w:tcW w:w="294"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单位</w:t>
            </w:r>
          </w:p>
        </w:tc>
        <w:tc>
          <w:tcPr>
            <w:tcW w:w="1009"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预算金额(万元)</w:t>
            </w:r>
          </w:p>
        </w:tc>
        <w:tc>
          <w:tcPr>
            <w:tcW w:w="1825"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1068"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省经信厅（本级）介质和制证服务</w:t>
            </w:r>
          </w:p>
        </w:tc>
        <w:tc>
          <w:tcPr>
            <w:tcW w:w="336"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294"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项</w:t>
            </w:r>
          </w:p>
        </w:tc>
        <w:tc>
          <w:tcPr>
            <w:tcW w:w="1009"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647.82546</w:t>
            </w:r>
          </w:p>
        </w:tc>
        <w:tc>
          <w:tcPr>
            <w:tcW w:w="1825"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2</w:t>
            </w:r>
          </w:p>
        </w:tc>
        <w:tc>
          <w:tcPr>
            <w:tcW w:w="1068"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省经信厅（本级）发行和应用服务</w:t>
            </w:r>
          </w:p>
        </w:tc>
        <w:tc>
          <w:tcPr>
            <w:tcW w:w="336"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294"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项</w:t>
            </w:r>
          </w:p>
        </w:tc>
        <w:tc>
          <w:tcPr>
            <w:tcW w:w="1009"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1925.97454</w:t>
            </w:r>
          </w:p>
        </w:tc>
        <w:tc>
          <w:tcPr>
            <w:tcW w:w="1825" w:type="pct"/>
            <w:noWrap w:val="0"/>
            <w:vAlign w:val="top"/>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详见采购文件</w:t>
            </w:r>
          </w:p>
        </w:tc>
      </w:tr>
    </w:tbl>
    <w:p>
      <w:pPr>
        <w:snapToGrid w:val="0"/>
        <w:spacing w:line="460" w:lineRule="exact"/>
        <w:ind w:firstLine="602" w:firstLineChars="200"/>
        <w:rPr>
          <w:rStyle w:val="52"/>
          <w:rFonts w:hint="eastAsia" w:ascii="仿宋" w:hAnsi="仿宋" w:eastAsia="宋体" w:cs="Arial"/>
          <w:sz w:val="30"/>
          <w:lang w:eastAsia="zh-CN"/>
        </w:rPr>
      </w:pPr>
      <w:r>
        <w:rPr>
          <w:rFonts w:hint="eastAsia" w:ascii="仿宋" w:hAnsi="仿宋" w:eastAsia="仿宋" w:cs="Arial"/>
          <w:b/>
          <w:bCs/>
          <w:sz w:val="30"/>
          <w:szCs w:val="30"/>
          <w:lang w:eastAsia="zh-CN"/>
        </w:rPr>
        <w:t xml:space="preserve"> </w:t>
      </w:r>
      <w:bookmarkEnd w:id="8"/>
    </w:p>
    <w:p>
      <w:pPr>
        <w:snapToGrid w:val="0"/>
        <w:spacing w:line="460" w:lineRule="exact"/>
        <w:ind w:firstLine="301" w:firstLineChars="100"/>
      </w:pPr>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合格响应方的资格要求</w:t>
      </w:r>
    </w:p>
    <w:p>
      <w:pPr>
        <w:snapToGrid w:val="0"/>
        <w:spacing w:line="460" w:lineRule="exact"/>
        <w:ind w:firstLine="560" w:firstLineChars="200"/>
        <w:rPr>
          <w:rFonts w:ascii="仿宋" w:hAnsi="仿宋" w:eastAsia="仿宋"/>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单一来源响应方的特定条件：</w:t>
      </w:r>
    </w:p>
    <w:p>
      <w:pPr>
        <w:snapToGrid w:val="0"/>
        <w:spacing w:line="460" w:lineRule="exact"/>
        <w:ind w:firstLine="602" w:firstLineChars="200"/>
        <w:rPr>
          <w:rFonts w:hint="eastAsia" w:ascii="仿宋" w:hAnsi="仿宋" w:eastAsia="仿宋"/>
          <w:b/>
          <w:bCs/>
          <w:sz w:val="30"/>
          <w:szCs w:val="30"/>
          <w:lang w:eastAsia="zh-CN"/>
        </w:rPr>
      </w:pPr>
      <w:bookmarkStart w:id="9" w:name="PO_419_PM006"/>
      <w:r>
        <w:rPr>
          <w:rFonts w:hint="eastAsia" w:ascii="仿宋" w:hAnsi="仿宋" w:eastAsia="仿宋"/>
          <w:b/>
          <w:bCs/>
          <w:sz w:val="30"/>
          <w:szCs w:val="30"/>
          <w:lang w:eastAsia="zh-CN"/>
        </w:rPr>
        <w:t>标项1:本项目专门面向中小企业，请单独上传《中小企业声明函》。;标项2:本项目专门面向中小企业，请单独上传《中小企业声明函》。</w:t>
      </w:r>
      <w:bookmarkEnd w:id="9"/>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pPr>
        <w:snapToGrid w:val="0"/>
        <w:spacing w:line="460" w:lineRule="exact"/>
        <w:ind w:firstLine="600" w:firstLineChars="200"/>
        <w:rPr>
          <w:rFonts w:hint="eastAsia" w:ascii="仿宋" w:hAnsi="仿宋" w:eastAsia="仿宋" w:cs="仿宋"/>
          <w:color w:val="000000"/>
          <w:kern w:val="0"/>
          <w:sz w:val="30"/>
          <w:szCs w:val="30"/>
          <w:lang w:eastAsia="zh-CN"/>
        </w:rPr>
      </w:pPr>
      <w:r>
        <w:rPr>
          <w:rFonts w:hint="eastAsia" w:ascii="仿宋" w:hAnsi="仿宋" w:eastAsia="仿宋" w:cs="Arial"/>
          <w:sz w:val="30"/>
          <w:szCs w:val="30"/>
        </w:rPr>
        <w:t>时间：</w:t>
      </w:r>
      <w:bookmarkStart w:id="10" w:name="开标时间1"/>
      <w:bookmarkEnd w:id="10"/>
      <w:bookmarkStart w:id="11" w:name="PO_15526_PM015"/>
      <w:r>
        <w:rPr>
          <w:rFonts w:hint="eastAsia" w:ascii="仿宋" w:hAnsi="仿宋" w:eastAsia="仿宋" w:cs="Arial"/>
          <w:sz w:val="30"/>
          <w:szCs w:val="30"/>
          <w:lang w:eastAsia="zh-CN"/>
        </w:rPr>
        <w:t>2023-07-25 09:00:00</w:t>
      </w:r>
      <w:bookmarkEnd w:id="11"/>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地点：</w:t>
      </w:r>
      <w:bookmarkStart w:id="12" w:name="谈判地址1"/>
      <w:bookmarkEnd w:id="12"/>
      <w:bookmarkStart w:id="13" w:name="PO_15526_PM016"/>
      <w:r>
        <w:rPr>
          <w:rFonts w:hint="eastAsia" w:ascii="仿宋" w:hAnsi="仿宋" w:eastAsia="仿宋" w:cs="Arial"/>
          <w:sz w:val="30"/>
          <w:szCs w:val="30"/>
          <w:lang w:eastAsia="zh-CN"/>
        </w:rPr>
        <w:t>西湖区浙江省杭州市西湖区宝石一路3号201开标室</w:t>
      </w:r>
      <w:bookmarkEnd w:id="13"/>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w:t>
      </w:r>
      <w:r>
        <w:rPr>
          <w:rFonts w:hint="eastAsia" w:ascii="宋体" w:hAnsi="宋体" w:cs="Arial"/>
          <w:b/>
          <w:bCs/>
          <w:sz w:val="30"/>
          <w:szCs w:val="30"/>
        </w:rPr>
        <w:t>单一来源响应截止时间和地点</w:t>
      </w:r>
      <w:r>
        <w:rPr>
          <w:rFonts w:hint="eastAsia" w:ascii="仿宋" w:hAnsi="仿宋" w:eastAsia="仿宋" w:cs="Arial"/>
          <w:b/>
          <w:bCs/>
          <w:sz w:val="30"/>
          <w:szCs w:val="30"/>
        </w:rPr>
        <w:t>：</w:t>
      </w:r>
    </w:p>
    <w:p>
      <w:pPr>
        <w:pStyle w:val="23"/>
        <w:adjustRightInd w:val="0"/>
        <w:snapToGrid w:val="0"/>
        <w:spacing w:before="156" w:line="500" w:lineRule="exact"/>
        <w:ind w:firstLine="565" w:firstLineChars="201"/>
        <w:rPr>
          <w:rFonts w:hint="eastAsia" w:ascii="仿宋" w:hAnsi="仿宋" w:eastAsia="宋体" w:cs="Arial"/>
          <w:sz w:val="30"/>
          <w:szCs w:val="30"/>
          <w:lang w:eastAsia="zh-CN"/>
        </w:rPr>
      </w:pPr>
      <w:r>
        <w:rPr>
          <w:rFonts w:hint="eastAsia" w:hAnsi="宋体"/>
          <w:b/>
          <w:color w:val="000000"/>
          <w:kern w:val="0"/>
          <w:sz w:val="28"/>
          <w:szCs w:val="28"/>
        </w:rPr>
        <w:t>投标截止时间：</w:t>
      </w:r>
      <w:bookmarkStart w:id="14" w:name="PO_419_PM015"/>
      <w:r>
        <w:rPr>
          <w:rFonts w:hint="eastAsia" w:ascii="仿宋" w:hAnsi="仿宋" w:eastAsia="仿宋" w:cs="Arial"/>
          <w:sz w:val="30"/>
          <w:szCs w:val="30"/>
          <w:lang w:eastAsia="zh-CN"/>
        </w:rPr>
        <w:t>2023-07-25 09:00:00</w:t>
      </w:r>
      <w:bookmarkEnd w:id="14"/>
    </w:p>
    <w:p>
      <w:pPr>
        <w:pStyle w:val="23"/>
        <w:adjustRightInd w:val="0"/>
        <w:snapToGrid w:val="0"/>
        <w:spacing w:before="156" w:line="500" w:lineRule="exact"/>
        <w:ind w:firstLine="565" w:firstLineChars="201"/>
        <w:rPr>
          <w:rFonts w:hAnsi="宋体"/>
          <w:b/>
          <w:bCs/>
          <w:kern w:val="0"/>
          <w:sz w:val="28"/>
          <w:szCs w:val="28"/>
        </w:rPr>
      </w:pPr>
      <w:r>
        <w:rPr>
          <w:rFonts w:hint="eastAsia" w:hAnsi="宋体"/>
          <w:b/>
          <w:bCs/>
          <w:kern w:val="0"/>
          <w:sz w:val="28"/>
          <w:szCs w:val="28"/>
        </w:rPr>
        <w:t>本项目实行电子投标。单一来源响应文件应按照本项目单一来源响应文件和电子交易平台的要求编制、加密，并应当在投标截止时间前在规定电子交易平台完成传输递交，投标截止时间后送达的单一来源响应文件，将被电子交易平台拒收。</w:t>
      </w:r>
    </w:p>
    <w:p>
      <w:pPr>
        <w:pStyle w:val="23"/>
        <w:adjustRightInd w:val="0"/>
        <w:snapToGrid w:val="0"/>
        <w:spacing w:before="156" w:line="500" w:lineRule="exact"/>
        <w:ind w:firstLine="565" w:firstLineChars="201"/>
        <w:rPr>
          <w:rFonts w:hAnsi="宋体"/>
          <w:b/>
          <w:bCs/>
          <w:kern w:val="0"/>
          <w:sz w:val="28"/>
          <w:szCs w:val="28"/>
        </w:rPr>
      </w:pPr>
      <w:r>
        <w:rPr>
          <w:rFonts w:hint="eastAsia" w:hAnsi="宋体"/>
          <w:b/>
          <w:bCs/>
          <w:kern w:val="0"/>
          <w:sz w:val="28"/>
          <w:szCs w:val="28"/>
        </w:rPr>
        <w:t>如认为需要，单一来源响应方可以选择递交备份单一来源响应文件，采用数据电文形式，以U盘或DVD光盘形式存储，并在投标截止时间前，通过邮寄方式，送达指定地点，逾期送达或未密封将被拒收。</w:t>
      </w:r>
    </w:p>
    <w:p>
      <w:pPr>
        <w:snapToGrid w:val="0"/>
        <w:spacing w:line="460" w:lineRule="exact"/>
        <w:ind w:firstLine="562" w:firstLineChars="200"/>
        <w:rPr>
          <w:rFonts w:ascii="宋体" w:hAnsi="宋体"/>
          <w:b/>
          <w:bCs/>
          <w:kern w:val="0"/>
          <w:sz w:val="28"/>
          <w:szCs w:val="28"/>
        </w:rPr>
      </w:pPr>
      <w:r>
        <w:rPr>
          <w:rFonts w:hint="eastAsia" w:ascii="宋体" w:hAnsi="宋体"/>
          <w:b/>
          <w:bCs/>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本项目拒绝接受纸质</w:t>
      </w:r>
      <w:r>
        <w:rPr>
          <w:rFonts w:hint="eastAsia" w:hAnsi="宋体"/>
          <w:b/>
          <w:bCs/>
          <w:kern w:val="0"/>
          <w:sz w:val="28"/>
          <w:szCs w:val="28"/>
        </w:rPr>
        <w:t>单一来源响应</w:t>
      </w:r>
      <w:r>
        <w:rPr>
          <w:rFonts w:hint="eastAsia" w:ascii="仿宋" w:hAnsi="仿宋" w:eastAsia="仿宋" w:cs="Arial"/>
          <w:b/>
          <w:bCs/>
          <w:sz w:val="30"/>
          <w:szCs w:val="30"/>
        </w:rPr>
        <w:t>文件。</w:t>
      </w:r>
    </w:p>
    <w:p>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rPr>
        <w:t>六、业务咨询：</w:t>
      </w:r>
    </w:p>
    <w:tbl>
      <w:tblPr>
        <w:tblStyle w:val="44"/>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sz w:val="28"/>
                <w:szCs w:val="28"/>
                <w:lang w:eastAsia="zh-CN"/>
              </w:rPr>
            </w:pPr>
            <w:bookmarkStart w:id="15" w:name="PO_15528_PM032"/>
            <w:r>
              <w:rPr>
                <w:rFonts w:hint="eastAsia" w:ascii="仿宋" w:hAnsi="仿宋" w:eastAsia="仿宋" w:cs="仿宋"/>
                <w:sz w:val="28"/>
                <w:szCs w:val="28"/>
                <w:lang w:eastAsia="zh-CN"/>
              </w:rPr>
              <w:t>朱智胤</w:t>
            </w:r>
            <w:bookmarkEnd w:id="15"/>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sz w:val="28"/>
                <w:szCs w:val="28"/>
                <w:lang w:eastAsia="zh-CN"/>
              </w:rPr>
            </w:pPr>
            <w:bookmarkStart w:id="16" w:name="PO_15528_PM033"/>
            <w:r>
              <w:rPr>
                <w:rFonts w:hint="eastAsia" w:ascii="仿宋" w:hAnsi="仿宋" w:eastAsia="仿宋" w:cs="仿宋"/>
                <w:sz w:val="28"/>
                <w:szCs w:val="28"/>
                <w:lang w:eastAsia="zh-CN"/>
              </w:rPr>
              <w:t>0571-88901127</w:t>
            </w:r>
            <w:bookmarkEnd w:id="16"/>
          </w:p>
        </w:tc>
        <w:tc>
          <w:tcPr>
            <w:tcW w:w="2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sz w:val="28"/>
                <w:szCs w:val="28"/>
                <w:lang w:eastAsia="zh-CN"/>
              </w:rPr>
            </w:pPr>
            <w:bookmarkStart w:id="17" w:name="PO_15528_PM034"/>
            <w:r>
              <w:rPr>
                <w:rFonts w:hint="eastAsia" w:ascii="仿宋" w:hAnsi="仿宋" w:eastAsia="仿宋" w:cs="仿宋"/>
                <w:sz w:val="28"/>
                <w:szCs w:val="28"/>
                <w:lang w:eastAsia="zh-CN"/>
              </w:rPr>
              <w:t xml:space="preserve"> </w:t>
            </w:r>
            <w:bookmarkEnd w:id="17"/>
          </w:p>
        </w:tc>
        <w:tc>
          <w:tcPr>
            <w:tcW w:w="2644"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sz w:val="28"/>
                <w:szCs w:val="28"/>
              </w:rPr>
            </w:pPr>
            <w:r>
              <w:rPr>
                <w:rFonts w:hint="eastAsia" w:ascii="仿宋" w:hAnsi="仿宋" w:eastAsia="仿宋" w:cs="仿宋"/>
                <w:sz w:val="28"/>
                <w:szCs w:val="28"/>
              </w:rPr>
              <w:t>四楼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采购二部</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商红娟</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0571-88907706</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60" w:lineRule="exact"/>
        <w:ind w:firstLine="569" w:firstLineChars="189"/>
        <w:rPr>
          <w:rFonts w:ascii="仿宋" w:hAnsi="仿宋" w:eastAsia="仿宋" w:cs="Arial"/>
          <w:b/>
          <w:sz w:val="30"/>
          <w:szCs w:val="30"/>
        </w:rPr>
      </w:pPr>
    </w:p>
    <w:p>
      <w:bookmarkStart w:id="18" w:name="_Toc451268215"/>
    </w:p>
    <w:p>
      <w:pPr>
        <w:snapToGrid w:val="0"/>
        <w:spacing w:line="500" w:lineRule="exact"/>
        <w:ind w:firstLine="602" w:firstLineChars="200"/>
        <w:rPr>
          <w:rFonts w:ascii="仿宋" w:hAnsi="仿宋" w:eastAsia="仿宋" w:cs="Arial"/>
          <w:b/>
          <w:bCs/>
          <w:color w:val="000000"/>
          <w:sz w:val="30"/>
          <w:szCs w:val="30"/>
        </w:rPr>
      </w:pPr>
    </w:p>
    <w:p>
      <w:pPr>
        <w:snapToGrid w:val="0"/>
        <w:spacing w:line="500" w:lineRule="exact"/>
        <w:ind w:firstLine="602" w:firstLineChars="200"/>
        <w:rPr>
          <w:rFonts w:ascii="仿宋" w:hAnsi="仿宋" w:eastAsia="仿宋" w:cs="Arial"/>
          <w:b/>
          <w:bCs/>
          <w:color w:val="000000"/>
          <w:sz w:val="30"/>
          <w:szCs w:val="30"/>
        </w:rPr>
      </w:pPr>
    </w:p>
    <w:p>
      <w:pPr>
        <w:snapToGrid w:val="0"/>
        <w:spacing w:line="500" w:lineRule="exact"/>
        <w:ind w:firstLine="602" w:firstLineChars="200"/>
        <w:rPr>
          <w:rFonts w:ascii="宋体" w:hAnsi="宋体" w:cs="Arial"/>
          <w:b/>
          <w:bCs/>
          <w:sz w:val="28"/>
          <w:szCs w:val="28"/>
        </w:rPr>
      </w:pPr>
      <w:r>
        <w:rPr>
          <w:rFonts w:hint="eastAsia" w:ascii="仿宋" w:hAnsi="仿宋" w:eastAsia="仿宋" w:cs="Arial"/>
          <w:b/>
          <w:bCs/>
          <w:color w:val="000000"/>
          <w:sz w:val="30"/>
          <w:szCs w:val="30"/>
        </w:rPr>
        <w:t>七、</w:t>
      </w:r>
      <w:r>
        <w:rPr>
          <w:rFonts w:hint="eastAsia" w:ascii="宋体" w:hAnsi="宋体" w:cs="Arial"/>
          <w:b/>
          <w:bCs/>
          <w:sz w:val="28"/>
          <w:szCs w:val="28"/>
        </w:rPr>
        <w:t>采购需求和项目监督</w:t>
      </w:r>
    </w:p>
    <w:p>
      <w:pPr>
        <w:snapToGrid w:val="0"/>
        <w:spacing w:line="500" w:lineRule="exact"/>
        <w:ind w:firstLine="600" w:firstLineChars="200"/>
        <w:rPr>
          <w:rFonts w:hint="eastAsia" w:ascii="仿宋_GB2312" w:hAnsi="仿宋" w:eastAsia="仿宋_GB2312"/>
          <w:color w:val="000000"/>
          <w:sz w:val="30"/>
          <w:szCs w:val="30"/>
          <w:vertAlign w:val="baseline"/>
          <w:lang w:eastAsia="zh-CN"/>
        </w:rPr>
      </w:pPr>
      <w:bookmarkStart w:id="19" w:name="PO_15528_PM001384_1"/>
      <w:r>
        <w:rPr>
          <w:rFonts w:hint="eastAsia" w:ascii="仿宋_GB2312" w:hAnsi="仿宋" w:eastAsia="仿宋_GB2312"/>
          <w:color w:val="000000"/>
          <w:sz w:val="30"/>
          <w:szCs w:val="30"/>
          <w:lang w:eastAsia="zh-CN"/>
        </w:rPr>
        <w:t xml:space="preserve"> </w:t>
      </w:r>
      <w:bookmarkEnd w:id="19"/>
      <w:bookmarkStart w:id="20" w:name="PO_TDCUS_ITEM_PRC_TITLE_1_0"/>
      <w:r>
        <w:rPr>
          <w:rFonts w:hint="eastAsia" w:ascii="仿宋_GB2312" w:hAnsi="仿宋" w:eastAsia="仿宋_GB2312"/>
          <w:color w:val="000000"/>
          <w:sz w:val="30"/>
          <w:szCs w:val="30"/>
          <w:lang w:eastAsia="zh-CN"/>
        </w:rPr>
        <w:t>标项1</w:t>
      </w:r>
      <w:bookmarkEnd w:id="20"/>
      <w:bookmarkStart w:id="21" w:name="PO_TDCUS_ITEM_PRC_TABLE_1_1_0"/>
      <w:r>
        <w:rPr>
          <w:rFonts w:hint="eastAsia" w:ascii="仿宋_GB2312" w:hAnsi="仿宋" w:eastAsia="仿宋_GB2312"/>
          <w:color w:val="000000"/>
          <w:sz w:val="30"/>
          <w:szCs w:val="30"/>
          <w:lang w:val="en-US" w:eastAsia="zh-CN"/>
        </w:rPr>
        <w:t>和</w:t>
      </w:r>
      <w:r>
        <w:rPr>
          <w:rFonts w:hint="eastAsia" w:ascii="仿宋_GB2312" w:hAnsi="仿宋" w:eastAsia="仿宋_GB2312"/>
          <w:color w:val="000000"/>
          <w:sz w:val="30"/>
          <w:szCs w:val="30"/>
          <w:lang w:eastAsia="zh-CN"/>
        </w:rPr>
        <w:t xml:space="preserve">标项2：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浙江省经济和信息化厅（本级）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杭州市体育场路479号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0571-87058141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2500" w:type="pct"/>
            <w:noWrap w:val="0"/>
            <w:vAlign w:val="top"/>
          </w:tcPr>
          <w:p>
            <w:pPr>
              <w:snapToGrid w:val="0"/>
              <w:spacing w:line="500" w:lineRule="exact"/>
              <w:rPr>
                <w:rFonts w:hint="eastAsia" w:ascii="仿宋_GB2312" w:hAnsi="仿宋" w:eastAsia="仿宋_GB2312"/>
                <w:color w:val="000000"/>
                <w:sz w:val="30"/>
                <w:szCs w:val="30"/>
                <w:vertAlign w:val="baseline"/>
                <w:lang w:eastAsia="zh-CN"/>
              </w:rPr>
            </w:pPr>
          </w:p>
        </w:tc>
      </w:tr>
      <w:bookmarkEnd w:id="18"/>
      <w:bookmarkEnd w:id="21"/>
    </w:tbl>
    <w:p>
      <w:pPr>
        <w:pStyle w:val="41"/>
        <w:rPr>
          <w:rFonts w:hint="eastAsia"/>
        </w:rPr>
      </w:pPr>
      <w:bookmarkStart w:id="22" w:name="_Toc510136959"/>
      <w:bookmarkStart w:id="23" w:name="_Toc451268216"/>
    </w:p>
    <w:p>
      <w:pPr>
        <w:pStyle w:val="41"/>
        <w:rPr>
          <w:rFonts w:hint="eastAsia"/>
        </w:rPr>
      </w:pPr>
    </w:p>
    <w:p>
      <w:pPr>
        <w:pStyle w:val="41"/>
        <w:rPr>
          <w:rFonts w:hint="eastAsia"/>
        </w:rPr>
      </w:pPr>
    </w:p>
    <w:p>
      <w:pPr>
        <w:pStyle w:val="41"/>
        <w:rPr>
          <w:rFonts w:hint="eastAsia"/>
        </w:rPr>
      </w:pPr>
    </w:p>
    <w:p>
      <w:pPr>
        <w:pStyle w:val="41"/>
        <w:rPr>
          <w:rFonts w:hint="eastAsia"/>
        </w:rPr>
      </w:pPr>
    </w:p>
    <w:p>
      <w:pPr>
        <w:pStyle w:val="41"/>
        <w:rPr>
          <w:sz w:val="30"/>
          <w:szCs w:val="30"/>
        </w:rPr>
      </w:pPr>
      <w:r>
        <w:rPr>
          <w:rFonts w:hint="eastAsia"/>
        </w:rPr>
        <w:t>第二章</w:t>
      </w:r>
      <w:r>
        <w:rPr>
          <w:rFonts w:hint="eastAsia"/>
          <w:lang w:val="en-US" w:eastAsia="zh-CN"/>
        </w:rPr>
        <w:t xml:space="preserve">  </w:t>
      </w:r>
      <w:r>
        <w:rPr>
          <w:rFonts w:hint="eastAsia"/>
        </w:rPr>
        <w:t>响应方须知</w:t>
      </w:r>
      <w:bookmarkEnd w:id="22"/>
      <w:bookmarkEnd w:id="23"/>
    </w:p>
    <w:p>
      <w:pPr>
        <w:autoSpaceDE w:val="0"/>
        <w:autoSpaceDN w:val="0"/>
        <w:snapToGrid w:val="0"/>
        <w:spacing w:line="460" w:lineRule="exact"/>
        <w:textAlignment w:val="bottom"/>
        <w:rPr>
          <w:rFonts w:ascii="仿宋" w:hAnsi="仿宋" w:eastAsia="仿宋"/>
          <w:sz w:val="30"/>
          <w:szCs w:val="30"/>
        </w:rPr>
      </w:pPr>
      <w:bookmarkStart w:id="24" w:name="_Toc451268217"/>
      <w:r>
        <w:rPr>
          <w:rFonts w:hint="eastAsia" w:ascii="仿宋" w:hAnsi="仿宋" w:eastAsia="仿宋"/>
          <w:sz w:val="30"/>
          <w:szCs w:val="30"/>
        </w:rPr>
        <w:t>前附表</w:t>
      </w:r>
      <w:bookmarkEnd w:id="24"/>
    </w:p>
    <w:tbl>
      <w:tblPr>
        <w:tblStyle w:val="44"/>
        <w:tblW w:w="89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418"/>
        <w:gridCol w:w="22"/>
        <w:gridCol w:w="6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418"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内容</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418" w:type="dxa"/>
            <w:tcBorders>
              <w:top w:val="single" w:color="auto" w:sz="4" w:space="0"/>
              <w:left w:val="single" w:color="auto" w:sz="4" w:space="0"/>
              <w:bottom w:val="single" w:color="auto" w:sz="4" w:space="0"/>
              <w:right w:val="nil"/>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项目名称及数量</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详见《单一来源采购邀请》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中小企业预留份额情况</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根据《政府采购促进中小企业发展管理办法》财库〔2020〕46号文件的规定，本项目是属于预留份额专门面向中小企业采购的项目。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中小企业优惠措施</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pStyle w:val="161"/>
              <w:numPr>
                <w:ilvl w:val="0"/>
                <w:numId w:val="6"/>
              </w:numPr>
              <w:snapToGrid w:val="0"/>
              <w:spacing w:line="460" w:lineRule="exact"/>
              <w:ind w:firstLineChars="0"/>
              <w:rPr>
                <w:rFonts w:ascii="仿宋" w:hAnsi="仿宋" w:eastAsia="仿宋"/>
                <w:sz w:val="24"/>
                <w:szCs w:val="24"/>
              </w:rPr>
            </w:pPr>
            <w:r>
              <w:rPr>
                <w:rFonts w:hint="eastAsia" w:ascii="仿宋" w:hAnsi="仿宋" w:eastAsia="仿宋"/>
                <w:sz w:val="24"/>
                <w:szCs w:val="24"/>
              </w:rPr>
              <w:t xml:space="preserve">项目属性（ </w:t>
            </w:r>
            <w:r>
              <w:rPr>
                <w:rFonts w:hint="eastAsia" w:ascii="仿宋" w:hAnsi="仿宋" w:eastAsia="仿宋"/>
                <w:sz w:val="24"/>
                <w:szCs w:val="24"/>
                <w:lang w:val="en-US" w:eastAsia="zh-CN"/>
              </w:rPr>
              <w:t>服务类</w:t>
            </w:r>
            <w:r>
              <w:rPr>
                <w:rFonts w:hint="eastAsia" w:ascii="仿宋" w:hAnsi="仿宋" w:eastAsia="仿宋"/>
                <w:sz w:val="24"/>
                <w:szCs w:val="24"/>
              </w:rPr>
              <w:t xml:space="preserve">    ）</w:t>
            </w:r>
          </w:p>
          <w:p>
            <w:pPr>
              <w:pStyle w:val="161"/>
              <w:numPr>
                <w:ilvl w:val="0"/>
                <w:numId w:val="6"/>
              </w:numPr>
              <w:snapToGrid w:val="0"/>
              <w:spacing w:line="460" w:lineRule="exact"/>
              <w:ind w:firstLineChars="0"/>
              <w:rPr>
                <w:rFonts w:ascii="仿宋" w:hAnsi="仿宋" w:eastAsia="仿宋"/>
                <w:sz w:val="24"/>
                <w:szCs w:val="24"/>
              </w:rPr>
            </w:pPr>
            <w:r>
              <w:rPr>
                <w:rFonts w:hint="eastAsia" w:ascii="仿宋" w:hAnsi="仿宋" w:eastAsia="仿宋"/>
                <w:sz w:val="24"/>
                <w:szCs w:val="24"/>
              </w:rPr>
              <w:t>中小企业划分标准所属行业（具体根据《中小企业划型标准规定》执行）</w:t>
            </w:r>
          </w:p>
          <w:p>
            <w:pPr>
              <w:snapToGrid w:val="0"/>
              <w:spacing w:line="460" w:lineRule="exact"/>
              <w:ind w:left="1798" w:leftChars="285" w:hanging="1200" w:hangingChars="500"/>
              <w:rPr>
                <w:rFonts w:hint="default" w:ascii="仿宋" w:hAnsi="仿宋" w:eastAsia="仿宋" w:cs="Times New Roman"/>
                <w:sz w:val="24"/>
                <w:szCs w:val="24"/>
                <w:lang w:val="en-US" w:eastAsia="zh-CN"/>
              </w:rPr>
            </w:pPr>
            <w:r>
              <w:rPr>
                <w:rFonts w:hint="eastAsia" w:ascii="仿宋" w:hAnsi="仿宋" w:eastAsia="仿宋"/>
                <w:sz w:val="24"/>
                <w:szCs w:val="24"/>
              </w:rPr>
              <w:t xml:space="preserve">采购标的： </w:t>
            </w:r>
            <w:r>
              <w:rPr>
                <w:rFonts w:hint="eastAsia" w:ascii="仿宋" w:hAnsi="仿宋" w:eastAsia="仿宋"/>
                <w:sz w:val="24"/>
                <w:szCs w:val="24"/>
                <w:lang w:val="en-US" w:eastAsia="zh-CN"/>
              </w:rPr>
              <w:t>标项一：</w:t>
            </w:r>
            <w:r>
              <w:rPr>
                <w:rFonts w:hint="eastAsia" w:ascii="仿宋" w:hAnsi="仿宋" w:eastAsia="仿宋" w:cs="Times New Roman"/>
                <w:sz w:val="24"/>
                <w:szCs w:val="24"/>
                <w:lang w:val="en-US" w:eastAsia="zh-CN"/>
              </w:rPr>
              <w:t>省经信厅（本级）介质和制证服务；标项二：省经信厅（本级）发行和应用服务</w:t>
            </w:r>
          </w:p>
          <w:p>
            <w:pPr>
              <w:snapToGrid w:val="0"/>
              <w:spacing w:line="460" w:lineRule="exact"/>
              <w:ind w:left="600"/>
              <w:rPr>
                <w:rFonts w:ascii="仿宋" w:hAnsi="仿宋" w:eastAsia="仿宋"/>
                <w:sz w:val="24"/>
                <w:szCs w:val="24"/>
              </w:rPr>
            </w:pPr>
            <w:r>
              <w:rPr>
                <w:rFonts w:hint="eastAsia" w:ascii="仿宋" w:hAnsi="仿宋" w:eastAsia="仿宋"/>
                <w:sz w:val="24"/>
                <w:szCs w:val="24"/>
              </w:rPr>
              <w:t xml:space="preserve">所属行业： </w:t>
            </w:r>
            <w:r>
              <w:rPr>
                <w:rFonts w:hint="eastAsia" w:ascii="仿宋" w:hAnsi="仿宋" w:eastAsia="仿宋"/>
                <w:sz w:val="24"/>
                <w:szCs w:val="24"/>
                <w:lang w:val="en-US" w:eastAsia="zh-CN"/>
              </w:rPr>
              <w:t>软件和信息技术服务业</w:t>
            </w:r>
            <w:r>
              <w:rPr>
                <w:rFonts w:hint="eastAsia" w:ascii="仿宋" w:hAnsi="仿宋" w:eastAsia="仿宋"/>
                <w:sz w:val="24"/>
                <w:szCs w:val="24"/>
              </w:rPr>
              <w:t xml:space="preserve">     </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3.根据财库[2017]141号的相关规定，在政府采购活动中，残疾人福利性单位视同小型、微型企业,并在单一来源响应文件中提供残疾人福利性单位声明函（见附件）。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[2014]68号的相关规定，在政府采购活动中，监狱企业视同小型、微型企业，并在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政府采购节能环保产品</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500" w:lineRule="exact"/>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440" w:type="dxa"/>
            <w:gridSpan w:val="2"/>
            <w:tcBorders>
              <w:top w:val="single" w:color="auto" w:sz="4" w:space="0"/>
              <w:left w:val="single" w:color="auto" w:sz="4" w:space="0"/>
              <w:bottom w:val="single" w:color="auto" w:sz="4" w:space="0"/>
              <w:right w:val="nil"/>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是否允许进口产品</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sz w:val="24"/>
                <w:szCs w:val="24"/>
                <w:lang w:eastAsia="zh-CN"/>
              </w:rPr>
            </w:pPr>
            <w:bookmarkStart w:id="25" w:name="PO_15528_PM042"/>
            <w:r>
              <w:rPr>
                <w:rFonts w:hint="eastAsia" w:ascii="仿宋" w:hAnsi="仿宋" w:eastAsia="仿宋"/>
                <w:sz w:val="24"/>
                <w:szCs w:val="24"/>
                <w:lang w:eastAsia="zh-CN"/>
              </w:rPr>
              <w:t>不允许进口产品</w:t>
            </w:r>
            <w:bookmarkEnd w:id="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440" w:type="dxa"/>
            <w:gridSpan w:val="2"/>
            <w:tcBorders>
              <w:top w:val="single" w:color="auto" w:sz="4" w:space="0"/>
              <w:left w:val="single" w:color="auto" w:sz="4" w:space="0"/>
              <w:bottom w:val="single" w:color="auto" w:sz="4" w:space="0"/>
              <w:right w:val="nil"/>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sz w:val="24"/>
                <w:szCs w:val="24"/>
                <w:lang w:eastAsia="zh-CN"/>
              </w:rPr>
            </w:pPr>
            <w:bookmarkStart w:id="26" w:name="PO_15528_PM044"/>
            <w:r>
              <w:rPr>
                <w:rFonts w:hint="eastAsia" w:ascii="仿宋" w:hAnsi="仿宋" w:eastAsia="仿宋"/>
                <w:sz w:val="24"/>
                <w:szCs w:val="24"/>
                <w:lang w:eastAsia="zh-CN"/>
              </w:rPr>
              <w:t>允许分包</w:t>
            </w:r>
            <w:bookmarkEnd w:id="2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440" w:type="dxa"/>
            <w:gridSpan w:val="2"/>
            <w:tcBorders>
              <w:top w:val="single" w:color="auto" w:sz="4" w:space="0"/>
              <w:left w:val="single" w:color="auto" w:sz="4" w:space="0"/>
              <w:bottom w:val="single" w:color="auto" w:sz="4" w:space="0"/>
              <w:right w:val="nil"/>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sz w:val="24"/>
                <w:szCs w:val="24"/>
                <w:lang w:eastAsia="zh-CN"/>
              </w:rPr>
            </w:pPr>
            <w:bookmarkStart w:id="27" w:name="PO_15528_PM007_1"/>
            <w:r>
              <w:rPr>
                <w:rFonts w:hint="eastAsia" w:ascii="仿宋" w:hAnsi="仿宋" w:eastAsia="仿宋"/>
                <w:color w:val="000000"/>
                <w:sz w:val="24"/>
                <w:szCs w:val="24"/>
                <w:highlight w:val="none"/>
                <w:lang w:eastAsia="zh-CN"/>
              </w:rPr>
              <w:t>标项1</w:t>
            </w:r>
            <w:r>
              <w:rPr>
                <w:rFonts w:hint="eastAsia" w:ascii="仿宋" w:hAnsi="仿宋" w:eastAsia="仿宋"/>
                <w:color w:val="000000"/>
                <w:sz w:val="24"/>
                <w:szCs w:val="24"/>
                <w:highlight w:val="none"/>
                <w:lang w:val="en-US" w:eastAsia="zh-CN"/>
              </w:rPr>
              <w:t>和</w:t>
            </w:r>
            <w:r>
              <w:rPr>
                <w:rFonts w:hint="eastAsia" w:ascii="仿宋" w:hAnsi="仿宋" w:eastAsia="仿宋"/>
                <w:color w:val="000000"/>
                <w:sz w:val="24"/>
                <w:szCs w:val="24"/>
                <w:highlight w:val="none"/>
                <w:lang w:eastAsia="zh-CN"/>
              </w:rPr>
              <w:t>标项2:允许联合体投标</w:t>
            </w:r>
            <w:bookmarkEnd w:id="2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440" w:type="dxa"/>
            <w:gridSpan w:val="2"/>
            <w:tcBorders>
              <w:top w:val="single" w:color="auto" w:sz="4" w:space="0"/>
              <w:left w:val="single" w:color="auto" w:sz="4" w:space="0"/>
              <w:bottom w:val="single" w:color="auto" w:sz="4" w:space="0"/>
              <w:right w:val="nil"/>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是否需要演示</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sz w:val="24"/>
                <w:szCs w:val="24"/>
                <w:lang w:eastAsia="zh-CN"/>
              </w:rPr>
            </w:pPr>
            <w:bookmarkStart w:id="28" w:name="PO_15526_PM041"/>
            <w:r>
              <w:rPr>
                <w:rFonts w:hint="eastAsia" w:ascii="仿宋" w:hAnsi="仿宋" w:eastAsia="仿宋"/>
                <w:sz w:val="24"/>
                <w:szCs w:val="24"/>
                <w:lang w:eastAsia="zh-CN"/>
              </w:rPr>
              <w:t>不进行演示</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单一来源采购响应文件组成：由资格文件、技术及商务文件、报价组成。</w:t>
            </w:r>
          </w:p>
          <w:p>
            <w:pPr>
              <w:spacing w:line="500" w:lineRule="exact"/>
              <w:rPr>
                <w:rFonts w:ascii="仿宋" w:hAnsi="仿宋" w:eastAsia="仿宋"/>
                <w:sz w:val="24"/>
                <w:szCs w:val="24"/>
              </w:rPr>
            </w:pPr>
            <w:r>
              <w:rPr>
                <w:rFonts w:hint="eastAsia" w:ascii="仿宋" w:hAnsi="仿宋" w:eastAsia="仿宋"/>
                <w:sz w:val="24"/>
                <w:szCs w:val="24"/>
              </w:rPr>
              <w:t>单一来源响应方提供备份单一来源响应文件的，数量为1份。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第一步：响应方注册</w:t>
            </w:r>
          </w:p>
          <w:p>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单一来源响应方应在投标前注册成为浙江政府采购网的正式供应商（注册网址：</w:t>
            </w:r>
            <w:r>
              <w:fldChar w:fldCharType="begin"/>
            </w:r>
            <w:r>
              <w:instrText xml:space="preserve"> HYPERLINK "https://middle.zcygov.cn/v-settle-front/registry" </w:instrText>
            </w:r>
            <w:r>
              <w:fldChar w:fldCharType="separate"/>
            </w:r>
            <w:r>
              <w:rPr>
                <w:rStyle w:val="51"/>
                <w:rFonts w:hint="eastAsia" w:ascii="仿宋" w:hAnsi="仿宋" w:eastAsia="仿宋"/>
                <w:sz w:val="24"/>
                <w:szCs w:val="24"/>
              </w:rPr>
              <w:t>https://middle.zcygov.cn/v-settle-front/registry</w:t>
            </w:r>
            <w:r>
              <w:rPr>
                <w:rStyle w:val="51"/>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第二步：申请CA</w:t>
            </w:r>
          </w:p>
          <w:p>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单一来源响应方应在投标前完成CA数字证书办理（办理流程详见http://zfcg.czt.zj.gov.cn/bidClientTemplate/2019-05-27/12945.html）。完成CA数字证书办理预计一周左右，建议各单一来源响应方抓紧时间办理；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单一来源响应方通过政采云电子交易客户端制作单一来源响应文件，请自行前往浙江政府采购网下载并安装（下载网址：</w:t>
            </w:r>
            <w:r>
              <w:fldChar w:fldCharType="begin"/>
            </w:r>
            <w:r>
              <w:instrText xml:space="preserve"> HYPERLINK "http://zfcg.czt.zj.gov.cn/bidClientTemplate/2019-09-24/12975.html" </w:instrText>
            </w:r>
            <w:r>
              <w:fldChar w:fldCharType="separate"/>
            </w:r>
            <w:r>
              <w:rPr>
                <w:rStyle w:val="51"/>
                <w:rFonts w:hint="eastAsia" w:ascii="仿宋" w:hAnsi="仿宋" w:eastAsia="仿宋"/>
                <w:sz w:val="24"/>
                <w:szCs w:val="24"/>
              </w:rPr>
              <w:t>http://zfcg.czt.zj.gov.cn/bidClientTemplate/2019-09-24/12975.html</w:t>
            </w:r>
            <w:r>
              <w:rPr>
                <w:rStyle w:val="51"/>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51"/>
                <w:rFonts w:hint="eastAsia" w:ascii="仿宋" w:hAnsi="仿宋" w:eastAsia="仿宋"/>
                <w:sz w:val="24"/>
                <w:szCs w:val="24"/>
              </w:rPr>
              <w:t>https://edu.zcygov.cn/luban/e-biding</w:t>
            </w:r>
            <w:r>
              <w:rPr>
                <w:rStyle w:val="51"/>
                <w:rFonts w:hint="eastAsia" w:ascii="仿宋" w:hAnsi="仿宋" w:eastAsia="仿宋"/>
                <w:sz w:val="24"/>
                <w:szCs w:val="24"/>
              </w:rPr>
              <w:fldChar w:fldCharType="end"/>
            </w:r>
            <w:r>
              <w:rPr>
                <w:rFonts w:hint="eastAsia" w:ascii="仿宋" w:hAnsi="仿宋" w:eastAsia="仿宋"/>
                <w:sz w:val="24"/>
                <w:szCs w:val="24"/>
              </w:rPr>
              <w:t>）</w:t>
            </w:r>
          </w:p>
          <w:p>
            <w:pPr>
              <w:spacing w:line="500" w:lineRule="exact"/>
              <w:rPr>
                <w:rFonts w:ascii="仿宋" w:hAnsi="仿宋" w:eastAsia="仿宋"/>
                <w:sz w:val="24"/>
                <w:szCs w:val="24"/>
              </w:rPr>
            </w:pPr>
            <w:r>
              <w:rPr>
                <w:rFonts w:hint="eastAsia" w:ascii="仿宋" w:hAnsi="仿宋" w:eastAsia="仿宋"/>
                <w:sz w:val="24"/>
                <w:szCs w:val="24"/>
              </w:rPr>
              <w:t>提醒：请各单一来源响应方合理安排时间，尽快完成第一、二、三步骤，避免影响投标。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pPr>
              <w:spacing w:line="500" w:lineRule="exact"/>
              <w:jc w:val="left"/>
              <w:rPr>
                <w:rFonts w:ascii="仿宋" w:hAnsi="仿宋" w:eastAsia="仿宋"/>
                <w:sz w:val="24"/>
                <w:szCs w:val="24"/>
              </w:rPr>
            </w:pPr>
            <w:r>
              <w:rPr>
                <w:rFonts w:hint="eastAsia" w:ascii="仿宋" w:hAnsi="仿宋" w:eastAsia="仿宋"/>
                <w:sz w:val="24"/>
                <w:szCs w:val="24"/>
              </w:rPr>
              <w:t>单一来源响应文件的接收以本项目公告要求的时间、地点和“第二章”的“单一来源响应文件的编制”等要求为准。</w:t>
            </w:r>
          </w:p>
          <w:p>
            <w:pPr>
              <w:spacing w:line="500" w:lineRule="exact"/>
              <w:jc w:val="left"/>
              <w:rPr>
                <w:rFonts w:ascii="仿宋" w:hAnsi="仿宋" w:eastAsia="仿宋"/>
                <w:sz w:val="24"/>
                <w:szCs w:val="24"/>
              </w:rPr>
            </w:pPr>
            <w:r>
              <w:rPr>
                <w:rFonts w:hint="eastAsia" w:ascii="仿宋" w:hAnsi="仿宋" w:eastAsia="仿宋"/>
                <w:sz w:val="24"/>
                <w:szCs w:val="24"/>
              </w:rPr>
              <w:t>单一来源响应方递交备份响应文件，出现下列情况之一的，将被拒收：</w:t>
            </w:r>
          </w:p>
          <w:p>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采购结果公示：采购结果经采购人确认后，采购中心将于2个工作日内在浙江省政府采购网上公告成交结果，并向成交响应方发出成交通知书。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付款方式：国库集中支付（采购人自行支付），详见各标项的资信及商务要求表。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17</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解释：单一来源采购文件的解释权属于浙江省政府采购中心。</w:t>
            </w:r>
          </w:p>
        </w:tc>
      </w:tr>
    </w:tbl>
    <w:p>
      <w:pPr>
        <w:pStyle w:val="23"/>
        <w:snapToGrid w:val="0"/>
        <w:spacing w:before="156" w:line="240" w:lineRule="auto"/>
        <w:jc w:val="left"/>
        <w:outlineLvl w:val="0"/>
        <w:rPr>
          <w:rFonts w:ascii="仿宋" w:hAnsi="仿宋" w:eastAsia="仿宋"/>
          <w:b/>
          <w:sz w:val="30"/>
          <w:szCs w:val="30"/>
        </w:rPr>
      </w:pPr>
      <w:bookmarkStart w:id="29" w:name="_Toc451268218"/>
    </w:p>
    <w:p>
      <w:pPr>
        <w:pStyle w:val="23"/>
        <w:snapToGrid w:val="0"/>
        <w:spacing w:before="156" w:line="240" w:lineRule="auto"/>
        <w:jc w:val="left"/>
        <w:outlineLvl w:val="0"/>
        <w:rPr>
          <w:rFonts w:ascii="仿宋" w:hAnsi="仿宋" w:eastAsia="仿宋"/>
          <w:b/>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jc w:val="center"/>
        <w:rPr>
          <w:rFonts w:ascii="仿宋" w:hAnsi="仿宋" w:eastAsia="仿宋" w:cs="Arial"/>
          <w:sz w:val="30"/>
          <w:szCs w:val="30"/>
        </w:rPr>
      </w:pPr>
      <w:r>
        <w:rPr>
          <w:rFonts w:hint="eastAsia" w:ascii="仿宋" w:hAnsi="仿宋" w:eastAsia="仿宋" w:cs="Arial"/>
          <w:sz w:val="30"/>
          <w:szCs w:val="30"/>
        </w:rPr>
        <w:t>一、总则</w:t>
      </w:r>
      <w:bookmarkEnd w:id="29"/>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单一来源是指采购人为了从某一特定供应商处采购货物、工程和服务，采购中心组织具有相关经验的专业人员与供应商商定合理的成交价格并保证采购项目质量的采购方式。</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（一）适用范围</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pPr>
        <w:snapToGrid w:val="0"/>
        <w:spacing w:line="460" w:lineRule="exact"/>
        <w:ind w:firstLine="443" w:firstLineChars="147"/>
        <w:jc w:val="left"/>
        <w:outlineLvl w:val="1"/>
        <w:rPr>
          <w:rFonts w:ascii="仿宋" w:hAnsi="仿宋" w:eastAsia="仿宋"/>
          <w:b/>
          <w:sz w:val="30"/>
          <w:szCs w:val="30"/>
        </w:rPr>
      </w:pPr>
      <w:r>
        <w:rPr>
          <w:rFonts w:hint="eastAsia" w:ascii="仿宋" w:hAnsi="仿宋" w:eastAsia="仿宋"/>
          <w:b/>
          <w:sz w:val="30"/>
          <w:szCs w:val="30"/>
        </w:rPr>
        <w:t>（二）定义</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1.“采购中心”系指组织本次采购的浙江省政府采购中心。</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2.“响应方”系指向采购中心提交单一来源采购响应文件的单位。</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3.“采购人”系指委托采购中心采购本次项目的国家机关、事业单位和团体组织。</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4.“产品”系指响应方按单一来源采购文件规定，须向采购人提供的一切设备、保险、税金、备品备件、工具、手册及其它有关技术资料和材料。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5.“服务”系指单一来源采购文件规定响应方须承担的安装、调试、技术协助、校准、培训、技术指导以及其他类似的义务。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6.“项目”系指响应方按单一来源采购文件规定向采购人提供的产品和服务。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pPr>
        <w:snapToGrid w:val="0"/>
        <w:spacing w:line="460" w:lineRule="exact"/>
        <w:ind w:firstLine="446" w:firstLineChars="148"/>
        <w:jc w:val="left"/>
        <w:outlineLvl w:val="1"/>
        <w:rPr>
          <w:rFonts w:ascii="仿宋" w:hAnsi="仿宋" w:eastAsia="仿宋" w:cs="Arial"/>
          <w:b/>
          <w:sz w:val="30"/>
          <w:szCs w:val="30"/>
        </w:rPr>
      </w:pPr>
      <w:r>
        <w:rPr>
          <w:rFonts w:hint="eastAsia" w:ascii="仿宋" w:hAnsi="仿宋" w:eastAsia="仿宋" w:cs="Arial"/>
          <w:b/>
          <w:sz w:val="30"/>
          <w:szCs w:val="30"/>
        </w:rPr>
        <w:t>（三）响应方全权代表委托</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如全权代表不是法定代表人，须有法定代表人出具的授权委托书（格式见附部分）。</w:t>
      </w:r>
    </w:p>
    <w:p>
      <w:pPr>
        <w:snapToGrid w:val="0"/>
        <w:spacing w:line="460" w:lineRule="exact"/>
        <w:ind w:firstLine="590" w:firstLineChars="196"/>
        <w:jc w:val="left"/>
        <w:outlineLvl w:val="1"/>
        <w:rPr>
          <w:rFonts w:ascii="仿宋" w:hAnsi="仿宋" w:eastAsia="仿宋"/>
          <w:b/>
          <w:sz w:val="30"/>
          <w:szCs w:val="30"/>
        </w:rPr>
      </w:pPr>
      <w:r>
        <w:rPr>
          <w:rFonts w:hint="eastAsia" w:ascii="仿宋" w:hAnsi="仿宋" w:eastAsia="仿宋"/>
          <w:b/>
          <w:sz w:val="30"/>
          <w:szCs w:val="30"/>
        </w:rPr>
        <w:t>（四）单一来源采购费用</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不论采购结果如何，响应方均应自行承担所有与单一来源采购有关的全部费用（单一来源采购文件有其他规定除外）。</w:t>
      </w:r>
    </w:p>
    <w:p>
      <w:pPr>
        <w:pStyle w:val="13"/>
        <w:widowControl w:val="0"/>
        <w:tabs>
          <w:tab w:val="clear" w:pos="454"/>
        </w:tabs>
        <w:snapToGrid w:val="0"/>
        <w:spacing w:line="460" w:lineRule="exact"/>
        <w:ind w:firstLine="590" w:firstLineChars="196"/>
        <w:rPr>
          <w:rFonts w:ascii="仿宋" w:hAnsi="仿宋" w:eastAsia="仿宋"/>
          <w:b/>
          <w:sz w:val="30"/>
          <w:szCs w:val="30"/>
        </w:rPr>
      </w:pPr>
      <w:r>
        <w:rPr>
          <w:rFonts w:hint="eastAsia" w:ascii="仿宋" w:hAnsi="仿宋" w:eastAsia="仿宋"/>
          <w:b/>
          <w:sz w:val="30"/>
          <w:szCs w:val="30"/>
        </w:rPr>
        <w:t>（五）单一来源采购文件的澄清与修改</w:t>
      </w:r>
    </w:p>
    <w:p>
      <w:pPr>
        <w:pStyle w:val="23"/>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1.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pPr>
        <w:pStyle w:val="23"/>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2.单一来源采购文件澄清、答复、修改、补充的内容为单一来源采购文件的组成部分。当单一来源采购文件与单一来源采购文件的答复、澄清、修改、补充通知就同一内容的表述不一致时，以最后发出的书面文件为准。</w:t>
      </w:r>
    </w:p>
    <w:p>
      <w:pPr>
        <w:pStyle w:val="23"/>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二、单一来源采购响应文件的编制</w:t>
      </w:r>
    </w:p>
    <w:p>
      <w:pPr>
        <w:snapToGrid w:val="0"/>
        <w:spacing w:line="460" w:lineRule="exact"/>
        <w:ind w:firstLine="551" w:firstLineChars="196"/>
        <w:jc w:val="left"/>
        <w:rPr>
          <w:rFonts w:ascii="宋体" w:hAnsi="宋体"/>
          <w:b/>
          <w:sz w:val="28"/>
          <w:szCs w:val="28"/>
        </w:rPr>
      </w:pPr>
      <w:bookmarkStart w:id="30" w:name="_Toc451762244"/>
      <w:bookmarkStart w:id="31" w:name="_Toc451762175"/>
      <w:bookmarkStart w:id="32" w:name="_Toc510137461"/>
      <w:r>
        <w:rPr>
          <w:rFonts w:hint="eastAsia" w:ascii="宋体" w:hAnsi="宋体"/>
          <w:b/>
          <w:sz w:val="28"/>
          <w:szCs w:val="28"/>
        </w:rPr>
        <w:t>（一）单一来源响应文件编制工具</w:t>
      </w:r>
    </w:p>
    <w:p>
      <w:pPr>
        <w:pStyle w:val="23"/>
        <w:adjustRightInd w:val="0"/>
        <w:snapToGrid w:val="0"/>
        <w:spacing w:before="156" w:line="500" w:lineRule="exact"/>
        <w:ind w:firstLine="565" w:firstLineChars="201"/>
        <w:rPr>
          <w:rFonts w:hAnsi="宋体"/>
          <w:b/>
          <w:sz w:val="30"/>
          <w:szCs w:val="30"/>
        </w:rPr>
      </w:pPr>
      <w:r>
        <w:rPr>
          <w:rFonts w:hint="eastAsia" w:hAnsi="宋体"/>
          <w:b/>
          <w:sz w:val="28"/>
          <w:szCs w:val="28"/>
        </w:rPr>
        <w:t>单一来源响应文件编制工具为政采云电子交易客户端，下载网址：</w:t>
      </w:r>
      <w:r>
        <w:fldChar w:fldCharType="begin"/>
      </w:r>
      <w:r>
        <w:instrText xml:space="preserve"> HYPERLINK "http://zfcg.czt.zj.gov.cn/bidClientTemplate/2019-09-24/12975.html" </w:instrText>
      </w:r>
      <w:r>
        <w:fldChar w:fldCharType="separate"/>
      </w:r>
      <w:r>
        <w:rPr>
          <w:rStyle w:val="51"/>
        </w:rPr>
        <w:t>http://zfcg.czt.zj.gov.cn/bidClientTemplate/2019-09-24/12975.html</w:t>
      </w:r>
      <w:r>
        <w:rPr>
          <w:rStyle w:val="51"/>
        </w:rPr>
        <w:fldChar w:fldCharType="end"/>
      </w:r>
      <w:r>
        <w:rPr>
          <w:rFonts w:hint="eastAsia" w:hAnsi="宋体"/>
          <w:b/>
          <w:sz w:val="28"/>
          <w:szCs w:val="28"/>
        </w:rPr>
        <w:t>，请自行下载并安装。</w:t>
      </w:r>
    </w:p>
    <w:p>
      <w:pPr>
        <w:snapToGrid w:val="0"/>
        <w:spacing w:line="460" w:lineRule="exact"/>
        <w:ind w:firstLine="590" w:firstLineChars="196"/>
        <w:jc w:val="left"/>
        <w:outlineLvl w:val="0"/>
        <w:rPr>
          <w:rFonts w:ascii="宋体" w:hAnsi="宋体"/>
          <w:b/>
          <w:sz w:val="30"/>
          <w:szCs w:val="30"/>
        </w:rPr>
      </w:pPr>
      <w:r>
        <w:rPr>
          <w:rFonts w:hint="eastAsia" w:ascii="宋体" w:hAnsi="宋体"/>
          <w:b/>
          <w:sz w:val="30"/>
          <w:szCs w:val="30"/>
        </w:rPr>
        <w:t>（二）单一来源响应文件的组成</w:t>
      </w:r>
      <w:bookmarkEnd w:id="30"/>
      <w:bookmarkEnd w:id="31"/>
      <w:bookmarkEnd w:id="32"/>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本项目所称单一来源响应文件系指电子单一来源响应文件或备份单一来源响应文件。单一来源响应文件需按照本采购文件和电子交易平台的要求制作、加密并递交。</w:t>
      </w:r>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电子单一来源响应文件由资格文件、技术商务文件、报价文件三部份组成，具体详见“第五章  单一来源响应格式附件”。备份响应文件的组成和内容等同电子响应文件。</w:t>
      </w:r>
    </w:p>
    <w:p>
      <w:pPr>
        <w:pStyle w:val="38"/>
        <w:widowControl w:val="0"/>
        <w:spacing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注：法定代表人授权委托书、投标声明书、投标报价明细表必须按采购文件格式要求正确签署并加盖响应方公章。响应文件中所须加盖公章部分均采用CA签章。</w:t>
      </w:r>
    </w:p>
    <w:p>
      <w:pPr>
        <w:snapToGrid w:val="0"/>
        <w:spacing w:before="50" w:after="50"/>
        <w:ind w:firstLine="301" w:firstLineChars="100"/>
        <w:rPr>
          <w:rFonts w:ascii="仿宋" w:hAnsi="仿宋" w:eastAsia="仿宋"/>
          <w:b/>
          <w:bCs/>
          <w:color w:val="FF0000"/>
          <w:sz w:val="36"/>
          <w:szCs w:val="36"/>
        </w:rPr>
      </w:pPr>
      <w:bookmarkStart w:id="33" w:name="_Toc451268220"/>
      <w:r>
        <w:rPr>
          <w:rFonts w:hint="eastAsia" w:ascii="仿宋" w:hAnsi="仿宋" w:eastAsia="仿宋"/>
          <w:b/>
          <w:sz w:val="30"/>
          <w:szCs w:val="30"/>
        </w:rPr>
        <w:t>1、资格文件目录</w:t>
      </w:r>
    </w:p>
    <w:p>
      <w:pPr>
        <w:snapToGrid w:val="0"/>
        <w:spacing w:line="460" w:lineRule="exact"/>
        <w:ind w:firstLine="588" w:firstLineChars="196"/>
        <w:jc w:val="left"/>
        <w:rPr>
          <w:rFonts w:ascii="仿宋" w:hAnsi="仿宋" w:eastAsia="仿宋"/>
          <w:color w:val="FF0000"/>
          <w:sz w:val="30"/>
          <w:szCs w:val="30"/>
        </w:rPr>
      </w:pPr>
      <w:r>
        <w:rPr>
          <w:rFonts w:hint="eastAsia" w:ascii="宋体" w:hAnsi="宋体" w:cs="宋体"/>
          <w:color w:val="FF0000"/>
          <w:sz w:val="30"/>
          <w:szCs w:val="30"/>
        </w:rPr>
        <w:t>（</w:t>
      </w:r>
      <w:r>
        <w:rPr>
          <w:rFonts w:hint="eastAsia" w:ascii="仿宋" w:hAnsi="仿宋" w:eastAsia="仿宋"/>
          <w:color w:val="FF0000"/>
          <w:sz w:val="30"/>
          <w:szCs w:val="30"/>
        </w:rPr>
        <w:t>1）声明书 (格式见附件1，含重大违法记录声明)；</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（2）法定代表人授权委托书(格式见附件2)；</w:t>
      </w:r>
    </w:p>
    <w:p>
      <w:pPr>
        <w:pStyle w:val="25"/>
        <w:snapToGrid w:val="0"/>
        <w:spacing w:line="460" w:lineRule="exact"/>
        <w:ind w:left="0" w:leftChars="0" w:firstLine="600" w:firstLineChars="200"/>
        <w:rPr>
          <w:rFonts w:hint="eastAsia" w:ascii="仿宋" w:hAnsi="仿宋" w:eastAsia="仿宋"/>
          <w:color w:val="FF0000"/>
          <w:sz w:val="30"/>
          <w:szCs w:val="30"/>
        </w:rPr>
      </w:pPr>
      <w:r>
        <w:rPr>
          <w:rFonts w:hint="eastAsia" w:ascii="仿宋" w:hAnsi="仿宋" w:eastAsia="仿宋"/>
          <w:color w:val="FF0000"/>
          <w:sz w:val="30"/>
          <w:szCs w:val="30"/>
        </w:rPr>
        <w:t>（3）提供有效的营业执照复印件并加盖公司公章；事业单位的，则提供有效的《事业单位法人证书》副本复印件并加盖单位公章；自然人的，则提供有效的身份证复印件并签字；</w:t>
      </w:r>
    </w:p>
    <w:p>
      <w:pPr>
        <w:pStyle w:val="25"/>
        <w:snapToGrid w:val="0"/>
        <w:spacing w:line="460" w:lineRule="exact"/>
        <w:ind w:left="0" w:leftChars="0" w:firstLine="600" w:firstLineChars="200"/>
        <w:rPr>
          <w:rFonts w:hint="eastAsia"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4</w:t>
      </w:r>
      <w:r>
        <w:rPr>
          <w:rFonts w:hint="eastAsia" w:ascii="仿宋" w:hAnsi="仿宋" w:eastAsia="仿宋"/>
          <w:color w:val="FF0000"/>
          <w:sz w:val="30"/>
          <w:szCs w:val="30"/>
        </w:rPr>
        <w:t>）中小企业声明函（见附件10）；</w:t>
      </w:r>
    </w:p>
    <w:p>
      <w:pPr>
        <w:pStyle w:val="25"/>
        <w:snapToGrid w:val="0"/>
        <w:spacing w:line="460" w:lineRule="exact"/>
        <w:ind w:left="0" w:leftChars="0" w:firstLine="600" w:firstLineChars="200"/>
        <w:rPr>
          <w:rFonts w:hint="eastAsia" w:ascii="仿宋" w:hAnsi="仿宋" w:eastAsia="仿宋"/>
          <w:color w:val="FF0000"/>
          <w:sz w:val="30"/>
          <w:szCs w:val="30"/>
          <w:lang w:eastAsia="zh-CN"/>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5</w:t>
      </w:r>
      <w:r>
        <w:rPr>
          <w:rFonts w:hint="eastAsia" w:ascii="仿宋" w:hAnsi="仿宋" w:eastAsia="仿宋"/>
          <w:color w:val="FF0000"/>
          <w:sz w:val="30"/>
          <w:szCs w:val="30"/>
        </w:rPr>
        <w:t>）残疾人福利企业声明函（见附件11）</w:t>
      </w:r>
      <w:r>
        <w:rPr>
          <w:rFonts w:hint="eastAsia" w:ascii="仿宋" w:hAnsi="仿宋" w:eastAsia="仿宋"/>
          <w:color w:val="FF0000"/>
          <w:sz w:val="30"/>
          <w:szCs w:val="30"/>
          <w:lang w:eastAsia="zh-CN"/>
        </w:rPr>
        <w:t>；</w:t>
      </w:r>
    </w:p>
    <w:p>
      <w:pPr>
        <w:snapToGrid w:val="0"/>
        <w:spacing w:line="460" w:lineRule="exact"/>
        <w:ind w:firstLine="600" w:firstLineChars="200"/>
        <w:jc w:val="left"/>
        <w:rPr>
          <w:rFonts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6</w:t>
      </w:r>
      <w:r>
        <w:rPr>
          <w:rFonts w:hint="eastAsia" w:ascii="仿宋" w:hAnsi="仿宋" w:eastAsia="仿宋"/>
          <w:color w:val="FF0000"/>
          <w:sz w:val="30"/>
          <w:szCs w:val="30"/>
        </w:rPr>
        <w:t>）联合响应协议书（若需要见附件3）;</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7</w:t>
      </w:r>
      <w:r>
        <w:rPr>
          <w:rFonts w:hint="eastAsia" w:ascii="仿宋" w:hAnsi="仿宋" w:eastAsia="仿宋"/>
          <w:color w:val="FF0000"/>
          <w:sz w:val="30"/>
          <w:szCs w:val="30"/>
        </w:rPr>
        <w:t>）联合响应授权委托书（若需要见附件4）;</w:t>
      </w:r>
    </w:p>
    <w:p>
      <w:pPr>
        <w:snapToGrid w:val="0"/>
        <w:spacing w:line="460" w:lineRule="exact"/>
        <w:ind w:firstLine="600" w:firstLineChars="200"/>
        <w:jc w:val="left"/>
        <w:rPr>
          <w:rFonts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8</w:t>
      </w:r>
      <w:r>
        <w:rPr>
          <w:rFonts w:hint="eastAsia" w:ascii="仿宋" w:hAnsi="仿宋" w:eastAsia="仿宋"/>
          <w:color w:val="FF0000"/>
          <w:sz w:val="30"/>
          <w:szCs w:val="30"/>
        </w:rPr>
        <w:t>）提供采购公告中符合响应方特定条件要求的有效的其他资质复印件并加盖公司公章及需要说明的资料。</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sz w:val="30"/>
          <w:szCs w:val="30"/>
        </w:rPr>
      </w:pPr>
      <w:r>
        <w:rPr>
          <w:rFonts w:hint="eastAsia" w:ascii="仿宋" w:hAnsi="仿宋" w:eastAsia="仿宋"/>
          <w:sz w:val="30"/>
          <w:szCs w:val="30"/>
        </w:rPr>
        <w:t>（3）项目实施计划（可包含且不限于保证工期的施工组织方案及人力资源安排、项目组人员清单《</w:t>
      </w:r>
      <w:r>
        <w:rPr>
          <w:rFonts w:hint="eastAsia" w:ascii="仿宋" w:hAnsi="仿宋" w:eastAsia="仿宋"/>
          <w:color w:val="FF0000"/>
          <w:kern w:val="0"/>
          <w:sz w:val="30"/>
          <w:szCs w:val="30"/>
        </w:rPr>
        <w:t>项目实施人员一览表</w:t>
      </w:r>
      <w:r>
        <w:rPr>
          <w:rFonts w:hint="eastAsia" w:ascii="仿宋" w:hAnsi="仿宋" w:eastAsia="仿宋"/>
          <w:sz w:val="30"/>
          <w:szCs w:val="30"/>
        </w:rPr>
        <w:t>》（</w:t>
      </w:r>
      <w:r>
        <w:rPr>
          <w:rFonts w:hint="eastAsia" w:ascii="仿宋" w:hAnsi="仿宋" w:eastAsia="仿宋"/>
          <w:color w:val="FF0000"/>
          <w:kern w:val="0"/>
          <w:sz w:val="30"/>
          <w:szCs w:val="30"/>
        </w:rPr>
        <w:t>附件6）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（4）列入政府采购节能环保清单的证明资料（若有）；</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（5）商务响应表（附件7）；</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（10）响应方认为需要的其他文件资料。</w:t>
      </w:r>
      <w:r>
        <w:rPr>
          <w:rFonts w:hint="eastAsia" w:ascii="仿宋" w:hAnsi="仿宋" w:eastAsia="仿宋"/>
          <w:sz w:val="30"/>
          <w:szCs w:val="30"/>
        </w:rPr>
        <w:tab/>
      </w: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5"/>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5"/>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pStyle w:val="38"/>
        <w:widowControl w:val="0"/>
        <w:spacing w:line="460" w:lineRule="exact"/>
        <w:jc w:val="both"/>
        <w:rPr>
          <w:rFonts w:ascii="仿宋" w:hAnsi="仿宋" w:eastAsia="仿宋"/>
          <w:color w:val="auto"/>
          <w:sz w:val="30"/>
          <w:szCs w:val="30"/>
        </w:rPr>
      </w:pPr>
    </w:p>
    <w:p>
      <w:pPr>
        <w:ind w:firstLine="446" w:firstLineChars="148"/>
        <w:rPr>
          <w:rFonts w:ascii="仿宋" w:hAnsi="仿宋" w:eastAsia="仿宋"/>
          <w:b/>
          <w:bCs/>
          <w:sz w:val="30"/>
          <w:szCs w:val="30"/>
        </w:rPr>
      </w:pPr>
      <w:r>
        <w:rPr>
          <w:rFonts w:hint="eastAsia" w:ascii="仿宋" w:hAnsi="仿宋" w:eastAsia="仿宋"/>
          <w:b/>
          <w:bCs/>
          <w:sz w:val="30"/>
          <w:szCs w:val="30"/>
        </w:rPr>
        <w:t>（二）响应方报价</w:t>
      </w:r>
      <w:bookmarkEnd w:id="33"/>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1.响应方报价应按单一来源采购文件中相关附表格式填报；</w:t>
      </w:r>
    </w:p>
    <w:p>
      <w:pPr>
        <w:pStyle w:val="13"/>
        <w:widowControl w:val="0"/>
        <w:numPr>
          <w:ilvl w:val="0"/>
          <w:numId w:val="0"/>
        </w:numPr>
        <w:tabs>
          <w:tab w:val="clear" w:pos="454"/>
        </w:tabs>
        <w:snapToGrid w:val="0"/>
        <w:spacing w:before="156" w:beforeLines="50" w:after="156" w:line="460" w:lineRule="exact"/>
        <w:ind w:left="588"/>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响应方的最终报价是履行合同的最终价格，应包括货款、标准附件、备品备件、专用工具、包装、运输、装卸、保险、税金、货到就位以及安装、调试、培训、保修等一切税金和费用。</w:t>
      </w:r>
    </w:p>
    <w:p>
      <w:pPr>
        <w:pStyle w:val="13"/>
        <w:widowControl w:val="0"/>
        <w:tabs>
          <w:tab w:val="clear" w:pos="454"/>
        </w:tabs>
        <w:snapToGrid w:val="0"/>
        <w:spacing w:before="156" w:beforeLines="50" w:after="156" w:line="460" w:lineRule="exact"/>
        <w:ind w:left="0" w:firstLine="590" w:firstLineChars="196"/>
        <w:rPr>
          <w:rFonts w:ascii="宋体"/>
          <w:b/>
          <w:sz w:val="30"/>
          <w:szCs w:val="30"/>
        </w:rPr>
      </w:pPr>
      <w:r>
        <w:rPr>
          <w:rFonts w:hint="eastAsia" w:ascii="宋体" w:hAnsi="宋体"/>
          <w:b/>
          <w:sz w:val="30"/>
          <w:szCs w:val="30"/>
        </w:rPr>
        <w:t>（三）单一来源响应文件的有效期</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1、自采购响应截止日起90天内响应文件应保持有效。有效期不足的响应文件将被拒绝。</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2、成交人的响应文件自采购之日起至合同履行完毕止均应保持有效。</w:t>
      </w:r>
    </w:p>
    <w:p>
      <w:pPr>
        <w:ind w:firstLine="596" w:firstLineChars="198"/>
        <w:rPr>
          <w:rFonts w:ascii="仿宋" w:hAnsi="仿宋" w:eastAsia="仿宋"/>
          <w:b/>
          <w:bCs/>
          <w:sz w:val="30"/>
          <w:szCs w:val="30"/>
        </w:rPr>
      </w:pPr>
      <w:bookmarkStart w:id="34" w:name="_Toc451268222"/>
      <w:r>
        <w:rPr>
          <w:rFonts w:hint="eastAsia" w:ascii="仿宋" w:hAnsi="仿宋" w:eastAsia="仿宋"/>
          <w:b/>
          <w:bCs/>
          <w:sz w:val="30"/>
          <w:szCs w:val="30"/>
        </w:rPr>
        <w:t>（四）单一来源采购响应文件的签署和份数</w:t>
      </w:r>
      <w:bookmarkEnd w:id="34"/>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1.电子响应文件部分：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（2）响应文件须由响应方在规定位置盖章并由法定代表人或法定代表人的授权委托人签署，响应方应写全称。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（3）响应文件不得涂改，若有修改错漏处，须加盖响应方公章或者法定代表人或授权委托人签名或盖章。响应文件因字迹潦草或表达不清所引起的后果由响应方负责。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2.响应方选择递交备份响应文件</w:t>
      </w:r>
      <w:r>
        <w:rPr>
          <w:rFonts w:hint="eastAsia" w:ascii="仿宋" w:hAnsi="仿宋" w:eastAsia="仿宋"/>
          <w:b/>
          <w:bCs/>
          <w:color w:val="FF0000"/>
          <w:sz w:val="28"/>
          <w:szCs w:val="28"/>
        </w:rPr>
        <w:t>，</w:t>
      </w:r>
      <w:r>
        <w:rPr>
          <w:rFonts w:hint="eastAsia" w:ascii="仿宋" w:hAnsi="仿宋" w:eastAsia="仿宋"/>
          <w:b/>
          <w:bCs/>
          <w:sz w:val="28"/>
          <w:szCs w:val="28"/>
        </w:rPr>
        <w:t>备份响应文件另须满足以下条件：</w:t>
      </w:r>
    </w:p>
    <w:p>
      <w:pPr>
        <w:pStyle w:val="23"/>
        <w:adjustRightInd w:val="0"/>
        <w:snapToGrid w:val="0"/>
        <w:spacing w:before="156"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23"/>
        <w:adjustRightInd w:val="0"/>
        <w:snapToGrid w:val="0"/>
        <w:spacing w:before="156"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响应方名称、响应方地址、响应方联系方式（授权代表手机）、响应文件名称（备份响应文件）、投标项目名称、项目编号、标项及“开标时启封”字样，并加盖响应方公章。</w:t>
      </w:r>
    </w:p>
    <w:p>
      <w:pPr>
        <w:snapToGrid w:val="0"/>
        <w:spacing w:before="156" w:beforeLines="50" w:line="460" w:lineRule="exact"/>
        <w:ind w:firstLine="590" w:firstLineChars="196"/>
        <w:outlineLvl w:val="2"/>
        <w:rPr>
          <w:rFonts w:ascii="仿宋" w:hAnsi="仿宋" w:eastAsia="仿宋"/>
          <w:b/>
          <w:sz w:val="30"/>
          <w:szCs w:val="30"/>
        </w:rPr>
      </w:pPr>
      <w:r>
        <w:rPr>
          <w:rFonts w:hint="eastAsia" w:ascii="仿宋" w:hAnsi="仿宋" w:eastAsia="仿宋"/>
          <w:b/>
          <w:sz w:val="30"/>
          <w:szCs w:val="30"/>
        </w:rPr>
        <w:t>（五）采购无效的情形</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在采购时，如发现下列情形之一的，采购响应文件将被视为无效：</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2、电子响应文件解密失败，且未在规定时间内提交备份响应文件的；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3、电子响应文件解密失败，虽然在规定时间内提交了备份响应文件，但是备份响应文件无法导入或者无法读取或者不符合本采购文件和电子交易平台要求的；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4、响应方未能提供合格的资格文件；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5、与采购文件有重大偏离的；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6、响应文件未有效授权；</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7、响应方最终报价超出预算的；</w:t>
      </w:r>
    </w:p>
    <w:p>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color w:val="000000"/>
          <w:sz w:val="30"/>
          <w:szCs w:val="30"/>
        </w:rPr>
        <w:t>8、最终报价明显高于其市场报价或低于成本价且不能合理说明原因并提供证明材料的；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9、不符合法律、法规和本采购文件规定的其他实质性要求的。</w:t>
      </w:r>
    </w:p>
    <w:p>
      <w:pPr>
        <w:snapToGrid w:val="0"/>
        <w:spacing w:line="460" w:lineRule="exact"/>
        <w:ind w:firstLine="562" w:firstLineChars="200"/>
        <w:rPr>
          <w:rFonts w:ascii="宋体" w:hAnsi="宋体"/>
          <w:b/>
          <w:sz w:val="28"/>
          <w:szCs w:val="28"/>
        </w:rPr>
      </w:pPr>
      <w:r>
        <w:rPr>
          <w:rFonts w:hint="eastAsia" w:ascii="宋体" w:hAnsi="宋体"/>
          <w:b/>
          <w:sz w:val="28"/>
          <w:szCs w:val="28"/>
        </w:rPr>
        <w:t>（七）采购过程中的</w:t>
      </w:r>
      <w:r>
        <w:rPr>
          <w:rFonts w:hint="eastAsia" w:hAnsi="宋体"/>
          <w:b/>
          <w:bCs/>
          <w:sz w:val="28"/>
          <w:szCs w:val="28"/>
        </w:rPr>
        <w:t>异常情况及处理措施</w:t>
      </w:r>
    </w:p>
    <w:p>
      <w:pPr>
        <w:pStyle w:val="23"/>
        <w:adjustRightInd w:val="0"/>
        <w:snapToGrid w:val="0"/>
        <w:spacing w:before="156" w:line="500" w:lineRule="exact"/>
        <w:ind w:firstLine="565" w:firstLineChars="201"/>
        <w:rPr>
          <w:rFonts w:hAnsi="宋体"/>
          <w:b/>
          <w:bCs/>
          <w:sz w:val="28"/>
          <w:szCs w:val="28"/>
        </w:rPr>
      </w:pPr>
      <w:r>
        <w:rPr>
          <w:rFonts w:hint="eastAsia" w:hAnsi="宋体"/>
          <w:b/>
          <w:bCs/>
          <w:sz w:val="28"/>
          <w:szCs w:val="28"/>
        </w:rPr>
        <w:t>采购过程中出现以下情形，导致电子交易平台无法正常运行，或者无法保证电子交易的公平、公正和安全时，采购方可中止电子交易活动：</w:t>
      </w:r>
    </w:p>
    <w:p>
      <w:pPr>
        <w:spacing w:line="440" w:lineRule="exact"/>
        <w:ind w:firstLine="562" w:firstLineChars="200"/>
        <w:rPr>
          <w:rFonts w:ascii="宋体" w:hAnsi="宋体"/>
          <w:b/>
          <w:bCs/>
          <w:sz w:val="28"/>
          <w:szCs w:val="28"/>
        </w:rPr>
      </w:pPr>
      <w:r>
        <w:rPr>
          <w:rFonts w:hint="eastAsia" w:ascii="宋体" w:hAnsi="宋体"/>
          <w:b/>
          <w:bCs/>
          <w:sz w:val="28"/>
          <w:szCs w:val="28"/>
        </w:rPr>
        <w:t>1.电子交易平台发生故障而无法登录访问的；</w:t>
      </w:r>
    </w:p>
    <w:p>
      <w:pPr>
        <w:spacing w:line="440" w:lineRule="exact"/>
        <w:ind w:firstLine="562" w:firstLineChars="200"/>
        <w:rPr>
          <w:rFonts w:ascii="宋体" w:hAnsi="宋体"/>
          <w:b/>
          <w:bCs/>
          <w:sz w:val="28"/>
          <w:szCs w:val="28"/>
        </w:rPr>
      </w:pPr>
      <w:r>
        <w:rPr>
          <w:rFonts w:hint="eastAsia" w:ascii="宋体" w:hAnsi="宋体"/>
          <w:b/>
          <w:bCs/>
          <w:sz w:val="28"/>
          <w:szCs w:val="28"/>
        </w:rPr>
        <w:t>2.电子交易平台应用或数据库出现错误，不能进行正常操作的；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3.电子交易平台发现严重安全漏洞，有潜在泄密危险的；</w:t>
      </w:r>
    </w:p>
    <w:p>
      <w:pPr>
        <w:spacing w:line="440" w:lineRule="exact"/>
        <w:ind w:firstLine="562" w:firstLineChars="200"/>
        <w:rPr>
          <w:rFonts w:ascii="宋体" w:hAnsi="宋体"/>
          <w:b/>
          <w:bCs/>
          <w:sz w:val="28"/>
          <w:szCs w:val="28"/>
        </w:rPr>
      </w:pPr>
      <w:r>
        <w:rPr>
          <w:rFonts w:hint="eastAsia" w:ascii="宋体" w:hAnsi="宋体"/>
          <w:b/>
          <w:bCs/>
          <w:sz w:val="28"/>
          <w:szCs w:val="28"/>
        </w:rPr>
        <w:t>4.病毒发作导致不能进行正常操作的；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5.其他无法保证电子交易的公平、公正和安全的情况。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采购方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23"/>
        <w:snapToGrid w:val="0"/>
        <w:spacing w:before="156" w:line="460" w:lineRule="exact"/>
        <w:ind w:firstLine="602" w:firstLineChars="200"/>
        <w:rPr>
          <w:rFonts w:ascii="仿宋" w:hAnsi="仿宋" w:eastAsia="仿宋"/>
          <w:b/>
          <w:sz w:val="30"/>
          <w:szCs w:val="30"/>
        </w:rPr>
      </w:pPr>
    </w:p>
    <w:p>
      <w:pPr>
        <w:pStyle w:val="23"/>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三、组织单一来源采购程序</w:t>
      </w:r>
    </w:p>
    <w:p>
      <w:pPr>
        <w:pStyle w:val="23"/>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（一）组建协商小组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3人（含）以上组成。</w:t>
      </w:r>
    </w:p>
    <w:p>
      <w:pPr>
        <w:pStyle w:val="23"/>
        <w:snapToGrid w:val="0"/>
        <w:spacing w:before="156" w:line="460" w:lineRule="exact"/>
        <w:ind w:firstLine="551" w:firstLineChars="196"/>
        <w:rPr>
          <w:rFonts w:ascii="仿宋" w:hAnsi="仿宋" w:eastAsia="仿宋"/>
          <w:b/>
          <w:color w:val="FF0000"/>
          <w:sz w:val="28"/>
          <w:szCs w:val="28"/>
        </w:rPr>
      </w:pPr>
      <w:r>
        <w:rPr>
          <w:rFonts w:hint="eastAsia" w:ascii="仿宋" w:hAnsi="仿宋" w:eastAsia="仿宋"/>
          <w:b/>
          <w:color w:val="FF0000"/>
          <w:sz w:val="28"/>
          <w:szCs w:val="28"/>
        </w:rPr>
        <w:t>（二）组织开标</w:t>
      </w:r>
    </w:p>
    <w:p>
      <w:pPr>
        <w:pStyle w:val="23"/>
        <w:snapToGrid w:val="0"/>
        <w:spacing w:before="156" w:line="460" w:lineRule="exact"/>
        <w:ind w:firstLine="560" w:firstLineChars="200"/>
        <w:rPr>
          <w:rFonts w:hAnsi="宋体"/>
          <w:bCs/>
          <w:color w:val="FF0000"/>
          <w:sz w:val="28"/>
          <w:szCs w:val="28"/>
        </w:rPr>
      </w:pPr>
      <w:r>
        <w:rPr>
          <w:rFonts w:hint="eastAsia" w:hAnsi="宋体"/>
          <w:bCs/>
          <w:color w:val="FF0000"/>
          <w:sz w:val="28"/>
          <w:szCs w:val="28"/>
        </w:rPr>
        <w:t>采购方将按照单一来源采购文件规定的时间、地点和程序组织开标，各响应方授权代表及相关人员</w:t>
      </w:r>
      <w:r>
        <w:rPr>
          <w:rFonts w:hint="eastAsia" w:hAnsi="宋体"/>
          <w:b/>
          <w:bCs/>
          <w:color w:val="FF0000"/>
          <w:sz w:val="28"/>
          <w:szCs w:val="28"/>
        </w:rPr>
        <w:t>均应当准时在线参加</w:t>
      </w:r>
      <w:r>
        <w:rPr>
          <w:rFonts w:hint="eastAsia" w:hAnsi="宋体"/>
          <w:bCs/>
          <w:color w:val="FF0000"/>
          <w:sz w:val="28"/>
          <w:szCs w:val="28"/>
        </w:rPr>
        <w:t>，无关人员不得进入开标现场。响应方</w:t>
      </w:r>
      <w:r>
        <w:rPr>
          <w:rFonts w:hint="eastAsia" w:hAnsi="宋体"/>
          <w:b/>
          <w:bCs/>
          <w:color w:val="FF0000"/>
          <w:sz w:val="28"/>
          <w:szCs w:val="28"/>
        </w:rPr>
        <w:t>如未准时在线参加的</w:t>
      </w:r>
      <w:r>
        <w:rPr>
          <w:rFonts w:hint="eastAsia" w:hAnsi="宋体"/>
          <w:bCs/>
          <w:color w:val="FF0000"/>
          <w:sz w:val="28"/>
          <w:szCs w:val="28"/>
        </w:rPr>
        <w:t>，事后不得对采购相关人员、开标过程和开标结果提出异议。</w:t>
      </w:r>
    </w:p>
    <w:p>
      <w:pPr>
        <w:pStyle w:val="23"/>
        <w:snapToGrid w:val="0"/>
        <w:spacing w:before="156" w:line="460" w:lineRule="exact"/>
        <w:ind w:firstLine="562" w:firstLineChars="200"/>
        <w:rPr>
          <w:rFonts w:hAnsi="宋体"/>
          <w:b/>
          <w:bCs/>
          <w:color w:val="FF0000"/>
          <w:sz w:val="28"/>
          <w:szCs w:val="28"/>
        </w:rPr>
      </w:pPr>
      <w:r>
        <w:rPr>
          <w:rFonts w:hint="eastAsia" w:hAnsi="宋体"/>
          <w:b/>
          <w:bCs/>
          <w:color w:val="FF0000"/>
          <w:sz w:val="28"/>
          <w:szCs w:val="28"/>
        </w:rPr>
        <w:t>1. 落实工作场地、设施，检查录音录像采集设备运行情况，验证电子交易平台是否能正常登录。</w:t>
      </w:r>
    </w:p>
    <w:p>
      <w:pPr>
        <w:pStyle w:val="23"/>
        <w:snapToGrid w:val="0"/>
        <w:spacing w:before="156" w:line="460" w:lineRule="exact"/>
        <w:ind w:firstLine="562" w:firstLineChars="200"/>
        <w:rPr>
          <w:rFonts w:hAnsi="宋体"/>
          <w:b/>
          <w:bCs/>
          <w:color w:val="FF0000"/>
          <w:sz w:val="28"/>
          <w:szCs w:val="28"/>
        </w:rPr>
      </w:pPr>
      <w:r>
        <w:rPr>
          <w:rFonts w:hint="eastAsia" w:hAnsi="宋体"/>
          <w:b/>
          <w:bCs/>
          <w:color w:val="FF0000"/>
          <w:sz w:val="28"/>
          <w:szCs w:val="28"/>
        </w:rPr>
        <w:t>2. 协商由采购方主持，主持人介绍开标现场的人员情况，宣读递交响应文件的响应方名单、开标纪律、应当回避的情形等注意事项。</w:t>
      </w:r>
    </w:p>
    <w:p>
      <w:pPr>
        <w:spacing w:line="440" w:lineRule="exact"/>
        <w:ind w:firstLine="562" w:firstLineChars="200"/>
        <w:rPr>
          <w:rFonts w:ascii="宋体" w:hAnsi="宋体"/>
          <w:b/>
          <w:bCs/>
          <w:color w:val="FF0000"/>
          <w:sz w:val="28"/>
          <w:szCs w:val="28"/>
        </w:rPr>
      </w:pPr>
      <w:r>
        <w:rPr>
          <w:rFonts w:hAnsi="宋体"/>
          <w:b/>
          <w:bCs/>
          <w:color w:val="FF0000"/>
          <w:sz w:val="28"/>
          <w:szCs w:val="28"/>
        </w:rPr>
        <w:t>3.</w:t>
      </w:r>
      <w:r>
        <w:rPr>
          <w:rFonts w:hint="eastAsia" w:ascii="宋体" w:hAnsi="宋体"/>
          <w:b/>
          <w:bCs/>
          <w:color w:val="FF0000"/>
          <w:sz w:val="28"/>
          <w:szCs w:val="28"/>
        </w:rPr>
        <w:t>投标截止时，电子交易平台自动提取所有电子响应文件。采购方点击[开始解密]按钮后，响应方可以在线解密，解密时限为30分钟。</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4.响应方应当在解密时限内完成解密，如所有响应方的电子投标文件都已经解密完成的，则电子交易平台自动结束解密。如有任一响应方未解密，电子交易平台会在解密时限截止时自动结束解密。</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解密时限内未完成解密且按规定提供了备份投标文件的，采购方将拆封其备份投标文件，并导入电子交易平台。</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5.协商小组在商务和技术协商结束后，主持人通过电子交易平台宣告商务和技术协商无效响应方名称及理由，有效响应方的商务和技术得分情况。</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6.采购方在电子交易平台开启响应方的报价文件信息，响应方对报价信息进行确认。响应方对报价信息不予确认的不影响后续协商过程。</w:t>
      </w:r>
    </w:p>
    <w:p>
      <w:pPr>
        <w:pStyle w:val="23"/>
        <w:snapToGrid w:val="0"/>
        <w:spacing w:before="156" w:line="460" w:lineRule="exact"/>
        <w:ind w:firstLine="551" w:firstLineChars="196"/>
        <w:rPr>
          <w:rFonts w:hAnsi="宋体"/>
          <w:b/>
          <w:bCs/>
          <w:color w:val="FF0000"/>
          <w:sz w:val="28"/>
          <w:szCs w:val="28"/>
        </w:rPr>
      </w:pPr>
      <w:r>
        <w:rPr>
          <w:rFonts w:hint="eastAsia" w:hAnsi="宋体"/>
          <w:b/>
          <w:bCs/>
          <w:color w:val="FF0000"/>
          <w:sz w:val="28"/>
          <w:szCs w:val="28"/>
        </w:rPr>
        <w:t>7.协商小组经商议认为需要响应方作出必要澄清或说明的，应当通过电子交易平台交换数据电文。协商小组给予响应方提交澄清或说明的时间为半小时，响应方已经明确表示澄清或说明完毕的除外。</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8.在电子交易平台上公布协商结果。</w:t>
      </w:r>
    </w:p>
    <w:p>
      <w:pPr>
        <w:spacing w:line="440" w:lineRule="exact"/>
        <w:ind w:firstLine="562" w:firstLineChars="200"/>
        <w:rPr>
          <w:rFonts w:ascii="仿宋" w:hAnsi="仿宋" w:eastAsia="仿宋"/>
          <w:b/>
          <w:bCs/>
          <w:color w:val="FF0000"/>
          <w:sz w:val="28"/>
          <w:szCs w:val="28"/>
        </w:rPr>
      </w:pPr>
      <w:r>
        <w:rPr>
          <w:rFonts w:hint="eastAsia" w:ascii="宋体" w:hAnsi="宋体"/>
          <w:b/>
          <w:bCs/>
          <w:color w:val="FF0000"/>
          <w:sz w:val="28"/>
          <w:szCs w:val="28"/>
        </w:rPr>
        <w:t>特别说明：政采云公司如对电子化开标及协商程序有调整的，按调整后的程序操作。</w:t>
      </w:r>
    </w:p>
    <w:p>
      <w:pPr>
        <w:pStyle w:val="23"/>
        <w:snapToGrid w:val="0"/>
        <w:spacing w:before="156" w:line="460" w:lineRule="exact"/>
        <w:ind w:firstLine="590" w:firstLineChars="196"/>
        <w:rPr>
          <w:rFonts w:ascii="仿宋" w:hAnsi="仿宋" w:eastAsia="仿宋"/>
          <w:b/>
          <w:color w:val="000000"/>
          <w:sz w:val="30"/>
          <w:szCs w:val="30"/>
        </w:rPr>
      </w:pPr>
    </w:p>
    <w:p>
      <w:pPr>
        <w:pStyle w:val="23"/>
        <w:snapToGrid w:val="0"/>
        <w:spacing w:before="156"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（三）组织协商程序</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浙江省政府采购中心将按照单一来源采购文件规定的时间、地点和程序组织协商，各协商小组成员及相关人员应参加采购活动并接受核验、签到，无关人员不得进入协商现场。</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1、核验出席采购活动现场的各成员和相关监督人员身份，并要求其分别登记、签到，按规定统一收缴、保存其通讯工具，无关人员一律拒绝其进入采购现场。</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2、介绍现场的人员情况，宣布工作纪律，告知协商小组人员应当回避情形；组织推选协商小组组长。</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3、宣读提交单一来源响应文件的响应方名单，组织协商小组各位成员签订《政府采购评审人员廉洁自律承诺书》。</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5、做好采购现场相关记录，协助协商小组组长做好协商报告起草、有关内容电脑文字录入等工作，并要求协商小组各成员签字确认。</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6、采购结束后，浙江省政府采购中心应对协商小组各成员的专业水平、职业道德、遵纪守法等情况进行评价；同时按规定向协商人员发放费用，并交还协商人员及其他现场相关人员的通讯工具。</w:t>
      </w:r>
    </w:p>
    <w:p>
      <w:pPr>
        <w:pStyle w:val="23"/>
        <w:snapToGrid w:val="0"/>
        <w:spacing w:before="156"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（四）协商小组协商程序</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1、在协商人员中推选协商小组组长。</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3、协商小组组长召集成员讨论确定协商方法和协商轮次。</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4、协商小组对单一来源响应文件的有效性、完整性和响应程度进行审查，确定是否作出实质性响应。</w:t>
      </w:r>
    </w:p>
    <w:p>
      <w:pPr>
        <w:pStyle w:val="2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6、协商小组与响应方就项目技术需求、服务、价格构成、供货、付款方式等要素进行协商，并要求其在规定时间内提交书面最终报价。</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7、协商小组对最终报价的合理性进行审核，并根据单一来源文件规定确定成交响应方。</w:t>
      </w:r>
    </w:p>
    <w:p>
      <w:pPr>
        <w:spacing w:before="156" w:beforeLines="50" w:after="156" w:afterLines="50" w:line="460" w:lineRule="exact"/>
        <w:ind w:firstLine="588" w:firstLineChars="196"/>
        <w:rPr>
          <w:rFonts w:ascii="仿宋" w:hAnsi="仿宋" w:eastAsia="仿宋"/>
          <w:b/>
          <w:bCs/>
          <w:sz w:val="30"/>
          <w:szCs w:val="30"/>
        </w:rPr>
      </w:pPr>
      <w:r>
        <w:rPr>
          <w:rFonts w:hint="eastAsia" w:ascii="仿宋" w:hAnsi="仿宋" w:eastAsia="仿宋"/>
          <w:sz w:val="30"/>
          <w:szCs w:val="30"/>
        </w:rPr>
        <w:t>8、起草协商报告，所有协商小组成员须在报告上签字确认。</w:t>
      </w:r>
    </w:p>
    <w:p>
      <w:pPr>
        <w:pStyle w:val="23"/>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（四）采购原则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协商小组必须公平、公正、客观，不带任何倾向性和启发性；不得向外界透露任何与协商有关的内容，任何单位和个人不得干扰、影响协商的正常进行，协商小组及有关工作人员不得私下与响应方接触。</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1、协商人员因回避、临时缺席或健康原因等特殊情况不能继续参加采购工作的，应按规定更换协商人员,被更换的协商人员之前所作出的协商意见不再予以采纳，由更换后的协商人员重新进行协商。无法及时更换成员的，要立即停止采购工作、封存采购资料，并告知响应方重新采购的时间和地点。</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2、项目由协商小组根据质量和服务均能满足采购文件实质性响应要求且最后报价合理的原则确定成交响应方。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3、采购结果由采购人代表签名确认。采购人若现场未签字确认且在规定时间内不提出异议的，视为默认。</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4、协商情况记录应当由采购全体人员签字认可。对记录有异议的采购人员，应当签署不同意见并说明理由。采购人员拒绝在记录上签字又不书面说明其不同意见和理由的，视为同意。</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5、采购结果经采购人确认后，采购中心将于2个工作日内在浙江省政府采购网上公告成交结果，并向成交响应方发出成交通知书。</w:t>
      </w:r>
    </w:p>
    <w:p>
      <w:pPr>
        <w:pStyle w:val="23"/>
        <w:snapToGrid w:val="0"/>
        <w:spacing w:before="156" w:line="460" w:lineRule="exact"/>
        <w:ind w:firstLine="596" w:firstLineChars="198"/>
        <w:outlineLvl w:val="1"/>
        <w:rPr>
          <w:rFonts w:ascii="仿宋" w:hAnsi="仿宋" w:eastAsia="仿宋"/>
          <w:b/>
          <w:sz w:val="30"/>
          <w:szCs w:val="30"/>
        </w:rPr>
      </w:pPr>
      <w:r>
        <w:rPr>
          <w:rFonts w:hint="eastAsia" w:ascii="仿宋" w:hAnsi="仿宋" w:eastAsia="仿宋"/>
          <w:b/>
          <w:sz w:val="30"/>
          <w:szCs w:val="30"/>
        </w:rPr>
        <w:t>四、合同授予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sz w:val="30"/>
          <w:szCs w:val="30"/>
        </w:rPr>
        <w:t>1.采购人与成交响应方应当在《成交通知书》发出之日起30日内尽快签订政府采购合同</w:t>
      </w:r>
      <w:r>
        <w:rPr>
          <w:rFonts w:hint="eastAsia" w:ascii="仿宋" w:hAnsi="仿宋" w:eastAsia="仿宋"/>
          <w:color w:val="FF0000"/>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2.成交响应方拖延、拒签合同的,将被扣罚单一来源采购保证金并取消成交资格。</w:t>
      </w:r>
    </w:p>
    <w:p>
      <w:pPr>
        <w:pStyle w:val="23"/>
        <w:snapToGrid w:val="0"/>
        <w:spacing w:before="156"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pStyle w:val="23"/>
        <w:spacing w:before="156"/>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10%。</w:t>
      </w:r>
    </w:p>
    <w:p>
      <w:pPr>
        <w:pStyle w:val="23"/>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pPr>
        <w:pStyle w:val="23"/>
        <w:snapToGrid w:val="0"/>
        <w:spacing w:before="156" w:line="460" w:lineRule="exact"/>
        <w:ind w:firstLine="596" w:firstLineChars="198"/>
        <w:rPr>
          <w:rFonts w:ascii="仿宋" w:hAnsi="仿宋" w:eastAsia="仿宋"/>
          <w:b/>
          <w:sz w:val="30"/>
          <w:szCs w:val="30"/>
        </w:rPr>
      </w:pPr>
      <w:r>
        <w:rPr>
          <w:rFonts w:hint="eastAsia" w:ascii="仿宋" w:hAnsi="仿宋" w:eastAsia="仿宋"/>
          <w:b/>
          <w:sz w:val="30"/>
          <w:szCs w:val="30"/>
        </w:rPr>
        <w:t>五、货款的结算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货款由采购人自行支付。若资金在采购人处的，由采购人直接支付；若资金在核算中心的，由采购人向核算中心发起支付令，由核算中心把货款打入成交商账户。</w:t>
      </w:r>
    </w:p>
    <w:p>
      <w:pPr>
        <w:pStyle w:val="41"/>
      </w:pPr>
      <w:r>
        <w:rPr>
          <w:b w:val="0"/>
          <w:bCs w:val="0"/>
        </w:rPr>
        <w:br w:type="page"/>
      </w:r>
      <w:bookmarkStart w:id="35" w:name="_Toc510136960"/>
      <w:r>
        <w:rPr>
          <w:rFonts w:hint="eastAsia"/>
          <w:b w:val="0"/>
          <w:bCs w:val="0"/>
          <w:lang w:val="en-US" w:eastAsia="zh-CN"/>
        </w:rPr>
        <w:t xml:space="preserve">   </w:t>
      </w:r>
      <w:r>
        <w:rPr>
          <w:rFonts w:hint="eastAsia"/>
        </w:rPr>
        <w:t>第三章</w:t>
      </w:r>
      <w:r>
        <w:rPr>
          <w:rFonts w:hint="eastAsia"/>
          <w:lang w:val="en-US" w:eastAsia="zh-CN"/>
        </w:rPr>
        <w:t xml:space="preserve">  </w:t>
      </w:r>
      <w:r>
        <w:rPr>
          <w:rFonts w:hint="eastAsia"/>
        </w:rPr>
        <w:t>采购内容</w:t>
      </w:r>
      <w:bookmarkEnd w:id="35"/>
    </w:p>
    <w:p>
      <w:pPr>
        <w:snapToGrid w:val="0"/>
        <w:spacing w:before="156" w:beforeLines="50" w:after="156" w:afterLines="50"/>
        <w:ind w:left="238"/>
        <w:jc w:val="center"/>
        <w:rPr>
          <w:rFonts w:ascii="仿宋" w:hAnsi="仿宋" w:eastAsia="仿宋"/>
          <w:b/>
          <w:spacing w:val="40"/>
          <w:kern w:val="0"/>
          <w:sz w:val="30"/>
          <w:szCs w:val="30"/>
        </w:rPr>
      </w:pP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根据浙财采监字[2007]2号文件规定：除采购文件明确的品牌外，欢迎其他能满足本项目技术需求且性能与所明确品牌相当的产品参加。</w:t>
      </w:r>
    </w:p>
    <w:p>
      <w:pPr>
        <w:snapToGrid w:val="0"/>
        <w:spacing w:line="460" w:lineRule="exact"/>
        <w:rPr>
          <w:rFonts w:ascii="仿宋" w:hAnsi="仿宋" w:eastAsia="仿宋"/>
          <w:b/>
          <w:kern w:val="0"/>
          <w:sz w:val="30"/>
          <w:szCs w:val="30"/>
        </w:rPr>
      </w:pPr>
      <w:bookmarkStart w:id="36" w:name="技术需求"/>
      <w:bookmarkEnd w:id="36"/>
      <w:bookmarkStart w:id="37" w:name="jsxq_xq_1"/>
      <w:bookmarkEnd w:id="37"/>
      <w:bookmarkStart w:id="38" w:name="_Toc510136961"/>
      <w:bookmarkStart w:id="39" w:name="_Toc451268224"/>
    </w:p>
    <w:p>
      <w:pPr>
        <w:pStyle w:val="5"/>
        <w:spacing w:before="0" w:after="0"/>
        <w:rPr>
          <w:rFonts w:hint="eastAsia" w:ascii="宋体" w:hAnsi="宋体" w:eastAsia="宋体" w:cs="宋体"/>
          <w:snapToGrid/>
          <w:color w:val="auto"/>
          <w:kern w:val="2"/>
          <w:szCs w:val="36"/>
          <w:highlight w:val="none"/>
        </w:rPr>
      </w:pPr>
      <w:bookmarkStart w:id="40" w:name="PO_15526_PM048"/>
      <w:bookmarkStart w:id="41" w:name="_Toc439237130"/>
      <w:r>
        <w:rPr>
          <w:rFonts w:hint="eastAsia" w:ascii="仿宋" w:hAnsi="仿宋" w:eastAsia="仿宋"/>
          <w:b/>
          <w:color w:val="000000"/>
          <w:sz w:val="30"/>
          <w:szCs w:val="30"/>
          <w:lang w:eastAsia="zh-CN"/>
        </w:rPr>
        <w:t xml:space="preserve"> </w:t>
      </w:r>
      <w:bookmarkEnd w:id="40"/>
      <w:bookmarkStart w:id="42" w:name="_Toc175555755"/>
      <w:bookmarkStart w:id="43" w:name="PO_TDCUS_ITEM_P_REQ_FILE_1_1_1"/>
      <w:r>
        <w:rPr>
          <w:rFonts w:hint="eastAsia" w:ascii="宋体" w:hAnsi="宋体" w:eastAsia="宋体" w:cs="宋体"/>
          <w:snapToGrid/>
          <w:color w:val="auto"/>
          <w:kern w:val="2"/>
          <w:szCs w:val="36"/>
          <w:highlight w:val="none"/>
          <w:lang w:val="en-US" w:eastAsia="zh-CN"/>
        </w:rPr>
        <w:t>2023年</w:t>
      </w:r>
      <w:r>
        <w:rPr>
          <w:rFonts w:hint="eastAsia" w:ascii="宋体" w:hAnsi="宋体" w:eastAsia="宋体" w:cs="宋体"/>
          <w:snapToGrid/>
          <w:color w:val="auto"/>
          <w:kern w:val="2"/>
          <w:szCs w:val="36"/>
          <w:highlight w:val="none"/>
        </w:rPr>
        <w:t>浙江省法人数字证书基础服务项目</w:t>
      </w:r>
      <w:bookmarkStart w:id="44" w:name="_Toc31009"/>
    </w:p>
    <w:p>
      <w:pPr>
        <w:pStyle w:val="5"/>
        <w:spacing w:before="0" w:after="0"/>
        <w:rPr>
          <w:rFonts w:hint="eastAsia" w:ascii="宋体" w:hAnsi="宋体" w:eastAsia="宋体" w:cs="宋体"/>
          <w:snapToGrid/>
          <w:color w:val="auto"/>
          <w:kern w:val="2"/>
          <w:szCs w:val="36"/>
          <w:highlight w:val="none"/>
        </w:rPr>
      </w:pPr>
      <w:r>
        <w:rPr>
          <w:rFonts w:hint="eastAsia" w:ascii="宋体" w:hAnsi="宋体" w:eastAsia="宋体" w:cs="宋体"/>
          <w:snapToGrid/>
          <w:color w:val="auto"/>
          <w:kern w:val="2"/>
          <w:szCs w:val="36"/>
          <w:highlight w:val="none"/>
          <w:lang w:val="en-US" w:eastAsia="zh-CN"/>
        </w:rPr>
        <w:t>标项1 介质和</w:t>
      </w:r>
      <w:r>
        <w:rPr>
          <w:rFonts w:hint="eastAsia" w:ascii="宋体" w:hAnsi="宋体" w:eastAsia="宋体" w:cs="宋体"/>
          <w:snapToGrid/>
          <w:color w:val="auto"/>
          <w:kern w:val="2"/>
          <w:szCs w:val="36"/>
          <w:highlight w:val="none"/>
        </w:rPr>
        <w:t>制证服务需求文件</w:t>
      </w:r>
      <w:bookmarkEnd w:id="42"/>
      <w:bookmarkEnd w:id="44"/>
    </w:p>
    <w:p>
      <w:pPr>
        <w:snapToGrid w:val="0"/>
        <w:spacing w:line="460" w:lineRule="exact"/>
        <w:rPr>
          <w:rFonts w:ascii="仿宋" w:hAnsi="仿宋" w:eastAsia="仿宋"/>
          <w:b/>
          <w:kern w:val="0"/>
          <w:sz w:val="30"/>
          <w:szCs w:val="30"/>
        </w:rPr>
      </w:pPr>
    </w:p>
    <w:p>
      <w:pPr>
        <w:spacing w:line="360" w:lineRule="auto"/>
        <w:rPr>
          <w:rFonts w:hint="eastAsia" w:ascii="仿宋_GB2312" w:hAnsi="仿宋_GB2312" w:eastAsia="仿宋_GB2312" w:cs="仿宋_GB2312"/>
          <w:b/>
          <w:color w:val="auto"/>
          <w:sz w:val="30"/>
          <w:szCs w:val="30"/>
          <w:highlight w:val="none"/>
        </w:rPr>
      </w:pPr>
      <w:bookmarkStart w:id="45" w:name="_Toc19955"/>
      <w:bookmarkStart w:id="46" w:name="PO_TDCUS_ITEM_P_REQ_FILE_1_1"/>
      <w:r>
        <w:rPr>
          <w:rFonts w:hint="eastAsia" w:ascii="仿宋_GB2312" w:hAnsi="仿宋_GB2312" w:eastAsia="仿宋_GB2312" w:cs="仿宋_GB2312"/>
          <w:b/>
          <w:color w:val="auto"/>
          <w:sz w:val="30"/>
          <w:szCs w:val="30"/>
          <w:highlight w:val="none"/>
        </w:rPr>
        <w:t>一、概述</w:t>
      </w:r>
      <w:bookmarkEnd w:id="45"/>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本文件为浙江省经济和信息化厅（以下简称采购人）对浙江省法人数字证书基础服务采购项目提出的技术需求书。</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供应商应按照本文件的要求提供报价、服务方案、服务承诺。供应商提供的各项服务的功能、性能应完全满足采购人的需求。</w:t>
      </w:r>
    </w:p>
    <w:p>
      <w:pPr>
        <w:spacing w:line="360" w:lineRule="auto"/>
        <w:rPr>
          <w:rFonts w:hint="eastAsia" w:ascii="仿宋_GB2312" w:hAnsi="仿宋_GB2312" w:eastAsia="仿宋_GB2312" w:cs="仿宋_GB2312"/>
          <w:b/>
          <w:color w:val="auto"/>
          <w:sz w:val="30"/>
          <w:szCs w:val="30"/>
          <w:highlight w:val="none"/>
        </w:rPr>
      </w:pPr>
      <w:bookmarkStart w:id="47" w:name="_Toc19437"/>
      <w:r>
        <w:rPr>
          <w:rFonts w:hint="eastAsia" w:ascii="仿宋_GB2312" w:hAnsi="仿宋_GB2312" w:eastAsia="仿宋_GB2312" w:cs="仿宋_GB2312"/>
          <w:b/>
          <w:color w:val="auto"/>
          <w:sz w:val="30"/>
          <w:szCs w:val="30"/>
          <w:highlight w:val="none"/>
        </w:rPr>
        <w:t>二、项目背景</w:t>
      </w:r>
      <w:bookmarkEnd w:id="47"/>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在省委、省政府有关领导及部门的高度重视与大力支持下，2002年经省信息化工作领导小组第三次全体会议讨论确定，在省信息产业厅（原）下设立了省数字认证中心组织开展电子认证工作，筹建了省数字安全证书管理有限公司负责具体的运营服务，并于2005年获得了信息产业部（原）与国家密码局的相关运营资质，是目前我省唯一具备全部合法运营资质的机构，可依法面向电子政务与电子商务提供电子认证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自2002年起，根据省政府领导的总体部署，全省数字认证工作按照统一规划、资源共享、一证通用的原则，率先在工商注册企业中发行企业数字证书。2016年12月，为深入推进供给侧结构性改革，建立完善减轻企业负担工作机制，进一步降低企业成本，省政府办公厅印发《关于进一步减轻企业负担降低企业成本的若干意见》（浙政办发〔2016〕152号），决定从2016年10月1日起，取消法人数字证书（电子政务）服务收费，法人数字证书基础性服务所产生的费用，通过政府购买服务的方式，由省财政给予支持。</w:t>
      </w:r>
    </w:p>
    <w:p>
      <w:pPr>
        <w:spacing w:line="360" w:lineRule="auto"/>
        <w:ind w:firstLine="600"/>
        <w:rPr>
          <w:rFonts w:hint="eastAsia" w:ascii="仿宋_GB2312" w:hAnsi="仿宋_GB2312" w:eastAsia="仿宋_GB2312" w:cs="仿宋_GB2312"/>
          <w:b/>
          <w:sz w:val="30"/>
          <w:szCs w:val="30"/>
          <w:highlight w:val="none"/>
        </w:rPr>
      </w:pPr>
      <w:r>
        <w:rPr>
          <w:rFonts w:hint="eastAsia" w:ascii="仿宋_GB2312" w:hAnsi="仿宋_GB2312" w:eastAsia="仿宋_GB2312" w:cs="仿宋_GB2312"/>
          <w:color w:val="auto"/>
          <w:sz w:val="30"/>
          <w:szCs w:val="30"/>
          <w:highlight w:val="none"/>
        </w:rPr>
        <w:t>目前，我省法人数字证书已广泛应用于政务服务2.0网上办事、网上年报、网上报税、社保网上申报、公积金网上申报、政府采购招投标等领域，已成为我省数字化改革的安全基础设施之一。</w:t>
      </w:r>
    </w:p>
    <w:p>
      <w:pPr>
        <w:spacing w:line="360" w:lineRule="auto"/>
        <w:rPr>
          <w:rFonts w:hint="eastAsia" w:ascii="仿宋_GB2312" w:hAnsi="仿宋_GB2312" w:eastAsia="仿宋_GB2312" w:cs="仿宋_GB2312"/>
          <w:b/>
          <w:color w:val="auto"/>
          <w:sz w:val="30"/>
          <w:szCs w:val="30"/>
          <w:highlight w:val="none"/>
        </w:rPr>
      </w:pPr>
      <w:bookmarkStart w:id="48" w:name="_Toc15332"/>
      <w:r>
        <w:rPr>
          <w:rFonts w:hint="eastAsia" w:ascii="仿宋_GB2312" w:hAnsi="仿宋_GB2312" w:eastAsia="仿宋_GB2312" w:cs="仿宋_GB2312"/>
          <w:b/>
          <w:color w:val="auto"/>
          <w:sz w:val="30"/>
          <w:szCs w:val="30"/>
          <w:highlight w:val="none"/>
        </w:rPr>
        <w:t>三、项目目标</w:t>
      </w:r>
      <w:bookmarkEnd w:id="48"/>
    </w:p>
    <w:p>
      <w:pPr>
        <w:spacing w:line="360" w:lineRule="auto"/>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浙江省法人数字证书基础服务项目是我省统一数字认证</w:t>
      </w:r>
      <w:r>
        <w:rPr>
          <w:rFonts w:hint="eastAsia" w:ascii="仿宋_GB2312" w:hAnsi="仿宋_GB2312" w:eastAsia="仿宋_GB2312" w:cs="仿宋_GB2312"/>
          <w:color w:val="auto"/>
          <w:sz w:val="30"/>
          <w:szCs w:val="30"/>
          <w:highlight w:val="none"/>
          <w:lang w:val="en-US" w:eastAsia="zh-CN"/>
        </w:rPr>
        <w:t>与</w:t>
      </w:r>
      <w:r>
        <w:rPr>
          <w:rFonts w:hint="eastAsia" w:ascii="仿宋_GB2312" w:hAnsi="仿宋_GB2312" w:eastAsia="仿宋_GB2312" w:cs="仿宋_GB2312"/>
          <w:color w:val="auto"/>
          <w:sz w:val="30"/>
          <w:szCs w:val="30"/>
          <w:highlight w:val="none"/>
        </w:rPr>
        <w:t>电子印章</w:t>
      </w:r>
      <w:r>
        <w:rPr>
          <w:rFonts w:hint="eastAsia" w:ascii="仿宋_GB2312" w:hAnsi="仿宋_GB2312" w:eastAsia="仿宋_GB2312" w:cs="仿宋_GB2312"/>
          <w:color w:val="auto"/>
          <w:sz w:val="30"/>
          <w:szCs w:val="30"/>
          <w:highlight w:val="none"/>
          <w:lang w:val="en-US" w:eastAsia="zh-CN"/>
        </w:rPr>
        <w:t>应用</w:t>
      </w:r>
      <w:r>
        <w:rPr>
          <w:rFonts w:hint="eastAsia" w:ascii="仿宋_GB2312" w:hAnsi="仿宋_GB2312" w:eastAsia="仿宋_GB2312" w:cs="仿宋_GB2312"/>
          <w:color w:val="auto"/>
          <w:sz w:val="30"/>
          <w:szCs w:val="30"/>
          <w:highlight w:val="none"/>
        </w:rPr>
        <w:t>服务采购项目。服务对象包括全省（不含宁波，下同）党政机关、企事业单位和社会团体四类法人及个体工商户（以下简称法人）。本期项目目标如下：</w:t>
      </w:r>
    </w:p>
    <w:p>
      <w:pPr>
        <w:spacing w:line="360" w:lineRule="auto"/>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通过依法设立的电子认证服务机构与发行和应用服务机构，在不改变双方现有分工模式的情况下，为全省法人用户提供支持“一证通用”的</w:t>
      </w:r>
      <w:r>
        <w:rPr>
          <w:rFonts w:hint="eastAsia" w:ascii="仿宋_GB2312" w:hAnsi="仿宋_GB2312" w:eastAsia="仿宋_GB2312" w:cs="仿宋_GB2312"/>
          <w:color w:val="auto"/>
          <w:sz w:val="30"/>
          <w:szCs w:val="30"/>
          <w:highlight w:val="none"/>
          <w:lang w:val="en-US" w:eastAsia="zh-CN"/>
        </w:rPr>
        <w:t>首张移动版或介质版</w:t>
      </w:r>
      <w:r>
        <w:rPr>
          <w:rFonts w:hint="eastAsia" w:ascii="仿宋_GB2312" w:hAnsi="仿宋_GB2312" w:eastAsia="仿宋_GB2312" w:cs="仿宋_GB2312"/>
          <w:color w:val="auto"/>
          <w:sz w:val="30"/>
          <w:szCs w:val="30"/>
          <w:highlight w:val="none"/>
        </w:rPr>
        <w:t>法人数字证书与生命周期管理服务</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其中电子认证服务机构负责法人数字证书的签发；发行和应用服务机构负责法人数字证书申请的受理、电子印章的制作、法人数字证书的交付以及客户服务；为已发的企业数字证书提供升级更新服务，使其升级至支持“一证通用”的法人数字证书。</w:t>
      </w:r>
    </w:p>
    <w:p>
      <w:pPr>
        <w:spacing w:line="360" w:lineRule="auto"/>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整合法人基础身份信息，实现一证通用。以统一社会信用代码为基础，统一法人数字证书的格式标准。</w:t>
      </w:r>
    </w:p>
    <w:p>
      <w:pPr>
        <w:spacing w:line="360" w:lineRule="auto"/>
        <w:ind w:firstLine="600"/>
        <w:rPr>
          <w:rFonts w:hint="eastAsia" w:ascii="仿宋_GB2312" w:hAnsi="仿宋_GB2312" w:eastAsia="仿宋_GB2312" w:cs="仿宋_GB2312"/>
          <w:color w:val="auto"/>
          <w:sz w:val="30"/>
          <w:szCs w:val="30"/>
          <w:highlight w:val="yellow"/>
        </w:rPr>
      </w:pPr>
      <w:r>
        <w:rPr>
          <w:rFonts w:hint="eastAsia" w:ascii="仿宋_GB2312" w:hAnsi="仿宋_GB2312" w:eastAsia="仿宋_GB2312" w:cs="仿宋_GB2312"/>
          <w:color w:val="auto"/>
          <w:sz w:val="30"/>
          <w:szCs w:val="30"/>
          <w:highlight w:val="none"/>
        </w:rPr>
        <w:t>3</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完善数字证书收费机制。通过政府统一购买服务的方式，由省级财政资金按照年度采购全省法人数字证书基础服务，确保本省每户法人免费拥有一张支持“一证通用”的数字证书，解决全省法人的基本电子认证及电子印章服务需求。</w:t>
      </w:r>
    </w:p>
    <w:p>
      <w:pPr>
        <w:spacing w:line="360" w:lineRule="auto"/>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运营稳健的服务体系</w:t>
      </w:r>
      <w:r>
        <w:rPr>
          <w:rFonts w:hint="eastAsia" w:ascii="仿宋_GB2312" w:hAnsi="仿宋_GB2312" w:eastAsia="仿宋_GB2312" w:cs="仿宋_GB2312"/>
          <w:color w:val="auto"/>
          <w:sz w:val="30"/>
          <w:szCs w:val="30"/>
          <w:highlight w:val="none"/>
          <w:lang w:val="en-US" w:eastAsia="zh-CN"/>
        </w:rPr>
        <w:t>为全面应用提供有效支撑</w:t>
      </w:r>
      <w:r>
        <w:rPr>
          <w:rFonts w:hint="eastAsia" w:ascii="仿宋_GB2312" w:hAnsi="仿宋_GB2312" w:eastAsia="仿宋_GB2312" w:cs="仿宋_GB2312"/>
          <w:color w:val="auto"/>
          <w:sz w:val="30"/>
          <w:szCs w:val="30"/>
          <w:highlight w:val="none"/>
        </w:rPr>
        <w:t>。通过专业的服务机构，依托行政服务中心服务窗口和原有的服务渠道积极利用信息化、网络化手段，统一建设覆盖全省的法人数字证书服务体系，面向所有法人提供优质的在线与本地化发行与售后便民服务，为全面应用提供有效支撑。</w:t>
      </w:r>
    </w:p>
    <w:p>
      <w:pPr>
        <w:spacing w:line="360" w:lineRule="auto"/>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保障并进一步升级法人数字证书与电子印章的相关技术规范。统一提供数字证书与电子印章的相关接口，发放符合国家标准和国产密码算法的数字证书与电子印章，以逐步满足今后跨区域、跨行业、交叉互认及数据共享的应用需求。积极推进移动证书发行和应用，不断提升移动版证书领证、用证的便利性和成熟度，实现从介质证书向移动证书的平稳过渡，实现省法人数字证书的移动办掌上办，为打造浙江移动办事先进省份创造条件。</w:t>
      </w:r>
    </w:p>
    <w:p>
      <w:pPr>
        <w:spacing w:line="360" w:lineRule="auto"/>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持续进行系统的改造升级。为应对日益增长的发行和服务需要，要不断提升服务和应用水平，持续进行相关系统的升级改造，以符合信息化、智能化的建设目标，不断降低人工成本，提升应用及服务效能，同时保障系统的安全性和稳定性。</w:t>
      </w:r>
    </w:p>
    <w:p>
      <w:pPr>
        <w:spacing w:line="360" w:lineRule="auto"/>
        <w:ind w:firstLine="600" w:firstLineChars="0"/>
        <w:rPr>
          <w:rFonts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7</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继续建立和完善相关配套保障措施。由省经信厅牵头，建立相关工作推进机制，统筹推进我省统一数字认证</w:t>
      </w:r>
      <w:r>
        <w:rPr>
          <w:rFonts w:hint="eastAsia" w:ascii="仿宋_GB2312" w:hAnsi="仿宋_GB2312" w:eastAsia="仿宋_GB2312" w:cs="仿宋_GB2312"/>
          <w:color w:val="auto"/>
          <w:sz w:val="30"/>
          <w:szCs w:val="30"/>
          <w:highlight w:val="none"/>
          <w:lang w:val="en-US" w:eastAsia="zh-CN"/>
        </w:rPr>
        <w:t>发行与应用</w:t>
      </w:r>
      <w:r>
        <w:rPr>
          <w:rFonts w:hint="eastAsia" w:ascii="仿宋_GB2312" w:hAnsi="仿宋_GB2312" w:eastAsia="仿宋_GB2312" w:cs="仿宋_GB2312"/>
          <w:color w:val="auto"/>
          <w:sz w:val="30"/>
          <w:szCs w:val="30"/>
          <w:highlight w:val="none"/>
        </w:rPr>
        <w:t>工作，指导协调各政务部门应用法人数字证书开展</w:t>
      </w:r>
      <w:r>
        <w:rPr>
          <w:rFonts w:hint="eastAsia" w:ascii="仿宋_GB2312" w:hAnsi="仿宋_GB2312" w:eastAsia="仿宋_GB2312" w:cs="仿宋_GB2312"/>
          <w:sz w:val="30"/>
          <w:szCs w:val="30"/>
          <w:highlight w:val="none"/>
        </w:rPr>
        <w:t>在线办事和服务。</w:t>
      </w:r>
    </w:p>
    <w:p>
      <w:pPr>
        <w:spacing w:line="360" w:lineRule="auto"/>
        <w:rPr>
          <w:rFonts w:hint="eastAsia" w:ascii="仿宋_GB2312" w:hAnsi="仿宋_GB2312" w:eastAsia="仿宋_GB2312" w:cs="仿宋_GB2312"/>
          <w:b/>
          <w:color w:val="auto"/>
          <w:sz w:val="30"/>
          <w:szCs w:val="30"/>
          <w:highlight w:val="none"/>
        </w:rPr>
      </w:pPr>
      <w:bookmarkStart w:id="49" w:name="_Toc20668"/>
      <w:r>
        <w:rPr>
          <w:rFonts w:hint="eastAsia" w:ascii="仿宋_GB2312" w:hAnsi="仿宋_GB2312" w:eastAsia="仿宋_GB2312" w:cs="仿宋_GB2312"/>
          <w:b/>
          <w:color w:val="auto"/>
          <w:sz w:val="30"/>
          <w:szCs w:val="30"/>
          <w:highlight w:val="none"/>
        </w:rPr>
        <w:t>四、项目服务内容</w:t>
      </w:r>
      <w:bookmarkEnd w:id="49"/>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（一）浙江省法人数字证书</w:t>
      </w:r>
    </w:p>
    <w:p>
      <w:pPr>
        <w:spacing w:line="560" w:lineRule="exact"/>
        <w:ind w:firstLine="600"/>
        <w:rPr>
          <w:rFonts w:hint="eastAsia" w:ascii="仿宋_GB2312" w:hAnsi="仿宋_GB2312" w:eastAsia="仿宋_GB2312" w:cs="仿宋_GB2312"/>
          <w:sz w:val="30"/>
          <w:szCs w:val="30"/>
          <w:highlight w:val="yellow"/>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val="en-US" w:eastAsia="zh-Hans"/>
        </w:rPr>
        <w:t>为项目服务对象签发</w:t>
      </w:r>
      <w:r>
        <w:rPr>
          <w:rFonts w:hint="eastAsia" w:ascii="仿宋_GB2312" w:hAnsi="仿宋_GB2312" w:eastAsia="仿宋_GB2312" w:cs="仿宋_GB2312"/>
          <w:sz w:val="30"/>
          <w:szCs w:val="30"/>
          <w:highlight w:val="none"/>
        </w:rPr>
        <w:t>首张“浙江省法人数字证书”，证书种类为</w:t>
      </w:r>
      <w:r>
        <w:rPr>
          <w:rFonts w:hint="eastAsia" w:ascii="仿宋_GB2312" w:hAnsi="仿宋_GB2312" w:eastAsia="仿宋_GB2312" w:cs="仿宋_GB2312"/>
          <w:sz w:val="30"/>
          <w:szCs w:val="30"/>
          <w:highlight w:val="none"/>
          <w:lang w:eastAsia="zh-Hans"/>
        </w:rPr>
        <w:t>移动版</w:t>
      </w:r>
      <w:r>
        <w:rPr>
          <w:rFonts w:hint="eastAsia" w:ascii="仿宋_GB2312" w:hAnsi="仿宋_GB2312" w:eastAsia="仿宋_GB2312" w:cs="仿宋_GB2312"/>
          <w:sz w:val="30"/>
          <w:szCs w:val="30"/>
          <w:highlight w:val="none"/>
        </w:rPr>
        <w:t>证书</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Hans"/>
        </w:rPr>
        <w:t>对有需要的用户</w:t>
      </w:r>
      <w:r>
        <w:rPr>
          <w:rFonts w:hint="eastAsia" w:ascii="仿宋_GB2312" w:hAnsi="仿宋_GB2312" w:eastAsia="仿宋_GB2312" w:cs="仿宋_GB2312"/>
          <w:sz w:val="30"/>
          <w:szCs w:val="30"/>
          <w:highlight w:val="none"/>
          <w:lang w:val="en-US" w:eastAsia="zh-CN"/>
        </w:rPr>
        <w:t>免费</w:t>
      </w:r>
      <w:r>
        <w:rPr>
          <w:rFonts w:hint="eastAsia" w:ascii="仿宋_GB2312" w:hAnsi="仿宋_GB2312" w:eastAsia="仿宋_GB2312" w:cs="仿宋_GB2312"/>
          <w:sz w:val="30"/>
          <w:szCs w:val="30"/>
          <w:highlight w:val="none"/>
          <w:lang w:val="en-US" w:eastAsia="zh-Hans"/>
        </w:rPr>
        <w:t>提供</w:t>
      </w:r>
      <w:r>
        <w:rPr>
          <w:rFonts w:hint="eastAsia" w:ascii="仿宋_GB2312" w:hAnsi="仿宋_GB2312" w:eastAsia="仿宋_GB2312" w:cs="仿宋_GB2312"/>
          <w:sz w:val="30"/>
          <w:szCs w:val="30"/>
          <w:highlight w:val="none"/>
          <w:lang w:val="en-US" w:eastAsia="zh-CN"/>
        </w:rPr>
        <w:t>首张</w:t>
      </w:r>
      <w:r>
        <w:rPr>
          <w:rFonts w:hint="eastAsia" w:ascii="仿宋_GB2312" w:hAnsi="仿宋_GB2312" w:eastAsia="仿宋_GB2312" w:cs="仿宋_GB2312"/>
          <w:sz w:val="30"/>
          <w:szCs w:val="30"/>
          <w:highlight w:val="none"/>
          <w:lang w:val="en-US" w:eastAsia="zh-Hans"/>
        </w:rPr>
        <w:t>介质</w:t>
      </w:r>
      <w:r>
        <w:rPr>
          <w:rFonts w:hint="eastAsia" w:ascii="仿宋_GB2312" w:hAnsi="仿宋_GB2312" w:eastAsia="仿宋_GB2312" w:cs="仿宋_GB2312"/>
          <w:sz w:val="30"/>
          <w:szCs w:val="30"/>
          <w:highlight w:val="none"/>
          <w:lang w:val="en-US" w:eastAsia="zh-CN"/>
        </w:rPr>
        <w:t>版</w:t>
      </w:r>
      <w:r>
        <w:rPr>
          <w:rFonts w:hint="eastAsia" w:ascii="仿宋_GB2312" w:hAnsi="仿宋_GB2312" w:eastAsia="仿宋_GB2312" w:cs="仿宋_GB2312"/>
          <w:sz w:val="30"/>
          <w:szCs w:val="30"/>
          <w:highlight w:val="none"/>
          <w:lang w:val="en-US" w:eastAsia="zh-Hans"/>
        </w:rPr>
        <w:t>证书</w:t>
      </w:r>
      <w:r>
        <w:rPr>
          <w:rFonts w:hint="eastAsia" w:ascii="仿宋_GB2312" w:hAnsi="仿宋_GB2312" w:eastAsia="仿宋_GB2312" w:cs="仿宋_GB2312"/>
          <w:sz w:val="30"/>
          <w:szCs w:val="30"/>
          <w:highlight w:val="none"/>
          <w:lang w:val="en-US" w:eastAsia="zh-CN"/>
        </w:rPr>
        <w:t>。</w:t>
      </w:r>
    </w:p>
    <w:p>
      <w:pPr>
        <w:spacing w:line="560" w:lineRule="exact"/>
        <w:ind w:firstLine="600"/>
        <w:rPr>
          <w:rFonts w:hint="eastAsia" w:ascii="仿宋_GB2312" w:hAnsi="仿宋_GB2312" w:eastAsia="仿宋_GB2312" w:cs="仿宋_GB2312"/>
          <w:sz w:val="30"/>
          <w:szCs w:val="30"/>
          <w:highlight w:val="yellow"/>
          <w:lang w:eastAsia="zh-CN"/>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为“浙江省法人数字证书”免费提供国产密码算法的升级更新服务；实施国产密码后，免费更换移动证书</w:t>
      </w:r>
      <w:r>
        <w:rPr>
          <w:rFonts w:hint="eastAsia" w:ascii="仿宋_GB2312" w:hAnsi="仿宋_GB2312" w:eastAsia="仿宋_GB2312" w:cs="仿宋_GB2312"/>
          <w:sz w:val="30"/>
          <w:szCs w:val="30"/>
          <w:highlight w:val="none"/>
          <w:lang w:eastAsia="zh-CN"/>
        </w:rPr>
        <w:t>。</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依托合法建设的数字认证基础设施，建立完善的运维保障体系，保障系统正常运行，提供证书签发、生命周期管理及密钥管理等技术服务。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为全省电子政务部门提供证书信息发布与黑名单下载服务。</w:t>
      </w:r>
    </w:p>
    <w:p>
      <w:pPr>
        <w:spacing w:line="560" w:lineRule="exact"/>
        <w:ind w:firstLine="6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支持企业和个体工商户通过电子营业执照小程序下载法人数字证书。</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（二）证书生命周期管理</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供应商签发的首张“浙江省法人数字证书”有效期为一年。</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供应商在服务期内对历史上已发的存量首张“浙江省法人数字证书”免费进行证书更新</w:t>
      </w:r>
      <w:r>
        <w:rPr>
          <w:rFonts w:hint="eastAsia" w:ascii="仿宋_GB2312" w:hAnsi="仿宋_GB2312" w:eastAsia="仿宋_GB2312" w:cs="仿宋_GB2312"/>
          <w:sz w:val="30"/>
          <w:szCs w:val="30"/>
          <w:highlight w:val="none"/>
          <w:lang w:val="en-US" w:eastAsia="zh-CN"/>
        </w:rPr>
        <w:t>签发服务</w:t>
      </w:r>
      <w:r>
        <w:rPr>
          <w:rFonts w:hint="eastAsia" w:ascii="仿宋_GB2312" w:hAnsi="仿宋_GB2312" w:eastAsia="仿宋_GB2312" w:cs="仿宋_GB2312"/>
          <w:sz w:val="30"/>
          <w:szCs w:val="30"/>
          <w:highlight w:val="none"/>
        </w:rPr>
        <w:t>，证书更新后有效期顺延一年。</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如证书用户的身份信息发生变化，供应商在服务期内免费为首张“浙江省法人数字证书”进行信息变更</w:t>
      </w:r>
      <w:r>
        <w:rPr>
          <w:rFonts w:hint="eastAsia" w:ascii="仿宋_GB2312" w:hAnsi="仿宋_GB2312" w:eastAsia="仿宋_GB2312" w:cs="仿宋_GB2312"/>
          <w:sz w:val="30"/>
          <w:szCs w:val="30"/>
          <w:highlight w:val="none"/>
          <w:lang w:val="en-US" w:eastAsia="zh-CN"/>
        </w:rPr>
        <w:t>签发服务</w:t>
      </w:r>
      <w:r>
        <w:rPr>
          <w:rFonts w:hint="eastAsia" w:ascii="仿宋_GB2312" w:hAnsi="仿宋_GB2312" w:eastAsia="仿宋_GB2312" w:cs="仿宋_GB2312"/>
          <w:sz w:val="30"/>
          <w:szCs w:val="30"/>
          <w:highlight w:val="none"/>
        </w:rPr>
        <w:t>。</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用户丢失数字证书后，可办理证书补办，新签发一张证书，原有证书作废不再能使用。供应商在服务期内为首张“浙江省法人数字证书”进行证书补办</w:t>
      </w:r>
      <w:r>
        <w:rPr>
          <w:rFonts w:hint="eastAsia" w:ascii="仿宋_GB2312" w:hAnsi="仿宋_GB2312" w:eastAsia="仿宋_GB2312" w:cs="仿宋_GB2312"/>
          <w:sz w:val="30"/>
          <w:szCs w:val="30"/>
          <w:highlight w:val="none"/>
          <w:lang w:val="en-US" w:eastAsia="zh-CN"/>
        </w:rPr>
        <w:t>签发服务</w:t>
      </w:r>
      <w:r>
        <w:rPr>
          <w:rFonts w:hint="eastAsia" w:ascii="仿宋_GB2312" w:hAnsi="仿宋_GB2312" w:eastAsia="仿宋_GB2312" w:cs="仿宋_GB2312"/>
          <w:sz w:val="30"/>
          <w:szCs w:val="30"/>
          <w:highlight w:val="none"/>
        </w:rPr>
        <w:t>，其所需证书介质</w:t>
      </w:r>
      <w:r>
        <w:rPr>
          <w:rFonts w:hint="eastAsia" w:ascii="仿宋_GB2312" w:hAnsi="仿宋_GB2312" w:eastAsia="仿宋_GB2312" w:cs="仿宋_GB2312"/>
          <w:sz w:val="30"/>
          <w:szCs w:val="30"/>
          <w:highlight w:val="none"/>
          <w:lang w:val="en-US" w:eastAsia="zh-CN"/>
        </w:rPr>
        <w:t>费用</w:t>
      </w:r>
      <w:r>
        <w:rPr>
          <w:rFonts w:hint="eastAsia" w:ascii="仿宋_GB2312" w:hAnsi="仿宋_GB2312" w:eastAsia="仿宋_GB2312" w:cs="仿宋_GB2312"/>
          <w:sz w:val="30"/>
          <w:szCs w:val="30"/>
          <w:highlight w:val="none"/>
        </w:rPr>
        <w:t>由用户自行承担。</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用户因忘记密码导致证书被锁定无法使用，可办理证书解锁。供应商在服务期内为首张“浙江省法人数字证书”免费</w:t>
      </w:r>
      <w:r>
        <w:rPr>
          <w:rFonts w:hint="eastAsia" w:ascii="仿宋_GB2312" w:hAnsi="仿宋_GB2312" w:eastAsia="仿宋_GB2312" w:cs="仿宋_GB2312"/>
          <w:sz w:val="30"/>
          <w:szCs w:val="30"/>
          <w:highlight w:val="none"/>
          <w:lang w:val="en-US" w:eastAsia="zh-CN"/>
        </w:rPr>
        <w:t>提供</w:t>
      </w:r>
      <w:r>
        <w:rPr>
          <w:rFonts w:hint="eastAsia" w:ascii="仿宋_GB2312" w:hAnsi="仿宋_GB2312" w:eastAsia="仿宋_GB2312" w:cs="仿宋_GB2312"/>
          <w:sz w:val="30"/>
          <w:szCs w:val="30"/>
          <w:highlight w:val="none"/>
        </w:rPr>
        <w:t>解锁</w:t>
      </w:r>
      <w:r>
        <w:rPr>
          <w:rFonts w:hint="eastAsia" w:ascii="仿宋_GB2312" w:hAnsi="仿宋_GB2312" w:eastAsia="仿宋_GB2312" w:cs="仿宋_GB2312"/>
          <w:sz w:val="30"/>
          <w:szCs w:val="30"/>
          <w:highlight w:val="none"/>
          <w:lang w:val="en-US" w:eastAsia="zh-CN"/>
        </w:rPr>
        <w:t>控件</w:t>
      </w:r>
      <w:r>
        <w:rPr>
          <w:rFonts w:hint="eastAsia" w:ascii="仿宋_GB2312" w:hAnsi="仿宋_GB2312" w:eastAsia="仿宋_GB2312" w:cs="仿宋_GB2312"/>
          <w:sz w:val="30"/>
          <w:szCs w:val="30"/>
          <w:highlight w:val="none"/>
        </w:rPr>
        <w:t>。</w:t>
      </w:r>
    </w:p>
    <w:p>
      <w:pPr>
        <w:spacing w:line="360" w:lineRule="auto"/>
        <w:ind w:firstLine="600"/>
        <w:rPr>
          <w:rFonts w:ascii="宋体" w:hAnsi="宋体" w:eastAsia="宋体" w:cs="仿宋_GB2312"/>
        </w:rPr>
      </w:pPr>
      <w:r>
        <w:rPr>
          <w:rFonts w:hint="eastAsia" w:ascii="仿宋_GB2312" w:hAnsi="仿宋_GB2312" w:eastAsia="仿宋_GB2312" w:cs="仿宋_GB2312"/>
          <w:sz w:val="30"/>
          <w:szCs w:val="30"/>
          <w:highlight w:val="none"/>
        </w:rPr>
        <w:t>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供应商在服务期内，按照电子认证业务规则的相关规定，可根据证书用户、“浙江省法人数字证书”发行与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服务机构以及证书应用部门或司法机关的要求</w:t>
      </w:r>
      <w:r>
        <w:rPr>
          <w:rFonts w:hint="eastAsia" w:ascii="仿宋_GB2312" w:hAnsi="仿宋_GB2312" w:eastAsia="仿宋_GB2312" w:cs="仿宋_GB2312"/>
          <w:sz w:val="30"/>
          <w:szCs w:val="30"/>
          <w:highlight w:val="none"/>
          <w:lang w:val="en-US" w:eastAsia="zh-CN"/>
        </w:rPr>
        <w:t>注销</w:t>
      </w:r>
      <w:r>
        <w:rPr>
          <w:rFonts w:hint="eastAsia" w:ascii="仿宋_GB2312" w:hAnsi="仿宋_GB2312" w:eastAsia="仿宋_GB2312" w:cs="仿宋_GB2312"/>
          <w:sz w:val="30"/>
          <w:szCs w:val="30"/>
          <w:highlight w:val="none"/>
          <w:lang w:eastAsia="zh-CN"/>
        </w:rPr>
        <w:t>。</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（三）证书介质</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供应商在服务期内统一向“浙江省法人数字证书”发行与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服务机构提供证书介质（移动版证书不提供存储介质）。</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“浙江省法人数字证书”签发、证书补办或证书密钥恢复等所需证书</w:t>
      </w:r>
      <w:r>
        <w:rPr>
          <w:rFonts w:hint="eastAsia" w:ascii="仿宋_GB2312" w:hAnsi="仿宋_GB2312" w:eastAsia="仿宋_GB2312" w:cs="仿宋_GB2312"/>
          <w:color w:val="auto"/>
          <w:sz w:val="30"/>
          <w:szCs w:val="30"/>
          <w:highlight w:val="none"/>
        </w:rPr>
        <w:t>介质</w:t>
      </w:r>
      <w:r>
        <w:rPr>
          <w:rFonts w:hint="eastAsia" w:ascii="仿宋_GB2312" w:hAnsi="仿宋_GB2312" w:eastAsia="仿宋_GB2312" w:cs="仿宋_GB2312"/>
          <w:color w:val="auto"/>
          <w:sz w:val="30"/>
          <w:szCs w:val="30"/>
          <w:highlight w:val="none"/>
          <w:lang w:val="en-US" w:eastAsia="zh-CN"/>
        </w:rPr>
        <w:t>费用</w:t>
      </w:r>
      <w:r>
        <w:rPr>
          <w:rFonts w:hint="eastAsia" w:ascii="仿宋_GB2312" w:hAnsi="仿宋_GB2312" w:eastAsia="仿宋_GB2312" w:cs="仿宋_GB2312"/>
          <w:color w:val="auto"/>
          <w:sz w:val="30"/>
          <w:szCs w:val="30"/>
          <w:highlight w:val="none"/>
        </w:rPr>
        <w:t>由用户</w:t>
      </w:r>
      <w:r>
        <w:rPr>
          <w:rFonts w:hint="eastAsia" w:ascii="仿宋_GB2312" w:hAnsi="仿宋_GB2312" w:eastAsia="仿宋_GB2312" w:cs="仿宋_GB2312"/>
          <w:sz w:val="30"/>
          <w:szCs w:val="30"/>
          <w:highlight w:val="none"/>
        </w:rPr>
        <w:t>自行承担。</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（四）数字认证系统服务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供应商需提供依法合规建设的数字认证基础设施，介质证书和移动证书能够满足RSA与SM2算法的证书签发与生命周期管理要求。</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供应商需为“浙江省法人数字证书”发行与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服务机构</w:t>
      </w:r>
      <w:r>
        <w:rPr>
          <w:rFonts w:hint="eastAsia" w:ascii="仿宋_GB2312" w:hAnsi="仿宋_GB2312" w:eastAsia="仿宋_GB2312" w:cs="仿宋_GB2312"/>
          <w:sz w:val="30"/>
          <w:szCs w:val="30"/>
          <w:highlight w:val="none"/>
          <w:lang w:val="en-US" w:eastAsia="zh-CN"/>
        </w:rPr>
        <w:t>的法人数字证书统一服务平台</w:t>
      </w:r>
      <w:r>
        <w:rPr>
          <w:rFonts w:hint="eastAsia" w:ascii="仿宋_GB2312" w:hAnsi="仿宋_GB2312" w:eastAsia="仿宋_GB2312" w:cs="仿宋_GB2312"/>
          <w:sz w:val="30"/>
          <w:szCs w:val="30"/>
          <w:highlight w:val="none"/>
        </w:rPr>
        <w:t>提供证书生命周期管理的业务接口，提供证书签发与生命周期管理服务。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供应商需建立完善的系统运维保障体系，保障数字认证基础设施能够7*24小时正常运行。</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供应商为全省电子政务应用部门免费提供证书信息发布与黑名单下载服务。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（五）密钥服务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供应商需使用符合国家规范要求的密钥基础设施提供“浙江省法人数字证书”的加密密钥。</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供应商提供“浙江省法人数字证书”加密密钥的生成、存储、分发、备份、更新、撤销、归档、恢复及管理服务。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如用户证书丢失，对原有加密信息有解密需求，供应商应提供加密密钥恢复服务。密钥恢复服务所需费用由用户自行承担。</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（六）技术支持服务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供应商需对“浙江省法人数字证书”发行与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服务机构提供证书签发与生命周期管理服务的维护保障等技术支持。</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供应商应为电子政务应用部门提供符合国密局《电子政务数字证书应用接口规范》的应用集成规范文档。</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应用“浙江省法人数字证书”进行电子签名后，如有争议需进行签名验证，供应商应能提供符合规范的电子签名验证报告。电子签名验证所需费用由申请方承担。</w:t>
      </w:r>
    </w:p>
    <w:p>
      <w:pPr>
        <w:spacing w:line="360" w:lineRule="auto"/>
        <w:rPr>
          <w:rFonts w:hint="eastAsia" w:ascii="仿宋_GB2312" w:hAnsi="仿宋_GB2312" w:eastAsia="仿宋_GB2312" w:cs="仿宋_GB2312"/>
          <w:b/>
          <w:bCs w:val="0"/>
          <w:snapToGrid w:val="0"/>
          <w:color w:val="auto"/>
          <w:kern w:val="0"/>
          <w:sz w:val="30"/>
          <w:szCs w:val="30"/>
          <w:highlight w:val="none"/>
          <w:lang w:val="en-US" w:eastAsia="zh-CN" w:bidi="ar-SA"/>
        </w:rPr>
      </w:pPr>
      <w:bookmarkStart w:id="50" w:name="_Toc15528"/>
      <w:r>
        <w:rPr>
          <w:rFonts w:hint="eastAsia" w:ascii="仿宋_GB2312" w:hAnsi="仿宋_GB2312" w:eastAsia="仿宋_GB2312" w:cs="仿宋_GB2312"/>
          <w:b/>
          <w:bCs w:val="0"/>
          <w:snapToGrid w:val="0"/>
          <w:color w:val="auto"/>
          <w:kern w:val="0"/>
          <w:sz w:val="30"/>
          <w:szCs w:val="30"/>
          <w:highlight w:val="none"/>
          <w:lang w:val="en-US" w:eastAsia="zh-CN" w:bidi="ar-SA"/>
        </w:rPr>
        <w:t>五、项目</w:t>
      </w:r>
      <w:r>
        <w:rPr>
          <w:rFonts w:hint="eastAsia" w:ascii="仿宋_GB2312" w:hAnsi="仿宋_GB2312" w:eastAsia="仿宋_GB2312" w:cs="仿宋_GB2312"/>
          <w:b/>
          <w:color w:val="auto"/>
          <w:sz w:val="30"/>
          <w:szCs w:val="30"/>
          <w:highlight w:val="none"/>
          <w:lang w:val="en-US" w:eastAsia="zh-CN"/>
        </w:rPr>
        <w:t>服务</w:t>
      </w:r>
      <w:r>
        <w:rPr>
          <w:rFonts w:hint="eastAsia" w:ascii="仿宋_GB2312" w:hAnsi="仿宋_GB2312" w:eastAsia="仿宋_GB2312" w:cs="仿宋_GB2312"/>
          <w:b/>
          <w:bCs w:val="0"/>
          <w:snapToGrid w:val="0"/>
          <w:color w:val="auto"/>
          <w:kern w:val="0"/>
          <w:sz w:val="30"/>
          <w:szCs w:val="30"/>
          <w:highlight w:val="none"/>
          <w:lang w:val="en-US" w:eastAsia="zh-CN" w:bidi="ar-SA"/>
        </w:rPr>
        <w:t>要求</w:t>
      </w:r>
      <w:bookmarkEnd w:id="50"/>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数字证书</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1.1数字证书统一冠名为“浙江省法人数字证书”，冠名权属于采购人。</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color w:val="auto"/>
          <w:sz w:val="30"/>
          <w:szCs w:val="30"/>
          <w:highlight w:val="none"/>
        </w:rPr>
        <w:t>.2数字证书为双证书（签名证书、加密证书）的“机构证书”，证书类型为国</w:t>
      </w:r>
      <w:r>
        <w:rPr>
          <w:rFonts w:hint="eastAsia" w:ascii="仿宋_GB2312" w:hAnsi="仿宋_GB2312" w:eastAsia="仿宋_GB2312" w:cs="仿宋_GB2312"/>
          <w:sz w:val="30"/>
          <w:szCs w:val="30"/>
          <w:highlight w:val="none"/>
        </w:rPr>
        <w:t>产密码SM2算法，</w:t>
      </w:r>
      <w:r>
        <w:rPr>
          <w:rFonts w:hint="eastAsia" w:ascii="仿宋_GB2312" w:hAnsi="仿宋_GB2312" w:eastAsia="仿宋_GB2312" w:cs="仿宋_GB2312"/>
          <w:sz w:val="30"/>
          <w:szCs w:val="30"/>
          <w:highlight w:val="none"/>
          <w:lang w:val="en-US" w:eastAsia="zh-CN"/>
        </w:rPr>
        <w:t>使用国密局国家电子认证根CA颁发的根证书签发</w:t>
      </w:r>
      <w:r>
        <w:rPr>
          <w:rFonts w:hint="eastAsia" w:ascii="仿宋_GB2312" w:hAnsi="仿宋_GB2312" w:eastAsia="仿宋_GB2312" w:cs="仿宋_GB2312"/>
          <w:sz w:val="30"/>
          <w:szCs w:val="30"/>
          <w:highlight w:val="none"/>
        </w:rPr>
        <w:t>，证书格式符合国密局的电子政务数字证书格式规范。</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1.3法人数字证书（首张）的证书生命周期为1年，自证书签发之日起计算。</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证书介质</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2.1使用的证书介质符合国密局《智能密码钥匙技术规范》，芯片为具有国密资质的国产安全芯片，采用应用较为广泛的USB KEY，传输协议为USB2.0。</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2.2证书介质支持RSA与SM2双算法。</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2.3证书介质的质保期按介质厂商承诺期为准，不低于三年。</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数字认证系统服务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3.1需具备国家密码管理局《电子认证服务使用密码许可证》和工信部的《电子认证服务许可证》，具备国家密码管理局同意开展电子政务电子认证服务的许可文件。</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3.2供应商相关数字认证基础设施必须使用浙江省密钥管理中心提供的密钥，需要能够提供7*24小时正常服务。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3.3供应商的数字认证系统必须遵循国家相关技术标准规范，支持RSA与SM2双算法。</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3.4供应商为“浙江省法人数字证书”发行与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服务机构提供数字证书签发与生命周期管理服务，充分保证证书密钥安全。</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3.5供应商为“浙江省法人数字证书”发行与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服务机构提供证书生命周期管理控件，具备证书制作、密钥灌装、格式化、口令修改等功能，支持RSA与SM2双算法；支持WIN7、WIN8、WIN10系统的32位与64位系统环境，支持IE9、IE10、IE11等浏览器。</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证书存储与信息发布查询服务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4.1供应商必须提供LDAP与CRL基础信息服务，能够支持现有法人用户规模。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4.2保证法人数字证书失效后的存储时间至少在5年以上。</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4.3提供LDAP协议的证书发布接口。</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4.4提供LDAP协议的黑名单（CRL）下载接口。</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4.5保证证书状态能够在24小时给予更新。</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4.6保证证书信息发布查询服务能够提供7*24小时正常服务。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技术支持服务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5.1为“浙江省法人数字证书”发行与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服务机构提供技术支持服务对接联系人，对数字认证系统、信息发布系统、证书生命周期管理的业务接口等提供技术支持服务，保证7*24小时联系电话畅通。</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5.2为全省电子政务应用部门提供技术支持服务对接联系人，对证书信息发布与黑名单下载等提供技术支持服务，保证5*8小时联系电话畅通。</w:t>
      </w:r>
    </w:p>
    <w:p>
      <w:pPr>
        <w:spacing w:line="360" w:lineRule="auto"/>
        <w:rPr>
          <w:rFonts w:hint="eastAsia" w:ascii="仿宋_GB2312" w:hAnsi="仿宋_GB2312" w:eastAsia="仿宋_GB2312" w:cs="仿宋_GB2312"/>
          <w:b/>
          <w:color w:val="auto"/>
          <w:sz w:val="30"/>
          <w:szCs w:val="30"/>
          <w:highlight w:val="none"/>
        </w:rPr>
      </w:pPr>
      <w:bookmarkStart w:id="51" w:name="_Toc12150"/>
      <w:r>
        <w:rPr>
          <w:rFonts w:hint="eastAsia" w:ascii="仿宋_GB2312" w:hAnsi="仿宋_GB2312" w:eastAsia="仿宋_GB2312" w:cs="仿宋_GB2312"/>
          <w:b/>
          <w:color w:val="auto"/>
          <w:sz w:val="30"/>
          <w:szCs w:val="30"/>
          <w:highlight w:val="none"/>
        </w:rPr>
        <w:t>六、项目实施要求</w:t>
      </w:r>
      <w:bookmarkEnd w:id="51"/>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供应商应具有国家密码管理局颁发的《电子认证服务使用密码许可证》以及工业和信息化部颁发的《电子认证服务许可证》。</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供应商应针对服务内容和服务质量要求，在</w:t>
      </w:r>
      <w:r>
        <w:rPr>
          <w:rFonts w:hint="eastAsia" w:ascii="仿宋_GB2312" w:hAnsi="仿宋_GB2312" w:eastAsia="仿宋_GB2312" w:cs="仿宋_GB2312"/>
          <w:sz w:val="30"/>
          <w:szCs w:val="30"/>
          <w:highlight w:val="none"/>
          <w:lang w:val="en-US" w:eastAsia="zh-CN"/>
        </w:rPr>
        <w:t>响应</w:t>
      </w:r>
      <w:r>
        <w:rPr>
          <w:rFonts w:hint="eastAsia" w:ascii="仿宋_GB2312" w:hAnsi="仿宋_GB2312" w:eastAsia="仿宋_GB2312" w:cs="仿宋_GB2312"/>
          <w:sz w:val="30"/>
          <w:szCs w:val="30"/>
          <w:highlight w:val="none"/>
        </w:rPr>
        <w:t>文件中需提供详细的项目实施方案，包括人员组织和分工、项目风险控制方案、质量控制方案、进度控制方案和项目人员保障方案以及相应的培训组织等内容。</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要求在合同签订后生效后，供应商提供“浙江省法人数字证书”的服务。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同时供应商应配合应用部门完成应用系统的对接工作，实现“浙江省法人数字证书”在重点应用中的使用与平滑过渡。</w:t>
      </w:r>
    </w:p>
    <w:p>
      <w:pPr>
        <w:spacing w:line="360" w:lineRule="auto"/>
        <w:rPr>
          <w:rFonts w:hint="eastAsia" w:ascii="仿宋_GB2312" w:hAnsi="仿宋_GB2312" w:eastAsia="仿宋_GB2312" w:cs="仿宋_GB2312"/>
          <w:b/>
          <w:color w:val="auto"/>
          <w:sz w:val="30"/>
          <w:szCs w:val="30"/>
          <w:highlight w:val="none"/>
        </w:rPr>
      </w:pPr>
      <w:bookmarkStart w:id="52" w:name="_Toc20871"/>
      <w:r>
        <w:rPr>
          <w:rFonts w:hint="eastAsia" w:ascii="仿宋_GB2312" w:hAnsi="仿宋_GB2312" w:eastAsia="仿宋_GB2312" w:cs="仿宋_GB2312"/>
          <w:b/>
          <w:color w:val="auto"/>
          <w:sz w:val="30"/>
          <w:szCs w:val="30"/>
          <w:highlight w:val="none"/>
        </w:rPr>
        <w:t>七、绩效目标</w:t>
      </w:r>
      <w:bookmarkEnd w:id="52"/>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沿用“浙江省法人数字证书”格式与应用接口标准规范，为“浙江省法人数字证书”的一证通用奠定标准。</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年新增发放数字证书</w:t>
      </w:r>
      <w:r>
        <w:rPr>
          <w:rFonts w:hint="eastAsia" w:ascii="仿宋_GB2312" w:hAnsi="仿宋_GB2312" w:eastAsia="仿宋_GB2312" w:cs="仿宋_GB2312"/>
          <w:sz w:val="30"/>
          <w:szCs w:val="30"/>
          <w:highlight w:val="none"/>
          <w:lang w:val="en-US" w:eastAsia="zh-CN"/>
        </w:rPr>
        <w:t>35</w:t>
      </w:r>
      <w:r>
        <w:rPr>
          <w:rFonts w:hint="eastAsia" w:ascii="仿宋_GB2312" w:hAnsi="仿宋_GB2312" w:eastAsia="仿宋_GB2312" w:cs="仿宋_GB2312"/>
          <w:sz w:val="30"/>
          <w:szCs w:val="30"/>
          <w:highlight w:val="none"/>
        </w:rPr>
        <w:t>万张，全省（不含宁波）法人数字证书覆盖</w:t>
      </w:r>
      <w:r>
        <w:rPr>
          <w:rFonts w:hint="eastAsia" w:ascii="仿宋_GB2312" w:hAnsi="仿宋_GB2312" w:eastAsia="仿宋_GB2312" w:cs="仿宋_GB2312"/>
          <w:sz w:val="30"/>
          <w:szCs w:val="30"/>
          <w:highlight w:val="none"/>
          <w:lang w:val="en-US" w:eastAsia="zh-CN"/>
        </w:rPr>
        <w:t>300</w:t>
      </w:r>
      <w:r>
        <w:rPr>
          <w:rFonts w:hint="eastAsia" w:ascii="仿宋_GB2312" w:hAnsi="仿宋_GB2312" w:eastAsia="仿宋_GB2312" w:cs="仿宋_GB2312"/>
          <w:sz w:val="30"/>
          <w:szCs w:val="30"/>
          <w:highlight w:val="none"/>
        </w:rPr>
        <w:t>万用户。</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数字认证系统能够提供7*24小时正常服务，需进行月度监控，要求主监控服务器和备用监控服务器频率一致（监控次数不低于1分钟/次）。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证书存储与信息发布查询系统能够提供7*24小时正常服务。</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能够为“浙江省法人数字证书”发行与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服务机构稳定提供证书介质，保证完成年度发证目标。</w:t>
      </w:r>
    </w:p>
    <w:p>
      <w:pPr>
        <w:spacing w:line="560" w:lineRule="exact"/>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法人数字证书基础服务采购项目服务质量评估表（</w:t>
      </w:r>
      <w:r>
        <w:rPr>
          <w:rFonts w:hint="eastAsia" w:ascii="仿宋_GB2312" w:hAnsi="仿宋_GB2312" w:eastAsia="仿宋_GB2312" w:cs="仿宋_GB2312"/>
          <w:sz w:val="30"/>
          <w:szCs w:val="30"/>
          <w:highlight w:val="none"/>
          <w:lang w:val="en-US" w:eastAsia="zh-CN"/>
        </w:rPr>
        <w:t>介质和</w:t>
      </w:r>
      <w:r>
        <w:rPr>
          <w:rFonts w:hint="eastAsia" w:ascii="仿宋_GB2312" w:hAnsi="仿宋_GB2312" w:eastAsia="仿宋_GB2312" w:cs="仿宋_GB2312"/>
          <w:sz w:val="30"/>
          <w:szCs w:val="30"/>
          <w:highlight w:val="none"/>
        </w:rPr>
        <w:t>制证服务）得分85分以上。</w:t>
      </w:r>
    </w:p>
    <w:p>
      <w:pPr>
        <w:spacing w:line="360" w:lineRule="auto"/>
        <w:rPr>
          <w:rFonts w:hint="eastAsia" w:ascii="仿宋_GB2312" w:hAnsi="仿宋_GB2312" w:eastAsia="仿宋_GB2312" w:cs="仿宋_GB2312"/>
          <w:b/>
          <w:color w:val="auto"/>
          <w:sz w:val="30"/>
          <w:szCs w:val="30"/>
          <w:highlight w:val="none"/>
        </w:rPr>
      </w:pPr>
      <w:bookmarkStart w:id="53" w:name="_Toc24916"/>
      <w:r>
        <w:rPr>
          <w:rFonts w:hint="eastAsia" w:ascii="仿宋_GB2312" w:hAnsi="仿宋_GB2312" w:eastAsia="仿宋_GB2312" w:cs="仿宋_GB2312"/>
          <w:b/>
          <w:color w:val="auto"/>
          <w:sz w:val="30"/>
          <w:szCs w:val="30"/>
          <w:highlight w:val="none"/>
        </w:rPr>
        <w:t>八、服务质量要求</w:t>
      </w:r>
      <w:bookmarkEnd w:id="53"/>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质量评估主体</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浙江省经济和信息化厅作为浙江省法人数字证书基础服务的采购主体，是此项目的质量评估主体机构。</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质量评估方式</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服务质量评估由省经信委组织专家或根据需要委托第三方机构进行质量评估。</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质量评估标准</w:t>
      </w:r>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质量评估标准参考《电子政务电子认证服务质量评估要求》及本项目的具体服务求进行设定。项目服务质量评估表请见附件。</w:t>
      </w:r>
    </w:p>
    <w:p>
      <w:pPr>
        <w:spacing w:line="360" w:lineRule="auto"/>
        <w:rPr>
          <w:rFonts w:hint="eastAsia" w:ascii="仿宋_GB2312" w:hAnsi="仿宋_GB2312" w:eastAsia="仿宋_GB2312" w:cs="仿宋_GB2312"/>
          <w:b/>
          <w:color w:val="auto"/>
          <w:sz w:val="30"/>
          <w:szCs w:val="30"/>
          <w:highlight w:val="none"/>
        </w:rPr>
      </w:pPr>
      <w:bookmarkStart w:id="54" w:name="_Toc24478"/>
      <w:r>
        <w:rPr>
          <w:rFonts w:hint="eastAsia" w:ascii="仿宋_GB2312" w:hAnsi="仿宋_GB2312" w:eastAsia="仿宋_GB2312" w:cs="仿宋_GB2312"/>
          <w:b/>
          <w:color w:val="auto"/>
          <w:sz w:val="30"/>
          <w:szCs w:val="30"/>
          <w:highlight w:val="none"/>
        </w:rPr>
        <w:t>九、服务期限</w:t>
      </w:r>
      <w:bookmarkEnd w:id="54"/>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项目服务期限</w:t>
      </w:r>
      <w:r>
        <w:rPr>
          <w:rFonts w:hint="eastAsia" w:ascii="仿宋_GB2312" w:hAnsi="仿宋_GB2312" w:eastAsia="仿宋_GB2312" w:cs="仿宋_GB2312"/>
          <w:sz w:val="30"/>
          <w:szCs w:val="30"/>
          <w:highlight w:val="none"/>
          <w:lang w:val="en-US" w:eastAsia="zh-CN"/>
        </w:rPr>
        <w:t>一年</w:t>
      </w:r>
      <w:r>
        <w:rPr>
          <w:rFonts w:hint="eastAsia" w:ascii="仿宋_GB2312" w:hAnsi="仿宋_GB2312" w:eastAsia="仿宋_GB2312" w:cs="仿宋_GB2312"/>
          <w:sz w:val="30"/>
          <w:szCs w:val="30"/>
          <w:highlight w:val="none"/>
        </w:rPr>
        <w:t>。</w:t>
      </w:r>
    </w:p>
    <w:p>
      <w:pPr>
        <w:spacing w:line="360" w:lineRule="auto"/>
        <w:rPr>
          <w:rFonts w:hint="eastAsia" w:ascii="仿宋_GB2312" w:hAnsi="仿宋_GB2312" w:eastAsia="仿宋_GB2312" w:cs="仿宋_GB2312"/>
          <w:b/>
          <w:color w:val="auto"/>
          <w:sz w:val="30"/>
          <w:szCs w:val="30"/>
          <w:highlight w:val="none"/>
        </w:rPr>
      </w:pPr>
      <w:bookmarkStart w:id="55" w:name="_Toc27808"/>
      <w:r>
        <w:rPr>
          <w:rFonts w:hint="eastAsia" w:ascii="仿宋_GB2312" w:hAnsi="仿宋_GB2312" w:eastAsia="仿宋_GB2312" w:cs="仿宋_GB2312"/>
          <w:b/>
          <w:color w:val="auto"/>
          <w:sz w:val="30"/>
          <w:szCs w:val="30"/>
          <w:highlight w:val="none"/>
        </w:rPr>
        <w:t>十、附件</w:t>
      </w:r>
      <w:bookmarkEnd w:id="55"/>
    </w:p>
    <w:p>
      <w:pPr>
        <w:spacing w:line="56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附件：法人数字证书基础服务采购项目服务质量评估表（介质和制证服务）</w:t>
      </w:r>
    </w:p>
    <w:tbl>
      <w:tblPr>
        <w:tblStyle w:val="4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519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519" w:type="dxa"/>
            <w:gridSpan w:val="4"/>
            <w:noWrap w:val="0"/>
            <w:vAlign w:val="center"/>
          </w:tcPr>
          <w:p>
            <w:pPr>
              <w:spacing w:line="560" w:lineRule="exact"/>
              <w:jc w:val="center"/>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法人数字证书基础服务采购项目服务质量评估表</w:t>
            </w:r>
          </w:p>
          <w:p>
            <w:pPr>
              <w:spacing w:line="560" w:lineRule="exact"/>
              <w:ind w:firstLine="480" w:firstLineChars="20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介质和</w:t>
            </w:r>
            <w:r>
              <w:rPr>
                <w:rFonts w:hint="eastAsia" w:ascii="仿宋_GB2312" w:hAnsi="仿宋_GB2312" w:eastAsia="仿宋_GB2312" w:cs="仿宋_GB2312"/>
                <w:sz w:val="24"/>
                <w:szCs w:val="24"/>
                <w:highlight w:val="none"/>
              </w:rPr>
              <w:t>制证服务）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类别</w:t>
            </w:r>
          </w:p>
        </w:tc>
        <w:tc>
          <w:tcPr>
            <w:tcW w:w="1680" w:type="dxa"/>
            <w:noWrap w:val="0"/>
            <w:vAlign w:val="center"/>
          </w:tcPr>
          <w:p>
            <w:pPr>
              <w:widowControl/>
              <w:jc w:val="center"/>
              <w:rPr>
                <w:rFonts w:ascii="仿宋_GB2312" w:hAnsi="仿宋_GB2312" w:eastAsia="仿宋_GB2312" w:cs="仿宋_GB2312"/>
                <w:sz w:val="24"/>
                <w:szCs w:val="24"/>
                <w:highlight w:val="none"/>
              </w:rPr>
            </w:pPr>
            <w:r>
              <w:rPr>
                <w:rFonts w:hint="eastAsia" w:ascii="仿宋" w:hAnsi="仿宋" w:eastAsia="仿宋" w:cs="宋体"/>
                <w:b/>
                <w:bCs/>
                <w:sz w:val="24"/>
                <w:szCs w:val="24"/>
                <w:highlight w:val="none"/>
              </w:rPr>
              <w:t>评估项目</w:t>
            </w:r>
          </w:p>
        </w:tc>
        <w:tc>
          <w:tcPr>
            <w:tcW w:w="5190" w:type="dxa"/>
            <w:noWrap w:val="0"/>
            <w:vAlign w:val="center"/>
          </w:tcPr>
          <w:p>
            <w:pPr>
              <w:widowControl/>
              <w:jc w:val="center"/>
              <w:rPr>
                <w:rFonts w:ascii="仿宋_GB2312" w:hAnsi="仿宋_GB2312" w:eastAsia="仿宋_GB2312" w:cs="仿宋_GB2312"/>
                <w:sz w:val="24"/>
                <w:szCs w:val="24"/>
                <w:highlight w:val="none"/>
              </w:rPr>
            </w:pPr>
            <w:r>
              <w:rPr>
                <w:rFonts w:hint="eastAsia" w:ascii="仿宋" w:hAnsi="仿宋" w:eastAsia="仿宋" w:cs="宋体"/>
                <w:b/>
                <w:bCs/>
                <w:sz w:val="24"/>
                <w:szCs w:val="24"/>
                <w:highlight w:val="none"/>
              </w:rPr>
              <w:t>评估指标</w:t>
            </w:r>
          </w:p>
        </w:tc>
        <w:tc>
          <w:tcPr>
            <w:tcW w:w="659" w:type="dxa"/>
            <w:noWrap w:val="0"/>
            <w:vAlign w:val="center"/>
          </w:tcPr>
          <w:p>
            <w:pPr>
              <w:widowControl/>
              <w:jc w:val="center"/>
              <w:rPr>
                <w:rFonts w:ascii="仿宋_GB2312" w:hAnsi="仿宋_GB2312" w:eastAsia="仿宋_GB2312" w:cs="仿宋_GB2312"/>
                <w:sz w:val="24"/>
                <w:szCs w:val="24"/>
                <w:highlight w:val="none"/>
              </w:rPr>
            </w:pPr>
            <w:r>
              <w:rPr>
                <w:rFonts w:hint="eastAsia" w:ascii="仿宋" w:hAnsi="仿宋" w:eastAsia="仿宋" w:cs="宋体"/>
                <w:b/>
                <w:bCs/>
                <w:sz w:val="24"/>
                <w:szCs w:val="24"/>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restart"/>
            <w:noWrap w:val="0"/>
            <w:vAlign w:val="center"/>
          </w:tcPr>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证书</w:t>
            </w:r>
          </w:p>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w:t>
            </w:r>
          </w:p>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（33分）</w:t>
            </w:r>
          </w:p>
        </w:tc>
        <w:tc>
          <w:tcPr>
            <w:tcW w:w="168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证书格式</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按照浙江省法人数字证书格式标准签发证书</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算法与根</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使用SM2等国产算法，使用国家根</w:t>
            </w:r>
          </w:p>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历史已发RSA介质，免费升级到移动证书。</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p>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restart"/>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证书介质</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具备国密局型号证书，支持RSA与SM2双算法</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证书介质合格率大于99.7%</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restart"/>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证书生命周期管理</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提供了证书生命周期管理的相关业务流程</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证书生命周期管理符合电子政务电子认证业务规则规范</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基础软件服务</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随证书提供证书管理客户端软件支持SM2国产算法</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restart"/>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技术</w:t>
            </w:r>
          </w:p>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w:t>
            </w:r>
          </w:p>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（55分）</w:t>
            </w:r>
          </w:p>
        </w:tc>
        <w:tc>
          <w:tcPr>
            <w:tcW w:w="1680" w:type="dxa"/>
            <w:vMerge w:val="restart"/>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数字认证系统服务</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具备国家密码管理局的《电子认证服务使用密码许可证》及工信部的《电子认证服务许可证》等各项资质</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介质证书支持SM2、RSA双算法，移动证书支持SM2算法。</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系统使用浙江省密钥管理中心提供的密钥</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可提供7*24小时正常运行，如有未正常运行情况，一次扣2分。</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restart"/>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信息</w:t>
            </w:r>
          </w:p>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安全</w:t>
            </w:r>
          </w:p>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保障</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系统运行规范能够通过国密局的密码使用安全性检查。</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continue"/>
            <w:noWrap w:val="0"/>
            <w:vAlign w:val="center"/>
          </w:tcPr>
          <w:p>
            <w:pPr>
              <w:spacing w:line="560" w:lineRule="exact"/>
              <w:rPr>
                <w:rFonts w:ascii="仿宋_GB2312" w:hAnsi="仿宋_GB2312" w:eastAsia="仿宋_GB2312" w:cs="仿宋_GB2312"/>
                <w:sz w:val="24"/>
                <w:szCs w:val="24"/>
                <w:highlight w:val="none"/>
              </w:rPr>
            </w:pP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数字认证系统、网络通讯等设施采用符合国家相关规范要求的安全防护措施，并定期进行安全性评估。</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接口服务</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提供证书生命周期管理的业务接口，接口满足新领、变更、延期、补办、解锁、注销等业务需求</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restart"/>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信息发布服务</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提供LDAP协议的CRL发布接口</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vMerge w:val="continue"/>
            <w:noWrap w:val="0"/>
            <w:vAlign w:val="center"/>
          </w:tcPr>
          <w:p>
            <w:pPr>
              <w:spacing w:line="560" w:lineRule="exact"/>
              <w:rPr>
                <w:rFonts w:ascii="仿宋_GB2312" w:hAnsi="仿宋_GB2312" w:eastAsia="仿宋_GB2312" w:cs="仿宋_GB2312"/>
                <w:sz w:val="24"/>
                <w:szCs w:val="24"/>
                <w:highlight w:val="none"/>
              </w:rPr>
            </w:pP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LDAP系统可提供7*24小时正常运行</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noWrap w:val="0"/>
            <w:vAlign w:val="center"/>
          </w:tcPr>
          <w:p>
            <w:pPr>
              <w:spacing w:line="560" w:lineRule="exact"/>
              <w:ind w:firstLine="480" w:firstLineChars="200"/>
              <w:rPr>
                <w:rFonts w:ascii="仿宋_GB2312" w:hAnsi="仿宋_GB2312" w:eastAsia="仿宋_GB2312" w:cs="仿宋_GB2312"/>
                <w:sz w:val="24"/>
                <w:szCs w:val="24"/>
                <w:highlight w:val="none"/>
              </w:rPr>
            </w:pPr>
          </w:p>
        </w:tc>
        <w:tc>
          <w:tcPr>
            <w:tcW w:w="168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证书信息支撑服务</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能够按证书类别、业务、地域、时段等提供证书统计分析信息</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其他服务（12分）</w:t>
            </w:r>
          </w:p>
        </w:tc>
        <w:tc>
          <w:tcPr>
            <w:tcW w:w="168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月度总结报告</w:t>
            </w:r>
          </w:p>
        </w:tc>
        <w:tc>
          <w:tcPr>
            <w:tcW w:w="5190" w:type="dxa"/>
            <w:noWrap w:val="0"/>
            <w:vAlign w:val="center"/>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需每月向省经信厅提供月度总结，汇报工作进展情况</w:t>
            </w:r>
          </w:p>
        </w:tc>
        <w:tc>
          <w:tcPr>
            <w:tcW w:w="659" w:type="dxa"/>
            <w:noWrap w:val="0"/>
            <w:vAlign w:val="center"/>
          </w:tcPr>
          <w:p>
            <w:pPr>
              <w:spacing w:line="5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519" w:type="dxa"/>
            <w:gridSpan w:val="4"/>
            <w:noWrap w:val="0"/>
            <w:vAlign w:val="top"/>
          </w:tcPr>
          <w:p>
            <w:pPr>
              <w:spacing w:line="56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评估验收结果：</w:t>
            </w:r>
          </w:p>
          <w:p>
            <w:pPr>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浙江省法人数字证书基础服务采购项目（介质和制证服务部分）评估验收表得分         ，根据服务采购合</w:t>
            </w:r>
            <w:r>
              <w:rPr>
                <w:rFonts w:hint="eastAsia" w:ascii="仿宋_GB2312" w:hAnsi="仿宋_GB2312" w:eastAsia="仿宋_GB2312" w:cs="仿宋_GB2312"/>
                <w:color w:val="auto"/>
                <w:sz w:val="24"/>
                <w:szCs w:val="24"/>
                <w:highlight w:val="none"/>
              </w:rPr>
              <w:t>同，202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年度项目</w:t>
            </w:r>
            <w:r>
              <w:rPr>
                <w:rFonts w:hint="eastAsia" w:ascii="仿宋_GB2312" w:hAnsi="仿宋_GB2312" w:eastAsia="仿宋_GB2312" w:cs="仿宋_GB2312"/>
                <w:sz w:val="24"/>
                <w:szCs w:val="24"/>
                <w:highlight w:val="none"/>
              </w:rPr>
              <w:t xml:space="preserve"> □通过/□不通过 验收。</w:t>
            </w:r>
          </w:p>
          <w:p>
            <w:pPr>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浙江省经济和信息化厅（盖章）</w:t>
            </w:r>
          </w:p>
          <w:p>
            <w:pPr>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519" w:type="dxa"/>
            <w:gridSpan w:val="4"/>
            <w:noWrap w:val="0"/>
            <w:vAlign w:val="top"/>
          </w:tcPr>
          <w:p>
            <w:pPr>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p>
            <w:pPr>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本表用于年度考核，一式两份，双方各执一份。</w:t>
            </w:r>
          </w:p>
          <w:p>
            <w:pPr>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依据考核结果，考评方有权要求服务商在规定时间内完成整改，并及时给予回复。</w:t>
            </w:r>
          </w:p>
          <w:p>
            <w:pPr>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考核结果85分（含）以上，通过验收；得分85分以下，视作未通过验收，服务采购方有权依据合同规定扣减服务费用，或提前终止合同。</w:t>
            </w:r>
          </w:p>
        </w:tc>
      </w:tr>
    </w:tbl>
    <w:p>
      <w:pPr>
        <w:spacing w:line="360" w:lineRule="auto"/>
        <w:rPr>
          <w:rFonts w:hint="eastAsia" w:ascii="仿宋" w:hAnsi="仿宋" w:eastAsia="仿宋"/>
          <w:b/>
          <w:bCs/>
          <w:sz w:val="28"/>
          <w:szCs w:val="28"/>
        </w:rPr>
      </w:pPr>
    </w:p>
    <w:p>
      <w:pPr>
        <w:rPr>
          <w:rFonts w:hint="eastAsia" w:ascii="仿宋" w:hAnsi="仿宋" w:eastAsia="仿宋" w:cs="Times New Roman"/>
          <w:sz w:val="28"/>
          <w:szCs w:val="28"/>
        </w:rPr>
      </w:pPr>
      <w:r>
        <w:rPr>
          <w:rFonts w:hint="eastAsia" w:ascii="仿宋" w:hAnsi="仿宋" w:eastAsia="仿宋" w:cs="Times New Roman"/>
          <w:sz w:val="28"/>
          <w:szCs w:val="28"/>
          <w:lang w:val="en-US" w:eastAsia="zh-CN"/>
        </w:rPr>
        <w:t>注：协商小组通过电子交易平台视频会议方式，与响应方就项目技术需求、服务、价格构成、供货、付款方式等要素进行协商，并要求其在规定时间内提交书面最终报价。此次协商采用政采云电子交易平台视频会议方式，为避免页面存在兼容性等问题，响应方须使用谷歌Chrome浏览器或360浏览器极速模式，并安装摄像头和麦克风。如若协商过程中，电子交易平台出现视频会议连接失败等情况，将通过电子交易平台发送数据电文进行协商。</w:t>
      </w:r>
    </w:p>
    <w:p>
      <w:pPr>
        <w:spacing w:line="360" w:lineRule="auto"/>
        <w:rPr>
          <w:rFonts w:hint="eastAsia" w:ascii="仿宋" w:hAnsi="仿宋" w:eastAsia="仿宋"/>
          <w:b/>
          <w:bCs/>
          <w:sz w:val="28"/>
          <w:szCs w:val="28"/>
        </w:rPr>
      </w:pPr>
    </w:p>
    <w:p>
      <w:pPr>
        <w:spacing w:line="360" w:lineRule="auto"/>
        <w:rPr>
          <w:rFonts w:hint="eastAsia" w:ascii="仿宋" w:hAnsi="仿宋" w:eastAsia="仿宋"/>
          <w:b/>
          <w:bCs/>
          <w:sz w:val="28"/>
          <w:szCs w:val="28"/>
        </w:rPr>
      </w:pPr>
    </w:p>
    <w:p>
      <w:pPr>
        <w:spacing w:line="360" w:lineRule="auto"/>
        <w:rPr>
          <w:rFonts w:hint="eastAsia" w:ascii="仿宋" w:hAnsi="仿宋" w:eastAsia="仿宋"/>
          <w:b/>
          <w:bCs/>
          <w:sz w:val="28"/>
          <w:szCs w:val="28"/>
        </w:rPr>
      </w:pPr>
    </w:p>
    <w:p>
      <w:pPr>
        <w:spacing w:line="360" w:lineRule="auto"/>
        <w:rPr>
          <w:rFonts w:hint="eastAsia" w:ascii="仿宋" w:hAnsi="仿宋" w:eastAsia="仿宋" w:cs="Times New Roman"/>
          <w:spacing w:val="0"/>
          <w:kern w:val="2"/>
          <w:sz w:val="28"/>
          <w:szCs w:val="28"/>
          <w:shd w:val="clear" w:color="auto" w:fill="auto"/>
          <w:lang w:val="en-US" w:eastAsia="zh-CN" w:bidi="ar-SA"/>
        </w:rPr>
      </w:pPr>
      <w:r>
        <w:rPr>
          <w:rFonts w:hint="eastAsia" w:ascii="仿宋" w:hAnsi="仿宋" w:eastAsia="仿宋"/>
          <w:b/>
          <w:bCs/>
          <w:sz w:val="28"/>
          <w:szCs w:val="28"/>
        </w:rPr>
        <w:t>商务要求表</w:t>
      </w:r>
    </w:p>
    <w:tbl>
      <w:tblPr>
        <w:tblStyle w:val="4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80"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noWrap w:val="0"/>
            <w:vAlign w:val="center"/>
          </w:tcPr>
          <w:p>
            <w:pPr>
              <w:rPr>
                <w:rFonts w:hint="eastAsia" w:ascii="仿宋" w:hAnsi="仿宋" w:eastAsia="仿宋"/>
                <w:sz w:val="28"/>
                <w:szCs w:val="28"/>
                <w:lang w:val="en-US" w:eastAsia="zh-CN"/>
              </w:rPr>
            </w:pPr>
            <w:r>
              <w:rPr>
                <w:rFonts w:hint="eastAsia" w:ascii="仿宋" w:hAnsi="仿宋" w:eastAsia="仿宋" w:cs="Times New Roman"/>
                <w:sz w:val="28"/>
                <w:szCs w:val="28"/>
              </w:rPr>
              <w:t>签订合同之日起</w:t>
            </w:r>
            <w:r>
              <w:rPr>
                <w:rFonts w:hint="eastAsia" w:ascii="仿宋" w:hAnsi="仿宋" w:eastAsia="仿宋" w:cs="Times New Roman"/>
                <w:sz w:val="28"/>
                <w:szCs w:val="28"/>
                <w:lang w:val="en-US" w:eastAsia="zh-CN"/>
              </w:rPr>
              <w:t>至</w:t>
            </w: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年12月31日，网上供货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980"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noWrap w:val="0"/>
            <w:vAlign w:val="center"/>
          </w:tcPr>
          <w:p>
            <w:pPr>
              <w:numPr>
                <w:ilvl w:val="0"/>
                <w:numId w:val="0"/>
              </w:numPr>
              <w:rPr>
                <w:rFonts w:hint="eastAsia" w:ascii="仿宋" w:hAnsi="仿宋" w:eastAsia="仿宋" w:cs="Times New Roman"/>
                <w:sz w:val="28"/>
                <w:szCs w:val="28"/>
              </w:rPr>
            </w:pPr>
            <w:r>
              <w:rPr>
                <w:rFonts w:hint="eastAsia" w:ascii="仿宋" w:hAnsi="仿宋" w:eastAsia="仿宋" w:cs="Times New Roman"/>
                <w:sz w:val="28"/>
                <w:szCs w:val="28"/>
              </w:rPr>
              <w:t>分期支付</w:t>
            </w:r>
          </w:p>
          <w:p>
            <w:pPr>
              <w:numPr>
                <w:ilvl w:val="0"/>
                <w:numId w:val="0"/>
              </w:numPr>
              <w:ind w:left="280" w:hanging="280" w:hangingChars="100"/>
              <w:rPr>
                <w:rFonts w:hint="eastAsia" w:ascii="仿宋" w:hAnsi="仿宋" w:eastAsia="仿宋" w:cs="Times New Roman"/>
                <w:sz w:val="28"/>
                <w:szCs w:val="28"/>
                <w:shd w:val="clear" w:color="auto" w:fill="auto"/>
                <w:lang w:eastAsia="zh-CN"/>
              </w:rPr>
            </w:pPr>
            <w:r>
              <w:rPr>
                <w:rFonts w:hint="eastAsia" w:ascii="仿宋" w:hAnsi="仿宋" w:eastAsia="仿宋" w:cs="Times New Roman"/>
                <w:sz w:val="28"/>
                <w:szCs w:val="28"/>
                <w:shd w:val="clear" w:color="auto" w:fill="auto"/>
              </w:rPr>
              <w:t>1、202</w:t>
            </w:r>
            <w:r>
              <w:rPr>
                <w:rFonts w:hint="eastAsia" w:ascii="仿宋" w:hAnsi="仿宋" w:eastAsia="仿宋" w:cs="Times New Roman"/>
                <w:sz w:val="28"/>
                <w:szCs w:val="28"/>
                <w:shd w:val="clear" w:color="auto" w:fill="auto"/>
                <w:lang w:val="en-US" w:eastAsia="zh-CN"/>
              </w:rPr>
              <w:t>3</w:t>
            </w:r>
            <w:r>
              <w:rPr>
                <w:rFonts w:hint="eastAsia" w:ascii="仿宋" w:hAnsi="仿宋" w:eastAsia="仿宋" w:cs="Times New Roman"/>
                <w:sz w:val="28"/>
                <w:szCs w:val="28"/>
                <w:shd w:val="clear" w:color="auto" w:fill="auto"/>
              </w:rPr>
              <w:t>年</w:t>
            </w:r>
            <w:r>
              <w:rPr>
                <w:rFonts w:hint="eastAsia" w:ascii="仿宋" w:hAnsi="仿宋" w:eastAsia="仿宋" w:cs="Times New Roman"/>
                <w:sz w:val="28"/>
                <w:szCs w:val="28"/>
                <w:shd w:val="clear" w:color="auto" w:fill="auto"/>
                <w:lang w:val="en-US" w:eastAsia="zh-CN"/>
              </w:rPr>
              <w:t>8</w:t>
            </w:r>
            <w:r>
              <w:rPr>
                <w:rFonts w:hint="eastAsia" w:ascii="仿宋" w:hAnsi="仿宋" w:eastAsia="仿宋" w:cs="Times New Roman"/>
                <w:sz w:val="28"/>
                <w:szCs w:val="28"/>
                <w:shd w:val="clear" w:color="auto" w:fill="auto"/>
              </w:rPr>
              <w:t>月30日之前，乙方</w:t>
            </w:r>
            <w:r>
              <w:rPr>
                <w:rFonts w:hint="eastAsia" w:ascii="仿宋" w:hAnsi="仿宋" w:eastAsia="仿宋" w:cs="Times New Roman"/>
                <w:sz w:val="28"/>
                <w:szCs w:val="28"/>
                <w:shd w:val="clear" w:color="auto" w:fill="auto"/>
                <w:lang w:val="en-US" w:eastAsia="zh-CN"/>
              </w:rPr>
              <w:t>应</w:t>
            </w:r>
            <w:r>
              <w:rPr>
                <w:rFonts w:hint="eastAsia" w:ascii="仿宋" w:hAnsi="仿宋" w:eastAsia="仿宋" w:cs="Times New Roman"/>
                <w:sz w:val="28"/>
                <w:szCs w:val="28"/>
                <w:shd w:val="clear" w:color="auto" w:fill="auto"/>
              </w:rPr>
              <w:t>完成全省</w:t>
            </w:r>
            <w:r>
              <w:rPr>
                <w:rFonts w:hint="eastAsia" w:ascii="仿宋" w:hAnsi="仿宋" w:eastAsia="仿宋" w:cs="Times New Roman"/>
                <w:sz w:val="28"/>
                <w:szCs w:val="28"/>
                <w:shd w:val="clear" w:color="auto" w:fill="auto"/>
                <w:lang w:eastAsia="zh-CN"/>
              </w:rPr>
              <w:t>（</w:t>
            </w:r>
            <w:r>
              <w:rPr>
                <w:rFonts w:hint="eastAsia" w:ascii="仿宋" w:hAnsi="仿宋" w:eastAsia="仿宋" w:cs="Times New Roman"/>
                <w:sz w:val="28"/>
                <w:szCs w:val="28"/>
                <w:shd w:val="clear" w:color="auto" w:fill="auto"/>
                <w:lang w:val="en-US" w:eastAsia="zh-CN"/>
              </w:rPr>
              <w:t>不含宁波）</w:t>
            </w:r>
            <w:r>
              <w:rPr>
                <w:rFonts w:hint="eastAsia" w:ascii="仿宋" w:hAnsi="仿宋" w:eastAsia="仿宋" w:cs="Times New Roman"/>
                <w:sz w:val="28"/>
                <w:szCs w:val="28"/>
                <w:shd w:val="clear" w:color="auto" w:fill="auto"/>
              </w:rPr>
              <w:t>法人数字证书用户数年度目标的60%，即新增用户</w:t>
            </w:r>
            <w:r>
              <w:rPr>
                <w:rFonts w:hint="eastAsia" w:ascii="仿宋" w:hAnsi="仿宋" w:eastAsia="仿宋" w:cs="Times New Roman"/>
                <w:sz w:val="28"/>
                <w:szCs w:val="28"/>
                <w:shd w:val="clear" w:color="auto" w:fill="auto"/>
                <w:lang w:val="en-US" w:eastAsia="zh-CN"/>
              </w:rPr>
              <w:t>21</w:t>
            </w:r>
            <w:r>
              <w:rPr>
                <w:rFonts w:hint="eastAsia" w:ascii="仿宋" w:hAnsi="仿宋" w:eastAsia="仿宋" w:cs="Times New Roman"/>
                <w:sz w:val="28"/>
                <w:szCs w:val="28"/>
                <w:shd w:val="clear" w:color="auto" w:fill="auto"/>
              </w:rPr>
              <w:t>万，</w:t>
            </w:r>
            <w:r>
              <w:rPr>
                <w:rFonts w:hint="eastAsia" w:ascii="仿宋" w:hAnsi="仿宋" w:eastAsia="仿宋" w:cs="Times New Roman"/>
                <w:sz w:val="28"/>
                <w:szCs w:val="28"/>
                <w:shd w:val="clear" w:color="auto" w:fill="auto"/>
                <w:lang w:val="en-US" w:eastAsia="zh-CN"/>
              </w:rPr>
              <w:t>累积覆盖</w:t>
            </w:r>
            <w:r>
              <w:rPr>
                <w:rFonts w:hint="eastAsia" w:ascii="仿宋" w:hAnsi="仿宋" w:eastAsia="仿宋" w:cs="Times New Roman"/>
                <w:sz w:val="28"/>
                <w:szCs w:val="28"/>
                <w:highlight w:val="none"/>
                <w:shd w:val="clear" w:color="auto" w:fill="auto"/>
                <w:lang w:val="en-US" w:eastAsia="zh-CN"/>
              </w:rPr>
              <w:t>290万用户</w:t>
            </w:r>
            <w:r>
              <w:rPr>
                <w:rFonts w:hint="eastAsia" w:ascii="仿宋" w:hAnsi="仿宋" w:eastAsia="仿宋" w:cs="Times New Roman"/>
                <w:sz w:val="28"/>
                <w:szCs w:val="28"/>
                <w:shd w:val="clear" w:color="auto" w:fill="auto"/>
                <w:lang w:val="en-US" w:eastAsia="zh-CN"/>
              </w:rPr>
              <w:t>，</w:t>
            </w:r>
            <w:r>
              <w:rPr>
                <w:rFonts w:hint="eastAsia" w:ascii="仿宋" w:hAnsi="仿宋" w:eastAsia="仿宋" w:cs="Times New Roman"/>
                <w:sz w:val="28"/>
                <w:szCs w:val="28"/>
                <w:shd w:val="clear" w:color="auto" w:fill="auto"/>
              </w:rPr>
              <w:t>甲方支付合同金额的60%</w:t>
            </w:r>
            <w:r>
              <w:rPr>
                <w:rFonts w:hint="eastAsia" w:ascii="仿宋" w:hAnsi="仿宋" w:eastAsia="仿宋" w:cs="Times New Roman"/>
                <w:sz w:val="28"/>
                <w:szCs w:val="28"/>
                <w:shd w:val="clear" w:color="auto" w:fill="auto"/>
                <w:lang w:eastAsia="zh-CN"/>
              </w:rPr>
              <w:t>。</w:t>
            </w:r>
          </w:p>
          <w:p>
            <w:pPr>
              <w:numPr>
                <w:ilvl w:val="0"/>
                <w:numId w:val="0"/>
              </w:numPr>
              <w:rPr>
                <w:rFonts w:hint="eastAsia" w:ascii="仿宋" w:hAnsi="仿宋" w:eastAsia="仿宋" w:cs="Times New Roman"/>
                <w:sz w:val="28"/>
                <w:szCs w:val="28"/>
                <w:shd w:val="clear" w:color="auto" w:fill="auto"/>
                <w:lang w:eastAsia="zh-CN"/>
              </w:rPr>
            </w:pPr>
            <w:r>
              <w:rPr>
                <w:rFonts w:hint="eastAsia" w:ascii="仿宋" w:hAnsi="仿宋" w:eastAsia="仿宋" w:cs="Times New Roman"/>
                <w:sz w:val="28"/>
                <w:szCs w:val="28"/>
                <w:shd w:val="clear" w:color="auto" w:fill="auto"/>
              </w:rPr>
              <w:t>2、202</w:t>
            </w:r>
            <w:r>
              <w:rPr>
                <w:rFonts w:hint="eastAsia" w:ascii="仿宋" w:hAnsi="仿宋" w:eastAsia="仿宋" w:cs="Times New Roman"/>
                <w:sz w:val="28"/>
                <w:szCs w:val="28"/>
                <w:shd w:val="clear" w:color="auto" w:fill="auto"/>
                <w:lang w:val="en-US" w:eastAsia="zh-CN"/>
              </w:rPr>
              <w:t>3</w:t>
            </w:r>
            <w:r>
              <w:rPr>
                <w:rFonts w:hint="eastAsia" w:ascii="仿宋" w:hAnsi="仿宋" w:eastAsia="仿宋" w:cs="Times New Roman"/>
                <w:sz w:val="28"/>
                <w:szCs w:val="28"/>
                <w:shd w:val="clear" w:color="auto" w:fill="auto"/>
              </w:rPr>
              <w:t>年12月31日之前，乙方</w:t>
            </w:r>
            <w:r>
              <w:rPr>
                <w:rFonts w:hint="eastAsia" w:ascii="仿宋" w:hAnsi="仿宋" w:eastAsia="仿宋" w:cs="Times New Roman"/>
                <w:sz w:val="28"/>
                <w:szCs w:val="28"/>
                <w:shd w:val="clear" w:color="auto" w:fill="auto"/>
                <w:lang w:val="en-US" w:eastAsia="zh-CN"/>
              </w:rPr>
              <w:t>应</w:t>
            </w:r>
            <w:r>
              <w:rPr>
                <w:rFonts w:hint="eastAsia" w:ascii="仿宋" w:hAnsi="仿宋" w:eastAsia="仿宋" w:cs="Times New Roman"/>
                <w:sz w:val="28"/>
                <w:szCs w:val="28"/>
                <w:shd w:val="clear" w:color="auto" w:fill="auto"/>
              </w:rPr>
              <w:t>完成全省</w:t>
            </w:r>
            <w:r>
              <w:rPr>
                <w:rFonts w:hint="eastAsia" w:ascii="仿宋" w:hAnsi="仿宋" w:eastAsia="仿宋" w:cs="Times New Roman"/>
                <w:sz w:val="28"/>
                <w:szCs w:val="28"/>
                <w:shd w:val="clear" w:color="auto" w:fill="auto"/>
                <w:lang w:eastAsia="zh-CN"/>
              </w:rPr>
              <w:t>（</w:t>
            </w:r>
            <w:r>
              <w:rPr>
                <w:rFonts w:hint="eastAsia" w:ascii="仿宋" w:hAnsi="仿宋" w:eastAsia="仿宋" w:cs="Times New Roman"/>
                <w:sz w:val="28"/>
                <w:szCs w:val="28"/>
                <w:shd w:val="clear" w:color="auto" w:fill="auto"/>
                <w:lang w:val="en-US" w:eastAsia="zh-CN"/>
              </w:rPr>
              <w:t>不含宁波）</w:t>
            </w:r>
            <w:r>
              <w:rPr>
                <w:rFonts w:hint="eastAsia" w:ascii="仿宋" w:hAnsi="仿宋" w:eastAsia="仿宋" w:cs="Times New Roman"/>
                <w:sz w:val="28"/>
                <w:szCs w:val="28"/>
                <w:shd w:val="clear" w:color="auto" w:fill="auto"/>
              </w:rPr>
              <w:t>法人数字证书用户数年度目标</w:t>
            </w:r>
            <w:r>
              <w:rPr>
                <w:rFonts w:hint="eastAsia" w:ascii="仿宋" w:hAnsi="仿宋" w:eastAsia="仿宋" w:cs="Times New Roman"/>
                <w:sz w:val="28"/>
                <w:szCs w:val="28"/>
                <w:shd w:val="clear" w:color="auto" w:fill="auto"/>
                <w:lang w:val="en-US" w:eastAsia="zh-CN"/>
              </w:rPr>
              <w:t>的100%</w:t>
            </w:r>
            <w:r>
              <w:rPr>
                <w:rFonts w:hint="eastAsia" w:ascii="仿宋" w:hAnsi="仿宋" w:eastAsia="仿宋" w:cs="Times New Roman"/>
                <w:sz w:val="28"/>
                <w:szCs w:val="28"/>
                <w:shd w:val="clear" w:color="auto" w:fill="auto"/>
              </w:rPr>
              <w:t>，即新增用户</w:t>
            </w:r>
            <w:r>
              <w:rPr>
                <w:rFonts w:hint="eastAsia" w:ascii="仿宋" w:hAnsi="仿宋" w:eastAsia="仿宋" w:cs="Times New Roman"/>
                <w:sz w:val="28"/>
                <w:szCs w:val="28"/>
                <w:shd w:val="clear" w:color="auto" w:fill="auto"/>
                <w:lang w:val="en-US" w:eastAsia="zh-CN"/>
              </w:rPr>
              <w:t>35</w:t>
            </w:r>
            <w:r>
              <w:rPr>
                <w:rFonts w:hint="eastAsia" w:ascii="仿宋" w:hAnsi="仿宋" w:eastAsia="仿宋" w:cs="Times New Roman"/>
                <w:sz w:val="28"/>
                <w:szCs w:val="28"/>
                <w:shd w:val="clear" w:color="auto" w:fill="auto"/>
              </w:rPr>
              <w:t>万，</w:t>
            </w:r>
            <w:r>
              <w:rPr>
                <w:rFonts w:hint="eastAsia" w:ascii="仿宋" w:hAnsi="仿宋" w:eastAsia="仿宋" w:cs="Times New Roman"/>
                <w:sz w:val="28"/>
                <w:szCs w:val="28"/>
                <w:shd w:val="clear" w:color="auto" w:fill="auto"/>
                <w:lang w:val="en-US" w:eastAsia="zh-CN"/>
              </w:rPr>
              <w:t>累积覆盖300万用户，</w:t>
            </w:r>
            <w:r>
              <w:rPr>
                <w:rFonts w:hint="eastAsia" w:ascii="仿宋" w:hAnsi="仿宋" w:eastAsia="仿宋" w:cs="Times New Roman"/>
                <w:sz w:val="28"/>
                <w:szCs w:val="28"/>
                <w:shd w:val="clear" w:color="auto" w:fill="auto"/>
              </w:rPr>
              <w:t>甲方支付合同金额的37%</w:t>
            </w:r>
            <w:r>
              <w:rPr>
                <w:rFonts w:hint="eastAsia" w:ascii="仿宋" w:hAnsi="仿宋" w:eastAsia="仿宋" w:cs="Times New Roman"/>
                <w:sz w:val="28"/>
                <w:szCs w:val="28"/>
                <w:shd w:val="clear" w:color="auto" w:fill="auto"/>
                <w:lang w:eastAsia="zh-CN"/>
              </w:rPr>
              <w:t>。</w:t>
            </w:r>
          </w:p>
          <w:p>
            <w:pPr>
              <w:numPr>
                <w:ilvl w:val="0"/>
                <w:numId w:val="0"/>
              </w:numPr>
              <w:rPr>
                <w:rFonts w:hint="eastAsia" w:ascii="仿宋" w:hAnsi="仿宋" w:eastAsia="仿宋"/>
                <w:sz w:val="28"/>
                <w:szCs w:val="28"/>
                <w:lang w:val="en-US" w:eastAsia="zh-CN"/>
              </w:rPr>
            </w:pPr>
            <w:r>
              <w:rPr>
                <w:rFonts w:hint="eastAsia" w:ascii="仿宋" w:hAnsi="仿宋" w:eastAsia="仿宋" w:cs="Times New Roman"/>
                <w:sz w:val="28"/>
                <w:szCs w:val="28"/>
                <w:shd w:val="clear" w:color="auto" w:fill="auto"/>
              </w:rPr>
              <w:t>3、甲方委托第三方机构对项目进行服务质量专项评价，评价得分85之上，甲方支付剩余款项3%。得分85分以下，每低1分扣减合同金额1%，直至扣减全部合同尾款。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noWrap w:val="0"/>
            <w:vAlign w:val="center"/>
          </w:tcPr>
          <w:p>
            <w:pPr>
              <w:rPr>
                <w:rFonts w:ascii="仿宋" w:hAnsi="仿宋" w:eastAsia="仿宋"/>
                <w:sz w:val="28"/>
                <w:szCs w:val="28"/>
              </w:rPr>
            </w:pPr>
            <w:r>
              <w:rPr>
                <w:rFonts w:hint="eastAsia" w:ascii="仿宋" w:hAnsi="仿宋" w:eastAsia="仿宋" w:cs="Times New Roman"/>
                <w:sz w:val="28"/>
                <w:szCs w:val="28"/>
              </w:rPr>
              <w:t>按“第四章浙江省政府采购合同主要条款指引”相关违约责任及争议解决方式内容。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noWrap w:val="0"/>
            <w:vAlign w:val="center"/>
          </w:tcPr>
          <w:p>
            <w:pPr>
              <w:rPr>
                <w:rFonts w:hint="eastAsia" w:ascii="仿宋" w:hAnsi="仿宋" w:eastAsia="仿宋"/>
                <w:sz w:val="28"/>
                <w:szCs w:val="28"/>
                <w:lang w:eastAsia="zh-CN"/>
              </w:rPr>
            </w:pPr>
            <w:r>
              <w:rPr>
                <w:rFonts w:hint="eastAsia" w:ascii="仿宋" w:hAnsi="仿宋" w:eastAsia="仿宋"/>
                <w:sz w:val="28"/>
                <w:szCs w:val="28"/>
              </w:rPr>
              <w:t>提供公司认为可以证明其能力和业绩的材料复印件</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noWrap w:val="0"/>
            <w:vAlign w:val="center"/>
          </w:tcPr>
          <w:p>
            <w:pPr>
              <w:snapToGrid w:val="0"/>
              <w:jc w:val="left"/>
              <w:rPr>
                <w:rFonts w:ascii="仿宋" w:hAnsi="仿宋" w:eastAsia="仿宋" w:cs="仿宋_GB2312"/>
                <w:b/>
                <w:sz w:val="28"/>
                <w:szCs w:val="28"/>
              </w:rPr>
            </w:pPr>
          </w:p>
        </w:tc>
        <w:tc>
          <w:tcPr>
            <w:tcW w:w="1305"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noWrap w:val="0"/>
            <w:vAlign w:val="center"/>
          </w:tcPr>
          <w:p>
            <w:pPr>
              <w:rPr>
                <w:rFonts w:hint="eastAsia" w:ascii="仿宋" w:hAnsi="仿宋" w:eastAsia="仿宋"/>
                <w:sz w:val="28"/>
                <w:szCs w:val="28"/>
              </w:rPr>
            </w:pPr>
            <w:r>
              <w:rPr>
                <w:rFonts w:hint="eastAsia" w:ascii="仿宋" w:hAnsi="仿宋" w:eastAsia="仿宋"/>
                <w:sz w:val="28"/>
                <w:szCs w:val="28"/>
              </w:rPr>
              <w:t>提供</w:t>
            </w:r>
            <w:r>
              <w:rPr>
                <w:rFonts w:hint="eastAsia" w:ascii="仿宋" w:hAnsi="仿宋" w:eastAsia="仿宋"/>
                <w:sz w:val="28"/>
                <w:szCs w:val="28"/>
                <w:lang w:val="en-US" w:eastAsia="zh-CN"/>
              </w:rPr>
              <w:t>自2020年1月1日以来有</w:t>
            </w:r>
            <w:r>
              <w:rPr>
                <w:rFonts w:hint="eastAsia" w:ascii="仿宋" w:hAnsi="仿宋" w:eastAsia="仿宋"/>
                <w:sz w:val="28"/>
                <w:szCs w:val="28"/>
              </w:rPr>
              <w:t>类似成功案例的合同复印件。</w:t>
            </w:r>
          </w:p>
        </w:tc>
      </w:tr>
    </w:tbl>
    <w:p>
      <w:pPr>
        <w:pStyle w:val="5"/>
        <w:spacing w:before="0" w:after="0"/>
        <w:rPr>
          <w:rFonts w:hint="eastAsia" w:ascii="仿宋" w:hAnsi="仿宋" w:eastAsia="仿宋"/>
          <w:b/>
          <w:color w:val="000000"/>
          <w:sz w:val="30"/>
          <w:szCs w:val="30"/>
          <w:lang w:eastAsia="zh-CN"/>
        </w:rPr>
      </w:pPr>
    </w:p>
    <w:p>
      <w:pPr>
        <w:pStyle w:val="5"/>
        <w:spacing w:before="0" w:after="0"/>
        <w:rPr>
          <w:rFonts w:hint="eastAsia" w:ascii="仿宋" w:hAnsi="仿宋" w:eastAsia="仿宋"/>
          <w:b/>
          <w:color w:val="000000"/>
          <w:sz w:val="30"/>
          <w:szCs w:val="30"/>
          <w:lang w:eastAsia="zh-CN"/>
        </w:rPr>
      </w:pPr>
    </w:p>
    <w:p>
      <w:pPr>
        <w:pStyle w:val="5"/>
        <w:spacing w:before="0" w:after="0"/>
        <w:rPr>
          <w:rFonts w:hint="eastAsia" w:ascii="仿宋" w:hAnsi="仿宋" w:eastAsia="仿宋"/>
          <w:b/>
          <w:color w:val="000000"/>
          <w:sz w:val="30"/>
          <w:szCs w:val="30"/>
          <w:lang w:eastAsia="zh-CN"/>
        </w:rPr>
      </w:pPr>
    </w:p>
    <w:p>
      <w:pPr>
        <w:rPr>
          <w:rFonts w:hint="eastAsia" w:ascii="宋体" w:hAnsi="宋体" w:eastAsia="宋体" w:cs="宋体"/>
          <w:b/>
          <w:bCs/>
          <w:snapToGrid/>
          <w:color w:val="auto"/>
          <w:kern w:val="2"/>
          <w:sz w:val="36"/>
          <w:szCs w:val="36"/>
          <w:highlight w:val="none"/>
          <w:lang w:val="en-US" w:eastAsia="zh-CN" w:bidi="ar-SA"/>
        </w:rPr>
      </w:pPr>
      <w:r>
        <w:rPr>
          <w:rFonts w:hint="eastAsia" w:ascii="宋体" w:hAnsi="宋体" w:eastAsia="宋体" w:cs="宋体"/>
          <w:b/>
          <w:bCs/>
          <w:snapToGrid/>
          <w:color w:val="auto"/>
          <w:kern w:val="2"/>
          <w:sz w:val="36"/>
          <w:szCs w:val="36"/>
          <w:highlight w:val="none"/>
          <w:lang w:val="en-US" w:eastAsia="zh-CN" w:bidi="ar-SA"/>
        </w:rPr>
        <w:t xml:space="preserve">   </w:t>
      </w: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rPr>
          <w:rFonts w:hint="eastAsia" w:ascii="宋体" w:hAnsi="宋体" w:eastAsia="宋体" w:cs="宋体"/>
          <w:b/>
          <w:bCs/>
          <w:snapToGrid/>
          <w:color w:val="auto"/>
          <w:kern w:val="2"/>
          <w:sz w:val="36"/>
          <w:szCs w:val="36"/>
          <w:highlight w:val="none"/>
          <w:lang w:val="en-US" w:eastAsia="zh-CN" w:bidi="ar-SA"/>
        </w:rPr>
      </w:pPr>
    </w:p>
    <w:p>
      <w:pPr>
        <w:ind w:firstLine="723" w:firstLineChars="200"/>
        <w:rPr>
          <w:rFonts w:hint="eastAsia" w:ascii="宋体" w:hAnsi="宋体" w:eastAsia="宋体" w:cs="宋体"/>
          <w:b/>
          <w:bCs/>
          <w:snapToGrid/>
          <w:color w:val="auto"/>
          <w:kern w:val="2"/>
          <w:sz w:val="36"/>
          <w:szCs w:val="36"/>
          <w:highlight w:val="none"/>
          <w:lang w:val="en-US" w:eastAsia="zh-CN" w:bidi="ar-SA"/>
        </w:rPr>
      </w:pPr>
      <w:r>
        <w:rPr>
          <w:rFonts w:hint="eastAsia" w:ascii="宋体" w:hAnsi="宋体" w:eastAsia="宋体" w:cs="宋体"/>
          <w:b/>
          <w:bCs/>
          <w:snapToGrid/>
          <w:color w:val="auto"/>
          <w:kern w:val="2"/>
          <w:sz w:val="36"/>
          <w:szCs w:val="36"/>
          <w:highlight w:val="none"/>
          <w:lang w:val="en-US" w:eastAsia="zh-CN" w:bidi="ar-SA"/>
        </w:rPr>
        <w:t xml:space="preserve"> 2023年浙江省法人数字证书基础服务项目</w:t>
      </w:r>
    </w:p>
    <w:p>
      <w:pPr>
        <w:pStyle w:val="5"/>
        <w:spacing w:before="0" w:after="0"/>
        <w:rPr>
          <w:rFonts w:hint="eastAsia" w:ascii="仿宋_GB2312" w:hAnsi="仿宋_GB2312" w:eastAsia="仿宋_GB2312" w:cs="仿宋_GB2312"/>
          <w:b/>
          <w:bCs/>
          <w:snapToGrid/>
          <w:color w:val="auto"/>
          <w:kern w:val="2"/>
          <w:sz w:val="30"/>
          <w:szCs w:val="30"/>
          <w:highlight w:val="none"/>
        </w:rPr>
      </w:pPr>
      <w:r>
        <w:rPr>
          <w:rFonts w:hint="eastAsia" w:ascii="宋体" w:hAnsi="宋体" w:eastAsia="宋体" w:cs="宋体"/>
          <w:snapToGrid/>
          <w:color w:val="auto"/>
          <w:kern w:val="2"/>
          <w:szCs w:val="36"/>
          <w:highlight w:val="none"/>
          <w:lang w:val="en-US" w:eastAsia="zh-CN"/>
        </w:rPr>
        <w:t xml:space="preserve">标项2 </w:t>
      </w:r>
      <w:r>
        <w:rPr>
          <w:rFonts w:hint="eastAsia" w:ascii="宋体" w:hAnsi="宋体" w:eastAsia="宋体" w:cs="宋体"/>
          <w:snapToGrid/>
          <w:color w:val="auto"/>
          <w:kern w:val="2"/>
          <w:szCs w:val="36"/>
          <w:highlight w:val="none"/>
        </w:rPr>
        <w:t>发行和应用服务需求文件</w:t>
      </w:r>
    </w:p>
    <w:bookmarkEnd w:id="46"/>
    <w:p>
      <w:pPr>
        <w:rPr>
          <w:rFonts w:hint="eastAsia" w:ascii="仿宋_GB2312" w:hAnsi="仿宋_GB2312" w:eastAsia="仿宋_GB2312" w:cs="仿宋_GB2312"/>
          <w:sz w:val="30"/>
          <w:szCs w:val="30"/>
          <w:highlight w:val="none"/>
        </w:rPr>
      </w:pPr>
    </w:p>
    <w:p>
      <w:pPr>
        <w:spacing w:line="360" w:lineRule="auto"/>
        <w:ind w:firstLine="602" w:firstLineChars="200"/>
        <w:rPr>
          <w:rFonts w:hint="eastAsia" w:ascii="仿宋_GB2312" w:hAnsi="仿宋_GB2312" w:eastAsia="仿宋_GB2312" w:cs="仿宋_GB2312"/>
          <w:b/>
          <w:color w:val="auto"/>
          <w:sz w:val="30"/>
          <w:szCs w:val="30"/>
          <w:highlight w:val="none"/>
        </w:rPr>
      </w:pPr>
      <w:bookmarkStart w:id="56" w:name="_Toc1890"/>
      <w:r>
        <w:rPr>
          <w:rFonts w:hint="eastAsia" w:ascii="仿宋_GB2312" w:hAnsi="仿宋_GB2312" w:eastAsia="仿宋_GB2312" w:cs="仿宋_GB2312"/>
          <w:b/>
          <w:color w:val="auto"/>
          <w:sz w:val="30"/>
          <w:szCs w:val="30"/>
          <w:highlight w:val="none"/>
        </w:rPr>
        <w:t>一、概述</w:t>
      </w:r>
      <w:bookmarkEnd w:id="56"/>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本文件为浙江省经济和信息化厅（以下简称采购人）对浙江省法人数字证书基础服务采购项目提出的技术需求书。</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供应商应按照本文件的要求提供报价、服务方案、服务承诺。供应商提供的各项服务的功能、性能应完全满足采购人的需求。</w:t>
      </w:r>
    </w:p>
    <w:p>
      <w:pPr>
        <w:spacing w:line="360" w:lineRule="auto"/>
        <w:ind w:firstLine="602" w:firstLineChars="200"/>
        <w:rPr>
          <w:rFonts w:hint="eastAsia" w:ascii="仿宋_GB2312" w:hAnsi="仿宋_GB2312" w:eastAsia="仿宋_GB2312" w:cs="仿宋_GB2312"/>
          <w:b/>
          <w:color w:val="auto"/>
          <w:sz w:val="30"/>
          <w:szCs w:val="30"/>
          <w:highlight w:val="none"/>
        </w:rPr>
      </w:pPr>
      <w:bookmarkStart w:id="57" w:name="_Toc29172"/>
      <w:r>
        <w:rPr>
          <w:rFonts w:hint="eastAsia" w:ascii="仿宋_GB2312" w:hAnsi="仿宋_GB2312" w:eastAsia="仿宋_GB2312" w:cs="仿宋_GB2312"/>
          <w:b/>
          <w:color w:val="auto"/>
          <w:sz w:val="30"/>
          <w:szCs w:val="30"/>
          <w:highlight w:val="none"/>
        </w:rPr>
        <w:t>二、项目背景</w:t>
      </w:r>
      <w:bookmarkEnd w:id="57"/>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在省委、省政府有关领导及部门的高度重视与大力支持下，2002年经省信息化工作领导小组第三次全体会议讨论确定，在原省信息产业厅下设立了省数字认证中心组织开展电子认证工作，筹建了省数字安全证书管理有限公司负责具体的运营服务，并于2005年获得了原信息产业部与国家密码局的相关运营资质，是目前我省唯一具备全部合法运营资质的机构，可依法面向电子政务与电子商务提供电子认证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自2002年起，根据省政府领导的总体部署，全省数字认证工作按照统一规划、资源共享、一证通用的原则，率先在工商注册企业中发行企业数字证书。2016年12月，为深入推进供给侧结构性改革，建立完善减轻企业负担工作机制，进一步降低企业成本，省政府办公厅印发《关于进一步减轻企业负担降低企业成本的若干意见》（浙政办发〔2016〕152号），决定从2016年10月1日起，取消法人数字证书（电子政务）服务收费，法人数字证书基础性服务所产生的费用，通过政府购买服务的方式，由省财政给予支持。</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目前，我省法人数字证书已广泛应用于政务服务2.0网上办事、网上年报、网上报税、社保网上申报、公积金网上申报、政府采购招投标等领域，已成为我省数字化改革的安全基础设施之一。</w:t>
      </w:r>
    </w:p>
    <w:p>
      <w:pPr>
        <w:spacing w:line="360" w:lineRule="auto"/>
        <w:ind w:firstLine="602" w:firstLineChars="200"/>
        <w:rPr>
          <w:rFonts w:hint="eastAsia" w:ascii="仿宋_GB2312" w:hAnsi="仿宋_GB2312" w:eastAsia="仿宋_GB2312" w:cs="仿宋_GB2312"/>
          <w:b/>
          <w:color w:val="auto"/>
          <w:sz w:val="30"/>
          <w:szCs w:val="30"/>
          <w:highlight w:val="none"/>
        </w:rPr>
      </w:pPr>
      <w:bookmarkStart w:id="58" w:name="_Toc8285"/>
      <w:r>
        <w:rPr>
          <w:rFonts w:hint="eastAsia" w:ascii="仿宋_GB2312" w:hAnsi="仿宋_GB2312" w:eastAsia="仿宋_GB2312" w:cs="仿宋_GB2312"/>
          <w:b/>
          <w:color w:val="auto"/>
          <w:sz w:val="30"/>
          <w:szCs w:val="30"/>
          <w:highlight w:val="none"/>
          <w:lang w:val="en-US" w:eastAsia="zh-CN"/>
        </w:rPr>
        <w:t>三、</w:t>
      </w:r>
      <w:r>
        <w:rPr>
          <w:rFonts w:hint="eastAsia" w:ascii="仿宋_GB2312" w:hAnsi="仿宋_GB2312" w:eastAsia="仿宋_GB2312" w:cs="仿宋_GB2312"/>
          <w:b/>
          <w:color w:val="auto"/>
          <w:sz w:val="30"/>
          <w:szCs w:val="30"/>
          <w:highlight w:val="none"/>
        </w:rPr>
        <w:t>项目目标</w:t>
      </w:r>
      <w:bookmarkEnd w:id="58"/>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浙江省法人数字证书基础服务项目是我省统一数字认证</w:t>
      </w:r>
      <w:r>
        <w:rPr>
          <w:rFonts w:hint="eastAsia" w:ascii="仿宋_GB2312" w:hAnsi="仿宋_GB2312" w:eastAsia="仿宋_GB2312" w:cs="仿宋_GB2312"/>
          <w:sz w:val="30"/>
          <w:szCs w:val="30"/>
          <w:highlight w:val="none"/>
          <w:lang w:val="en-US" w:eastAsia="zh-CN"/>
        </w:rPr>
        <w:t>与</w:t>
      </w:r>
      <w:r>
        <w:rPr>
          <w:rFonts w:hint="eastAsia" w:ascii="仿宋_GB2312" w:hAnsi="仿宋_GB2312" w:eastAsia="仿宋_GB2312" w:cs="仿宋_GB2312"/>
          <w:sz w:val="30"/>
          <w:szCs w:val="30"/>
          <w:highlight w:val="none"/>
        </w:rPr>
        <w:t>电子印章</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服务采购项目。服务对象包括全省（不含宁波，下同）党政机关、企事业单位和社会团体四类法人及个体工商户（以下简称法人）。本期项目目标如下：</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通过依法设立的电子认证服务机构与发行和应用服务机构，在不改变双方现有分工模式的情况下，为全省法人用户提供支持“一证通用”的</w:t>
      </w:r>
      <w:r>
        <w:rPr>
          <w:rFonts w:hint="eastAsia" w:ascii="仿宋_GB2312" w:hAnsi="仿宋_GB2312" w:eastAsia="仿宋_GB2312" w:cs="仿宋_GB2312"/>
          <w:sz w:val="30"/>
          <w:szCs w:val="30"/>
          <w:highlight w:val="none"/>
          <w:lang w:val="en-US" w:eastAsia="zh-CN"/>
        </w:rPr>
        <w:t>首张移动版或介质版</w:t>
      </w:r>
      <w:r>
        <w:rPr>
          <w:rFonts w:hint="eastAsia" w:ascii="仿宋_GB2312" w:hAnsi="仿宋_GB2312" w:eastAsia="仿宋_GB2312" w:cs="仿宋_GB2312"/>
          <w:sz w:val="30"/>
          <w:szCs w:val="30"/>
          <w:highlight w:val="none"/>
        </w:rPr>
        <w:t>法人数字证书与生命周期管理服务</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其中电子认证服务机构负责法人数字证书的签发；发行和应用服务机构负责法人数字证书申请的受理、电子印章的制作、法人数字证书的交付以及客户服务；为已发的企业数字证书提供升级更新服务，使其升级至支持“一证通用”的法人数字证书。</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整合法人基础身份信息，实现一证通用。以统一社会信用代码为基础，统一法人数字证书的格式标准。</w:t>
      </w:r>
    </w:p>
    <w:p>
      <w:pPr>
        <w:spacing w:line="360" w:lineRule="auto"/>
        <w:ind w:firstLine="600"/>
        <w:rPr>
          <w:rFonts w:hint="eastAsia" w:ascii="仿宋_GB2312" w:hAnsi="仿宋_GB2312" w:eastAsia="仿宋_GB2312" w:cs="仿宋_GB2312"/>
          <w:sz w:val="30"/>
          <w:szCs w:val="30"/>
          <w:highlight w:val="yellow"/>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完善数字证书收费机制。通过政府统一购买服务的方式，由省级财政资金按照年度采购全省法人数字证书基础服务，确保本省每户法人免费拥有一张支持“一证通用”的数字证书，解决全省法人的基本电子认证及电子印章服务需求。</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运营稳健的服务体系为全面应用提供有效支撑。通过专业的服务机构，依托行政服务中心服务窗口和原有的服务渠道积极利用信息化、网络化手段，统一建设覆盖全省的法人数字证书服务体系，面向所有法人提供优质的在线与本地化发行与售后便民服务，为全面应用提供有效支撑。</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保障并进一步升级法人数字证书与电子印章的相关技术规范。统一提供数字证书与电子印章的相关接口，发放符合国家标准和国产密码算法的数字证书与电子印章，以逐步满足今后跨区域、跨行业、交叉互认及数据共享的应用需求。积极推进移动证书发行和应用，不断提升移动版证书领证、用证的便利性和成熟度，实现从介质证书向移动证书的平稳过渡，实现省法人数字证书的移动办掌上办，为打造浙江移动办事先进省份创造条件。</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持续进行系统的改造升级。为应对日益增长的发行和服务需要，要不断提升服务和应用水平，持续进行相关系统的升级改造，以符合信息化、智能化的建设目标，不断降低人工成本，提升应用及服务效能，同时保障系统的安全性和稳定性。</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继续建立和完善相关配套保障措施。由省经信厅牵头，建立相关工作推进机制，</w:t>
      </w:r>
      <w:r>
        <w:rPr>
          <w:rFonts w:hint="eastAsia" w:ascii="仿宋_GB2312" w:hAnsi="仿宋_GB2312" w:eastAsia="仿宋_GB2312" w:cs="仿宋_GB2312"/>
          <w:sz w:val="30"/>
          <w:szCs w:val="30"/>
          <w:highlight w:val="none"/>
          <w:lang w:val="en-US" w:eastAsia="zh-CN"/>
        </w:rPr>
        <w:t>对接</w:t>
      </w:r>
      <w:r>
        <w:rPr>
          <w:rFonts w:hint="eastAsia" w:ascii="仿宋_GB2312" w:hAnsi="仿宋_GB2312" w:eastAsia="仿宋_GB2312" w:cs="仿宋_GB2312"/>
          <w:sz w:val="30"/>
          <w:szCs w:val="30"/>
          <w:highlight w:val="none"/>
        </w:rPr>
        <w:t>省大数据局统一电子印章接入平台</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省市场监管局电子营业执照系统</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统筹推进我省统一数字认证</w:t>
      </w:r>
      <w:r>
        <w:rPr>
          <w:rFonts w:hint="eastAsia" w:ascii="仿宋_GB2312" w:hAnsi="仿宋_GB2312" w:eastAsia="仿宋_GB2312" w:cs="仿宋_GB2312"/>
          <w:sz w:val="30"/>
          <w:szCs w:val="30"/>
          <w:highlight w:val="none"/>
          <w:lang w:val="en-US" w:eastAsia="zh-CN"/>
        </w:rPr>
        <w:t>发行与应用</w:t>
      </w:r>
      <w:r>
        <w:rPr>
          <w:rFonts w:hint="eastAsia" w:ascii="仿宋_GB2312" w:hAnsi="仿宋_GB2312" w:eastAsia="仿宋_GB2312" w:cs="仿宋_GB2312"/>
          <w:sz w:val="30"/>
          <w:szCs w:val="30"/>
          <w:highlight w:val="none"/>
        </w:rPr>
        <w:t>工作，指导协调各政务部门应用法人数字证书开展在线办事和服务。</w:t>
      </w:r>
    </w:p>
    <w:p>
      <w:pPr>
        <w:spacing w:line="360" w:lineRule="auto"/>
        <w:ind w:firstLine="602" w:firstLineChars="200"/>
        <w:rPr>
          <w:rFonts w:hint="eastAsia" w:ascii="仿宋_GB2312" w:hAnsi="仿宋_GB2312" w:eastAsia="仿宋_GB2312" w:cs="仿宋_GB2312"/>
          <w:b/>
          <w:color w:val="auto"/>
          <w:sz w:val="30"/>
          <w:szCs w:val="30"/>
          <w:highlight w:val="none"/>
        </w:rPr>
      </w:pPr>
      <w:bookmarkStart w:id="59" w:name="_Toc30458"/>
      <w:r>
        <w:rPr>
          <w:rFonts w:hint="eastAsia" w:ascii="仿宋_GB2312" w:hAnsi="仿宋_GB2312" w:eastAsia="仿宋_GB2312" w:cs="仿宋_GB2312"/>
          <w:b/>
          <w:color w:val="auto"/>
          <w:sz w:val="30"/>
          <w:szCs w:val="30"/>
          <w:highlight w:val="none"/>
        </w:rPr>
        <w:t>四、项目服务内容</w:t>
      </w:r>
      <w:bookmarkEnd w:id="59"/>
    </w:p>
    <w:p>
      <w:pPr>
        <w:spacing w:line="360" w:lineRule="auto"/>
        <w:ind w:firstLine="590" w:firstLineChars="196"/>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（一）证书发行服务</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证书发行服务是</w:t>
      </w:r>
      <w:r>
        <w:rPr>
          <w:rFonts w:hint="eastAsia" w:ascii="仿宋_GB2312" w:hAnsi="仿宋_GB2312" w:eastAsia="仿宋_GB2312" w:cs="仿宋_GB2312"/>
          <w:sz w:val="30"/>
          <w:szCs w:val="30"/>
          <w:highlight w:val="none"/>
          <w:lang w:val="en-US" w:eastAsia="zh-CN"/>
        </w:rPr>
        <w:t>通过浙江省法人数字证书统一服务</w:t>
      </w:r>
      <w:r>
        <w:rPr>
          <w:rFonts w:hint="eastAsia" w:ascii="仿宋_GB2312" w:hAnsi="仿宋_GB2312" w:eastAsia="仿宋_GB2312" w:cs="仿宋_GB2312"/>
          <w:sz w:val="30"/>
          <w:szCs w:val="30"/>
          <w:highlight w:val="none"/>
        </w:rPr>
        <w:t>平台，面向法人用户、应用部门、管理部门提供的交付服务。</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供应商应建立并运营全省（不含宁波）的发行与</w:t>
      </w:r>
      <w:r>
        <w:rPr>
          <w:rFonts w:hint="eastAsia" w:ascii="仿宋_GB2312" w:hAnsi="仿宋_GB2312" w:eastAsia="仿宋_GB2312" w:cs="仿宋_GB2312"/>
          <w:sz w:val="30"/>
          <w:szCs w:val="30"/>
          <w:highlight w:val="none"/>
          <w:lang w:val="en-US" w:eastAsia="zh-CN"/>
        </w:rPr>
        <w:t>应用</w:t>
      </w:r>
      <w:r>
        <w:rPr>
          <w:rFonts w:hint="eastAsia" w:ascii="仿宋_GB2312" w:hAnsi="仿宋_GB2312" w:eastAsia="仿宋_GB2312" w:cs="仿宋_GB2312"/>
          <w:sz w:val="30"/>
          <w:szCs w:val="30"/>
          <w:highlight w:val="none"/>
        </w:rPr>
        <w:t>服务网点，为法人用户提供法人数字证书发行业务现场和网上办理服务。</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客户端软件</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w:t>
      </w:r>
      <w:r>
        <w:rPr>
          <w:rFonts w:hint="eastAsia" w:ascii="仿宋_GB2312" w:hAnsi="仿宋_GB2312" w:eastAsia="仿宋_GB2312" w:cs="仿宋_GB2312"/>
          <w:sz w:val="30"/>
          <w:szCs w:val="30"/>
          <w:highlight w:val="none"/>
          <w:lang w:eastAsia="zh-Hans"/>
        </w:rPr>
        <w:t>有需要的</w:t>
      </w:r>
      <w:r>
        <w:rPr>
          <w:rFonts w:hint="eastAsia" w:ascii="仿宋_GB2312" w:hAnsi="仿宋_GB2312" w:eastAsia="仿宋_GB2312" w:cs="仿宋_GB2312"/>
          <w:sz w:val="30"/>
          <w:szCs w:val="30"/>
          <w:highlight w:val="none"/>
        </w:rPr>
        <w:t>浙江省法人用户提</w:t>
      </w:r>
      <w:r>
        <w:rPr>
          <w:rFonts w:hint="eastAsia" w:ascii="仿宋_GB2312" w:hAnsi="仿宋_GB2312" w:eastAsia="仿宋_GB2312" w:cs="仿宋_GB2312"/>
          <w:sz w:val="30"/>
          <w:szCs w:val="30"/>
          <w:highlight w:val="none"/>
          <w:lang w:eastAsia="zh-Hans"/>
        </w:rPr>
        <w:t>供介质版的</w:t>
      </w:r>
      <w:r>
        <w:rPr>
          <w:rFonts w:hint="eastAsia" w:ascii="仿宋_GB2312" w:hAnsi="仿宋_GB2312" w:eastAsia="仿宋_GB2312" w:cs="仿宋_GB2312"/>
          <w:sz w:val="30"/>
          <w:szCs w:val="30"/>
          <w:highlight w:val="none"/>
        </w:rPr>
        <w:t>法人数字证书客户端管理软件，包含数字证书介质驱动，支持RSA与SM2双算法，支持WIN7、WIN8、WIN10系统的32位与64位系统环境，支持IE9、IE10、IE11、Google Chrome、Mozilla Firefox、Microsoft Edge、360等浏览器，并为使用环境中的操作系统、浏览器升级等提供兼容性技术升级更新服务。</w:t>
      </w:r>
    </w:p>
    <w:p>
      <w:pPr>
        <w:numPr>
          <w:ilvl w:val="0"/>
          <w:numId w:val="0"/>
        </w:numPr>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供应商应建立</w:t>
      </w:r>
      <w:r>
        <w:rPr>
          <w:rFonts w:hint="eastAsia" w:ascii="仿宋_GB2312" w:hAnsi="仿宋_GB2312" w:eastAsia="仿宋_GB2312" w:cs="仿宋_GB2312"/>
          <w:sz w:val="30"/>
          <w:szCs w:val="30"/>
          <w:highlight w:val="none"/>
          <w:lang w:val="en-US" w:eastAsia="zh-CN"/>
        </w:rPr>
        <w:t>浙江省法人数字证书统一服务平台</w:t>
      </w:r>
      <w:r>
        <w:rPr>
          <w:rFonts w:hint="eastAsia" w:ascii="仿宋_GB2312" w:hAnsi="仿宋_GB2312" w:eastAsia="仿宋_GB2312" w:cs="仿宋_GB2312"/>
          <w:sz w:val="30"/>
          <w:szCs w:val="30"/>
          <w:highlight w:val="none"/>
          <w:lang w:eastAsia="zh-Hans"/>
        </w:rPr>
        <w:t>，通过</w:t>
      </w:r>
      <w:r>
        <w:rPr>
          <w:rFonts w:hint="eastAsia" w:ascii="仿宋_GB2312" w:hAnsi="仿宋_GB2312" w:eastAsia="仿宋_GB2312" w:cs="仿宋_GB2312"/>
          <w:sz w:val="30"/>
          <w:szCs w:val="30"/>
          <w:highlight w:val="none"/>
        </w:rPr>
        <w:t>数字证书APP</w:t>
      </w:r>
      <w:r>
        <w:rPr>
          <w:rFonts w:hint="eastAsia" w:ascii="仿宋_GB2312" w:hAnsi="仿宋_GB2312" w:eastAsia="仿宋_GB2312" w:cs="仿宋_GB2312"/>
          <w:sz w:val="30"/>
          <w:szCs w:val="30"/>
          <w:highlight w:val="none"/>
          <w:lang w:eastAsia="zh-Hans"/>
        </w:rPr>
        <w:t>、</w:t>
      </w:r>
      <w:r>
        <w:rPr>
          <w:rFonts w:hint="eastAsia" w:ascii="仿宋_GB2312" w:hAnsi="仿宋_GB2312" w:eastAsia="仿宋_GB2312" w:cs="仿宋_GB2312"/>
          <w:sz w:val="30"/>
          <w:szCs w:val="30"/>
          <w:highlight w:val="none"/>
        </w:rPr>
        <w:t>浙里办APP</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电子营业执照小程序等</w:t>
      </w:r>
      <w:r>
        <w:rPr>
          <w:rFonts w:hint="eastAsia" w:ascii="仿宋_GB2312" w:hAnsi="仿宋_GB2312" w:eastAsia="仿宋_GB2312" w:cs="仿宋_GB2312"/>
          <w:sz w:val="30"/>
          <w:szCs w:val="30"/>
          <w:highlight w:val="none"/>
          <w:lang w:eastAsia="zh-Hans"/>
        </w:rPr>
        <w:t>提供移动版法人数字证书</w:t>
      </w:r>
      <w:r>
        <w:rPr>
          <w:rFonts w:hint="eastAsia" w:ascii="仿宋_GB2312" w:hAnsi="仿宋_GB2312" w:eastAsia="仿宋_GB2312" w:cs="仿宋_GB2312"/>
          <w:sz w:val="30"/>
          <w:szCs w:val="30"/>
          <w:highlight w:val="none"/>
        </w:rPr>
        <w:t>，为法人用户提供整个数字证书生命周期管理服务，包括</w:t>
      </w:r>
      <w:r>
        <w:rPr>
          <w:rFonts w:hint="eastAsia" w:ascii="仿宋_GB2312" w:hAnsi="仿宋_GB2312" w:eastAsia="仿宋_GB2312" w:cs="仿宋_GB2312"/>
          <w:sz w:val="30"/>
          <w:szCs w:val="30"/>
          <w:highlight w:val="none"/>
          <w:lang w:val="en-US" w:eastAsia="zh-CN"/>
        </w:rPr>
        <w:t>新领</w:t>
      </w:r>
      <w:r>
        <w:rPr>
          <w:rFonts w:hint="eastAsia" w:ascii="仿宋_GB2312" w:hAnsi="仿宋_GB2312" w:eastAsia="仿宋_GB2312" w:cs="仿宋_GB2312"/>
          <w:sz w:val="30"/>
          <w:szCs w:val="30"/>
          <w:highlight w:val="none"/>
        </w:rPr>
        <w:t>、更新、补办、变更等业务。</w:t>
      </w:r>
      <w:r>
        <w:rPr>
          <w:rFonts w:hint="eastAsia" w:ascii="仿宋_GB2312" w:hAnsi="仿宋_GB2312" w:eastAsia="仿宋_GB2312" w:cs="仿宋_GB2312"/>
          <w:sz w:val="30"/>
          <w:szCs w:val="30"/>
          <w:highlight w:val="none"/>
          <w:lang w:val="en-US" w:eastAsia="zh-CN"/>
        </w:rPr>
        <w:t>为法人用户提供与</w:t>
      </w:r>
      <w:r>
        <w:rPr>
          <w:rFonts w:hint="eastAsia" w:ascii="仿宋_GB2312" w:hAnsi="仿宋_GB2312" w:eastAsia="仿宋_GB2312" w:cs="仿宋_GB2312"/>
          <w:sz w:val="30"/>
          <w:szCs w:val="30"/>
          <w:highlight w:val="none"/>
        </w:rPr>
        <w:t>首张移动版</w:t>
      </w:r>
      <w:r>
        <w:rPr>
          <w:rFonts w:hint="eastAsia" w:ascii="仿宋_GB2312" w:hAnsi="仿宋_GB2312" w:eastAsia="仿宋_GB2312" w:cs="仿宋_GB2312"/>
          <w:sz w:val="30"/>
          <w:szCs w:val="30"/>
          <w:highlight w:val="none"/>
          <w:lang w:val="en-US" w:eastAsia="zh-CN"/>
        </w:rPr>
        <w:t>或介质版</w:t>
      </w:r>
      <w:r>
        <w:rPr>
          <w:rFonts w:hint="eastAsia" w:ascii="仿宋_GB2312" w:hAnsi="仿宋_GB2312" w:eastAsia="仿宋_GB2312" w:cs="仿宋_GB2312"/>
          <w:sz w:val="30"/>
          <w:szCs w:val="30"/>
          <w:highlight w:val="none"/>
        </w:rPr>
        <w:t>法人数字证书</w:t>
      </w:r>
      <w:r>
        <w:rPr>
          <w:rFonts w:hint="eastAsia" w:ascii="仿宋_GB2312" w:hAnsi="仿宋_GB2312" w:eastAsia="仿宋_GB2312" w:cs="仿宋_GB2312"/>
          <w:sz w:val="30"/>
          <w:szCs w:val="30"/>
          <w:highlight w:val="none"/>
          <w:lang w:val="en-US" w:eastAsia="zh-CN"/>
        </w:rPr>
        <w:t>相配套的</w:t>
      </w:r>
      <w:r>
        <w:rPr>
          <w:rFonts w:hint="eastAsia" w:ascii="仿宋_GB2312" w:hAnsi="仿宋_GB2312" w:eastAsia="仿宋_GB2312" w:cs="仿宋_GB2312"/>
          <w:sz w:val="30"/>
          <w:szCs w:val="30"/>
          <w:highlight w:val="none"/>
        </w:rPr>
        <w:t>四枚电子印章（包含法定名称章、财务专用章、发票专用章、法定代表人章）</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为法人用户提供业务办理说明、业务办理申请及部分业务的在线办理、掌上办理等服务内容，并不断提升移动版证书的便利性和成熟度。</w:t>
      </w:r>
    </w:p>
    <w:p>
      <w:pPr>
        <w:numPr>
          <w:ilvl w:val="0"/>
          <w:numId w:val="0"/>
        </w:numPr>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4.推进电子营业执照和法人数字证书的融合应用，支持申领电子营业执照同步发放电子印章。供应商应支持企业和个体工商户通过电子营业执照小程序下载法人数字证书与电子印章服务</w:t>
      </w:r>
      <w:r>
        <w:rPr>
          <w:rFonts w:hint="eastAsia" w:ascii="仿宋_GB2312" w:hAnsi="仿宋_GB2312" w:eastAsia="仿宋_GB2312" w:cs="仿宋_GB2312"/>
          <w:sz w:val="30"/>
          <w:szCs w:val="30"/>
          <w:highlight w:val="none"/>
          <w:lang w:eastAsia="zh-CN"/>
        </w:rPr>
        <w:t>。</w:t>
      </w:r>
    </w:p>
    <w:p>
      <w:pPr>
        <w:numPr>
          <w:ilvl w:val="0"/>
          <w:numId w:val="0"/>
        </w:numPr>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5.业务办理要求</w:t>
      </w:r>
    </w:p>
    <w:p>
      <w:pPr>
        <w:spacing w:line="360" w:lineRule="auto"/>
        <w:ind w:firstLine="6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lang w:val="en-US" w:eastAsia="zh-CN"/>
        </w:rPr>
        <w:t>5</w:t>
      </w:r>
      <w:r>
        <w:rPr>
          <w:rFonts w:hint="eastAsia" w:ascii="仿宋_GB2312" w:hAnsi="仿宋_GB2312" w:eastAsia="仿宋_GB2312" w:cs="仿宋_GB2312"/>
          <w:b/>
          <w:sz w:val="30"/>
          <w:szCs w:val="30"/>
          <w:highlight w:val="none"/>
        </w:rPr>
        <w:t>.1新领发放</w:t>
      </w:r>
    </w:p>
    <w:p>
      <w:pPr>
        <w:spacing w:line="360" w:lineRule="auto"/>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新领发放是指为办理“浙江省法</w:t>
      </w:r>
      <w:r>
        <w:rPr>
          <w:rFonts w:hint="eastAsia" w:ascii="仿宋_GB2312" w:hAnsi="仿宋_GB2312" w:eastAsia="仿宋_GB2312" w:cs="仿宋_GB2312"/>
          <w:color w:val="auto"/>
          <w:sz w:val="30"/>
          <w:szCs w:val="30"/>
          <w:highlight w:val="none"/>
        </w:rPr>
        <w:t>人数字证书”的用户提供</w:t>
      </w:r>
      <w:r>
        <w:rPr>
          <w:rFonts w:hint="eastAsia" w:ascii="仿宋_GB2312" w:hAnsi="仿宋_GB2312" w:eastAsia="仿宋_GB2312" w:cs="仿宋_GB2312"/>
          <w:color w:val="auto"/>
          <w:sz w:val="30"/>
          <w:szCs w:val="30"/>
          <w:highlight w:val="none"/>
          <w:lang w:eastAsia="zh-Hans"/>
        </w:rPr>
        <w:t>移动版</w:t>
      </w:r>
      <w:r>
        <w:rPr>
          <w:rFonts w:hint="eastAsia" w:ascii="仿宋_GB2312" w:hAnsi="仿宋_GB2312" w:eastAsia="仿宋_GB2312" w:cs="仿宋_GB2312"/>
          <w:color w:val="auto"/>
          <w:sz w:val="30"/>
          <w:szCs w:val="30"/>
          <w:highlight w:val="none"/>
          <w:lang w:val="en-US" w:eastAsia="zh-CN"/>
        </w:rPr>
        <w:t>或介质版</w:t>
      </w:r>
      <w:r>
        <w:rPr>
          <w:rFonts w:hint="eastAsia" w:ascii="仿宋_GB2312" w:hAnsi="仿宋_GB2312" w:eastAsia="仿宋_GB2312" w:cs="仿宋_GB2312"/>
          <w:color w:val="auto"/>
          <w:sz w:val="30"/>
          <w:szCs w:val="30"/>
          <w:highlight w:val="none"/>
          <w:lang w:eastAsia="zh-Hans"/>
        </w:rPr>
        <w:t>的法人数字</w:t>
      </w:r>
      <w:r>
        <w:rPr>
          <w:rFonts w:hint="eastAsia" w:ascii="仿宋_GB2312" w:hAnsi="仿宋_GB2312" w:eastAsia="仿宋_GB2312" w:cs="仿宋_GB2312"/>
          <w:color w:val="auto"/>
          <w:sz w:val="30"/>
          <w:szCs w:val="30"/>
          <w:highlight w:val="none"/>
        </w:rPr>
        <w:t>证书申请注册、信息审核、身份鉴证、电子印章</w:t>
      </w:r>
      <w:r>
        <w:rPr>
          <w:rFonts w:hint="eastAsia" w:ascii="仿宋_GB2312" w:hAnsi="仿宋_GB2312" w:eastAsia="仿宋_GB2312" w:cs="仿宋_GB2312"/>
          <w:color w:val="auto"/>
          <w:sz w:val="30"/>
          <w:szCs w:val="30"/>
          <w:highlight w:val="none"/>
          <w:lang w:val="en-US" w:eastAsia="zh-CN"/>
        </w:rPr>
        <w:t>制作</w:t>
      </w:r>
      <w:r>
        <w:rPr>
          <w:rFonts w:hint="eastAsia" w:ascii="仿宋_GB2312" w:hAnsi="仿宋_GB2312" w:eastAsia="仿宋_GB2312" w:cs="仿宋_GB2312"/>
          <w:color w:val="auto"/>
          <w:sz w:val="30"/>
          <w:szCs w:val="30"/>
          <w:highlight w:val="none"/>
        </w:rPr>
        <w:t>以及发放等服务内容。</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为全省（不含宁波）党政机关、社会团体和企事业单位法人、个体工商户等免费发放首张移动版</w:t>
      </w:r>
      <w:r>
        <w:rPr>
          <w:rFonts w:hint="eastAsia" w:ascii="仿宋_GB2312" w:hAnsi="仿宋_GB2312" w:eastAsia="仿宋_GB2312" w:cs="仿宋_GB2312"/>
          <w:sz w:val="30"/>
          <w:szCs w:val="30"/>
          <w:highlight w:val="none"/>
          <w:lang w:val="en-US" w:eastAsia="zh-CN"/>
        </w:rPr>
        <w:t>或介质版</w:t>
      </w:r>
      <w:r>
        <w:rPr>
          <w:rFonts w:hint="eastAsia" w:ascii="仿宋_GB2312" w:hAnsi="仿宋_GB2312" w:eastAsia="仿宋_GB2312" w:cs="仿宋_GB2312"/>
          <w:sz w:val="30"/>
          <w:szCs w:val="30"/>
          <w:highlight w:val="none"/>
        </w:rPr>
        <w:t>“浙江省法人数字证书”。</w:t>
      </w:r>
    </w:p>
    <w:p>
      <w:pPr>
        <w:spacing w:line="360" w:lineRule="auto"/>
        <w:ind w:firstLine="6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lang w:val="en-US" w:eastAsia="zh-CN"/>
        </w:rPr>
        <w:t>5</w:t>
      </w:r>
      <w:r>
        <w:rPr>
          <w:rFonts w:hint="eastAsia" w:ascii="仿宋_GB2312" w:hAnsi="仿宋_GB2312" w:eastAsia="仿宋_GB2312" w:cs="仿宋_GB2312"/>
          <w:b/>
          <w:sz w:val="30"/>
          <w:szCs w:val="30"/>
          <w:highlight w:val="none"/>
        </w:rPr>
        <w:t>.2更新服务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法人数字证书为1年有效期，更新</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又称延期</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服务</w:t>
      </w:r>
      <w:r>
        <w:rPr>
          <w:rFonts w:hint="eastAsia" w:ascii="仿宋_GB2312" w:hAnsi="仿宋_GB2312" w:eastAsia="仿宋_GB2312" w:cs="仿宋_GB2312"/>
          <w:sz w:val="30"/>
          <w:szCs w:val="30"/>
          <w:highlight w:val="none"/>
        </w:rPr>
        <w:t>是指为即将到期或已经过期的证书提供更新以便顺延有效期的服务。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.2.1在服务期限内为第一张“浙江省法人数字证书”免费提供更新服务。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.2.2第二张或以上“浙江省法人数字证书”在缴纳年服务费用后，提供更新服务。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.2.3更新后有效期顺延一年。</w:t>
      </w:r>
    </w:p>
    <w:p>
      <w:pPr>
        <w:spacing w:line="360" w:lineRule="auto"/>
        <w:ind w:firstLine="301" w:firstLineChars="1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lang w:val="en-US" w:eastAsia="zh-CN"/>
        </w:rPr>
        <w:t>5</w:t>
      </w:r>
      <w:r>
        <w:rPr>
          <w:rFonts w:hint="eastAsia" w:ascii="仿宋_GB2312" w:hAnsi="仿宋_GB2312" w:eastAsia="仿宋_GB2312" w:cs="仿宋_GB2312"/>
          <w:b/>
          <w:sz w:val="30"/>
          <w:szCs w:val="30"/>
          <w:highlight w:val="none"/>
        </w:rPr>
        <w:t>.3信息变更服务</w:t>
      </w:r>
    </w:p>
    <w:p>
      <w:pPr>
        <w:spacing w:line="360" w:lineRule="auto"/>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如果用户的</w:t>
      </w:r>
      <w:r>
        <w:rPr>
          <w:rFonts w:ascii="仿宋_GB2312" w:hAnsi="仿宋_GB2312" w:eastAsia="仿宋_GB2312" w:cs="仿宋_GB2312"/>
          <w:color w:val="auto"/>
          <w:sz w:val="30"/>
          <w:szCs w:val="30"/>
          <w:highlight w:val="none"/>
        </w:rPr>
        <w:t>名称和统一社会信用代码</w:t>
      </w:r>
      <w:r>
        <w:rPr>
          <w:rFonts w:hint="eastAsia" w:ascii="仿宋_GB2312" w:hAnsi="仿宋_GB2312" w:eastAsia="仿宋_GB2312" w:cs="仿宋_GB2312"/>
          <w:color w:val="auto"/>
          <w:sz w:val="30"/>
          <w:szCs w:val="30"/>
          <w:highlight w:val="none"/>
        </w:rPr>
        <w:t>发生变化，则需同步办理信息变更服务。</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.3.1在服务期限内为第一张“浙江省法人数字证书”免费提供信息变更服务。</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.3.2第二张或以上“浙江省法人数字证书”在有效期内免费提供信息变更服务。</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.3.3信息变更后有效期截止时间仍为原有效</w:t>
      </w:r>
      <w:r>
        <w:rPr>
          <w:rFonts w:ascii="仿宋_GB2312" w:hAnsi="仿宋_GB2312" w:eastAsia="仿宋_GB2312" w:cs="仿宋_GB2312"/>
          <w:color w:val="auto"/>
          <w:sz w:val="30"/>
          <w:szCs w:val="30"/>
          <w:highlight w:val="none"/>
        </w:rPr>
        <w:t>期截止时间</w:t>
      </w:r>
      <w:r>
        <w:rPr>
          <w:rFonts w:hint="eastAsia" w:ascii="仿宋_GB2312" w:hAnsi="仿宋_GB2312" w:eastAsia="仿宋_GB2312" w:cs="仿宋_GB2312"/>
          <w:color w:val="auto"/>
          <w:sz w:val="30"/>
          <w:szCs w:val="30"/>
          <w:highlight w:val="none"/>
        </w:rPr>
        <w:t>。</w:t>
      </w:r>
    </w:p>
    <w:p>
      <w:pPr>
        <w:spacing w:line="360" w:lineRule="auto"/>
        <w:ind w:firstLine="6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lang w:val="en-US" w:eastAsia="zh-CN"/>
        </w:rPr>
        <w:t>5</w:t>
      </w:r>
      <w:r>
        <w:rPr>
          <w:rFonts w:hint="eastAsia" w:ascii="仿宋_GB2312" w:hAnsi="仿宋_GB2312" w:eastAsia="仿宋_GB2312" w:cs="仿宋_GB2312"/>
          <w:b/>
          <w:color w:val="auto"/>
          <w:sz w:val="30"/>
          <w:szCs w:val="30"/>
          <w:highlight w:val="none"/>
        </w:rPr>
        <w:t>.4补办服务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.4.1用户丢失数字证书后，可办理补办服务，新签发一张证书，原有证书作废不再能使用。</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.4.2用户补办所需介质（移动版证书除外）</w:t>
      </w:r>
      <w:r>
        <w:rPr>
          <w:rFonts w:hint="eastAsia" w:ascii="仿宋_GB2312" w:hAnsi="仿宋_GB2312" w:eastAsia="仿宋_GB2312" w:cs="仿宋_GB2312"/>
          <w:color w:val="auto"/>
          <w:sz w:val="30"/>
          <w:szCs w:val="30"/>
          <w:highlight w:val="none"/>
          <w:lang w:val="en-US" w:eastAsia="zh-CN"/>
        </w:rPr>
        <w:t>收取一定的成本费用</w:t>
      </w:r>
      <w:r>
        <w:rPr>
          <w:rFonts w:hint="eastAsia" w:ascii="仿宋_GB2312" w:hAnsi="仿宋_GB2312" w:eastAsia="仿宋_GB2312" w:cs="仿宋_GB2312"/>
          <w:color w:val="auto"/>
          <w:sz w:val="30"/>
          <w:szCs w:val="30"/>
          <w:highlight w:val="none"/>
        </w:rPr>
        <w:t>。</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.4.3补办后有效期截止时间仍为</w:t>
      </w:r>
      <w:r>
        <w:rPr>
          <w:rFonts w:hint="eastAsia" w:ascii="仿宋_GB2312" w:hAnsi="仿宋_GB2312" w:eastAsia="仿宋_GB2312" w:cs="仿宋_GB2312"/>
          <w:color w:val="000000"/>
          <w:sz w:val="30"/>
          <w:szCs w:val="30"/>
          <w:highlight w:val="none"/>
        </w:rPr>
        <w:t>原有效</w:t>
      </w:r>
      <w:r>
        <w:rPr>
          <w:rFonts w:ascii="仿宋_GB2312" w:hAnsi="仿宋_GB2312" w:eastAsia="仿宋_GB2312" w:cs="仿宋_GB2312"/>
          <w:color w:val="000000"/>
          <w:sz w:val="30"/>
          <w:szCs w:val="30"/>
          <w:highlight w:val="none"/>
        </w:rPr>
        <w:t>期截止时间</w:t>
      </w:r>
      <w:r>
        <w:rPr>
          <w:rFonts w:hint="eastAsia" w:ascii="仿宋_GB2312" w:hAnsi="仿宋_GB2312" w:eastAsia="仿宋_GB2312" w:cs="仿宋_GB2312"/>
          <w:sz w:val="30"/>
          <w:szCs w:val="30"/>
          <w:highlight w:val="none"/>
        </w:rPr>
        <w:t>。</w:t>
      </w:r>
    </w:p>
    <w:p>
      <w:pPr>
        <w:spacing w:line="360" w:lineRule="auto"/>
        <w:ind w:firstLine="6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lang w:val="en-US" w:eastAsia="zh-CN"/>
        </w:rPr>
        <w:t>5</w:t>
      </w:r>
      <w:r>
        <w:rPr>
          <w:rFonts w:hint="eastAsia" w:ascii="仿宋_GB2312" w:hAnsi="仿宋_GB2312" w:eastAsia="仿宋_GB2312" w:cs="仿宋_GB2312"/>
          <w:b/>
          <w:sz w:val="30"/>
          <w:szCs w:val="30"/>
          <w:highlight w:val="none"/>
        </w:rPr>
        <w:t>.5解锁服务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lang w:val="en-US" w:eastAsia="zh-CN"/>
        </w:rPr>
        <w:t>介质</w:t>
      </w:r>
      <w:r>
        <w:rPr>
          <w:rFonts w:ascii="仿宋_GB2312" w:hAnsi="仿宋_GB2312" w:eastAsia="仿宋_GB2312" w:cs="仿宋_GB2312"/>
          <w:color w:val="auto"/>
          <w:sz w:val="30"/>
          <w:szCs w:val="30"/>
          <w:highlight w:val="none"/>
        </w:rPr>
        <w:t>版法人数字证书</w:t>
      </w:r>
      <w:r>
        <w:rPr>
          <w:rFonts w:hint="eastAsia" w:ascii="仿宋_GB2312" w:hAnsi="仿宋_GB2312" w:eastAsia="仿宋_GB2312" w:cs="仿宋_GB2312"/>
          <w:color w:val="auto"/>
          <w:sz w:val="30"/>
          <w:szCs w:val="30"/>
          <w:highlight w:val="none"/>
        </w:rPr>
        <w:t>用</w:t>
      </w:r>
      <w:r>
        <w:rPr>
          <w:rFonts w:hint="eastAsia" w:ascii="仿宋_GB2312" w:hAnsi="仿宋_GB2312" w:eastAsia="仿宋_GB2312" w:cs="仿宋_GB2312"/>
          <w:sz w:val="30"/>
          <w:szCs w:val="30"/>
          <w:highlight w:val="none"/>
        </w:rPr>
        <w:t>户因忘记密码导致证书被锁定无法使用，可办理证书解锁服务。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.5.1在服务期限内为第一张</w:t>
      </w:r>
      <w:r>
        <w:rPr>
          <w:rFonts w:hint="eastAsia" w:ascii="仿宋_GB2312" w:hAnsi="仿宋_GB2312" w:eastAsia="仿宋_GB2312" w:cs="仿宋_GB2312"/>
          <w:sz w:val="30"/>
          <w:szCs w:val="30"/>
          <w:highlight w:val="none"/>
          <w:lang w:val="en-US" w:eastAsia="zh-CN"/>
        </w:rPr>
        <w:t>介质</w:t>
      </w:r>
      <w:r>
        <w:rPr>
          <w:rFonts w:hint="eastAsia" w:ascii="仿宋_GB2312" w:hAnsi="仿宋_GB2312" w:eastAsia="仿宋_GB2312" w:cs="仿宋_GB2312"/>
          <w:color w:val="auto"/>
          <w:sz w:val="30"/>
          <w:szCs w:val="30"/>
          <w:highlight w:val="none"/>
        </w:rPr>
        <w:t>版“</w:t>
      </w:r>
      <w:r>
        <w:rPr>
          <w:rFonts w:hint="eastAsia" w:ascii="仿宋_GB2312" w:hAnsi="仿宋_GB2312" w:eastAsia="仿宋_GB2312" w:cs="仿宋_GB2312"/>
          <w:sz w:val="30"/>
          <w:szCs w:val="30"/>
          <w:highlight w:val="none"/>
        </w:rPr>
        <w:t>浙江省法人数字证书”免费提供解锁服务。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.5.2第二张或</w:t>
      </w:r>
      <w:r>
        <w:rPr>
          <w:rFonts w:hint="eastAsia" w:ascii="仿宋_GB2312" w:hAnsi="仿宋_GB2312" w:eastAsia="仿宋_GB2312" w:cs="仿宋_GB2312"/>
          <w:color w:val="auto"/>
          <w:sz w:val="30"/>
          <w:szCs w:val="30"/>
          <w:highlight w:val="none"/>
        </w:rPr>
        <w:t>以上</w:t>
      </w:r>
      <w:r>
        <w:rPr>
          <w:rFonts w:hint="eastAsia" w:ascii="仿宋_GB2312" w:hAnsi="仿宋_GB2312" w:eastAsia="仿宋_GB2312" w:cs="仿宋_GB2312"/>
          <w:color w:val="auto"/>
          <w:sz w:val="30"/>
          <w:szCs w:val="30"/>
          <w:highlight w:val="none"/>
          <w:lang w:val="en-US" w:eastAsia="zh-CN"/>
        </w:rPr>
        <w:t>介质</w:t>
      </w:r>
      <w:r>
        <w:rPr>
          <w:rFonts w:hint="eastAsia" w:ascii="仿宋_GB2312" w:hAnsi="仿宋_GB2312" w:eastAsia="仿宋_GB2312" w:cs="仿宋_GB2312"/>
          <w:color w:val="auto"/>
          <w:sz w:val="30"/>
          <w:szCs w:val="30"/>
          <w:highlight w:val="none"/>
        </w:rPr>
        <w:t>版“</w:t>
      </w:r>
      <w:r>
        <w:rPr>
          <w:rFonts w:hint="eastAsia" w:ascii="仿宋_GB2312" w:hAnsi="仿宋_GB2312" w:eastAsia="仿宋_GB2312" w:cs="仿宋_GB2312"/>
          <w:sz w:val="30"/>
          <w:szCs w:val="30"/>
          <w:highlight w:val="none"/>
        </w:rPr>
        <w:t>浙江省法人数字证书”在有效期内免费提供解锁服务。</w:t>
      </w:r>
    </w:p>
    <w:p>
      <w:pPr>
        <w:spacing w:line="360" w:lineRule="auto"/>
        <w:ind w:firstLine="590" w:firstLineChars="196"/>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lang w:val="en-US" w:eastAsia="zh-CN"/>
        </w:rPr>
        <w:t>5</w:t>
      </w:r>
      <w:r>
        <w:rPr>
          <w:rFonts w:hint="eastAsia" w:ascii="仿宋_GB2312" w:hAnsi="仿宋_GB2312" w:eastAsia="仿宋_GB2312" w:cs="仿宋_GB2312"/>
          <w:b/>
          <w:color w:val="auto"/>
          <w:sz w:val="30"/>
          <w:szCs w:val="30"/>
          <w:highlight w:val="none"/>
        </w:rPr>
        <w:t>.6</w:t>
      </w:r>
      <w:r>
        <w:rPr>
          <w:rFonts w:ascii="仿宋_GB2312" w:hAnsi="仿宋_GB2312" w:eastAsia="仿宋_GB2312" w:cs="仿宋_GB2312"/>
          <w:b/>
          <w:color w:val="auto"/>
          <w:sz w:val="30"/>
          <w:szCs w:val="30"/>
          <w:highlight w:val="none"/>
        </w:rPr>
        <w:t>注销</w:t>
      </w:r>
      <w:r>
        <w:rPr>
          <w:rFonts w:hint="eastAsia" w:ascii="仿宋_GB2312" w:hAnsi="仿宋_GB2312" w:eastAsia="仿宋_GB2312" w:cs="仿宋_GB2312"/>
          <w:b/>
          <w:sz w:val="30"/>
          <w:szCs w:val="30"/>
          <w:highlight w:val="none"/>
        </w:rPr>
        <w:t>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如</w:t>
      </w:r>
      <w:r>
        <w:rPr>
          <w:rFonts w:hint="eastAsia" w:ascii="仿宋_GB2312" w:hAnsi="仿宋_GB2312" w:eastAsia="仿宋_GB2312" w:cs="仿宋_GB2312"/>
          <w:sz w:val="30"/>
          <w:szCs w:val="30"/>
          <w:highlight w:val="none"/>
          <w:lang w:val="en-US" w:eastAsia="zh-CN"/>
        </w:rPr>
        <w:t>法人数字</w:t>
      </w:r>
      <w:r>
        <w:rPr>
          <w:rFonts w:hint="eastAsia" w:ascii="仿宋_GB2312" w:hAnsi="仿宋_GB2312" w:eastAsia="仿宋_GB2312" w:cs="仿宋_GB2312"/>
          <w:sz w:val="30"/>
          <w:szCs w:val="30"/>
          <w:highlight w:val="none"/>
        </w:rPr>
        <w:t>证书被要求不再使用，可申请办理</w:t>
      </w:r>
      <w:r>
        <w:rPr>
          <w:rFonts w:ascii="仿宋_GB2312" w:hAnsi="仿宋_GB2312" w:eastAsia="仿宋_GB2312" w:cs="仿宋_GB2312"/>
          <w:sz w:val="30"/>
          <w:szCs w:val="30"/>
          <w:highlight w:val="none"/>
        </w:rPr>
        <w:t>注销</w:t>
      </w:r>
      <w:r>
        <w:rPr>
          <w:rFonts w:hint="eastAsia" w:ascii="仿宋_GB2312" w:hAnsi="仿宋_GB2312" w:eastAsia="仿宋_GB2312" w:cs="仿宋_GB2312"/>
          <w:sz w:val="30"/>
          <w:szCs w:val="30"/>
          <w:highlight w:val="none"/>
        </w:rPr>
        <w:t>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.6.1在服务期限内，根据用户要求，免费提供注销服务。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.6.2对于已在相关政府部门注销、关停或长期不用的法人用户，在收到相关部门通知后，</w:t>
      </w:r>
      <w:r>
        <w:rPr>
          <w:rFonts w:hint="eastAsia" w:ascii="仿宋_GB2312" w:hAnsi="仿宋_GB2312" w:eastAsia="仿宋_GB2312" w:cs="仿宋_GB2312"/>
          <w:color w:val="auto"/>
          <w:sz w:val="30"/>
          <w:szCs w:val="30"/>
          <w:highlight w:val="none"/>
        </w:rPr>
        <w:t>免费注销数字</w:t>
      </w:r>
      <w:r>
        <w:rPr>
          <w:rFonts w:hint="eastAsia" w:ascii="仿宋_GB2312" w:hAnsi="仿宋_GB2312" w:eastAsia="仿宋_GB2312" w:cs="仿宋_GB2312"/>
          <w:sz w:val="30"/>
          <w:szCs w:val="30"/>
          <w:highlight w:val="none"/>
        </w:rPr>
        <w:t>证书，停止相关服务。</w:t>
      </w:r>
    </w:p>
    <w:p>
      <w:pPr>
        <w:spacing w:line="360" w:lineRule="auto"/>
        <w:ind w:firstLine="590" w:firstLineChars="196"/>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lang w:val="en-US" w:eastAsia="zh-CN"/>
        </w:rPr>
        <w:t>5</w:t>
      </w:r>
      <w:r>
        <w:rPr>
          <w:rFonts w:hint="eastAsia" w:ascii="仿宋_GB2312" w:hAnsi="仿宋_GB2312" w:eastAsia="仿宋_GB2312" w:cs="仿宋_GB2312"/>
          <w:b/>
          <w:sz w:val="30"/>
          <w:szCs w:val="30"/>
          <w:highlight w:val="none"/>
        </w:rPr>
        <w:t>.7信息支撑服务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为监管部门、应用部门等提供证书统计信息服务；提供相关证书、用户信息的查询服务；提供售后服务统计信息等，为政府决策提供信息支撑。</w:t>
      </w:r>
    </w:p>
    <w:p>
      <w:pPr>
        <w:spacing w:line="360" w:lineRule="auto"/>
        <w:ind w:firstLine="602" w:firstLineChars="2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（二）售后服务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供应商需要提供完善的客户服务，向法人用户提供电话热线、在线客服、远程技术支持等多种方式的售后支持服务。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供应商应运营完善的</w:t>
      </w:r>
      <w:r>
        <w:rPr>
          <w:rFonts w:hint="eastAsia" w:ascii="仿宋_GB2312" w:hAnsi="仿宋_GB2312" w:eastAsia="仿宋_GB2312" w:cs="仿宋_GB2312"/>
          <w:sz w:val="30"/>
          <w:szCs w:val="30"/>
          <w:highlight w:val="none"/>
          <w:lang w:val="en-US" w:eastAsia="zh-CN"/>
        </w:rPr>
        <w:t>浙江省法人数字证书统一服务平台</w:t>
      </w:r>
      <w:r>
        <w:rPr>
          <w:rFonts w:hint="eastAsia" w:ascii="仿宋_GB2312" w:hAnsi="仿宋_GB2312" w:eastAsia="仿宋_GB2312" w:cs="仿宋_GB2312"/>
          <w:sz w:val="30"/>
          <w:szCs w:val="30"/>
          <w:highlight w:val="none"/>
        </w:rPr>
        <w:t>，能够向采购人提供准确的法人数字证新领、更新及售后服务的相关统计数据。</w:t>
      </w:r>
    </w:p>
    <w:p>
      <w:pPr>
        <w:tabs>
          <w:tab w:val="left" w:pos="3645"/>
        </w:tabs>
        <w:spacing w:line="360" w:lineRule="auto"/>
        <w:ind w:firstLine="6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2.1咨询服务</w:t>
      </w:r>
      <w:r>
        <w:rPr>
          <w:rFonts w:hint="eastAsia" w:ascii="仿宋_GB2312" w:hAnsi="仿宋_GB2312" w:eastAsia="仿宋_GB2312" w:cs="仿宋_GB2312"/>
          <w:b/>
          <w:sz w:val="30"/>
          <w:szCs w:val="30"/>
          <w:highlight w:val="none"/>
        </w:rPr>
        <w:tab/>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向用户免费提供数字证书业务介绍、业务办理流程、应用和服务相关政策法规的解读。</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2.1.1业务介绍：包括所能提供的证书类别、业务类别与适用范围等。</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2.1.2业务办理流程介绍：包括用户办理相关业务时所需遵循的流程与提交的各种资料。</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2.1.3应用介绍：包括</w:t>
      </w:r>
      <w:r>
        <w:rPr>
          <w:rFonts w:hint="eastAsia" w:ascii="仿宋_GB2312" w:hAnsi="仿宋_GB2312" w:eastAsia="仿宋_GB2312" w:cs="仿宋_GB2312"/>
          <w:sz w:val="30"/>
          <w:szCs w:val="30"/>
          <w:highlight w:val="none"/>
          <w:lang w:val="en-US" w:eastAsia="zh-CN"/>
        </w:rPr>
        <w:t>数</w:t>
      </w:r>
      <w:r>
        <w:rPr>
          <w:rFonts w:hint="eastAsia" w:ascii="仿宋_GB2312" w:hAnsi="仿宋_GB2312" w:eastAsia="仿宋_GB2312" w:cs="仿宋_GB2312"/>
          <w:color w:val="auto"/>
          <w:sz w:val="30"/>
          <w:szCs w:val="30"/>
          <w:highlight w:val="none"/>
          <w:lang w:val="en-US" w:eastAsia="zh-CN"/>
        </w:rPr>
        <w:t>字</w:t>
      </w:r>
      <w:r>
        <w:rPr>
          <w:rFonts w:hint="eastAsia" w:ascii="仿宋_GB2312" w:hAnsi="仿宋_GB2312" w:eastAsia="仿宋_GB2312" w:cs="仿宋_GB2312"/>
          <w:color w:val="auto"/>
          <w:sz w:val="30"/>
          <w:szCs w:val="30"/>
          <w:highlight w:val="none"/>
        </w:rPr>
        <w:t>证书及电子印章在应</w:t>
      </w:r>
      <w:r>
        <w:rPr>
          <w:rFonts w:hint="eastAsia" w:ascii="仿宋_GB2312" w:hAnsi="仿宋_GB2312" w:eastAsia="仿宋_GB2312" w:cs="仿宋_GB2312"/>
          <w:sz w:val="30"/>
          <w:szCs w:val="30"/>
          <w:highlight w:val="none"/>
        </w:rPr>
        <w:t>用系统中所能提供的功能、价值与操作方法等。</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2.1.4法规解读：对用户、应用机构与依赖方相关的权利、责任的法规依据解读。</w:t>
      </w:r>
    </w:p>
    <w:p>
      <w:pPr>
        <w:spacing w:line="360" w:lineRule="auto"/>
        <w:ind w:firstLine="6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2.2使用支持服务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用户在申领浙江省法人数字证书后，为用户提供</w:t>
      </w:r>
      <w:r>
        <w:rPr>
          <w:rFonts w:ascii="仿宋_GB2312" w:hAnsi="仿宋_GB2312" w:eastAsia="仿宋_GB2312" w:cs="仿宋_GB2312"/>
          <w:sz w:val="30"/>
          <w:szCs w:val="30"/>
          <w:highlight w:val="none"/>
        </w:rPr>
        <w:t>相关软件</w:t>
      </w:r>
      <w:r>
        <w:rPr>
          <w:rFonts w:hint="eastAsia" w:ascii="仿宋_GB2312" w:hAnsi="仿宋_GB2312" w:eastAsia="仿宋_GB2312" w:cs="仿宋_GB2312"/>
          <w:sz w:val="30"/>
          <w:szCs w:val="30"/>
          <w:highlight w:val="none"/>
        </w:rPr>
        <w:t>安装、使用指导、问题解答、技术支持等方面的售后服务。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2.2.1在服务期限内为第一张“浙江省法人数字证书”免费提供售后服务。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2.2.2第二张或以上“浙江省法人数字证书”在有效期内免费提供售后服务。</w:t>
      </w:r>
    </w:p>
    <w:p>
      <w:pPr>
        <w:spacing w:line="360" w:lineRule="auto"/>
        <w:ind w:firstLine="6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2.3使用培训服务</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结合浙江省政务对法人数字证书的应用需要，可结合应用配合提供使用培训服务。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2.3.1免费为应用部门提供数字证书功能、法律依据、技术标准、安装、使用、业务办理等方面的培训资料。</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2.3.2如应用部门有需要，可由服务机构直接提供数字证书培训，培训相关费用由应用部门自行承担。</w:t>
      </w:r>
    </w:p>
    <w:p>
      <w:pPr>
        <w:spacing w:line="360" w:lineRule="auto"/>
        <w:ind w:firstLine="600"/>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2.4应用集成支持服务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2.4.1为浙江省政务应用免费提供标准统一的证书加解密与签名验签等的应用接口。</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2.4.2免费提供法人数字证书应用集成规范文档。</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根据各电子政务应用的实际需求，提供相关技术解决方案，并协助进行调试对接。其相关费用由应用部门自行承担。</w:t>
      </w:r>
    </w:p>
    <w:p>
      <w:pPr>
        <w:spacing w:line="360" w:lineRule="auto"/>
        <w:ind w:firstLine="602" w:firstLineChars="200"/>
        <w:rPr>
          <w:rFonts w:hint="eastAsia" w:ascii="仿宋_GB2312" w:hAnsi="仿宋_GB2312" w:eastAsia="仿宋_GB2312" w:cs="仿宋_GB2312"/>
          <w:b/>
          <w:color w:val="auto"/>
          <w:sz w:val="30"/>
          <w:szCs w:val="30"/>
          <w:highlight w:val="none"/>
          <w:lang w:val="en-US" w:eastAsia="zh-CN"/>
        </w:rPr>
      </w:pPr>
      <w:bookmarkStart w:id="60" w:name="_Toc2314"/>
      <w:r>
        <w:rPr>
          <w:rFonts w:hint="eastAsia" w:ascii="仿宋_GB2312" w:hAnsi="仿宋_GB2312" w:eastAsia="仿宋_GB2312" w:cs="仿宋_GB2312"/>
          <w:b/>
          <w:color w:val="auto"/>
          <w:sz w:val="30"/>
          <w:szCs w:val="30"/>
          <w:highlight w:val="none"/>
          <w:lang w:val="en-US" w:eastAsia="zh-CN"/>
        </w:rPr>
        <w:t>五、项目服务要求</w:t>
      </w:r>
      <w:bookmarkEnd w:id="60"/>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供应商应在全省（不含宁波）运</w:t>
      </w:r>
      <w:r>
        <w:rPr>
          <w:rFonts w:hint="eastAsia" w:ascii="仿宋_GB2312" w:hAnsi="仿宋_GB2312" w:eastAsia="仿宋_GB2312" w:cs="仿宋_GB2312"/>
          <w:color w:val="auto"/>
          <w:sz w:val="30"/>
          <w:szCs w:val="30"/>
          <w:highlight w:val="none"/>
        </w:rPr>
        <w:t>营20个</w:t>
      </w:r>
      <w:r>
        <w:rPr>
          <w:rFonts w:hint="eastAsia" w:ascii="仿宋_GB2312" w:hAnsi="仿宋_GB2312" w:eastAsia="仿宋_GB2312" w:cs="仿宋_GB2312"/>
          <w:sz w:val="30"/>
          <w:szCs w:val="30"/>
          <w:highlight w:val="none"/>
        </w:rPr>
        <w:t>本地化服务网点，能够方便直接地向法人用户提供5*8小时的工作日本地化证书服务；证书服务网点由供应商直接建立运营，有固定运营场所并按照采购人要求统一标识，具有服务窗口及必要办公设施，网点服务人员具有证书服务经验。</w:t>
      </w:r>
    </w:p>
    <w:p>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供应商应具备完</w:t>
      </w:r>
      <w:r>
        <w:rPr>
          <w:rFonts w:hint="eastAsia" w:ascii="仿宋_GB2312" w:hAnsi="仿宋_GB2312" w:eastAsia="仿宋_GB2312" w:cs="仿宋_GB2312"/>
          <w:color w:val="auto"/>
          <w:sz w:val="30"/>
          <w:szCs w:val="30"/>
          <w:highlight w:val="none"/>
        </w:rPr>
        <w:t>善的证书及电子印章服务规范，包括详细的服务模式、服务流程、操作规范等；同时要设计符合法人用户特点的鉴证规范，确保法人用户身份的真实性。</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供应商应提供</w:t>
      </w:r>
      <w:r>
        <w:rPr>
          <w:rFonts w:ascii="仿宋_GB2312" w:hAnsi="仿宋_GB2312" w:eastAsia="仿宋_GB2312" w:cs="仿宋_GB2312"/>
          <w:color w:val="auto"/>
          <w:sz w:val="30"/>
          <w:szCs w:val="30"/>
          <w:highlight w:val="none"/>
        </w:rPr>
        <w:t>自有知识产权的</w:t>
      </w:r>
      <w:r>
        <w:rPr>
          <w:rFonts w:hint="eastAsia" w:ascii="仿宋_GB2312" w:hAnsi="仿宋_GB2312" w:eastAsia="仿宋_GB2312" w:cs="仿宋_GB2312"/>
          <w:color w:val="auto"/>
          <w:sz w:val="30"/>
          <w:szCs w:val="30"/>
          <w:highlight w:val="none"/>
        </w:rPr>
        <w:t>电子签章</w:t>
      </w:r>
      <w:r>
        <w:rPr>
          <w:rFonts w:ascii="仿宋_GB2312" w:hAnsi="仿宋_GB2312" w:eastAsia="仿宋_GB2312" w:cs="仿宋_GB2312"/>
          <w:color w:val="auto"/>
          <w:sz w:val="30"/>
          <w:szCs w:val="30"/>
          <w:highlight w:val="none"/>
        </w:rPr>
        <w:t>产品</w:t>
      </w:r>
      <w:r>
        <w:rPr>
          <w:rFonts w:hint="eastAsia" w:ascii="仿宋_GB2312" w:hAnsi="仿宋_GB2312" w:eastAsia="仿宋_GB2312" w:cs="仿宋_GB2312"/>
          <w:color w:val="auto"/>
          <w:sz w:val="30"/>
          <w:szCs w:val="30"/>
          <w:highlight w:val="none"/>
        </w:rPr>
        <w:t>，需具备国家密码管理局《商用密码产品认证证书》和公安部《计算机信息系统安全专用产品销售许可证》（电子签章三级）产品资质。</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运营浙江省法人数字证书统一服务平台，提供法人数字证书业务的办理说明；提供更新等在线服务；供应商应运营数字证书APP，提供更新等服务“掌上办”，方便用户办理业务；提供对发放情况、状态等情况进行查询、统计与报表输出；提供QQ群、即时通讯工具、远程协助工具等为用户提供在线问题解答与远程技术支持服务。在线服务</w:t>
      </w:r>
      <w:r>
        <w:rPr>
          <w:rFonts w:hint="eastAsia" w:ascii="仿宋_GB2312" w:hAnsi="仿宋_GB2312" w:eastAsia="仿宋_GB2312" w:cs="仿宋_GB2312"/>
          <w:color w:val="auto"/>
          <w:sz w:val="30"/>
          <w:szCs w:val="30"/>
          <w:highlight w:val="none"/>
        </w:rPr>
        <w:t>网站、智能客服应保证7*24小时正常服务。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5</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供应商应运营统一呼叫中心，具有</w:t>
      </w:r>
      <w:r>
        <w:rPr>
          <w:rFonts w:ascii="仿宋_GB2312" w:hAnsi="仿宋_GB2312" w:eastAsia="仿宋_GB2312" w:cs="仿宋_GB2312"/>
          <w:color w:val="auto"/>
          <w:sz w:val="30"/>
          <w:szCs w:val="30"/>
          <w:highlight w:val="none"/>
        </w:rPr>
        <w:t>法人数字证书</w:t>
      </w:r>
      <w:r>
        <w:rPr>
          <w:rFonts w:hint="eastAsia" w:ascii="仿宋_GB2312" w:hAnsi="仿宋_GB2312" w:eastAsia="仿宋_GB2312" w:cs="仿宋_GB2312"/>
          <w:color w:val="auto"/>
          <w:sz w:val="30"/>
          <w:szCs w:val="30"/>
          <w:highlight w:val="none"/>
        </w:rPr>
        <w:t>服务热线，提供5*8小时的工作日热线电话支持；呼叫中心至少同</w:t>
      </w:r>
      <w:r>
        <w:rPr>
          <w:rFonts w:hint="eastAsia" w:ascii="仿宋_GB2312" w:hAnsi="仿宋_GB2312" w:eastAsia="仿宋_GB2312" w:cs="仿宋_GB2312"/>
          <w:sz w:val="30"/>
          <w:szCs w:val="30"/>
          <w:highlight w:val="none"/>
        </w:rPr>
        <w:t>时支持40线呼入。</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供应商应提供网站在线客服与远程技术支持服务，提供5*8小时的工作日人工服务，以及7*24小时智能机器人应答系统服务。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服务保障</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7.1组织保障</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7.1.1</w:t>
      </w:r>
      <w:r>
        <w:rPr>
          <w:rFonts w:ascii="仿宋_GB2312" w:hAnsi="仿宋_GB2312" w:eastAsia="仿宋_GB2312" w:cs="仿宋_GB2312"/>
          <w:sz w:val="30"/>
          <w:szCs w:val="30"/>
          <w:highlight w:val="none"/>
        </w:rPr>
        <w:t>供应商</w:t>
      </w:r>
      <w:r>
        <w:rPr>
          <w:rFonts w:hint="eastAsia" w:ascii="仿宋_GB2312" w:hAnsi="仿宋_GB2312" w:eastAsia="仿宋_GB2312" w:cs="仿宋_GB2312"/>
          <w:sz w:val="30"/>
          <w:szCs w:val="30"/>
          <w:highlight w:val="none"/>
        </w:rPr>
        <w:t>需组建专门的项目管理组织，由服务机构主要负责人担任直接责任人，组织中要设有能够分别负责基础设施运维、技术支持、客户服务、服务交付、质量监查、宣传推广等方面的团队。</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7.1.2基础设施运维组负责相关信息系统的运营保障服务。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7.1.3技术支持组负责对证书及印章发行提供相关</w:t>
      </w:r>
      <w:r>
        <w:rPr>
          <w:rFonts w:hint="eastAsia" w:ascii="仿宋_GB2312" w:hAnsi="仿宋_GB2312" w:eastAsia="仿宋_GB2312" w:cs="仿宋_GB2312"/>
          <w:sz w:val="30"/>
          <w:szCs w:val="30"/>
          <w:highlight w:val="none"/>
        </w:rPr>
        <w:t>技术支持服务。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7.1.4客户服务组负责通过电话呼叫中心、在线远程工具等对用户提供售后服务。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7.1.5服务交付组负责制定服务规范、服务流程，为用户提供方便快捷的业务办理。</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7.1.6质量监查组负责进行客户满意度调查，对服务质量进行监督管理，提供服务质量改进方案。</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7.1.7宣传推广组负责制定宣传推广方案与计划，设计制定相关宣传资料与方案，负责协调政府相关部门与媒体。</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7.2人员保障</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需根据此项目服务的组织保障要求，设立相应专业岗位人员，确保各项工作能够保质保量完成。</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7.2.1在全省行政服务中心设立的本地化服务网点，需至少保证每个网点有1名本地化服务人员，同时预留部分备份人员，以保障本地化服务不中断。</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7.2.2热线呼叫中心需具备有服务经验的电话热线服务与远程技术支持人员</w:t>
      </w:r>
      <w:r>
        <w:rPr>
          <w:rFonts w:hint="eastAsia" w:ascii="仿宋_GB2312" w:hAnsi="仿宋_GB2312" w:eastAsia="仿宋_GB2312" w:cs="仿宋_GB2312"/>
          <w:sz w:val="30"/>
          <w:szCs w:val="30"/>
          <w:highlight w:val="none"/>
          <w:lang w:val="en-US" w:eastAsia="zh-CN"/>
        </w:rPr>
        <w:t>50</w:t>
      </w:r>
      <w:r>
        <w:rPr>
          <w:rFonts w:hint="eastAsia" w:ascii="仿宋_GB2312" w:hAnsi="仿宋_GB2312" w:eastAsia="仿宋_GB2312" w:cs="仿宋_GB2312"/>
          <w:sz w:val="30"/>
          <w:szCs w:val="30"/>
          <w:highlight w:val="none"/>
        </w:rPr>
        <w:t>人。</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7.3浙江省法人数字证书统一服务平台</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运营“浙江省法人数字证书统一服务平台”，</w:t>
      </w:r>
      <w:r>
        <w:rPr>
          <w:rFonts w:hint="eastAsia" w:ascii="仿宋_GB2312" w:hAnsi="仿宋_GB2312" w:eastAsia="仿宋_GB2312" w:cs="仿宋_GB2312"/>
          <w:sz w:val="30"/>
          <w:szCs w:val="30"/>
          <w:highlight w:val="none"/>
        </w:rPr>
        <w:t>通过统一的服务门户，让证书用户、业务管理方可以登录到该系统平台完成相应的业务在线办理、业务咨询、问题解答、信息查询、业务统计等服务交付和支持工作，并为决策部门提供信息支撑服务。实现法人数字证书的统一业务受理、统一服务、统一渠道，能够确保证书用户的“一站式”服务。</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7.4优化和完善移动版证书领用环境</w:t>
      </w:r>
    </w:p>
    <w:p>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不断优化和完善数字证书APP的业务流程和功能操作，提升通过移动端进行移动版证书领取和应用、获取服务的便利性和可用性，扩大移动证书的领取通道和应用范围，</w:t>
      </w:r>
      <w:r>
        <w:rPr>
          <w:rFonts w:hint="eastAsia" w:ascii="仿宋_GB2312" w:hAnsi="仿宋_GB2312" w:eastAsia="仿宋_GB2312" w:cs="仿宋_GB2312"/>
          <w:color w:val="auto"/>
          <w:sz w:val="30"/>
          <w:szCs w:val="30"/>
          <w:highlight w:val="none"/>
        </w:rPr>
        <w:t>并和浙江省法人数字证书统一服务平台打通，实现业务、服务的统一。</w:t>
      </w:r>
    </w:p>
    <w:p>
      <w:pPr>
        <w:spacing w:line="360" w:lineRule="auto"/>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7.5持续的系统改造升级</w:t>
      </w:r>
    </w:p>
    <w:p>
      <w:pPr>
        <w:spacing w:line="360" w:lineRule="auto"/>
        <w:ind w:firstLine="600" w:firstLineChars="200"/>
        <w:rPr>
          <w:rFonts w:ascii="仿宋_GB2312" w:eastAsia="仿宋_GB2312"/>
          <w:sz w:val="30"/>
          <w:szCs w:val="30"/>
          <w:highlight w:val="none"/>
        </w:rPr>
      </w:pPr>
      <w:r>
        <w:rPr>
          <w:rFonts w:hint="eastAsia" w:ascii="仿宋_GB2312" w:eastAsia="仿宋_GB2312"/>
          <w:color w:val="auto"/>
          <w:sz w:val="30"/>
          <w:szCs w:val="30"/>
          <w:highlight w:val="none"/>
        </w:rPr>
        <w:t>据本期项目要求，</w:t>
      </w:r>
      <w:r>
        <w:rPr>
          <w:rFonts w:hint="eastAsia" w:ascii="仿宋_GB2312" w:hAnsi="仿宋_GB2312" w:eastAsia="仿宋_GB2312" w:cs="仿宋_GB2312"/>
          <w:color w:val="auto"/>
          <w:sz w:val="30"/>
          <w:szCs w:val="30"/>
          <w:highlight w:val="none"/>
        </w:rPr>
        <w:t>浙江省法人数字证书统一服务平台</w:t>
      </w:r>
      <w:r>
        <w:rPr>
          <w:rFonts w:hint="eastAsia" w:ascii="仿宋_GB2312" w:eastAsia="仿宋_GB2312"/>
          <w:color w:val="auto"/>
          <w:sz w:val="30"/>
          <w:szCs w:val="30"/>
          <w:highlight w:val="none"/>
        </w:rPr>
        <w:t>需要</w:t>
      </w:r>
      <w:r>
        <w:rPr>
          <w:rFonts w:hint="eastAsia" w:ascii="仿宋_GB2312" w:eastAsia="仿宋_GB2312"/>
          <w:sz w:val="30"/>
          <w:szCs w:val="30"/>
          <w:highlight w:val="none"/>
        </w:rPr>
        <w:t>面向日益增长的法人用户提供发行和客户服务，为此需要对现有信息系统进行优化、扩容，提高相关发行和服务系统的智能化、信息化，包括但不限于</w:t>
      </w:r>
      <w:r>
        <w:rPr>
          <w:rFonts w:hint="eastAsia" w:ascii="仿宋_GB2312" w:eastAsia="仿宋_GB2312"/>
          <w:sz w:val="30"/>
          <w:szCs w:val="30"/>
          <w:highlight w:val="none"/>
          <w:lang w:val="en-US" w:eastAsia="zh-CN"/>
        </w:rPr>
        <w:t>呼叫中心平台升级、发行全过程电子存证、系统安全升级改造</w:t>
      </w:r>
      <w:r>
        <w:rPr>
          <w:rFonts w:hint="eastAsia" w:ascii="仿宋_GB2312" w:eastAsia="仿宋_GB2312"/>
          <w:sz w:val="30"/>
          <w:szCs w:val="30"/>
          <w:highlight w:val="none"/>
        </w:rPr>
        <w:t>等，需要通过技术力量确保在用户量日益增长的情况，控制单位用户的服务成本，提升服务效能，保障发行和应用的便利性、稳定性、安全性的持续提升。</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7.6制度保障</w:t>
      </w:r>
    </w:p>
    <w:p>
      <w:pPr>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供应商</w:t>
      </w:r>
      <w:r>
        <w:rPr>
          <w:rFonts w:hint="eastAsia" w:ascii="仿宋_GB2312" w:hAnsi="仿宋_GB2312" w:eastAsia="仿宋_GB2312" w:cs="仿宋_GB2312"/>
          <w:sz w:val="30"/>
          <w:szCs w:val="30"/>
          <w:highlight w:val="none"/>
        </w:rPr>
        <w:t>需建立保障服务的一系列的规范与规章制度，包括但不限于系统运维、安全管理、人员管理及服务质量管理等方面。</w:t>
      </w:r>
    </w:p>
    <w:p>
      <w:pPr>
        <w:spacing w:line="360" w:lineRule="auto"/>
        <w:ind w:firstLine="602" w:firstLineChars="200"/>
        <w:rPr>
          <w:rFonts w:hint="eastAsia" w:ascii="仿宋_GB2312" w:hAnsi="仿宋_GB2312" w:eastAsia="仿宋_GB2312" w:cs="仿宋_GB2312"/>
          <w:b/>
          <w:color w:val="auto"/>
          <w:sz w:val="30"/>
          <w:szCs w:val="30"/>
          <w:highlight w:val="none"/>
          <w:lang w:val="en-US" w:eastAsia="zh-CN"/>
        </w:rPr>
      </w:pPr>
      <w:bookmarkStart w:id="61" w:name="_Toc7890"/>
      <w:r>
        <w:rPr>
          <w:rFonts w:hint="eastAsia" w:ascii="仿宋_GB2312" w:hAnsi="仿宋_GB2312" w:eastAsia="仿宋_GB2312" w:cs="仿宋_GB2312"/>
          <w:b/>
          <w:color w:val="auto"/>
          <w:sz w:val="30"/>
          <w:szCs w:val="30"/>
          <w:highlight w:val="none"/>
          <w:lang w:val="en-US" w:eastAsia="zh-CN"/>
        </w:rPr>
        <w:t>六、项目实施要求</w:t>
      </w:r>
      <w:bookmarkEnd w:id="61"/>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供应商应针对服务内容和服务质量要求，在</w:t>
      </w:r>
      <w:r>
        <w:rPr>
          <w:rFonts w:hint="eastAsia" w:ascii="仿宋_GB2312" w:hAnsi="仿宋_GB2312" w:eastAsia="仿宋_GB2312" w:cs="仿宋_GB2312"/>
          <w:sz w:val="30"/>
          <w:szCs w:val="30"/>
          <w:highlight w:val="none"/>
          <w:lang w:val="en-US" w:eastAsia="zh-CN"/>
        </w:rPr>
        <w:t>响应</w:t>
      </w:r>
      <w:r>
        <w:rPr>
          <w:rFonts w:hint="eastAsia" w:ascii="仿宋_GB2312" w:hAnsi="仿宋_GB2312" w:eastAsia="仿宋_GB2312" w:cs="仿宋_GB2312"/>
          <w:sz w:val="30"/>
          <w:szCs w:val="30"/>
          <w:highlight w:val="none"/>
        </w:rPr>
        <w:t>文件中需提供详细的项目实施方案，包括人员组织和分工、项目风险控制方案、质量控制方案、进度控制方案和项目人员保障方案以及相应的培训组织等内容。</w:t>
      </w:r>
    </w:p>
    <w:p>
      <w:p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要求在合同签订后生效后，供应商立即启动，在一个月内完成服务体系建设，开始发放新的“法人数字证书”。</w:t>
      </w:r>
    </w:p>
    <w:p>
      <w:pPr>
        <w:spacing w:line="360" w:lineRule="auto"/>
        <w:ind w:firstLine="600"/>
        <w:rPr>
          <w:rFonts w:ascii="仿宋_GB2312" w:hAnsi="仿宋_GB2312" w:eastAsia="仿宋_GB2312" w:cs="仿宋_GB2312"/>
          <w:b/>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同时供应商应配合应用部门完成应用系统的对接工作，实现法人数字证书在重点应用中的使用与平滑过渡。</w:t>
      </w:r>
    </w:p>
    <w:p>
      <w:pPr>
        <w:spacing w:line="360" w:lineRule="auto"/>
        <w:ind w:firstLine="602" w:firstLineChars="200"/>
        <w:rPr>
          <w:rFonts w:hint="eastAsia" w:ascii="仿宋_GB2312" w:hAnsi="仿宋_GB2312" w:eastAsia="仿宋_GB2312" w:cs="仿宋_GB2312"/>
          <w:b/>
          <w:color w:val="auto"/>
          <w:sz w:val="30"/>
          <w:szCs w:val="30"/>
          <w:highlight w:val="none"/>
          <w:lang w:val="en-US" w:eastAsia="zh-CN"/>
        </w:rPr>
      </w:pPr>
      <w:bookmarkStart w:id="62" w:name="_Toc4223"/>
      <w:r>
        <w:rPr>
          <w:rFonts w:hint="eastAsia" w:ascii="仿宋_GB2312" w:hAnsi="仿宋_GB2312" w:eastAsia="仿宋_GB2312" w:cs="仿宋_GB2312"/>
          <w:b/>
          <w:color w:val="auto"/>
          <w:sz w:val="30"/>
          <w:szCs w:val="30"/>
          <w:highlight w:val="none"/>
          <w:lang w:val="en-US" w:eastAsia="zh-CN"/>
        </w:rPr>
        <w:t>七、绩效目标</w:t>
      </w:r>
      <w:bookmarkEnd w:id="62"/>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与浙江省法人数字证书介质和制证服务供应商合作制定法人数字证书格式与应用接口标准规范，为全省法人数字证书的一证通用奠定标准。</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制定统一的“浙江省法人数字证书”宣传资料，包括但不限于纸质材料。</w:t>
      </w:r>
    </w:p>
    <w:p>
      <w:pPr>
        <w:spacing w:line="360" w:lineRule="auto"/>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color w:val="auto"/>
          <w:sz w:val="30"/>
          <w:szCs w:val="30"/>
          <w:highlight w:val="none"/>
        </w:rPr>
        <w:t>建设20个行政服务中心本地化服务网点，提供5*8小时服务。能够形成完善的本地化服务支持网络。</w:t>
      </w:r>
    </w:p>
    <w:p>
      <w:pPr>
        <w:spacing w:line="360" w:lineRule="auto"/>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运营具有40线呼入能力的电话呼叫中心与在线技术支持中心，能够提供5*8小时证书与电子印章服务，提供7*24小时在线智能客服。形成能够提供多种通道的客服体系。</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建设完成浙江省法人数字证书服务门户网站、数字证书APP，为全省法人用户提供业务办理说明，实现申领、维护的“在线办”，“掌上办”。</w:t>
      </w:r>
    </w:p>
    <w:p>
      <w:pPr>
        <w:spacing w:line="36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年新增发放数字证书</w:t>
      </w:r>
      <w:r>
        <w:rPr>
          <w:rFonts w:hint="eastAsia" w:ascii="仿宋_GB2312" w:hAnsi="仿宋_GB2312" w:eastAsia="仿宋_GB2312" w:cs="仿宋_GB2312"/>
          <w:sz w:val="30"/>
          <w:szCs w:val="30"/>
          <w:highlight w:val="none"/>
          <w:lang w:val="en-US" w:eastAsia="zh-CN"/>
        </w:rPr>
        <w:t>35</w:t>
      </w:r>
      <w:r>
        <w:rPr>
          <w:rFonts w:hint="eastAsia" w:ascii="仿宋_GB2312" w:hAnsi="仿宋_GB2312" w:eastAsia="仿宋_GB2312" w:cs="仿宋_GB2312"/>
          <w:sz w:val="30"/>
          <w:szCs w:val="30"/>
          <w:highlight w:val="none"/>
        </w:rPr>
        <w:t>万张，全省（不含宁波）法人数字证书覆盖</w:t>
      </w:r>
      <w:r>
        <w:rPr>
          <w:rFonts w:hint="eastAsia" w:ascii="仿宋_GB2312" w:hAnsi="仿宋_GB2312" w:eastAsia="仿宋_GB2312" w:cs="仿宋_GB2312"/>
          <w:sz w:val="30"/>
          <w:szCs w:val="30"/>
          <w:highlight w:val="none"/>
          <w:lang w:val="en-US" w:eastAsia="zh-CN"/>
        </w:rPr>
        <w:t>300</w:t>
      </w:r>
      <w:r>
        <w:rPr>
          <w:rFonts w:hint="eastAsia" w:ascii="仿宋_GB2312" w:hAnsi="仿宋_GB2312" w:eastAsia="仿宋_GB2312" w:cs="仿宋_GB2312"/>
          <w:sz w:val="30"/>
          <w:szCs w:val="30"/>
          <w:highlight w:val="none"/>
        </w:rPr>
        <w:t>万用户。</w:t>
      </w:r>
    </w:p>
    <w:p>
      <w:pPr>
        <w:numPr>
          <w:ilvl w:val="0"/>
          <w:numId w:val="0"/>
        </w:num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发行与售后服务调查满意度达到90%。</w:t>
      </w:r>
    </w:p>
    <w:p>
      <w:pPr>
        <w:numPr>
          <w:ilvl w:val="0"/>
          <w:numId w:val="0"/>
        </w:numPr>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法人数字证书基础服务采购项目服务质量评估表（证书发行与应用服务）得分</w:t>
      </w:r>
      <w:r>
        <w:rPr>
          <w:rFonts w:ascii="仿宋_GB2312" w:hAnsi="仿宋_GB2312" w:eastAsia="仿宋_GB2312" w:cs="仿宋_GB2312"/>
          <w:sz w:val="30"/>
          <w:szCs w:val="30"/>
          <w:highlight w:val="none"/>
        </w:rPr>
        <w:t>85</w:t>
      </w:r>
      <w:r>
        <w:rPr>
          <w:rFonts w:hint="eastAsia" w:ascii="仿宋_GB2312" w:hAnsi="仿宋_GB2312" w:eastAsia="仿宋_GB2312" w:cs="仿宋_GB2312"/>
          <w:sz w:val="30"/>
          <w:szCs w:val="30"/>
          <w:highlight w:val="none"/>
        </w:rPr>
        <w:t>分以上。</w:t>
      </w:r>
    </w:p>
    <w:p>
      <w:pPr>
        <w:spacing w:line="360" w:lineRule="auto"/>
        <w:ind w:firstLine="602" w:firstLineChars="200"/>
        <w:rPr>
          <w:rFonts w:hint="eastAsia" w:ascii="仿宋_GB2312" w:hAnsi="仿宋_GB2312" w:eastAsia="仿宋_GB2312" w:cs="仿宋_GB2312"/>
          <w:b/>
          <w:color w:val="auto"/>
          <w:sz w:val="30"/>
          <w:szCs w:val="30"/>
          <w:highlight w:val="none"/>
          <w:lang w:val="en-US" w:eastAsia="zh-CN"/>
        </w:rPr>
      </w:pPr>
      <w:bookmarkStart w:id="63" w:name="_Toc7577"/>
      <w:r>
        <w:rPr>
          <w:rFonts w:hint="eastAsia" w:ascii="仿宋_GB2312" w:hAnsi="仿宋_GB2312" w:eastAsia="仿宋_GB2312" w:cs="仿宋_GB2312"/>
          <w:b/>
          <w:color w:val="auto"/>
          <w:sz w:val="30"/>
          <w:szCs w:val="30"/>
          <w:highlight w:val="none"/>
          <w:lang w:val="en-US" w:eastAsia="zh-CN"/>
        </w:rPr>
        <w:t>八、服务质量要求</w:t>
      </w:r>
      <w:bookmarkEnd w:id="63"/>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质量评估主体</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浙江省经济和信息化厅作为浙江省法人数字证书基础服务的采购主体，是此项目的质量评估主体机构。</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质量评估方式</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服务质量评估由省经信厅组织专家或根据需要委托第三方机构进行质量评估。</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质量评估标准</w:t>
      </w:r>
    </w:p>
    <w:p>
      <w:pPr>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质量评估标准参考《电子政务电子认证服务质量评估要求》及本项目的具体服务求进行设定。项目服务质量评估表请见附件。</w:t>
      </w:r>
    </w:p>
    <w:p>
      <w:pPr>
        <w:spacing w:line="360" w:lineRule="auto"/>
        <w:ind w:firstLine="602" w:firstLineChars="200"/>
        <w:rPr>
          <w:rFonts w:hint="eastAsia" w:ascii="仿宋_GB2312" w:hAnsi="仿宋_GB2312" w:eastAsia="仿宋_GB2312" w:cs="仿宋_GB2312"/>
          <w:b/>
          <w:color w:val="auto"/>
          <w:sz w:val="30"/>
          <w:szCs w:val="30"/>
          <w:highlight w:val="none"/>
          <w:lang w:val="en-US" w:eastAsia="zh-CN"/>
        </w:rPr>
      </w:pPr>
      <w:bookmarkStart w:id="64" w:name="_Toc7769"/>
      <w:r>
        <w:rPr>
          <w:rFonts w:hint="eastAsia" w:ascii="仿宋_GB2312" w:hAnsi="仿宋_GB2312" w:eastAsia="仿宋_GB2312" w:cs="仿宋_GB2312"/>
          <w:b/>
          <w:color w:val="auto"/>
          <w:sz w:val="30"/>
          <w:szCs w:val="30"/>
          <w:highlight w:val="none"/>
          <w:lang w:val="en-US" w:eastAsia="zh-CN"/>
        </w:rPr>
        <w:t>九、服务期限</w:t>
      </w:r>
      <w:bookmarkEnd w:id="64"/>
    </w:p>
    <w:p>
      <w:pPr>
        <w:spacing w:line="360" w:lineRule="auto"/>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项目服务期限</w:t>
      </w:r>
      <w:r>
        <w:rPr>
          <w:rFonts w:hint="eastAsia" w:ascii="仿宋_GB2312" w:hAnsi="仿宋_GB2312" w:eastAsia="仿宋_GB2312" w:cs="仿宋_GB2312"/>
          <w:color w:val="auto"/>
          <w:sz w:val="30"/>
          <w:szCs w:val="30"/>
          <w:highlight w:val="none"/>
          <w:lang w:val="en-US" w:eastAsia="zh-CN"/>
        </w:rPr>
        <w:t>一年</w:t>
      </w:r>
      <w:r>
        <w:rPr>
          <w:rFonts w:hint="eastAsia" w:ascii="仿宋_GB2312" w:hAnsi="仿宋_GB2312" w:eastAsia="仿宋_GB2312" w:cs="仿宋_GB2312"/>
          <w:color w:val="auto"/>
          <w:sz w:val="30"/>
          <w:szCs w:val="30"/>
          <w:highlight w:val="none"/>
        </w:rPr>
        <w:t>。</w:t>
      </w:r>
    </w:p>
    <w:p>
      <w:pPr>
        <w:spacing w:line="360" w:lineRule="auto"/>
        <w:ind w:firstLine="602" w:firstLineChars="200"/>
        <w:rPr>
          <w:rFonts w:hint="eastAsia" w:ascii="仿宋_GB2312" w:hAnsi="仿宋_GB2312" w:eastAsia="仿宋_GB2312" w:cs="仿宋_GB2312"/>
          <w:b/>
          <w:color w:val="auto"/>
          <w:sz w:val="30"/>
          <w:szCs w:val="30"/>
          <w:highlight w:val="none"/>
          <w:lang w:val="en-US" w:eastAsia="zh-CN"/>
        </w:rPr>
      </w:pPr>
      <w:bookmarkStart w:id="65" w:name="_Toc30881"/>
      <w:r>
        <w:rPr>
          <w:rFonts w:hint="eastAsia" w:ascii="仿宋_GB2312" w:hAnsi="仿宋_GB2312" w:eastAsia="仿宋_GB2312" w:cs="仿宋_GB2312"/>
          <w:b/>
          <w:color w:val="auto"/>
          <w:sz w:val="30"/>
          <w:szCs w:val="30"/>
          <w:highlight w:val="none"/>
          <w:lang w:val="en-US" w:eastAsia="zh-CN"/>
        </w:rPr>
        <w:t>十、附件</w:t>
      </w:r>
      <w:bookmarkEnd w:id="65"/>
    </w:p>
    <w:p>
      <w:pPr>
        <w:spacing w:line="360" w:lineRule="auto"/>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附件：法人数字证书基础服务采购项目服务质量评估表（发行和应用服务）</w:t>
      </w:r>
    </w:p>
    <w:p>
      <w:pPr>
        <w:rPr>
          <w:rFonts w:hint="eastAsia"/>
          <w:color w:val="auto"/>
        </w:rPr>
      </w:pPr>
      <w:bookmarkStart w:id="66" w:name="PO_TDCUS_ITEM_PB_REQ_TABLE_2_1"/>
      <w:bookmarkEnd w:id="66"/>
      <w:r>
        <w:rPr>
          <w:rFonts w:hint="eastAsia"/>
          <w:color w:val="auto"/>
        </w:rPr>
        <w:br w:type="page"/>
      </w:r>
    </w:p>
    <w:tbl>
      <w:tblPr>
        <w:tblStyle w:val="44"/>
        <w:tblpPr w:leftFromText="180" w:rightFromText="180" w:vertAnchor="page" w:horzAnchor="page" w:tblpX="1811" w:tblpY="1967"/>
        <w:tblW w:w="8900" w:type="dxa"/>
        <w:tblInd w:w="0" w:type="dxa"/>
        <w:tblLayout w:type="fixed"/>
        <w:tblCellMar>
          <w:top w:w="0" w:type="dxa"/>
          <w:left w:w="108" w:type="dxa"/>
          <w:bottom w:w="0" w:type="dxa"/>
          <w:right w:w="108" w:type="dxa"/>
        </w:tblCellMar>
      </w:tblPr>
      <w:tblGrid>
        <w:gridCol w:w="828"/>
        <w:gridCol w:w="825"/>
        <w:gridCol w:w="2827"/>
        <w:gridCol w:w="681"/>
        <w:gridCol w:w="3739"/>
      </w:tblGrid>
      <w:tr>
        <w:tblPrEx>
          <w:tblCellMar>
            <w:top w:w="0" w:type="dxa"/>
            <w:left w:w="108" w:type="dxa"/>
            <w:bottom w:w="0" w:type="dxa"/>
            <w:right w:w="108" w:type="dxa"/>
          </w:tblCellMar>
        </w:tblPrEx>
        <w:trPr>
          <w:trHeight w:val="571" w:hRule="atLeast"/>
        </w:trPr>
        <w:tc>
          <w:tcPr>
            <w:tcW w:w="89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法人数字证书基础服务采购项目服务质量评估表</w:t>
            </w:r>
          </w:p>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（发行和应用服务）</w:t>
            </w:r>
          </w:p>
        </w:tc>
      </w:tr>
      <w:tr>
        <w:tblPrEx>
          <w:tblCellMar>
            <w:top w:w="0" w:type="dxa"/>
            <w:left w:w="108" w:type="dxa"/>
            <w:bottom w:w="0" w:type="dxa"/>
            <w:right w:w="108" w:type="dxa"/>
          </w:tblCellMar>
        </w:tblPrEx>
        <w:trPr>
          <w:trHeight w:val="808" w:hRule="atLeast"/>
        </w:trPr>
        <w:tc>
          <w:tcPr>
            <w:tcW w:w="82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类别</w:t>
            </w:r>
          </w:p>
        </w:tc>
        <w:tc>
          <w:tcPr>
            <w:tcW w:w="82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评估项目</w:t>
            </w:r>
          </w:p>
        </w:tc>
        <w:tc>
          <w:tcPr>
            <w:tcW w:w="282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评估指标</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标准分</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评分依据</w:t>
            </w:r>
          </w:p>
        </w:tc>
      </w:tr>
      <w:tr>
        <w:tblPrEx>
          <w:tblCellMar>
            <w:top w:w="0" w:type="dxa"/>
            <w:left w:w="108" w:type="dxa"/>
            <w:bottom w:w="0" w:type="dxa"/>
            <w:right w:w="108" w:type="dxa"/>
          </w:tblCellMar>
        </w:tblPrEx>
        <w:trPr>
          <w:trHeight w:val="1188"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服务体系运营（41分）</w:t>
            </w:r>
          </w:p>
        </w:tc>
        <w:tc>
          <w:tcPr>
            <w:tcW w:w="8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本地化服务</w:t>
            </w: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在全省各市合理部署本地化服务网点</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能提供20份网点设立登记证明文件得满分；按比例得分</w:t>
            </w:r>
          </w:p>
        </w:tc>
      </w:tr>
      <w:tr>
        <w:tblPrEx>
          <w:tblCellMar>
            <w:top w:w="0" w:type="dxa"/>
            <w:left w:w="108" w:type="dxa"/>
            <w:bottom w:w="0" w:type="dxa"/>
            <w:right w:w="108" w:type="dxa"/>
          </w:tblCellMar>
        </w:tblPrEx>
        <w:trPr>
          <w:trHeight w:val="1581"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每个服务网点至少有1名服务人员</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能提供20份有效网点人员在岗证明如:在时效期内的劳动合同或劳务协议，按比例得分</w:t>
            </w:r>
          </w:p>
        </w:tc>
      </w:tr>
      <w:tr>
        <w:tblPrEx>
          <w:tblCellMar>
            <w:top w:w="0" w:type="dxa"/>
            <w:left w:w="108" w:type="dxa"/>
            <w:bottom w:w="0" w:type="dxa"/>
            <w:right w:w="108" w:type="dxa"/>
          </w:tblCellMar>
        </w:tblPrEx>
        <w:trPr>
          <w:trHeight w:val="1581"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服务收费符合规定要求</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符合收费标准，无因收费违反规定发生的投诉。出现一起因收费导致的投诉扣1分</w:t>
            </w:r>
          </w:p>
        </w:tc>
      </w:tr>
      <w:tr>
        <w:tblPrEx>
          <w:tblCellMar>
            <w:top w:w="0" w:type="dxa"/>
            <w:left w:w="108" w:type="dxa"/>
            <w:bottom w:w="0" w:type="dxa"/>
            <w:right w:w="108" w:type="dxa"/>
          </w:tblCellMar>
        </w:tblPrEx>
        <w:trPr>
          <w:trHeight w:val="1635"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在线服务</w:t>
            </w: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运营浙江省法人数字证书统一服务平台，提供介质版法人证书基础维护服务</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运营有浙江省法人数字证书统一服务平台（2分）。对介质版法人数字证书提供基础的证书服务功能（2分）。</w:t>
            </w:r>
          </w:p>
        </w:tc>
      </w:tr>
      <w:tr>
        <w:tblPrEx>
          <w:tblCellMar>
            <w:top w:w="0" w:type="dxa"/>
            <w:left w:w="108" w:type="dxa"/>
            <w:bottom w:w="0" w:type="dxa"/>
            <w:right w:w="108" w:type="dxa"/>
          </w:tblCellMar>
        </w:tblPrEx>
        <w:trPr>
          <w:trHeight w:val="1274"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运营数字法人数字证书APP，提供移动版法人证书基础维护服务</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运营有省法人数字证书APP（2分）。对移动版证书提供基础的证书服务功能（2分）。</w:t>
            </w:r>
          </w:p>
        </w:tc>
      </w:tr>
      <w:tr>
        <w:tblPrEx>
          <w:tblCellMar>
            <w:top w:w="0" w:type="dxa"/>
            <w:left w:w="108" w:type="dxa"/>
            <w:bottom w:w="0" w:type="dxa"/>
            <w:right w:w="108" w:type="dxa"/>
          </w:tblCellMar>
        </w:tblPrEx>
        <w:trPr>
          <w:trHeight w:val="1455"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运营QQ或其他在线客服平台</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运营有提供咨询服务在线平台，有QQ群（1分）、在线人工客服（2分）、智能机器人咨询服务（2分）。</w:t>
            </w:r>
          </w:p>
        </w:tc>
      </w:tr>
      <w:tr>
        <w:tblPrEx>
          <w:tblCellMar>
            <w:top w:w="0" w:type="dxa"/>
            <w:left w:w="108" w:type="dxa"/>
            <w:bottom w:w="0" w:type="dxa"/>
            <w:right w:w="108" w:type="dxa"/>
          </w:tblCellMar>
        </w:tblPrEx>
        <w:trPr>
          <w:trHeight w:val="1188"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热线服务</w:t>
            </w: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运营呼叫中心系统</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运营有能提供至少40路电话分机的呼叫中心系统，按比例得分</w:t>
            </w:r>
          </w:p>
        </w:tc>
      </w:tr>
      <w:tr>
        <w:tblPrEx>
          <w:tblCellMar>
            <w:top w:w="0" w:type="dxa"/>
            <w:left w:w="108" w:type="dxa"/>
            <w:bottom w:w="0" w:type="dxa"/>
            <w:right w:w="108" w:type="dxa"/>
          </w:tblCellMar>
        </w:tblPrEx>
        <w:trPr>
          <w:trHeight w:val="1116"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拥有服务团队至少</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人</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能提供</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名客服人员（包括在线及电话人工客服）在有效期内的劳动合同或劳务协议，按比例得分</w:t>
            </w:r>
          </w:p>
        </w:tc>
      </w:tr>
      <w:tr>
        <w:tblPrEx>
          <w:tblCellMar>
            <w:top w:w="0" w:type="dxa"/>
            <w:left w:w="108" w:type="dxa"/>
            <w:bottom w:w="0" w:type="dxa"/>
            <w:right w:w="108" w:type="dxa"/>
          </w:tblCellMar>
        </w:tblPrEx>
        <w:trPr>
          <w:trHeight w:val="3151"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业务管理平台</w:t>
            </w: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有业务统计能力，能够按证书类别、业务、地域、时段等提供证书及与其他服务统计分析信息</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能按证书类别、业务类型、地区、时间统计证书和服务业务情况。发行情况能按上述标准统计的得3分，缺少一个条件扣1分。服务情况能按上述条件统计的得2分，缺少一个条件扣1分</w:t>
            </w:r>
          </w:p>
        </w:tc>
      </w:tr>
      <w:tr>
        <w:tblPrEx>
          <w:tblCellMar>
            <w:top w:w="0" w:type="dxa"/>
            <w:left w:w="108" w:type="dxa"/>
            <w:bottom w:w="0" w:type="dxa"/>
            <w:right w:w="108" w:type="dxa"/>
          </w:tblCellMar>
        </w:tblPrEx>
        <w:trPr>
          <w:trHeight w:val="1893"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发行售后服务（59分）</w:t>
            </w:r>
          </w:p>
        </w:tc>
        <w:tc>
          <w:tcPr>
            <w:tcW w:w="825" w:type="dxa"/>
            <w:vMerge w:val="restart"/>
            <w:tcBorders>
              <w:top w:val="nil"/>
              <w:left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发行服务</w:t>
            </w: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年新增发放数字证书</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万张，全省（不含宁波）法人数字证书覆盖</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0万用户。</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739" w:type="dxa"/>
            <w:tcBorders>
              <w:top w:val="nil"/>
              <w:left w:val="nil"/>
              <w:bottom w:val="single" w:color="auto" w:sz="4" w:space="0"/>
              <w:right w:val="single" w:color="auto" w:sz="4" w:space="0"/>
            </w:tcBorders>
            <w:shd w:val="clear" w:color="auto" w:fill="FFFFFF"/>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年新增发放数字证书</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万张，按比例得分。（3分）</w:t>
            </w:r>
          </w:p>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年全省（不含宁波）法人数字证书覆盖</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万用户，按比例得分。（7分）</w:t>
            </w:r>
          </w:p>
        </w:tc>
      </w:tr>
      <w:tr>
        <w:tblPrEx>
          <w:tblCellMar>
            <w:top w:w="0" w:type="dxa"/>
            <w:left w:w="108" w:type="dxa"/>
            <w:bottom w:w="0" w:type="dxa"/>
            <w:right w:w="108" w:type="dxa"/>
          </w:tblCellMar>
        </w:tblPrEx>
        <w:trPr>
          <w:trHeight w:val="1188"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提供法人数字证书相关业务办理指引</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有对外的法人数字证书各项业务办理说明不限于纸质材料</w:t>
            </w:r>
          </w:p>
        </w:tc>
      </w:tr>
      <w:tr>
        <w:tblPrEx>
          <w:tblCellMar>
            <w:top w:w="0" w:type="dxa"/>
            <w:left w:w="108" w:type="dxa"/>
            <w:bottom w:w="0" w:type="dxa"/>
            <w:right w:w="108" w:type="dxa"/>
          </w:tblCellMar>
        </w:tblPrEx>
        <w:trPr>
          <w:trHeight w:val="795"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数据安全</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达到三级等保要求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保障数据安全</w:t>
            </w:r>
          </w:p>
        </w:tc>
      </w:tr>
      <w:tr>
        <w:tblPrEx>
          <w:tblCellMar>
            <w:top w:w="0" w:type="dxa"/>
            <w:left w:w="108" w:type="dxa"/>
            <w:bottom w:w="0" w:type="dxa"/>
            <w:right w:w="108" w:type="dxa"/>
          </w:tblCellMar>
        </w:tblPrEx>
        <w:trPr>
          <w:trHeight w:val="2759"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具有服务规范性文档</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有面向服务中心客服人员（1分）和服务网点服务人员（1分）的工作操作规范性文件，并定期组织培训有培训反馈（1分）如培训回执、会议签到表等。</w:t>
            </w:r>
          </w:p>
        </w:tc>
      </w:tr>
      <w:tr>
        <w:tblPrEx>
          <w:tblCellMar>
            <w:top w:w="0" w:type="dxa"/>
            <w:left w:w="108" w:type="dxa"/>
            <w:bottom w:w="0" w:type="dxa"/>
            <w:right w:w="108" w:type="dxa"/>
          </w:tblCellMar>
        </w:tblPrEx>
        <w:trPr>
          <w:trHeight w:val="1973"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有服务记录与统计信息</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服务中心对接受的电话（1分）、在线（1分）以及业务服务（1分）有服务记录，并有统计查询功能（2分）</w:t>
            </w:r>
          </w:p>
        </w:tc>
      </w:tr>
      <w:tr>
        <w:tblPrEx>
          <w:tblCellMar>
            <w:top w:w="0" w:type="dxa"/>
            <w:left w:w="108" w:type="dxa"/>
            <w:bottom w:w="0" w:type="dxa"/>
            <w:right w:w="108" w:type="dxa"/>
          </w:tblCellMar>
        </w:tblPrEx>
        <w:trPr>
          <w:trHeight w:val="669"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有专门的服务质量管理人员</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有专门的服务质量管理人员能提供劳动合同和近2个月薪资发放记录（1分），有服务质量管理方案，并能按照方案执行形成记录（1分）</w:t>
            </w:r>
          </w:p>
        </w:tc>
      </w:tr>
      <w:tr>
        <w:tblPrEx>
          <w:tblCellMar>
            <w:top w:w="0" w:type="dxa"/>
            <w:left w:w="108" w:type="dxa"/>
            <w:bottom w:w="0" w:type="dxa"/>
            <w:right w:w="108" w:type="dxa"/>
          </w:tblCellMar>
        </w:tblPrEx>
        <w:trPr>
          <w:trHeight w:val="5115"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热线服务应答率指标</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3-6月每月服务应答率80%以上不扣分，低于80%，降低5%，扣0.5分，降低10%，扣1分，以此类推（4分）；1-2月、7-12月每月服务应答率85%以上不扣分，低于85%，降低5%，扣0.5分，降低10%，扣1分，以此类推（4分）。每月服务应答率=（接听量+在线应答量）/（呼入量+在线请求量）</w:t>
            </w:r>
          </w:p>
        </w:tc>
      </w:tr>
      <w:tr>
        <w:tblPrEx>
          <w:tblCellMar>
            <w:top w:w="0" w:type="dxa"/>
            <w:left w:w="108" w:type="dxa"/>
            <w:bottom w:w="0" w:type="dxa"/>
            <w:right w:w="108" w:type="dxa"/>
          </w:tblCellMar>
        </w:tblPrEx>
        <w:trPr>
          <w:trHeight w:val="1581"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服务平台提供7*24小时服务</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在线业务平台（1分）、APP（1分）、在线智能机器人（1分）能提供7*24小时服务</w:t>
            </w:r>
          </w:p>
        </w:tc>
      </w:tr>
      <w:tr>
        <w:tblPrEx>
          <w:tblCellMar>
            <w:top w:w="0" w:type="dxa"/>
            <w:left w:w="108" w:type="dxa"/>
            <w:bottom w:w="0" w:type="dxa"/>
            <w:right w:w="108" w:type="dxa"/>
          </w:tblCellMar>
        </w:tblPrEx>
        <w:trPr>
          <w:trHeight w:val="1109"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月度总结自评</w:t>
            </w:r>
          </w:p>
        </w:tc>
        <w:tc>
          <w:tcPr>
            <w:tcW w:w="681" w:type="dxa"/>
            <w:tcBorders>
              <w:top w:val="nil"/>
              <w:left w:val="nil"/>
              <w:bottom w:val="single" w:color="auto" w:sz="4" w:space="0"/>
              <w:right w:val="single" w:color="auto" w:sz="4" w:space="0"/>
            </w:tcBorders>
            <w:shd w:val="clear" w:color="auto" w:fill="auto"/>
            <w:noWrap w:val="0"/>
            <w:vAlign w:val="center"/>
          </w:tcPr>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需每月提供给省经信厅月度总结并自评，针对发现的问题及时整改</w:t>
            </w:r>
          </w:p>
        </w:tc>
      </w:tr>
      <w:tr>
        <w:tblPrEx>
          <w:tblCellMar>
            <w:top w:w="0" w:type="dxa"/>
            <w:left w:w="108" w:type="dxa"/>
            <w:bottom w:w="0" w:type="dxa"/>
            <w:right w:w="108" w:type="dxa"/>
          </w:tblCellMar>
        </w:tblPrEx>
        <w:trPr>
          <w:trHeight w:val="3544"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服务满意度</w:t>
            </w: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每年开展服务满意度调查</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实现对电话服务及在线服务进行满意度调查：</w:t>
            </w:r>
          </w:p>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满意度转接率85%以上（2分），满意度评分率60%以上（1分）。</w:t>
            </w:r>
          </w:p>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转接率=满意度转接量/（接听量+在线应答量）</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评分率=满意度评分用户数/满意度转接量</w:t>
            </w:r>
          </w:p>
        </w:tc>
      </w:tr>
      <w:tr>
        <w:tblPrEx>
          <w:tblCellMar>
            <w:top w:w="0" w:type="dxa"/>
            <w:left w:w="108" w:type="dxa"/>
            <w:bottom w:w="0" w:type="dxa"/>
            <w:right w:w="108" w:type="dxa"/>
          </w:tblCellMar>
        </w:tblPrEx>
        <w:trPr>
          <w:trHeight w:val="2906"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人工服务综合满意度指标</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年1月1日至202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年12月31日呼叫中心人工服务综合满意率在90%以上（4分）80%-90%（3分）60-80%(2分），低于60%不得分，综合满意率=（总电话满意量+总在线满意量）/(总电话评分量+总在线评分量)</w:t>
            </w:r>
          </w:p>
        </w:tc>
      </w:tr>
      <w:tr>
        <w:tblPrEx>
          <w:tblCellMar>
            <w:top w:w="0" w:type="dxa"/>
            <w:left w:w="108" w:type="dxa"/>
            <w:bottom w:w="0" w:type="dxa"/>
            <w:right w:w="108" w:type="dxa"/>
          </w:tblCellMar>
        </w:tblPrEx>
        <w:trPr>
          <w:trHeight w:val="1281"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机器人服务好评率85%以上</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年1月1日至202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年12月31日用户对机器人单个问题回答结果进行评价，进行评价有用、无用，好评率=1-无用数/总回复问题数，好评率在85%以上，低1个百分点减0.2分</w:t>
            </w:r>
          </w:p>
        </w:tc>
      </w:tr>
      <w:tr>
        <w:tblPrEx>
          <w:tblCellMar>
            <w:top w:w="0" w:type="dxa"/>
            <w:left w:w="108" w:type="dxa"/>
            <w:bottom w:w="0" w:type="dxa"/>
            <w:right w:w="108" w:type="dxa"/>
          </w:tblCellMar>
        </w:tblPrEx>
        <w:trPr>
          <w:trHeight w:val="2759"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8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rPr>
            </w:pPr>
          </w:p>
        </w:tc>
        <w:tc>
          <w:tcPr>
            <w:tcW w:w="2827" w:type="dxa"/>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机器人服务问题解率65%以上</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年1月1日至202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年12月31日用户在机器人整体服务结束后，评价已解决、未解决，解决率=已解决数/总评次数，机器人问题解决率65%以上，低1个百分点减0.2分</w:t>
            </w:r>
          </w:p>
        </w:tc>
      </w:tr>
      <w:tr>
        <w:tblPrEx>
          <w:tblCellMar>
            <w:top w:w="0" w:type="dxa"/>
            <w:left w:w="108" w:type="dxa"/>
            <w:bottom w:w="0" w:type="dxa"/>
            <w:right w:w="108" w:type="dxa"/>
          </w:tblCellMar>
        </w:tblPrEx>
        <w:trPr>
          <w:trHeight w:val="795" w:hRule="atLeast"/>
        </w:trPr>
        <w:tc>
          <w:tcPr>
            <w:tcW w:w="4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68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100</w:t>
            </w:r>
          </w:p>
        </w:tc>
        <w:tc>
          <w:tcPr>
            <w:tcW w:w="3739"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0" w:type="dxa"/>
            <w:gridSpan w:val="5"/>
            <w:noWrap w:val="0"/>
            <w:vAlign w:val="top"/>
          </w:tcPr>
          <w:p>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评估验收结果：</w:t>
            </w:r>
          </w:p>
          <w:p>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浙江省法人数字证书服务项目评估验收表得分      ，根据服务采购合同，202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年度项目 □通过/□不通过 验收。</w:t>
            </w:r>
          </w:p>
          <w:p>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浙江省经济和信息化厅（盖章）</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900" w:type="dxa"/>
            <w:gridSpan w:val="5"/>
            <w:noWrap w:val="0"/>
            <w:vAlign w:val="top"/>
          </w:tcPr>
          <w:p>
            <w:pPr>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备注：</w:t>
            </w:r>
          </w:p>
          <w:p>
            <w:pPr>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 xml:space="preserve">   本表用于年度考核，一式两份，双方各执一份。</w:t>
            </w:r>
          </w:p>
          <w:p>
            <w:pPr>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 xml:space="preserve">   依据考核结果，考评方有权要求服务商在规定时间内完成整改，并及时给予回复。</w:t>
            </w:r>
          </w:p>
          <w:p>
            <w:pPr>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 xml:space="preserve">   考核结果85分（含）以上，通过验收；得分85分以下，视作未通过验收，服务采购方有权依据合同规定扣减服务费用，或提前终止合同。</w:t>
            </w:r>
          </w:p>
        </w:tc>
      </w:tr>
    </w:tbl>
    <w:p>
      <w:pPr>
        <w:pStyle w:val="2"/>
        <w:ind w:left="0" w:leftChars="0" w:firstLine="560" w:firstLineChars="200"/>
        <w:rPr>
          <w:rFonts w:hint="eastAsia" w:ascii="仿宋" w:hAnsi="仿宋" w:eastAsia="仿宋" w:cs="Times New Roman"/>
          <w:spacing w:val="0"/>
          <w:kern w:val="2"/>
          <w:sz w:val="28"/>
          <w:szCs w:val="28"/>
          <w:shd w:val="clear" w:color="auto" w:fill="auto"/>
          <w:lang w:val="en-US" w:eastAsia="zh-CN" w:bidi="ar-SA"/>
        </w:rPr>
      </w:pPr>
    </w:p>
    <w:p>
      <w:pPr>
        <w:pStyle w:val="2"/>
        <w:ind w:left="0" w:leftChars="0" w:firstLine="560" w:firstLineChars="200"/>
        <w:rPr>
          <w:rFonts w:hint="eastAsia" w:ascii="仿宋" w:hAnsi="仿宋" w:eastAsia="仿宋" w:cs="Times New Roman"/>
          <w:spacing w:val="0"/>
          <w:kern w:val="2"/>
          <w:sz w:val="28"/>
          <w:szCs w:val="28"/>
          <w:shd w:val="clear" w:color="auto" w:fill="auto"/>
          <w:lang w:val="en-US" w:eastAsia="zh-CN" w:bidi="ar-SA"/>
        </w:rPr>
      </w:pPr>
    </w:p>
    <w:p>
      <w:pPr>
        <w:rPr>
          <w:rFonts w:hint="eastAsia" w:ascii="仿宋" w:hAnsi="仿宋" w:eastAsia="仿宋" w:cs="Times New Roman"/>
          <w:sz w:val="28"/>
          <w:szCs w:val="28"/>
        </w:rPr>
      </w:pPr>
      <w:r>
        <w:rPr>
          <w:rFonts w:hint="eastAsia" w:ascii="仿宋" w:hAnsi="仿宋" w:eastAsia="仿宋" w:cs="Times New Roman"/>
          <w:sz w:val="28"/>
          <w:szCs w:val="28"/>
          <w:lang w:val="en-US" w:eastAsia="zh-CN"/>
        </w:rPr>
        <w:t>注：协商小组通过电子交易平台视频会议方式，与响应方就项目技术需求、服务、价格构成、供货、付款方式等要素进行协商，并要求其在规定时间内提交书面最终报价。此次协商采用政采云电子交易平台视频会议方式，为避免页面存在兼容性等问题，响应方须使用谷歌Chrome浏览器或360浏览器极速模式，并安装摄像头和麦克风。如若协商过程中，电子交易平台出现视频会议连接失败等情况，将通过电子交易平台发送数据电文进行协商。</w:t>
      </w:r>
    </w:p>
    <w:p>
      <w:pPr>
        <w:spacing w:line="360" w:lineRule="auto"/>
      </w:pPr>
      <w:r>
        <w:rPr>
          <w:rFonts w:hint="eastAsia" w:ascii="仿宋" w:hAnsi="仿宋" w:eastAsia="仿宋"/>
          <w:b/>
          <w:bCs/>
          <w:sz w:val="28"/>
          <w:szCs w:val="28"/>
        </w:rPr>
        <w:t>商务要求表</w:t>
      </w:r>
    </w:p>
    <w:tbl>
      <w:tblPr>
        <w:tblStyle w:val="4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80"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noWrap w:val="0"/>
            <w:vAlign w:val="center"/>
          </w:tcPr>
          <w:p>
            <w:pPr>
              <w:rPr>
                <w:rFonts w:hint="eastAsia" w:ascii="仿宋" w:hAnsi="仿宋" w:eastAsia="仿宋"/>
                <w:sz w:val="28"/>
                <w:szCs w:val="28"/>
                <w:lang w:val="en-US" w:eastAsia="zh-CN"/>
              </w:rPr>
            </w:pPr>
            <w:r>
              <w:rPr>
                <w:rFonts w:hint="eastAsia" w:ascii="仿宋" w:hAnsi="仿宋" w:eastAsia="仿宋" w:cs="Times New Roman"/>
                <w:i w:val="0"/>
                <w:iCs w:val="0"/>
                <w:caps w:val="0"/>
                <w:spacing w:val="0"/>
                <w:sz w:val="28"/>
                <w:szCs w:val="28"/>
                <w:shd w:val="clear" w:color="auto" w:fill="auto"/>
              </w:rPr>
              <w:t>签订合同之日起至202</w:t>
            </w:r>
            <w:r>
              <w:rPr>
                <w:rFonts w:hint="eastAsia" w:ascii="仿宋" w:hAnsi="仿宋" w:eastAsia="仿宋" w:cs="Times New Roman"/>
                <w:i w:val="0"/>
                <w:iCs w:val="0"/>
                <w:caps w:val="0"/>
                <w:spacing w:val="0"/>
                <w:sz w:val="28"/>
                <w:szCs w:val="28"/>
                <w:shd w:val="clear" w:color="auto" w:fill="auto"/>
                <w:lang w:val="en-US" w:eastAsia="zh-CN"/>
              </w:rPr>
              <w:t>3</w:t>
            </w:r>
            <w:r>
              <w:rPr>
                <w:rFonts w:hint="eastAsia" w:ascii="仿宋" w:hAnsi="仿宋" w:eastAsia="仿宋" w:cs="Times New Roman"/>
                <w:i w:val="0"/>
                <w:iCs w:val="0"/>
                <w:caps w:val="0"/>
                <w:spacing w:val="0"/>
                <w:sz w:val="28"/>
                <w:szCs w:val="28"/>
                <w:shd w:val="clear" w:color="auto" w:fill="auto"/>
              </w:rPr>
              <w:t>年12月31日</w:t>
            </w:r>
            <w:r>
              <w:rPr>
                <w:rFonts w:hint="eastAsia" w:ascii="仿宋" w:hAnsi="仿宋" w:eastAsia="仿宋" w:cs="Times New Roman"/>
                <w:sz w:val="28"/>
                <w:szCs w:val="28"/>
              </w:rPr>
              <w:t>，网上供货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980"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noWrap w:val="0"/>
            <w:vAlign w:val="center"/>
          </w:tcPr>
          <w:p>
            <w:pPr>
              <w:rPr>
                <w:rFonts w:hint="eastAsia" w:ascii="仿宋" w:hAnsi="仿宋" w:eastAsia="仿宋" w:cs="Times New Roman"/>
                <w:sz w:val="28"/>
                <w:szCs w:val="28"/>
              </w:rPr>
            </w:pPr>
            <w:r>
              <w:rPr>
                <w:rFonts w:hint="eastAsia" w:ascii="仿宋" w:hAnsi="仿宋" w:eastAsia="仿宋" w:cs="Times New Roman"/>
                <w:sz w:val="28"/>
                <w:szCs w:val="28"/>
              </w:rPr>
              <w:t>分期支付</w:t>
            </w:r>
          </w:p>
          <w:p>
            <w:pPr>
              <w:numPr>
                <w:ilvl w:val="0"/>
                <w:numId w:val="0"/>
              </w:numPr>
              <w:ind w:left="0" w:firstLine="0" w:firstLineChars="0"/>
              <w:rPr>
                <w:rFonts w:hint="eastAsia" w:ascii="仿宋" w:hAnsi="仿宋" w:eastAsia="仿宋" w:cs="Times New Roman"/>
                <w:sz w:val="28"/>
                <w:szCs w:val="28"/>
                <w:shd w:val="clear" w:color="auto" w:fill="auto"/>
                <w:lang w:eastAsia="zh-CN"/>
              </w:rPr>
            </w:pPr>
            <w:r>
              <w:rPr>
                <w:rFonts w:hint="eastAsia" w:ascii="仿宋" w:hAnsi="仿宋" w:eastAsia="仿宋" w:cs="Times New Roman"/>
                <w:sz w:val="28"/>
                <w:szCs w:val="28"/>
                <w:shd w:val="clear" w:color="auto" w:fill="auto"/>
              </w:rPr>
              <w:t>1、202</w:t>
            </w:r>
            <w:r>
              <w:rPr>
                <w:rFonts w:hint="eastAsia" w:ascii="仿宋" w:hAnsi="仿宋" w:eastAsia="仿宋" w:cs="Times New Roman"/>
                <w:sz w:val="28"/>
                <w:szCs w:val="28"/>
                <w:shd w:val="clear" w:color="auto" w:fill="auto"/>
                <w:lang w:val="en-US" w:eastAsia="zh-CN"/>
              </w:rPr>
              <w:t>3</w:t>
            </w:r>
            <w:r>
              <w:rPr>
                <w:rFonts w:hint="eastAsia" w:ascii="仿宋" w:hAnsi="仿宋" w:eastAsia="仿宋" w:cs="Times New Roman"/>
                <w:sz w:val="28"/>
                <w:szCs w:val="28"/>
                <w:shd w:val="clear" w:color="auto" w:fill="auto"/>
              </w:rPr>
              <w:t>年</w:t>
            </w:r>
            <w:r>
              <w:rPr>
                <w:rFonts w:hint="eastAsia" w:ascii="仿宋" w:hAnsi="仿宋" w:eastAsia="仿宋" w:cs="Times New Roman"/>
                <w:sz w:val="28"/>
                <w:szCs w:val="28"/>
                <w:shd w:val="clear" w:color="auto" w:fill="auto"/>
                <w:lang w:val="en-US" w:eastAsia="zh-CN"/>
              </w:rPr>
              <w:t>8</w:t>
            </w:r>
            <w:r>
              <w:rPr>
                <w:rFonts w:hint="eastAsia" w:ascii="仿宋" w:hAnsi="仿宋" w:eastAsia="仿宋" w:cs="Times New Roman"/>
                <w:sz w:val="28"/>
                <w:szCs w:val="28"/>
                <w:shd w:val="clear" w:color="auto" w:fill="auto"/>
              </w:rPr>
              <w:t>月30日之前，乙方</w:t>
            </w:r>
            <w:r>
              <w:rPr>
                <w:rFonts w:hint="eastAsia" w:ascii="仿宋" w:hAnsi="仿宋" w:eastAsia="仿宋" w:cs="Times New Roman"/>
                <w:sz w:val="28"/>
                <w:szCs w:val="28"/>
                <w:shd w:val="clear" w:color="auto" w:fill="auto"/>
                <w:lang w:val="en-US" w:eastAsia="zh-CN"/>
              </w:rPr>
              <w:t>应</w:t>
            </w:r>
            <w:r>
              <w:rPr>
                <w:rFonts w:hint="eastAsia" w:ascii="仿宋" w:hAnsi="仿宋" w:eastAsia="仿宋" w:cs="Times New Roman"/>
                <w:sz w:val="28"/>
                <w:szCs w:val="28"/>
                <w:shd w:val="clear" w:color="auto" w:fill="auto"/>
              </w:rPr>
              <w:t>完成全省</w:t>
            </w:r>
            <w:r>
              <w:rPr>
                <w:rFonts w:hint="eastAsia" w:ascii="仿宋" w:hAnsi="仿宋" w:eastAsia="仿宋" w:cs="Times New Roman"/>
                <w:sz w:val="28"/>
                <w:szCs w:val="28"/>
                <w:shd w:val="clear" w:color="auto" w:fill="auto"/>
                <w:lang w:eastAsia="zh-CN"/>
              </w:rPr>
              <w:t>（</w:t>
            </w:r>
            <w:r>
              <w:rPr>
                <w:rFonts w:hint="eastAsia" w:ascii="仿宋" w:hAnsi="仿宋" w:eastAsia="仿宋" w:cs="Times New Roman"/>
                <w:sz w:val="28"/>
                <w:szCs w:val="28"/>
                <w:shd w:val="clear" w:color="auto" w:fill="auto"/>
                <w:lang w:val="en-US" w:eastAsia="zh-CN"/>
              </w:rPr>
              <w:t>不含宁波）</w:t>
            </w:r>
            <w:r>
              <w:rPr>
                <w:rFonts w:hint="eastAsia" w:ascii="仿宋" w:hAnsi="仿宋" w:eastAsia="仿宋" w:cs="Times New Roman"/>
                <w:sz w:val="28"/>
                <w:szCs w:val="28"/>
                <w:shd w:val="clear" w:color="auto" w:fill="auto"/>
              </w:rPr>
              <w:t>法人数字证书用户数年度目标的60%，即新增用户</w:t>
            </w:r>
            <w:r>
              <w:rPr>
                <w:rFonts w:hint="eastAsia" w:ascii="仿宋" w:hAnsi="仿宋" w:eastAsia="仿宋" w:cs="Times New Roman"/>
                <w:sz w:val="28"/>
                <w:szCs w:val="28"/>
                <w:shd w:val="clear" w:color="auto" w:fill="auto"/>
                <w:lang w:val="en-US" w:eastAsia="zh-CN"/>
              </w:rPr>
              <w:t>21</w:t>
            </w:r>
            <w:r>
              <w:rPr>
                <w:rFonts w:hint="eastAsia" w:ascii="仿宋" w:hAnsi="仿宋" w:eastAsia="仿宋" w:cs="Times New Roman"/>
                <w:sz w:val="28"/>
                <w:szCs w:val="28"/>
                <w:shd w:val="clear" w:color="auto" w:fill="auto"/>
              </w:rPr>
              <w:t>万，</w:t>
            </w:r>
            <w:r>
              <w:rPr>
                <w:rFonts w:hint="eastAsia" w:ascii="仿宋" w:hAnsi="仿宋" w:eastAsia="仿宋" w:cs="Times New Roman"/>
                <w:sz w:val="28"/>
                <w:szCs w:val="28"/>
                <w:shd w:val="clear" w:color="auto" w:fill="auto"/>
                <w:lang w:val="en-US" w:eastAsia="zh-CN"/>
              </w:rPr>
              <w:t>累积覆盖</w:t>
            </w:r>
            <w:r>
              <w:rPr>
                <w:rFonts w:hint="eastAsia" w:ascii="仿宋" w:hAnsi="仿宋" w:eastAsia="仿宋" w:cs="Times New Roman"/>
                <w:sz w:val="28"/>
                <w:szCs w:val="28"/>
                <w:highlight w:val="none"/>
                <w:shd w:val="clear" w:color="auto" w:fill="auto"/>
                <w:lang w:val="en-US" w:eastAsia="zh-CN"/>
              </w:rPr>
              <w:t>290万用户</w:t>
            </w:r>
            <w:r>
              <w:rPr>
                <w:rFonts w:hint="eastAsia" w:ascii="仿宋" w:hAnsi="仿宋" w:eastAsia="仿宋" w:cs="Times New Roman"/>
                <w:sz w:val="28"/>
                <w:szCs w:val="28"/>
                <w:shd w:val="clear" w:color="auto" w:fill="auto"/>
                <w:lang w:val="en-US" w:eastAsia="zh-CN"/>
              </w:rPr>
              <w:t>，</w:t>
            </w:r>
            <w:r>
              <w:rPr>
                <w:rFonts w:hint="eastAsia" w:ascii="仿宋" w:hAnsi="仿宋" w:eastAsia="仿宋" w:cs="Times New Roman"/>
                <w:sz w:val="28"/>
                <w:szCs w:val="28"/>
                <w:shd w:val="clear" w:color="auto" w:fill="auto"/>
              </w:rPr>
              <w:t>甲方支付合同金额的60%</w:t>
            </w:r>
            <w:r>
              <w:rPr>
                <w:rFonts w:hint="eastAsia" w:ascii="仿宋" w:hAnsi="仿宋" w:eastAsia="仿宋" w:cs="Times New Roman"/>
                <w:sz w:val="28"/>
                <w:szCs w:val="28"/>
                <w:shd w:val="clear" w:color="auto" w:fill="auto"/>
                <w:lang w:eastAsia="zh-CN"/>
              </w:rPr>
              <w:t>。</w:t>
            </w:r>
          </w:p>
          <w:p>
            <w:pPr>
              <w:numPr>
                <w:ilvl w:val="0"/>
                <w:numId w:val="0"/>
              </w:numPr>
              <w:rPr>
                <w:rFonts w:hint="eastAsia" w:ascii="仿宋" w:hAnsi="仿宋" w:eastAsia="仿宋" w:cs="Times New Roman"/>
                <w:sz w:val="28"/>
                <w:szCs w:val="28"/>
                <w:shd w:val="clear" w:color="auto" w:fill="auto"/>
                <w:lang w:eastAsia="zh-CN"/>
              </w:rPr>
            </w:pPr>
            <w:r>
              <w:rPr>
                <w:rFonts w:hint="eastAsia" w:ascii="仿宋" w:hAnsi="仿宋" w:eastAsia="仿宋" w:cs="Times New Roman"/>
                <w:sz w:val="28"/>
                <w:szCs w:val="28"/>
                <w:shd w:val="clear" w:color="auto" w:fill="auto"/>
              </w:rPr>
              <w:t>2、202</w:t>
            </w:r>
            <w:r>
              <w:rPr>
                <w:rFonts w:hint="eastAsia" w:ascii="仿宋" w:hAnsi="仿宋" w:eastAsia="仿宋" w:cs="Times New Roman"/>
                <w:sz w:val="28"/>
                <w:szCs w:val="28"/>
                <w:shd w:val="clear" w:color="auto" w:fill="auto"/>
                <w:lang w:val="en-US" w:eastAsia="zh-CN"/>
              </w:rPr>
              <w:t>3</w:t>
            </w:r>
            <w:r>
              <w:rPr>
                <w:rFonts w:hint="eastAsia" w:ascii="仿宋" w:hAnsi="仿宋" w:eastAsia="仿宋" w:cs="Times New Roman"/>
                <w:sz w:val="28"/>
                <w:szCs w:val="28"/>
                <w:shd w:val="clear" w:color="auto" w:fill="auto"/>
              </w:rPr>
              <w:t>年12月31日之前，乙方</w:t>
            </w:r>
            <w:r>
              <w:rPr>
                <w:rFonts w:hint="eastAsia" w:ascii="仿宋" w:hAnsi="仿宋" w:eastAsia="仿宋" w:cs="Times New Roman"/>
                <w:sz w:val="28"/>
                <w:szCs w:val="28"/>
                <w:shd w:val="clear" w:color="auto" w:fill="auto"/>
                <w:lang w:val="en-US" w:eastAsia="zh-CN"/>
              </w:rPr>
              <w:t>应</w:t>
            </w:r>
            <w:r>
              <w:rPr>
                <w:rFonts w:hint="eastAsia" w:ascii="仿宋" w:hAnsi="仿宋" w:eastAsia="仿宋" w:cs="Times New Roman"/>
                <w:sz w:val="28"/>
                <w:szCs w:val="28"/>
                <w:shd w:val="clear" w:color="auto" w:fill="auto"/>
              </w:rPr>
              <w:t>完成全省</w:t>
            </w:r>
            <w:r>
              <w:rPr>
                <w:rFonts w:hint="eastAsia" w:ascii="仿宋" w:hAnsi="仿宋" w:eastAsia="仿宋" w:cs="Times New Roman"/>
                <w:sz w:val="28"/>
                <w:szCs w:val="28"/>
                <w:shd w:val="clear" w:color="auto" w:fill="auto"/>
                <w:lang w:eastAsia="zh-CN"/>
              </w:rPr>
              <w:t>（</w:t>
            </w:r>
            <w:r>
              <w:rPr>
                <w:rFonts w:hint="eastAsia" w:ascii="仿宋" w:hAnsi="仿宋" w:eastAsia="仿宋" w:cs="Times New Roman"/>
                <w:sz w:val="28"/>
                <w:szCs w:val="28"/>
                <w:shd w:val="clear" w:color="auto" w:fill="auto"/>
                <w:lang w:val="en-US" w:eastAsia="zh-CN"/>
              </w:rPr>
              <w:t>不含宁波）</w:t>
            </w:r>
            <w:r>
              <w:rPr>
                <w:rFonts w:hint="eastAsia" w:ascii="仿宋" w:hAnsi="仿宋" w:eastAsia="仿宋" w:cs="Times New Roman"/>
                <w:sz w:val="28"/>
                <w:szCs w:val="28"/>
                <w:shd w:val="clear" w:color="auto" w:fill="auto"/>
              </w:rPr>
              <w:t>法人数字证书用户数年度目标</w:t>
            </w:r>
            <w:r>
              <w:rPr>
                <w:rFonts w:hint="eastAsia" w:ascii="仿宋" w:hAnsi="仿宋" w:eastAsia="仿宋" w:cs="Times New Roman"/>
                <w:sz w:val="28"/>
                <w:szCs w:val="28"/>
                <w:shd w:val="clear" w:color="auto" w:fill="auto"/>
                <w:lang w:val="en-US" w:eastAsia="zh-CN"/>
              </w:rPr>
              <w:t>的100%</w:t>
            </w:r>
            <w:r>
              <w:rPr>
                <w:rFonts w:hint="eastAsia" w:ascii="仿宋" w:hAnsi="仿宋" w:eastAsia="仿宋" w:cs="Times New Roman"/>
                <w:sz w:val="28"/>
                <w:szCs w:val="28"/>
                <w:shd w:val="clear" w:color="auto" w:fill="auto"/>
              </w:rPr>
              <w:t>，即新增用户</w:t>
            </w:r>
            <w:r>
              <w:rPr>
                <w:rFonts w:hint="eastAsia" w:ascii="仿宋" w:hAnsi="仿宋" w:eastAsia="仿宋" w:cs="Times New Roman"/>
                <w:sz w:val="28"/>
                <w:szCs w:val="28"/>
                <w:shd w:val="clear" w:color="auto" w:fill="auto"/>
                <w:lang w:val="en-US" w:eastAsia="zh-CN"/>
              </w:rPr>
              <w:t>35</w:t>
            </w:r>
            <w:r>
              <w:rPr>
                <w:rFonts w:hint="eastAsia" w:ascii="仿宋" w:hAnsi="仿宋" w:eastAsia="仿宋" w:cs="Times New Roman"/>
                <w:sz w:val="28"/>
                <w:szCs w:val="28"/>
                <w:shd w:val="clear" w:color="auto" w:fill="auto"/>
              </w:rPr>
              <w:t>万，</w:t>
            </w:r>
            <w:r>
              <w:rPr>
                <w:rFonts w:hint="eastAsia" w:ascii="仿宋" w:hAnsi="仿宋" w:eastAsia="仿宋" w:cs="Times New Roman"/>
                <w:sz w:val="28"/>
                <w:szCs w:val="28"/>
                <w:shd w:val="clear" w:color="auto" w:fill="auto"/>
                <w:lang w:val="en-US" w:eastAsia="zh-CN"/>
              </w:rPr>
              <w:t>累积覆盖300万用户，</w:t>
            </w:r>
            <w:r>
              <w:rPr>
                <w:rFonts w:hint="eastAsia" w:ascii="仿宋" w:hAnsi="仿宋" w:eastAsia="仿宋" w:cs="Times New Roman"/>
                <w:sz w:val="28"/>
                <w:szCs w:val="28"/>
                <w:shd w:val="clear" w:color="auto" w:fill="auto"/>
              </w:rPr>
              <w:t>甲方支付合同金额的37%</w:t>
            </w:r>
            <w:r>
              <w:rPr>
                <w:rFonts w:hint="eastAsia" w:ascii="仿宋" w:hAnsi="仿宋" w:eastAsia="仿宋" w:cs="Times New Roman"/>
                <w:sz w:val="28"/>
                <w:szCs w:val="28"/>
                <w:shd w:val="clear" w:color="auto" w:fill="auto"/>
                <w:lang w:eastAsia="zh-CN"/>
              </w:rPr>
              <w:t>。</w:t>
            </w:r>
          </w:p>
          <w:p>
            <w:pPr>
              <w:rPr>
                <w:rFonts w:hint="eastAsia" w:ascii="仿宋" w:hAnsi="仿宋" w:eastAsia="仿宋"/>
                <w:sz w:val="28"/>
                <w:szCs w:val="28"/>
                <w:lang w:val="en-US" w:eastAsia="zh-CN"/>
              </w:rPr>
            </w:pPr>
            <w:r>
              <w:rPr>
                <w:rFonts w:hint="eastAsia" w:ascii="仿宋" w:hAnsi="仿宋" w:eastAsia="仿宋" w:cs="Times New Roman"/>
                <w:sz w:val="28"/>
                <w:szCs w:val="28"/>
                <w:shd w:val="clear" w:color="auto" w:fill="auto"/>
              </w:rPr>
              <w:t>3、甲方委托第三方机构对项目进行服务质量专项评价，评价得分85之上，甲方支付剩余款项3%。得分85分以下，每低1分扣减合同金额1%</w:t>
            </w:r>
            <w:r>
              <w:rPr>
                <w:rFonts w:hint="eastAsia" w:ascii="仿宋" w:hAnsi="仿宋" w:eastAsia="仿宋" w:cs="Times New Roman"/>
                <w:sz w:val="28"/>
                <w:szCs w:val="28"/>
                <w:shd w:val="clear" w:color="auto" w:fill="auto"/>
                <w:lang w:eastAsia="zh-CN"/>
              </w:rPr>
              <w:t>，</w:t>
            </w:r>
            <w:r>
              <w:rPr>
                <w:rFonts w:hint="eastAsia" w:ascii="仿宋" w:hAnsi="仿宋" w:eastAsia="仿宋" w:cs="Times New Roman"/>
                <w:sz w:val="28"/>
                <w:szCs w:val="28"/>
                <w:shd w:val="clear" w:color="auto" w:fill="auto"/>
              </w:rPr>
              <w:t>直至扣减全部合同尾款。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noWrap w:val="0"/>
            <w:vAlign w:val="center"/>
          </w:tcPr>
          <w:p>
            <w:pPr>
              <w:rPr>
                <w:rFonts w:ascii="仿宋" w:hAnsi="仿宋" w:eastAsia="仿宋"/>
                <w:sz w:val="28"/>
                <w:szCs w:val="28"/>
              </w:rPr>
            </w:pPr>
            <w:r>
              <w:rPr>
                <w:rFonts w:hint="eastAsia" w:ascii="仿宋" w:hAnsi="仿宋" w:eastAsia="仿宋" w:cs="Times New Roman"/>
                <w:sz w:val="28"/>
                <w:szCs w:val="28"/>
              </w:rPr>
              <w:t>按“第四章浙江省政府采购合同主要条款指引”相关违约责任及争议解决方式内容。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noWrap w:val="0"/>
            <w:vAlign w:val="center"/>
          </w:tcPr>
          <w:p>
            <w:pPr>
              <w:rPr>
                <w:rFonts w:hint="eastAsia" w:ascii="仿宋" w:hAnsi="仿宋" w:eastAsia="仿宋"/>
                <w:sz w:val="28"/>
                <w:szCs w:val="28"/>
                <w:lang w:eastAsia="zh-CN"/>
              </w:rPr>
            </w:pPr>
            <w:r>
              <w:rPr>
                <w:rFonts w:hint="eastAsia" w:ascii="仿宋" w:hAnsi="仿宋" w:eastAsia="仿宋"/>
                <w:sz w:val="28"/>
                <w:szCs w:val="28"/>
              </w:rPr>
              <w:t>提供公司认为可以证明其能力和业绩的材料复印件</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noWrap w:val="0"/>
            <w:vAlign w:val="center"/>
          </w:tcPr>
          <w:p>
            <w:pPr>
              <w:snapToGrid w:val="0"/>
              <w:jc w:val="left"/>
              <w:rPr>
                <w:rFonts w:ascii="仿宋" w:hAnsi="仿宋" w:eastAsia="仿宋" w:cs="仿宋_GB2312"/>
                <w:b/>
                <w:sz w:val="28"/>
                <w:szCs w:val="28"/>
              </w:rPr>
            </w:pPr>
          </w:p>
        </w:tc>
        <w:tc>
          <w:tcPr>
            <w:tcW w:w="1305"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noWrap w:val="0"/>
            <w:vAlign w:val="center"/>
          </w:tcPr>
          <w:p>
            <w:pPr>
              <w:rPr>
                <w:rFonts w:hint="eastAsia" w:ascii="仿宋" w:hAnsi="仿宋" w:eastAsia="仿宋"/>
                <w:sz w:val="28"/>
                <w:szCs w:val="28"/>
              </w:rPr>
            </w:pPr>
            <w:r>
              <w:rPr>
                <w:rFonts w:hint="eastAsia" w:ascii="仿宋" w:hAnsi="仿宋" w:eastAsia="仿宋"/>
                <w:sz w:val="28"/>
                <w:szCs w:val="28"/>
              </w:rPr>
              <w:t>提供</w:t>
            </w:r>
            <w:r>
              <w:rPr>
                <w:rFonts w:hint="eastAsia" w:ascii="仿宋" w:hAnsi="仿宋" w:eastAsia="仿宋"/>
                <w:sz w:val="28"/>
                <w:szCs w:val="28"/>
                <w:lang w:val="en-US" w:eastAsia="zh-CN"/>
              </w:rPr>
              <w:t>自2020年1月1日以来有</w:t>
            </w:r>
            <w:r>
              <w:rPr>
                <w:rFonts w:hint="eastAsia" w:ascii="仿宋" w:hAnsi="仿宋" w:eastAsia="仿宋"/>
                <w:sz w:val="28"/>
                <w:szCs w:val="28"/>
              </w:rPr>
              <w:t>类似成功案例的合同复印件。</w:t>
            </w:r>
          </w:p>
        </w:tc>
      </w:tr>
      <w:bookmarkEnd w:id="43"/>
    </w:tbl>
    <w:p>
      <w:pPr>
        <w:widowControl/>
        <w:spacing w:line="360" w:lineRule="auto"/>
        <w:jc w:val="left"/>
        <w:rPr>
          <w:rFonts w:ascii="仿宋" w:hAnsi="仿宋"/>
          <w:color w:val="000000"/>
          <w:kern w:val="0"/>
          <w:sz w:val="16"/>
          <w:szCs w:val="32"/>
        </w:rPr>
        <w:sectPr>
          <w:pgSz w:w="11906" w:h="16838"/>
          <w:pgMar w:top="1440" w:right="1800" w:bottom="1440" w:left="1800" w:header="851" w:footer="992" w:gutter="0"/>
          <w:cols w:space="720" w:num="1"/>
          <w:docGrid w:type="lines" w:linePitch="312" w:charSpace="0"/>
        </w:sectPr>
      </w:pPr>
    </w:p>
    <w:bookmarkEnd w:id="41"/>
    <w:p>
      <w:pPr>
        <w:pStyle w:val="41"/>
        <w:ind w:firstLine="643" w:firstLineChars="200"/>
        <w:jc w:val="both"/>
        <w:rPr>
          <w:rFonts w:hint="eastAsia"/>
          <w:lang w:val="en-US" w:eastAsia="zh-CN"/>
        </w:rPr>
      </w:pPr>
      <w:r>
        <w:rPr>
          <w:rFonts w:hint="eastAsia"/>
          <w:lang w:val="en-US" w:eastAsia="zh-CN"/>
        </w:rPr>
        <w:t xml:space="preserve">   </w:t>
      </w: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643" w:firstLineChars="200"/>
        <w:jc w:val="both"/>
        <w:rPr>
          <w:rFonts w:hint="eastAsia"/>
          <w:lang w:val="en-US" w:eastAsia="zh-CN"/>
        </w:rPr>
      </w:pPr>
    </w:p>
    <w:p>
      <w:pPr>
        <w:pStyle w:val="41"/>
        <w:ind w:firstLine="964" w:firstLineChars="300"/>
        <w:jc w:val="both"/>
      </w:pPr>
      <w:r>
        <w:rPr>
          <w:rFonts w:hint="eastAsia"/>
        </w:rPr>
        <w:t>第四章</w:t>
      </w:r>
      <w:r>
        <w:rPr>
          <w:rFonts w:hint="eastAsia"/>
          <w:lang w:val="en-US" w:eastAsia="zh-CN"/>
        </w:rPr>
        <w:t xml:space="preserve">  </w:t>
      </w:r>
      <w:r>
        <w:rPr>
          <w:rFonts w:hint="eastAsia"/>
        </w:rPr>
        <w:t>浙江省政府采购合同主要条款指引</w:t>
      </w:r>
      <w:bookmarkEnd w:id="38"/>
      <w:bookmarkEnd w:id="39"/>
    </w:p>
    <w:p>
      <w:pPr>
        <w:snapToGrid w:val="0"/>
        <w:spacing w:before="120" w:beforeLines="50" w:after="120" w:afterLines="50"/>
        <w:jc w:val="center"/>
        <w:rPr>
          <w:rFonts w:ascii="仿宋" w:hAnsi="仿宋" w:eastAsia="仿宋"/>
          <w:b/>
          <w:bCs/>
          <w:sz w:val="36"/>
          <w:szCs w:val="36"/>
        </w:rPr>
      </w:pPr>
    </w:p>
    <w:p>
      <w:pPr>
        <w:pStyle w:val="23"/>
        <w:snapToGrid w:val="0"/>
        <w:spacing w:before="120" w:line="360" w:lineRule="auto"/>
        <w:jc w:val="center"/>
        <w:rPr>
          <w:rFonts w:ascii="仿宋" w:hAnsi="仿宋" w:eastAsia="仿宋"/>
          <w:sz w:val="30"/>
          <w:szCs w:val="30"/>
        </w:rPr>
      </w:pPr>
      <w:r>
        <w:rPr>
          <w:rFonts w:hint="eastAsia" w:ascii="仿宋" w:hAnsi="仿宋" w:eastAsia="仿宋"/>
          <w:sz w:val="30"/>
          <w:szCs w:val="30"/>
        </w:rPr>
        <w:t>编号：ZZCG202</w:t>
      </w:r>
      <w:r>
        <w:rPr>
          <w:rFonts w:ascii="仿宋" w:hAnsi="仿宋" w:eastAsia="仿宋"/>
          <w:sz w:val="30"/>
          <w:szCs w:val="30"/>
        </w:rPr>
        <w:t xml:space="preserve"> </w:t>
      </w:r>
      <w:r>
        <w:rPr>
          <w:rFonts w:hint="eastAsia" w:ascii="仿宋" w:hAnsi="仿宋" w:eastAsia="仿宋"/>
          <w:sz w:val="30"/>
          <w:szCs w:val="30"/>
        </w:rPr>
        <w:t>-</w:t>
      </w:r>
    </w:p>
    <w:p>
      <w:pPr>
        <w:pStyle w:val="23"/>
        <w:snapToGrid w:val="0"/>
        <w:spacing w:before="120" w:line="360" w:lineRule="auto"/>
        <w:jc w:val="center"/>
        <w:rPr>
          <w:rFonts w:ascii="仿宋" w:hAnsi="仿宋" w:eastAsia="仿宋"/>
          <w:sz w:val="30"/>
          <w:szCs w:val="30"/>
        </w:rPr>
      </w:pPr>
      <w:r>
        <w:rPr>
          <w:rFonts w:hint="eastAsia" w:ascii="仿宋" w:hAnsi="仿宋" w:eastAsia="仿宋"/>
          <w:sz w:val="30"/>
          <w:szCs w:val="30"/>
        </w:rPr>
        <w:t>确认号：</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甲方</w:t>
      </w:r>
      <w:r>
        <w:rPr>
          <w:rFonts w:hint="eastAsia" w:ascii="仿宋" w:hAnsi="仿宋" w:eastAsia="仿宋"/>
          <w:sz w:val="28"/>
          <w:szCs w:val="30"/>
        </w:rPr>
        <w:t>（</w:t>
      </w:r>
      <w:r>
        <w:rPr>
          <w:rFonts w:hint="eastAsia" w:ascii="仿宋" w:hAnsi="仿宋" w:eastAsia="仿宋" w:cs="微软雅黑"/>
          <w:sz w:val="28"/>
          <w:szCs w:val="30"/>
        </w:rPr>
        <w:t>采购人</w:t>
      </w:r>
      <w:r>
        <w:rPr>
          <w:rFonts w:hint="eastAsia" w:ascii="仿宋" w:hAnsi="仿宋" w:eastAsia="仿宋" w:cs="Malgun Gothic Semilight"/>
          <w:sz w:val="28"/>
          <w:szCs w:val="30"/>
        </w:rPr>
        <w:t>）：</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乙方</w:t>
      </w:r>
      <w:r>
        <w:rPr>
          <w:rFonts w:hint="eastAsia" w:ascii="仿宋" w:hAnsi="仿宋" w:eastAsia="仿宋"/>
          <w:sz w:val="28"/>
          <w:szCs w:val="30"/>
        </w:rPr>
        <w:t>（</w:t>
      </w:r>
      <w:r>
        <w:rPr>
          <w:rFonts w:hint="eastAsia" w:ascii="仿宋" w:hAnsi="仿宋" w:eastAsia="仿宋" w:cs="微软雅黑"/>
          <w:sz w:val="28"/>
          <w:szCs w:val="30"/>
        </w:rPr>
        <w:t>响应方</w:t>
      </w:r>
      <w:r>
        <w:rPr>
          <w:rFonts w:hint="eastAsia" w:ascii="仿宋" w:hAnsi="仿宋" w:eastAsia="仿宋" w:cs="Malgun Gothic Semilight"/>
          <w:sz w:val="28"/>
          <w:szCs w:val="30"/>
        </w:rPr>
        <w:t>）：</w:t>
      </w:r>
    </w:p>
    <w:p>
      <w:pPr>
        <w:pStyle w:val="23"/>
        <w:adjustRightInd w:val="0"/>
        <w:snapToGrid w:val="0"/>
        <w:spacing w:before="120" w:line="460" w:lineRule="exact"/>
        <w:ind w:firstLine="554" w:firstLineChars="198"/>
        <w:rPr>
          <w:rFonts w:ascii="仿宋" w:hAnsi="仿宋" w:eastAsia="仿宋"/>
          <w:b/>
          <w:snapToGrid w:val="0"/>
          <w:kern w:val="0"/>
          <w:sz w:val="28"/>
          <w:szCs w:val="30"/>
        </w:rPr>
      </w:pP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乙双方根据浙江省政府采购中心关于</w:t>
      </w:r>
      <w:r>
        <w:rPr>
          <w:rFonts w:hint="eastAsia" w:ascii="仿宋" w:hAnsi="仿宋" w:eastAsia="仿宋" w:cs="微软雅黑"/>
          <w:sz w:val="28"/>
          <w:szCs w:val="30"/>
        </w:rPr>
        <w:t>项目编号为</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标项及名称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项目单一来源采购的结果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签署本合同</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9" w:firstLineChars="213"/>
        <w:rPr>
          <w:rFonts w:ascii="仿宋" w:hAnsi="仿宋" w:eastAsia="仿宋"/>
          <w:b/>
          <w:sz w:val="28"/>
          <w:szCs w:val="30"/>
        </w:rPr>
      </w:pPr>
      <w:r>
        <w:rPr>
          <w:rFonts w:hint="eastAsia" w:ascii="仿宋" w:hAnsi="仿宋" w:eastAsia="仿宋" w:cs="微软雅黑"/>
          <w:b/>
          <w:snapToGrid w:val="0"/>
          <w:kern w:val="0"/>
          <w:sz w:val="28"/>
          <w:szCs w:val="30"/>
        </w:rPr>
        <w:t>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项目内容</w:t>
      </w:r>
      <w:r>
        <w:rPr>
          <w:rFonts w:hint="eastAsia" w:ascii="仿宋" w:hAnsi="仿宋" w:eastAsia="仿宋" w:cs="微软雅黑"/>
          <w:b/>
          <w:sz w:val="28"/>
          <w:szCs w:val="30"/>
        </w:rPr>
        <w:t>及合同价格</w:t>
      </w:r>
    </w:p>
    <w:p>
      <w:pPr>
        <w:pStyle w:val="23"/>
        <w:adjustRightInd w:val="0"/>
        <w:snapToGrid w:val="0"/>
        <w:spacing w:before="120" w:line="460" w:lineRule="exact"/>
        <w:ind w:firstLine="596" w:firstLineChars="213"/>
        <w:jc w:val="right"/>
        <w:rPr>
          <w:rFonts w:ascii="仿宋" w:hAnsi="仿宋" w:eastAsia="仿宋"/>
          <w:sz w:val="28"/>
          <w:szCs w:val="30"/>
        </w:rPr>
      </w:pPr>
      <w:r>
        <w:rPr>
          <w:rFonts w:hint="eastAsia" w:ascii="仿宋" w:hAnsi="仿宋" w:eastAsia="仿宋" w:cs="微软雅黑"/>
          <w:sz w:val="28"/>
          <w:szCs w:val="30"/>
        </w:rPr>
        <w:t>金额单位</w:t>
      </w:r>
      <w:r>
        <w:rPr>
          <w:rFonts w:hint="eastAsia" w:ascii="仿宋" w:hAnsi="仿宋" w:eastAsia="仿宋" w:cs="Malgun Gothic Semilight"/>
          <w:sz w:val="28"/>
          <w:szCs w:val="30"/>
        </w:rPr>
        <w:t>：</w:t>
      </w:r>
      <w:r>
        <w:rPr>
          <w:rFonts w:hint="eastAsia" w:ascii="仿宋" w:hAnsi="仿宋" w:eastAsia="仿宋" w:cs="微软雅黑"/>
          <w:sz w:val="28"/>
          <w:szCs w:val="30"/>
        </w:rPr>
        <w:t>元</w:t>
      </w:r>
    </w:p>
    <w:tbl>
      <w:tblPr>
        <w:tblStyle w:val="44"/>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项目名称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型号规格</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配置要求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line="460" w:lineRule="exact"/>
              <w:ind w:left="-108"/>
              <w:jc w:val="center"/>
              <w:rPr>
                <w:rFonts w:ascii="仿宋" w:hAnsi="仿宋" w:eastAsia="仿宋"/>
                <w:sz w:val="28"/>
                <w:szCs w:val="30"/>
              </w:rPr>
            </w:pPr>
            <w:r>
              <w:rPr>
                <w:rFonts w:hint="eastAsia" w:ascii="仿宋" w:hAnsi="仿宋" w:eastAsia="仿宋" w:cs="微软雅黑"/>
                <w:sz w:val="28"/>
                <w:szCs w:val="30"/>
              </w:rPr>
              <w:t>数量</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line="460" w:lineRule="exact"/>
              <w:ind w:left="-108"/>
              <w:jc w:val="center"/>
              <w:rPr>
                <w:rFonts w:ascii="仿宋" w:hAnsi="仿宋" w:eastAsia="仿宋"/>
                <w:sz w:val="28"/>
                <w:szCs w:val="30"/>
              </w:rPr>
            </w:pPr>
            <w:r>
              <w:rPr>
                <w:rFonts w:hint="eastAsia" w:ascii="仿宋" w:hAnsi="仿宋" w:eastAsia="仿宋" w:cs="微软雅黑"/>
                <w:sz w:val="28"/>
                <w:szCs w:val="3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96" w:firstLineChars="213"/>
              <w:rPr>
                <w:rFonts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96" w:firstLineChars="213"/>
              <w:rPr>
                <w:rFonts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96" w:firstLineChars="213"/>
              <w:rPr>
                <w:rFonts w:ascii="仿宋" w:hAnsi="仿宋" w:eastAsia="仿宋"/>
                <w:sz w:val="28"/>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96" w:firstLineChars="213"/>
              <w:rPr>
                <w:rFonts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noWrap w:val="0"/>
            <w:vAlign w:val="top"/>
          </w:tcPr>
          <w:p>
            <w:pPr>
              <w:pStyle w:val="99"/>
              <w:spacing w:after="120" w:line="460" w:lineRule="exact"/>
              <w:ind w:firstLine="596" w:firstLineChars="213"/>
              <w:rPr>
                <w:rFonts w:ascii="仿宋" w:hAnsi="仿宋" w:eastAsia="仿宋"/>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460" w:lineRule="exact"/>
              <w:ind w:firstLine="596" w:firstLineChars="213"/>
              <w:jc w:val="center"/>
              <w:rPr>
                <w:rFonts w:ascii="仿宋" w:hAnsi="仿宋" w:eastAsia="仿宋"/>
                <w:sz w:val="28"/>
                <w:szCs w:val="30"/>
              </w:rPr>
            </w:pPr>
            <w:r>
              <w:rPr>
                <w:rFonts w:hint="eastAsia" w:ascii="仿宋" w:hAnsi="仿宋" w:eastAsia="仿宋" w:cs="微软雅黑"/>
                <w:sz w:val="28"/>
                <w:szCs w:val="30"/>
              </w:rPr>
              <w:t>合计</w:t>
            </w: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460" w:lineRule="exact"/>
              <w:ind w:firstLine="596" w:firstLineChars="213"/>
              <w:jc w:val="center"/>
              <w:rPr>
                <w:rFonts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noWrap w:val="0"/>
            <w:vAlign w:val="top"/>
          </w:tcPr>
          <w:p>
            <w:pPr>
              <w:pStyle w:val="99"/>
              <w:spacing w:after="120" w:line="460" w:lineRule="exact"/>
              <w:ind w:firstLine="596" w:firstLineChars="213"/>
              <w:rPr>
                <w:rFonts w:ascii="仿宋" w:hAnsi="仿宋" w:eastAsia="仿宋"/>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460" w:lineRule="exact"/>
              <w:rPr>
                <w:rFonts w:ascii="仿宋" w:hAnsi="仿宋" w:eastAsia="仿宋"/>
                <w:sz w:val="28"/>
                <w:szCs w:val="30"/>
              </w:rPr>
            </w:pPr>
            <w:r>
              <w:rPr>
                <w:rFonts w:hint="eastAsia" w:ascii="仿宋" w:hAnsi="仿宋" w:eastAsia="仿宋" w:cs="微软雅黑"/>
                <w:sz w:val="28"/>
                <w:szCs w:val="30"/>
              </w:rPr>
              <w:t>合同总价大写</w:t>
            </w:r>
            <w:r>
              <w:rPr>
                <w:rFonts w:hint="eastAsia" w:ascii="仿宋" w:hAnsi="仿宋" w:eastAsia="仿宋" w:cs="Malgun Gothic Semilight"/>
                <w:sz w:val="28"/>
                <w:szCs w:val="30"/>
              </w:rPr>
              <w:t>：</w:t>
            </w:r>
            <w:r>
              <w:rPr>
                <w:rFonts w:hint="eastAsia" w:ascii="仿宋" w:hAnsi="仿宋" w:eastAsia="仿宋" w:cs="微软雅黑"/>
                <w:sz w:val="28"/>
                <w:szCs w:val="30"/>
              </w:rPr>
              <w:t>小写</w:t>
            </w:r>
            <w:r>
              <w:rPr>
                <w:rFonts w:hint="eastAsia" w:ascii="仿宋" w:hAnsi="仿宋" w:eastAsia="仿宋" w:cs="Malgun Gothic Semilight"/>
                <w:sz w:val="28"/>
                <w:szCs w:val="30"/>
              </w:rPr>
              <w:t>：￥</w:t>
            </w:r>
          </w:p>
        </w:tc>
      </w:tr>
    </w:tbl>
    <w:p>
      <w:pPr>
        <w:pStyle w:val="23"/>
        <w:snapToGrid w:val="0"/>
        <w:spacing w:before="120" w:line="460" w:lineRule="exact"/>
        <w:ind w:firstLine="529" w:firstLineChars="189"/>
        <w:rPr>
          <w:rFonts w:ascii="仿宋" w:hAnsi="仿宋" w:eastAsia="仿宋"/>
          <w:sz w:val="28"/>
          <w:szCs w:val="30"/>
        </w:rPr>
      </w:pPr>
      <w:r>
        <w:rPr>
          <w:rFonts w:hint="eastAsia" w:ascii="仿宋" w:hAnsi="仿宋" w:eastAsia="仿宋" w:cs="微软雅黑"/>
          <w:sz w:val="28"/>
          <w:szCs w:val="30"/>
        </w:rPr>
        <w:t>注</w:t>
      </w:r>
      <w:r>
        <w:rPr>
          <w:rFonts w:hint="eastAsia" w:ascii="仿宋" w:hAnsi="仿宋" w:eastAsia="仿宋" w:cs="Malgun Gothic Semilight"/>
          <w:sz w:val="28"/>
          <w:szCs w:val="30"/>
        </w:rPr>
        <w:t>：</w:t>
      </w:r>
      <w:r>
        <w:rPr>
          <w:rFonts w:hint="eastAsia" w:ascii="仿宋" w:hAnsi="仿宋" w:eastAsia="仿宋"/>
          <w:sz w:val="28"/>
          <w:szCs w:val="30"/>
        </w:rPr>
        <w:t>1、</w:t>
      </w:r>
      <w:r>
        <w:rPr>
          <w:rFonts w:hint="eastAsia" w:ascii="仿宋" w:hAnsi="仿宋" w:eastAsia="仿宋" w:cs="微软雅黑"/>
          <w:sz w:val="28"/>
          <w:szCs w:val="30"/>
        </w:rPr>
        <w:t>商品型号</w:t>
      </w:r>
      <w:r>
        <w:rPr>
          <w:rFonts w:hint="eastAsia" w:ascii="仿宋" w:hAnsi="仿宋" w:eastAsia="仿宋" w:cs="Malgun Gothic Semilight"/>
          <w:sz w:val="28"/>
          <w:szCs w:val="30"/>
        </w:rPr>
        <w:t>、</w:t>
      </w:r>
      <w:r>
        <w:rPr>
          <w:rFonts w:hint="eastAsia" w:ascii="仿宋" w:hAnsi="仿宋" w:eastAsia="仿宋" w:cs="微软雅黑"/>
          <w:sz w:val="28"/>
          <w:szCs w:val="30"/>
        </w:rPr>
        <w:t>数量</w:t>
      </w:r>
      <w:r>
        <w:rPr>
          <w:rFonts w:hint="eastAsia" w:ascii="仿宋" w:hAnsi="仿宋" w:eastAsia="仿宋" w:cs="Malgun Gothic Semilight"/>
          <w:sz w:val="28"/>
          <w:szCs w:val="30"/>
        </w:rPr>
        <w:t>、</w:t>
      </w:r>
      <w:r>
        <w:rPr>
          <w:rFonts w:hint="eastAsia" w:ascii="仿宋" w:hAnsi="仿宋" w:eastAsia="仿宋" w:cs="微软雅黑"/>
          <w:sz w:val="28"/>
          <w:szCs w:val="30"/>
        </w:rPr>
        <w:t>配置要求及使用单位地址等详见附件清单</w:t>
      </w:r>
    </w:p>
    <w:p>
      <w:pPr>
        <w:spacing w:line="460" w:lineRule="exact"/>
        <w:ind w:firstLine="529" w:firstLineChars="189"/>
        <w:rPr>
          <w:rFonts w:ascii="仿宋" w:hAnsi="仿宋" w:eastAsia="仿宋"/>
          <w:sz w:val="28"/>
          <w:szCs w:val="30"/>
        </w:rPr>
      </w:pPr>
      <w:r>
        <w:rPr>
          <w:rFonts w:hint="eastAsia" w:ascii="仿宋" w:hAnsi="仿宋" w:eastAsia="仿宋"/>
          <w:sz w:val="28"/>
          <w:szCs w:val="30"/>
        </w:rPr>
        <w:t>　2、</w:t>
      </w:r>
      <w:r>
        <w:rPr>
          <w:rFonts w:hint="eastAsia" w:ascii="仿宋" w:hAnsi="仿宋" w:eastAsia="仿宋" w:cs="微软雅黑"/>
          <w:sz w:val="28"/>
          <w:szCs w:val="30"/>
        </w:rPr>
        <w:t>以上合同总价包含产品到达用户并能正常使用所需的一切费用</w:t>
      </w:r>
      <w:r>
        <w:rPr>
          <w:rFonts w:hint="eastAsia" w:ascii="仿宋" w:hAnsi="仿宋" w:eastAsia="仿宋" w:cs="Malgun Gothic Semilight"/>
          <w:sz w:val="28"/>
          <w:szCs w:val="30"/>
        </w:rPr>
        <w:t>。</w:t>
      </w:r>
    </w:p>
    <w:p>
      <w:pPr>
        <w:pStyle w:val="2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技术资料</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乙方应按单一来源采购文件规定的时间向甲方提供使用项目的有关技术资料</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没有甲方事先书面同意</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乙方不得将由甲方提供的有关合同或任何合同条文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计划</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图纸</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样品或资料提供给与履行本合同无关的任何其他人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即使向履行本合同有关的人员提供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也应注意保密并限于履行合同的必需范围</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知识产权</w:t>
      </w:r>
    </w:p>
    <w:p>
      <w:pPr>
        <w:pStyle w:val="2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snapToGrid w:val="0"/>
          <w:kern w:val="0"/>
          <w:sz w:val="28"/>
          <w:szCs w:val="30"/>
        </w:rPr>
        <w:t>乙方应保证所提供的项目或其任何一部分均不会侵犯任何第三方的知识产权</w:t>
      </w:r>
      <w:r>
        <w:rPr>
          <w:rFonts w:hint="eastAsia" w:ascii="仿宋" w:hAnsi="仿宋" w:eastAsia="仿宋"/>
          <w:bCs/>
          <w:snapToGrid w:val="0"/>
          <w:kern w:val="0"/>
          <w:sz w:val="28"/>
          <w:szCs w:val="30"/>
        </w:rPr>
        <w:t>。</w:t>
      </w:r>
    </w:p>
    <w:p>
      <w:pPr>
        <w:pStyle w:val="23"/>
        <w:adjustRightInd w:val="0"/>
        <w:snapToGrid w:val="0"/>
        <w:spacing w:before="120" w:line="460" w:lineRule="exact"/>
        <w:ind w:firstLine="557" w:firstLineChars="198"/>
        <w:rPr>
          <w:rFonts w:ascii="仿宋" w:hAnsi="仿宋" w:eastAsia="仿宋"/>
          <w:snapToGrid w:val="0"/>
          <w:kern w:val="0"/>
          <w:sz w:val="28"/>
          <w:szCs w:val="30"/>
          <w:u w:val="single"/>
        </w:rPr>
      </w:pPr>
      <w:r>
        <w:rPr>
          <w:rFonts w:hint="eastAsia" w:ascii="仿宋" w:hAnsi="仿宋" w:eastAsia="仿宋" w:cs="微软雅黑"/>
          <w:b/>
          <w:snapToGrid w:val="0"/>
          <w:kern w:val="0"/>
          <w:sz w:val="28"/>
          <w:szCs w:val="30"/>
        </w:rPr>
        <w:t>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产权担保</w:t>
      </w:r>
    </w:p>
    <w:p>
      <w:pPr>
        <w:pStyle w:val="23"/>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cs="微软雅黑"/>
          <w:snapToGrid w:val="0"/>
          <w:kern w:val="0"/>
          <w:sz w:val="28"/>
          <w:szCs w:val="30"/>
        </w:rPr>
        <w:t>乙方保证所交付的项目的所有权完全属于乙方且无任何抵押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查封等产权瑕疵</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转包或分包</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本合同范围的项目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应由乙方直接供应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不得转让他人供应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否则</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甲方有权解除合同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没收履约保证金并追究乙方的违约责任</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9" w:firstLineChars="213"/>
        <w:rPr>
          <w:rFonts w:ascii="仿宋" w:hAnsi="仿宋" w:eastAsia="仿宋"/>
          <w:snapToGrid w:val="0"/>
          <w:kern w:val="0"/>
          <w:sz w:val="28"/>
          <w:szCs w:val="30"/>
        </w:rPr>
      </w:pPr>
      <w:r>
        <w:rPr>
          <w:rFonts w:hint="eastAsia" w:ascii="仿宋" w:hAnsi="仿宋" w:eastAsia="仿宋" w:cs="微软雅黑"/>
          <w:b/>
          <w:snapToGrid w:val="0"/>
          <w:kern w:val="0"/>
          <w:sz w:val="28"/>
          <w:szCs w:val="30"/>
        </w:rPr>
        <w:t>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质保期和履约保证金</w:t>
      </w:r>
    </w:p>
    <w:p>
      <w:pPr>
        <w:pStyle w:val="23"/>
        <w:adjustRightInd w:val="0"/>
        <w:snapToGrid w:val="0"/>
        <w:spacing w:before="120" w:line="460" w:lineRule="exact"/>
        <w:ind w:firstLine="560" w:firstLineChars="200"/>
        <w:jc w:val="left"/>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质保期</w:t>
      </w:r>
      <w:bookmarkStart w:id="67" w:name="质保期（年）"/>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质保期</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年</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67"/>
      <w:r>
        <w:rPr>
          <w:rFonts w:hint="eastAsia" w:ascii="仿宋" w:hAnsi="仿宋" w:eastAsia="仿宋" w:cs="微软雅黑"/>
          <w:snapToGrid w:val="0"/>
          <w:kern w:val="0"/>
          <w:sz w:val="28"/>
          <w:szCs w:val="30"/>
        </w:rPr>
        <w:t>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自交货验收合格之日起计</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履约保证金</w:t>
      </w:r>
      <w:bookmarkStart w:id="68" w:name="质保金（元）"/>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质保金</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元</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68"/>
      <w:r>
        <w:rPr>
          <w:rFonts w:hint="eastAsia" w:ascii="仿宋" w:hAnsi="仿宋" w:eastAsia="仿宋" w:cs="微软雅黑"/>
          <w:snapToGrid w:val="0"/>
          <w:kern w:val="0"/>
          <w:sz w:val="28"/>
          <w:szCs w:val="30"/>
        </w:rPr>
        <w:t>元</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履约保证金交给采购人处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在合同约定交货验收合格满</w:t>
      </w:r>
      <w:r>
        <w:rPr>
          <w:rFonts w:hint="eastAsia" w:ascii="仿宋" w:hAnsi="仿宋" w:eastAsia="仿宋" w:cs="Malgun Gothic Semilight"/>
          <w:snapToGrid w:val="0"/>
          <w:kern w:val="0"/>
          <w:sz w:val="28"/>
          <w:szCs w:val="30"/>
        </w:rPr>
        <w:t>（</w:t>
      </w:r>
      <w:bookmarkStart w:id="69" w:name="退还时间（月）"/>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退还时间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月</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bookmarkEnd w:id="69"/>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个月之日起</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个工作日内无息退还</w:t>
      </w:r>
      <w:r>
        <w:rPr>
          <w:rFonts w:hint="eastAsia" w:ascii="仿宋" w:hAnsi="仿宋" w:eastAsia="仿宋"/>
          <w:snapToGrid w:val="0"/>
          <w:kern w:val="0"/>
          <w:sz w:val="28"/>
          <w:szCs w:val="30"/>
        </w:rPr>
        <w:t>]</w:t>
      </w:r>
    </w:p>
    <w:p>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七</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交货期</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交货方式及交货地点</w:t>
      </w:r>
    </w:p>
    <w:p>
      <w:pPr>
        <w:pStyle w:val="2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1. </w:t>
      </w:r>
      <w:r>
        <w:rPr>
          <w:rFonts w:hint="eastAsia" w:ascii="仿宋" w:hAnsi="仿宋" w:eastAsia="仿宋" w:cs="微软雅黑"/>
          <w:bCs/>
          <w:snapToGrid w:val="0"/>
          <w:kern w:val="0"/>
          <w:sz w:val="28"/>
          <w:szCs w:val="30"/>
        </w:rPr>
        <w:t>交货期</w:t>
      </w:r>
      <w:r>
        <w:rPr>
          <w:rFonts w:hint="eastAsia" w:ascii="仿宋" w:hAnsi="仿宋" w:eastAsia="仿宋" w:cs="Malgun Gothic Semilight"/>
          <w:bCs/>
          <w:snapToGrid w:val="0"/>
          <w:kern w:val="0"/>
          <w:sz w:val="28"/>
          <w:szCs w:val="30"/>
        </w:rPr>
        <w:t>：</w:t>
      </w:r>
      <w:bookmarkStart w:id="70" w:name="交货期"/>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交货期</w:t>
      </w:r>
      <w:r>
        <w:rPr>
          <w:rFonts w:hint="eastAsia" w:ascii="仿宋" w:hAnsi="仿宋" w:eastAsia="仿宋"/>
          <w:bCs/>
          <w:snapToGrid w:val="0"/>
          <w:kern w:val="0"/>
          <w:sz w:val="28"/>
          <w:szCs w:val="30"/>
        </w:rPr>
        <w:t>]</w:t>
      </w:r>
      <w:bookmarkEnd w:id="70"/>
    </w:p>
    <w:p>
      <w:pPr>
        <w:pStyle w:val="2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2. </w:t>
      </w:r>
      <w:r>
        <w:rPr>
          <w:rFonts w:hint="eastAsia" w:ascii="仿宋" w:hAnsi="仿宋" w:eastAsia="仿宋" w:cs="微软雅黑"/>
          <w:bCs/>
          <w:snapToGrid w:val="0"/>
          <w:kern w:val="0"/>
          <w:sz w:val="28"/>
          <w:szCs w:val="30"/>
        </w:rPr>
        <w:t>交货方式</w:t>
      </w:r>
      <w:r>
        <w:rPr>
          <w:rFonts w:hint="eastAsia" w:ascii="仿宋" w:hAnsi="仿宋" w:eastAsia="仿宋" w:cs="Malgun Gothic Semilight"/>
          <w:bCs/>
          <w:snapToGrid w:val="0"/>
          <w:kern w:val="0"/>
          <w:sz w:val="28"/>
          <w:szCs w:val="30"/>
        </w:rPr>
        <w:t>：</w:t>
      </w:r>
      <w:bookmarkStart w:id="71" w:name="交货方式"/>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交货方式</w:t>
      </w:r>
      <w:r>
        <w:rPr>
          <w:rFonts w:hint="eastAsia" w:ascii="仿宋" w:hAnsi="仿宋" w:eastAsia="仿宋"/>
          <w:bCs/>
          <w:snapToGrid w:val="0"/>
          <w:kern w:val="0"/>
          <w:sz w:val="28"/>
          <w:szCs w:val="30"/>
        </w:rPr>
        <w:t>]</w:t>
      </w:r>
      <w:bookmarkEnd w:id="71"/>
    </w:p>
    <w:p>
      <w:pPr>
        <w:pStyle w:val="23"/>
        <w:adjustRightInd w:val="0"/>
        <w:snapToGrid w:val="0"/>
        <w:spacing w:before="120" w:line="460" w:lineRule="exact"/>
        <w:ind w:firstLine="596" w:firstLineChars="213"/>
        <w:rPr>
          <w:rFonts w:ascii="仿宋" w:hAnsi="仿宋" w:eastAsia="仿宋"/>
          <w:b/>
          <w:snapToGrid w:val="0"/>
          <w:kern w:val="0"/>
          <w:sz w:val="28"/>
          <w:szCs w:val="30"/>
        </w:rPr>
      </w:pPr>
      <w:r>
        <w:rPr>
          <w:rFonts w:hint="eastAsia" w:ascii="仿宋" w:hAnsi="仿宋" w:eastAsia="仿宋"/>
          <w:bCs/>
          <w:snapToGrid w:val="0"/>
          <w:kern w:val="0"/>
          <w:sz w:val="28"/>
          <w:szCs w:val="30"/>
        </w:rPr>
        <w:t xml:space="preserve">3. </w:t>
      </w:r>
      <w:r>
        <w:rPr>
          <w:rFonts w:hint="eastAsia" w:ascii="仿宋" w:hAnsi="仿宋" w:eastAsia="仿宋" w:cs="微软雅黑"/>
          <w:bCs/>
          <w:snapToGrid w:val="0"/>
          <w:kern w:val="0"/>
          <w:sz w:val="28"/>
          <w:szCs w:val="30"/>
        </w:rPr>
        <w:t>交货地点</w:t>
      </w:r>
      <w:r>
        <w:rPr>
          <w:rFonts w:hint="eastAsia" w:ascii="仿宋" w:hAnsi="仿宋" w:eastAsia="仿宋" w:cs="Malgun Gothic Semilight"/>
          <w:bCs/>
          <w:snapToGrid w:val="0"/>
          <w:kern w:val="0"/>
          <w:sz w:val="28"/>
          <w:szCs w:val="30"/>
        </w:rPr>
        <w:t>：</w:t>
      </w:r>
      <w:bookmarkStart w:id="72" w:name="交货地点"/>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交货地点</w:t>
      </w:r>
      <w:r>
        <w:rPr>
          <w:rFonts w:hint="eastAsia" w:ascii="仿宋" w:hAnsi="仿宋" w:eastAsia="仿宋"/>
          <w:bCs/>
          <w:snapToGrid w:val="0"/>
          <w:kern w:val="0"/>
          <w:sz w:val="28"/>
          <w:szCs w:val="30"/>
        </w:rPr>
        <w:t>]</w:t>
      </w:r>
      <w:bookmarkEnd w:id="72"/>
    </w:p>
    <w:p>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八</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货款支付</w:t>
      </w:r>
    </w:p>
    <w:p>
      <w:pPr>
        <w:pStyle w:val="2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bCs/>
          <w:snapToGrid w:val="0"/>
          <w:kern w:val="0"/>
          <w:sz w:val="28"/>
          <w:szCs w:val="30"/>
        </w:rPr>
        <w:t>付款方式</w:t>
      </w:r>
      <w:r>
        <w:rPr>
          <w:rFonts w:hint="eastAsia" w:ascii="仿宋" w:hAnsi="仿宋" w:eastAsia="仿宋" w:cs="Malgun Gothic Semilight"/>
          <w:bCs/>
          <w:snapToGrid w:val="0"/>
          <w:kern w:val="0"/>
          <w:sz w:val="28"/>
          <w:szCs w:val="30"/>
        </w:rPr>
        <w:t>：</w:t>
      </w:r>
    </w:p>
    <w:p>
      <w:pPr>
        <w:adjustRightInd w:val="0"/>
        <w:snapToGrid w:val="0"/>
        <w:spacing w:before="120" w:beforeLines="50" w:after="120" w:afterLines="5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九</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税费</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本合同执行中相关的一切税费均由乙方负担</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57" w:firstLineChars="198"/>
        <w:rPr>
          <w:rFonts w:ascii="仿宋" w:hAnsi="仿宋" w:eastAsia="仿宋"/>
          <w:snapToGrid w:val="0"/>
          <w:kern w:val="0"/>
          <w:sz w:val="28"/>
          <w:szCs w:val="30"/>
        </w:rPr>
      </w:pPr>
      <w:r>
        <w:rPr>
          <w:rFonts w:hint="eastAsia" w:ascii="仿宋" w:hAnsi="仿宋" w:eastAsia="仿宋" w:cs="微软雅黑"/>
          <w:b/>
          <w:snapToGrid w:val="0"/>
          <w:kern w:val="0"/>
          <w:sz w:val="28"/>
          <w:szCs w:val="30"/>
        </w:rPr>
        <w:t>十</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质量保证及售后服务</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乙方保证本合同中所供应的商品是最新生产的符合国家技术规格和质量标准的出厂原装合格产品</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如发生所供商品与合同不符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使用方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有权拒收或退货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由此产生的一切责任和后果由乙方承担</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乙方提供的项目在质保期内因项目本身的质量问题发生故障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乙方应负责免费更换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对达不到技术要求者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根据实际情况</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经双方协商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可按以下办法处理</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⑴</w:t>
      </w:r>
      <w:r>
        <w:rPr>
          <w:rFonts w:hint="eastAsia" w:ascii="仿宋" w:hAnsi="仿宋" w:eastAsia="仿宋" w:cs="微软雅黑"/>
          <w:snapToGrid w:val="0"/>
          <w:kern w:val="0"/>
          <w:sz w:val="28"/>
          <w:szCs w:val="30"/>
        </w:rPr>
        <w:t>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由乙方承担所发生的全部费用</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⑵</w:t>
      </w:r>
      <w:r>
        <w:rPr>
          <w:rFonts w:hint="eastAsia" w:ascii="仿宋" w:hAnsi="仿宋" w:eastAsia="仿宋" w:cs="微软雅黑"/>
          <w:snapToGrid w:val="0"/>
          <w:kern w:val="0"/>
          <w:sz w:val="28"/>
          <w:szCs w:val="30"/>
        </w:rPr>
        <w:t>贬值处理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由甲乙双方合议定价</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⑶</w:t>
      </w:r>
      <w:r>
        <w:rPr>
          <w:rFonts w:hint="eastAsia" w:ascii="仿宋" w:hAnsi="仿宋" w:eastAsia="仿宋" w:cs="微软雅黑"/>
          <w:snapToGrid w:val="0"/>
          <w:kern w:val="0"/>
          <w:sz w:val="28"/>
          <w:szCs w:val="30"/>
        </w:rPr>
        <w:t>退货处理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乙方应退还甲方支付的合同款</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同时应承担该项目的直接费用</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运输</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保险</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货款利息及银行手续费等</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在质保期内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乙方应对项目出现的质量及安全问题负责处理解决并承担一切费用</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上述的项目在质保期内免费保修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因人为因素出现的故障不在免费保修范围内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超过保修期的机器设备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终生维修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维修时只收部件成本费</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调试和验收</w:t>
      </w:r>
    </w:p>
    <w:p>
      <w:pPr>
        <w:pStyle w:val="23"/>
        <w:adjustRightInd w:val="0"/>
        <w:snapToGrid w:val="0"/>
        <w:spacing w:before="120" w:line="460" w:lineRule="exact"/>
        <w:ind w:firstLine="596" w:firstLineChars="213"/>
        <w:jc w:val="left"/>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甲方对乙方提交的项目依据单一来源采购文件上的技术规格要求和国家有关质量标准进行现场验收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货到后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甲方需在五个工作日内验收</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乙方交货前应对产品作出全面检查和对验收文件进行整理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并列出清单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作为甲方收货验收和使用的技术条件依据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检验的结果应随项目交甲方</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甲方对乙方提供的项目在使用前进行调试时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乙方需负责安装并培训甲方的使用操作人员</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并协助甲方一起调试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直到符合技术要求</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甲方才做最终验收</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对技术复杂的项目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甲方应请国家认可的专业检测机构参与验收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并由其出具质量检测报告</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5. </w:t>
      </w:r>
      <w:r>
        <w:rPr>
          <w:rFonts w:hint="eastAsia" w:ascii="仿宋" w:hAnsi="仿宋" w:eastAsia="仿宋" w:cs="微软雅黑"/>
          <w:snapToGrid w:val="0"/>
          <w:kern w:val="0"/>
          <w:sz w:val="28"/>
          <w:szCs w:val="30"/>
        </w:rPr>
        <w:t>验收时乙方必须在现场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验收完毕后作出验收结果报告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验收费用由乙方负责</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项目包装</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乙方应在项目发运前对其进行满足运输距离</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防锈和防破损装卸等要求包装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以保证项目安全运达甲方指定地点</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使用说明书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质量检验证明书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随配附件和工具以及清单一并附于项目内</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违约责任</w:t>
      </w:r>
    </w:p>
    <w:p>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甲方无正当理由拒收项目的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甲方向乙方偿付拒收货款总值的百分之五违约金</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甲方无故逾期验收和办理货款支付手续的</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甲方应按逾期付款总额每日万分之五向乙方支付违约金</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乙方逾期交付项目的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乙方应按逾期交货总额每日千分之六向甲方支付违约金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由甲方从待付货款中扣除</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逾期超过约定日期</w:t>
      </w:r>
      <w:r>
        <w:rPr>
          <w:rFonts w:hint="eastAsia" w:ascii="仿宋" w:hAnsi="仿宋" w:eastAsia="仿宋"/>
          <w:snapToGrid w:val="0"/>
          <w:kern w:val="0"/>
          <w:sz w:val="28"/>
          <w:szCs w:val="30"/>
        </w:rPr>
        <w:t>10</w:t>
      </w:r>
      <w:r>
        <w:rPr>
          <w:rFonts w:hint="eastAsia" w:ascii="仿宋" w:hAnsi="仿宋" w:eastAsia="仿宋" w:cs="微软雅黑"/>
          <w:snapToGrid w:val="0"/>
          <w:kern w:val="0"/>
          <w:sz w:val="28"/>
          <w:szCs w:val="30"/>
        </w:rPr>
        <w:t>个工作日不能交货的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甲方可解除本合同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乙方因逾期交货或因其他违约行为导致甲方解除合同的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乙方应向甲方支付合同总值</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的违约金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如造成甲方损失超过违约金的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超出部分由乙方继续承担赔偿责任</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乙方所交的项目品种</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型号</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技术参数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质量不符合合同规定及单一来源采购文件规定标准的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甲方有权拒收该项目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乙方愿意更换项目但逾期交货的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按乙方逾期交货处理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乙方拒绝更换项目的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甲方可单方面解除合同</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不可抗力事件处理</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在合同有效期内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任何一方因不可抗力事件导致不能履行合同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则合同履行期可延长</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其延长期与不可抗力影响期相同</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不可抗力事件发生后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应立即通知对方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并寄送有关权威机构出具的证明</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不可抗力事件延续</w:t>
      </w:r>
      <w:r>
        <w:rPr>
          <w:rFonts w:hint="eastAsia" w:ascii="仿宋" w:hAnsi="仿宋" w:eastAsia="仿宋"/>
          <w:snapToGrid w:val="0"/>
          <w:kern w:val="0"/>
          <w:sz w:val="28"/>
          <w:szCs w:val="30"/>
        </w:rPr>
        <w:t>120</w:t>
      </w:r>
      <w:r>
        <w:rPr>
          <w:rFonts w:hint="eastAsia" w:ascii="仿宋" w:hAnsi="仿宋" w:eastAsia="仿宋" w:cs="微软雅黑"/>
          <w:snapToGrid w:val="0"/>
          <w:kern w:val="0"/>
          <w:sz w:val="28"/>
          <w:szCs w:val="30"/>
        </w:rPr>
        <w:t>天以上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双方应通过友好协商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确定是否继续履行合同</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诉讼</w:t>
      </w:r>
    </w:p>
    <w:p>
      <w:pPr>
        <w:pStyle w:val="23"/>
        <w:adjustRightInd w:val="0"/>
        <w:snapToGrid w:val="0"/>
        <w:spacing w:before="120" w:line="460" w:lineRule="exact"/>
        <w:ind w:left="2"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双方在执行合同中所发生的一切争议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应通过协商解决</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如协商不成</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可向甲方所在地法院起诉</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合同生效及其它</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合同经甲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方签名并加盖单位公章后生效</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合同执行中涉及采购资金和采购内容修改或补充的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须经财政部门审批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并签书面补充协议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经报政府采购监督管理部门备案后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方可作为主合同不可分割的一部分</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3.</w:t>
      </w:r>
      <w:r>
        <w:rPr>
          <w:rFonts w:hint="eastAsia" w:ascii="仿宋" w:hAnsi="仿宋" w:eastAsia="仿宋" w:cs="微软雅黑"/>
          <w:snapToGrid w:val="0"/>
          <w:kern w:val="0"/>
          <w:sz w:val="28"/>
          <w:szCs w:val="30"/>
        </w:rPr>
        <w:t>单一来源采购文件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单一来源采购响应文件与本合同具有同等法律效力</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本合同未尽事宜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遵照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合同法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有关条文执行</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left="2" w:leftChars="1"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本合同一式四份</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具有同等法律效力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方各执二份</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rPr>
          <w:rFonts w:ascii="仿宋" w:hAnsi="仿宋" w:eastAsia="仿宋"/>
          <w:snapToGrid w:val="0"/>
          <w:kern w:val="0"/>
          <w:sz w:val="28"/>
          <w:szCs w:val="30"/>
        </w:rPr>
      </w:pPr>
    </w:p>
    <w:p>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23"/>
        <w:adjustRightInd w:val="0"/>
        <w:snapToGrid w:val="0"/>
        <w:spacing w:before="120" w:line="460" w:lineRule="exact"/>
        <w:ind w:firstLine="596" w:firstLineChars="213"/>
        <w:rPr>
          <w:rFonts w:ascii="仿宋" w:hAnsi="仿宋" w:eastAsia="仿宋"/>
          <w:snapToGrid w:val="0"/>
          <w:kern w:val="0"/>
          <w:sz w:val="28"/>
          <w:szCs w:val="30"/>
        </w:rPr>
      </w:pP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乙方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开户行</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开户帐号</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41"/>
        <w:ind w:firstLine="643" w:firstLineChars="200"/>
        <w:jc w:val="both"/>
      </w:pPr>
      <w:bookmarkStart w:id="73" w:name="_Toc510136962"/>
      <w:r>
        <w:rPr>
          <w:rFonts w:hint="eastAsia"/>
          <w:snapToGrid w:val="0"/>
          <w:lang w:val="en-US" w:eastAsia="zh-CN"/>
        </w:rPr>
        <w:t xml:space="preserve"> </w:t>
      </w:r>
      <w:r>
        <w:rPr>
          <w:rFonts w:hint="eastAsia"/>
          <w:snapToGrid w:val="0"/>
        </w:rPr>
        <w:t>第五章</w:t>
      </w:r>
      <w:r>
        <w:rPr>
          <w:rFonts w:hint="eastAsia"/>
          <w:snapToGrid w:val="0"/>
          <w:lang w:val="en-US" w:eastAsia="zh-CN"/>
        </w:rPr>
        <w:t xml:space="preserve">  </w:t>
      </w:r>
      <w:r>
        <w:rPr>
          <w:rFonts w:hint="eastAsia"/>
        </w:rPr>
        <w:t>单一来源采购响应文件格式附件</w:t>
      </w:r>
      <w:bookmarkEnd w:id="73"/>
      <w:r>
        <w:rPr>
          <w:rFonts w:hint="eastAsia" w:ascii="仿宋" w:hAnsi="仿宋" w:eastAsia="仿宋"/>
          <w:b w:val="0"/>
          <w:sz w:val="30"/>
          <w:szCs w:val="30"/>
        </w:rPr>
        <w:br w:type="page"/>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74" w:name="PO_15528_PM001_2"/>
      <w:r>
        <w:rPr>
          <w:rFonts w:hint="eastAsia" w:ascii="仿宋" w:hAnsi="仿宋" w:eastAsia="仿宋"/>
          <w:sz w:val="36"/>
          <w:szCs w:val="36"/>
          <w:lang w:eastAsia="zh-CN"/>
        </w:rPr>
        <w:t>ZZCG2023Z-DY-101</w:t>
      </w:r>
      <w:bookmarkEnd w:id="74"/>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15"/>
          <w:szCs w:val="15"/>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0"/>
          <w:szCs w:val="30"/>
        </w:rPr>
      </w:pP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响应方全称：</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地址：</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时间：</w:t>
      </w:r>
    </w:p>
    <w:p>
      <w:pPr>
        <w:ind w:right="-110"/>
        <w:jc w:val="center"/>
        <w:rPr>
          <w:rFonts w:ascii="仿宋" w:hAnsi="仿宋" w:eastAsia="仿宋"/>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bCs/>
          <w:color w:val="FF0000"/>
          <w:sz w:val="36"/>
          <w:szCs w:val="36"/>
        </w:rPr>
      </w:pPr>
      <w:r>
        <w:rPr>
          <w:rFonts w:hint="eastAsia" w:ascii="仿宋" w:hAnsi="仿宋" w:eastAsia="仿宋"/>
          <w:b/>
          <w:sz w:val="30"/>
          <w:szCs w:val="30"/>
        </w:rPr>
        <w:t>1、资格文件目录</w:t>
      </w:r>
    </w:p>
    <w:p>
      <w:pPr>
        <w:snapToGrid w:val="0"/>
        <w:spacing w:line="460" w:lineRule="exact"/>
        <w:ind w:firstLine="588" w:firstLineChars="196"/>
        <w:jc w:val="left"/>
        <w:rPr>
          <w:rFonts w:ascii="仿宋" w:hAnsi="仿宋" w:eastAsia="仿宋"/>
          <w:color w:val="FF0000"/>
          <w:sz w:val="30"/>
          <w:szCs w:val="30"/>
        </w:rPr>
      </w:pPr>
      <w:r>
        <w:rPr>
          <w:rFonts w:hint="eastAsia" w:ascii="宋体" w:hAnsi="宋体" w:cs="宋体"/>
          <w:color w:val="FF0000"/>
          <w:sz w:val="30"/>
          <w:szCs w:val="30"/>
        </w:rPr>
        <w:t>（</w:t>
      </w:r>
      <w:r>
        <w:rPr>
          <w:rFonts w:hint="eastAsia" w:ascii="仿宋" w:hAnsi="仿宋" w:eastAsia="仿宋"/>
          <w:color w:val="FF0000"/>
          <w:sz w:val="30"/>
          <w:szCs w:val="30"/>
        </w:rPr>
        <w:t>1）声明书 (格式见附件1，含重大违法记录声明)；</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（2）法定代表人授权委托书(格式见附件2)；</w:t>
      </w:r>
    </w:p>
    <w:p>
      <w:pPr>
        <w:pStyle w:val="25"/>
        <w:snapToGrid w:val="0"/>
        <w:spacing w:line="460" w:lineRule="exact"/>
        <w:ind w:left="0" w:leftChars="0" w:firstLine="600" w:firstLineChars="200"/>
        <w:rPr>
          <w:rFonts w:hint="eastAsia" w:ascii="仿宋" w:hAnsi="仿宋" w:eastAsia="仿宋"/>
          <w:color w:val="FF0000"/>
          <w:sz w:val="30"/>
          <w:szCs w:val="30"/>
        </w:rPr>
      </w:pPr>
      <w:r>
        <w:rPr>
          <w:rFonts w:hint="eastAsia" w:ascii="仿宋" w:hAnsi="仿宋" w:eastAsia="仿宋"/>
          <w:color w:val="FF0000"/>
          <w:sz w:val="30"/>
          <w:szCs w:val="30"/>
        </w:rPr>
        <w:t>（3）提供有效的营业执照复印件并加盖公司公章；事业单位的，则提供有效的《事业单位法人证书》副本复印件并加盖单位公章；自然人的，则提供有效的身份证复印件并签字；</w:t>
      </w:r>
    </w:p>
    <w:p>
      <w:pPr>
        <w:pStyle w:val="25"/>
        <w:snapToGrid w:val="0"/>
        <w:spacing w:line="460" w:lineRule="exact"/>
        <w:ind w:left="0" w:leftChars="0" w:firstLine="600" w:firstLineChars="200"/>
        <w:rPr>
          <w:rFonts w:hint="eastAsia"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4</w:t>
      </w:r>
      <w:r>
        <w:rPr>
          <w:rFonts w:hint="eastAsia" w:ascii="仿宋" w:hAnsi="仿宋" w:eastAsia="仿宋"/>
          <w:color w:val="FF0000"/>
          <w:sz w:val="30"/>
          <w:szCs w:val="30"/>
        </w:rPr>
        <w:t>）中小企业声明函（见附件10）；</w:t>
      </w:r>
    </w:p>
    <w:p>
      <w:pPr>
        <w:pStyle w:val="25"/>
        <w:snapToGrid w:val="0"/>
        <w:spacing w:line="460" w:lineRule="exact"/>
        <w:ind w:left="0" w:leftChars="0" w:firstLine="600" w:firstLineChars="200"/>
        <w:rPr>
          <w:rFonts w:hint="eastAsia"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5</w:t>
      </w:r>
      <w:r>
        <w:rPr>
          <w:rFonts w:hint="eastAsia" w:ascii="仿宋" w:hAnsi="仿宋" w:eastAsia="仿宋"/>
          <w:color w:val="FF0000"/>
          <w:sz w:val="30"/>
          <w:szCs w:val="30"/>
        </w:rPr>
        <w:t>）残疾人福利企业声明函（见附件11）。</w:t>
      </w:r>
    </w:p>
    <w:p>
      <w:pPr>
        <w:snapToGrid w:val="0"/>
        <w:spacing w:line="460" w:lineRule="exact"/>
        <w:ind w:firstLine="600" w:firstLineChars="200"/>
        <w:jc w:val="left"/>
        <w:rPr>
          <w:rFonts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6</w:t>
      </w:r>
      <w:r>
        <w:rPr>
          <w:rFonts w:hint="eastAsia" w:ascii="仿宋" w:hAnsi="仿宋" w:eastAsia="仿宋"/>
          <w:color w:val="FF0000"/>
          <w:sz w:val="30"/>
          <w:szCs w:val="30"/>
        </w:rPr>
        <w:t>）联合响应协议书（若需要见附件3）;</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7</w:t>
      </w:r>
      <w:r>
        <w:rPr>
          <w:rFonts w:hint="eastAsia" w:ascii="仿宋" w:hAnsi="仿宋" w:eastAsia="仿宋"/>
          <w:color w:val="FF0000"/>
          <w:sz w:val="30"/>
          <w:szCs w:val="30"/>
        </w:rPr>
        <w:t>）联合响应授权委托书（若需要见附件4）;</w:t>
      </w:r>
    </w:p>
    <w:p>
      <w:pPr>
        <w:snapToGrid w:val="0"/>
        <w:spacing w:line="460" w:lineRule="exact"/>
        <w:ind w:firstLine="600" w:firstLineChars="200"/>
        <w:jc w:val="left"/>
        <w:rPr>
          <w:rFonts w:ascii="仿宋" w:hAnsi="仿宋" w:eastAsia="仿宋"/>
          <w:color w:val="FF0000"/>
          <w:sz w:val="30"/>
          <w:szCs w:val="30"/>
        </w:rPr>
      </w:pPr>
      <w:r>
        <w:rPr>
          <w:rFonts w:hint="eastAsia" w:ascii="仿宋" w:hAnsi="仿宋" w:eastAsia="仿宋"/>
          <w:color w:val="FF0000"/>
          <w:sz w:val="30"/>
          <w:szCs w:val="30"/>
        </w:rPr>
        <w:t>（</w:t>
      </w:r>
      <w:r>
        <w:rPr>
          <w:rFonts w:hint="eastAsia" w:ascii="仿宋" w:hAnsi="仿宋" w:eastAsia="仿宋"/>
          <w:color w:val="FF0000"/>
          <w:sz w:val="30"/>
          <w:szCs w:val="30"/>
          <w:lang w:val="en-US" w:eastAsia="zh-CN"/>
        </w:rPr>
        <w:t>8</w:t>
      </w:r>
      <w:r>
        <w:rPr>
          <w:rFonts w:hint="eastAsia" w:ascii="仿宋" w:hAnsi="仿宋" w:eastAsia="仿宋"/>
          <w:color w:val="FF0000"/>
          <w:sz w:val="30"/>
          <w:szCs w:val="30"/>
        </w:rPr>
        <w:t>）提供采购公告中符合单一来源响应方特定条件要求的有效的其他资质复印件并加盖公司公章及需要说明的资料。</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ind w:right="-110" w:firstLine="3000" w:firstLineChars="500"/>
        <w:jc w:val="both"/>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项目编号：[项目采购-项目编号_4]（标项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响应方全称（公章）：</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snapToGrid w:val="0"/>
        <w:spacing w:line="460" w:lineRule="exact"/>
        <w:ind w:firstLine="602" w:firstLineChars="200"/>
        <w:jc w:val="left"/>
        <w:rPr>
          <w:rFonts w:hint="eastAsia" w:ascii="仿宋" w:hAnsi="仿宋" w:eastAsia="仿宋"/>
          <w:b/>
          <w:sz w:val="30"/>
          <w:szCs w:val="30"/>
        </w:rPr>
      </w:pPr>
    </w:p>
    <w:p>
      <w:pPr>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sz w:val="30"/>
          <w:szCs w:val="30"/>
        </w:rPr>
      </w:pPr>
      <w:r>
        <w:rPr>
          <w:rFonts w:hint="eastAsia" w:ascii="仿宋" w:hAnsi="仿宋" w:eastAsia="仿宋"/>
          <w:sz w:val="30"/>
          <w:szCs w:val="30"/>
        </w:rPr>
        <w:t>（3）项目实施计划（可包含且不限于保证工期的施工组织方案及人力资源安排、项目组人员清单《</w:t>
      </w:r>
      <w:r>
        <w:rPr>
          <w:rFonts w:hint="eastAsia" w:ascii="仿宋" w:hAnsi="仿宋" w:eastAsia="仿宋"/>
          <w:color w:val="FF0000"/>
          <w:kern w:val="0"/>
          <w:sz w:val="30"/>
          <w:szCs w:val="30"/>
        </w:rPr>
        <w:t>项目实施人员一览表</w:t>
      </w:r>
      <w:r>
        <w:rPr>
          <w:rFonts w:hint="eastAsia" w:ascii="仿宋" w:hAnsi="仿宋" w:eastAsia="仿宋"/>
          <w:sz w:val="30"/>
          <w:szCs w:val="30"/>
        </w:rPr>
        <w:t>》（</w:t>
      </w:r>
      <w:r>
        <w:rPr>
          <w:rFonts w:hint="eastAsia" w:ascii="仿宋" w:hAnsi="仿宋" w:eastAsia="仿宋"/>
          <w:color w:val="FF0000"/>
          <w:kern w:val="0"/>
          <w:sz w:val="30"/>
          <w:szCs w:val="30"/>
        </w:rPr>
        <w:t>附件6）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（4）列入政府采购节能环保清单的证明资料（若有）；</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（5）商务响应表（附件7）；</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（10）响应方认为需要的其他文件资料。</w:t>
      </w:r>
      <w:r>
        <w:rPr>
          <w:rFonts w:hint="eastAsia" w:ascii="仿宋" w:hAnsi="仿宋" w:eastAsia="仿宋"/>
          <w:sz w:val="30"/>
          <w:szCs w:val="30"/>
        </w:rPr>
        <w:tab/>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b/>
          <w:sz w:val="30"/>
          <w:szCs w:val="30"/>
        </w:rPr>
      </w:pPr>
      <w:r>
        <w:rPr>
          <w:rFonts w:hint="eastAsia" w:ascii="仿宋" w:hAnsi="仿宋" w:eastAsia="仿宋"/>
          <w:b/>
          <w:sz w:val="30"/>
          <w:szCs w:val="30"/>
        </w:rPr>
        <w:t xml:space="preserve">                     </w:t>
      </w:r>
    </w:p>
    <w:p>
      <w:pPr>
        <w:ind w:right="-110"/>
        <w:jc w:val="center"/>
        <w:rPr>
          <w:rFonts w:ascii="仿宋" w:hAnsi="仿宋" w:eastAsia="仿宋"/>
          <w:spacing w:val="40"/>
          <w:sz w:val="52"/>
          <w:szCs w:val="52"/>
        </w:rPr>
      </w:pPr>
    </w:p>
    <w:p>
      <w:pPr>
        <w:pStyle w:val="2"/>
        <w:ind w:left="0" w:leftChars="0" w:firstLine="0" w:firstLineChars="0"/>
        <w:rPr>
          <w:rFonts w:ascii="仿宋" w:hAnsi="仿宋" w:eastAsia="仿宋"/>
          <w:spacing w:val="40"/>
          <w:sz w:val="52"/>
          <w:szCs w:val="52"/>
        </w:rPr>
      </w:pPr>
    </w:p>
    <w:p>
      <w:pPr>
        <w:pStyle w:val="2"/>
        <w:ind w:left="0" w:leftChars="0" w:firstLine="0" w:firstLineChars="0"/>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pStyle w:val="2"/>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单一来源响应方全称：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pacing w:line="600" w:lineRule="exact"/>
        <w:ind w:right="532"/>
        <w:rPr>
          <w:rFonts w:ascii="仿宋" w:hAnsi="仿宋" w:eastAsia="仿宋"/>
          <w:sz w:val="30"/>
          <w:szCs w:val="30"/>
        </w:rPr>
      </w:pPr>
    </w:p>
    <w:p>
      <w:pPr>
        <w:tabs>
          <w:tab w:val="left" w:pos="6540"/>
        </w:tabs>
        <w:snapToGrid w:val="0"/>
        <w:spacing w:line="460" w:lineRule="exact"/>
        <w:ind w:firstLine="602" w:firstLineChars="200"/>
        <w:jc w:val="left"/>
        <w:rPr>
          <w:rFonts w:ascii="仿宋" w:hAnsi="仿宋" w:eastAsia="仿宋"/>
          <w:b/>
          <w:sz w:val="30"/>
          <w:szCs w:val="30"/>
        </w:rPr>
      </w:pP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5"/>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5"/>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pStyle w:val="38"/>
        <w:widowControl w:val="0"/>
        <w:spacing w:line="460" w:lineRule="exact"/>
        <w:jc w:val="both"/>
        <w:rPr>
          <w:rFonts w:ascii="仿宋" w:hAnsi="仿宋" w:eastAsia="仿宋"/>
          <w:color w:val="auto"/>
          <w:sz w:val="30"/>
          <w:szCs w:val="30"/>
        </w:rPr>
      </w:pPr>
    </w:p>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sz w:val="36"/>
          <w:szCs w:val="36"/>
        </w:rPr>
      </w:pPr>
    </w:p>
    <w:p>
      <w:pPr>
        <w:snapToGrid w:val="0"/>
        <w:spacing w:before="120" w:beforeLines="50" w:after="50"/>
        <w:rPr>
          <w:rFonts w:ascii="仿宋" w:hAnsi="仿宋" w:eastAsia="仿宋"/>
          <w:sz w:val="30"/>
          <w:szCs w:val="30"/>
        </w:rPr>
      </w:pPr>
      <w:r>
        <w:rPr>
          <w:rFonts w:hint="eastAsia" w:ascii="仿宋" w:hAnsi="仿宋" w:eastAsia="仿宋"/>
          <w:b/>
          <w:sz w:val="30"/>
          <w:szCs w:val="30"/>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p>
    <w:p>
      <w:pPr>
        <w:snapToGrid w:val="0"/>
        <w:spacing w:before="120" w:beforeLines="50" w:after="50" w:line="500" w:lineRule="exact"/>
        <w:jc w:val="center"/>
        <w:rPr>
          <w:rFonts w:ascii="仿宋" w:hAnsi="仿宋" w:eastAsia="仿宋"/>
          <w:b/>
          <w:sz w:val="36"/>
          <w:szCs w:val="36"/>
        </w:rPr>
      </w:pPr>
      <w:r>
        <w:rPr>
          <w:rFonts w:hint="eastAsia" w:ascii="仿宋" w:hAnsi="仿宋" w:eastAsia="仿宋"/>
          <w:b/>
          <w:sz w:val="36"/>
          <w:szCs w:val="36"/>
        </w:rPr>
        <w:t>声明书</w:t>
      </w:r>
    </w:p>
    <w:p>
      <w:pPr>
        <w:snapToGrid w:val="0"/>
        <w:spacing w:before="120" w:beforeLines="50" w:after="50" w:line="44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u w:val="single"/>
        </w:rPr>
        <w:t>（单一来源响应方名称）</w:t>
      </w:r>
      <w:r>
        <w:rPr>
          <w:rFonts w:hint="eastAsia" w:ascii="仿宋" w:hAnsi="仿宋" w:eastAsia="仿宋"/>
          <w:sz w:val="30"/>
          <w:szCs w:val="30"/>
        </w:rPr>
        <w:t>系中华人民共和国合法企业，经营地址。</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（采购项目名称）（编号为[项目采购-项目编号]         ）</w:t>
      </w:r>
      <w:r>
        <w:rPr>
          <w:rFonts w:hint="eastAsia" w:ascii="仿宋" w:hAnsi="仿宋" w:eastAsia="仿宋"/>
          <w:sz w:val="30"/>
          <w:szCs w:val="30"/>
        </w:rPr>
        <w:t>的投标，为此，我方就本次投标有关事项郑重声明如下：</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1.我方已详细审查全部采购文件，同意采购文件的各项要求，包括疫情期间采取的各项应急开标措施。</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2.我方向贵方提交的所有响应文件、资料都是准确的和真实的。</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3.若中标，我方将按采购文件规定履行合同责任和义务。</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5.响应文件自开标日起有效期为90天。</w:t>
      </w:r>
    </w:p>
    <w:p>
      <w:pPr>
        <w:snapToGrid w:val="0"/>
        <w:spacing w:line="44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4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40" w:lineRule="exact"/>
        <w:ind w:firstLine="150" w:firstLineChars="50"/>
        <w:rPr>
          <w:rFonts w:ascii="仿宋" w:hAnsi="仿宋" w:eastAsia="仿宋"/>
          <w:sz w:val="30"/>
          <w:szCs w:val="30"/>
        </w:rPr>
      </w:pPr>
      <w:r>
        <w:rPr>
          <w:rFonts w:hint="eastAsia" w:ascii="仿宋" w:hAnsi="仿宋" w:eastAsia="仿宋"/>
          <w:sz w:val="30"/>
          <w:szCs w:val="30"/>
        </w:rPr>
        <w:t>单一来源响应方全称（公章）：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我（姓名）系（单一来源响应方名称）的法定代表人，现授权委托本单位在职职工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单一来源响应方全称（公章）：         日  期：</w:t>
      </w:r>
    </w:p>
    <w:p>
      <w:pPr>
        <w:tabs>
          <w:tab w:val="left" w:pos="606"/>
        </w:tabs>
        <w:rPr>
          <w:rFonts w:ascii="仿宋" w:hAnsi="仿宋" w:eastAsia="仿宋"/>
          <w:sz w:val="30"/>
          <w:szCs w:val="30"/>
        </w:rPr>
      </w:pPr>
    </w:p>
    <w:p>
      <w:pPr>
        <w:tabs>
          <w:tab w:val="left" w:pos="606"/>
        </w:tabs>
        <w:rPr>
          <w:rFonts w:hint="eastAsia" w:ascii="宋体" w:hAnsi="宋体" w:cs="宋体"/>
          <w:sz w:val="30"/>
          <w:szCs w:val="30"/>
        </w:rPr>
      </w:pPr>
    </w:p>
    <w:p>
      <w:pPr>
        <w:tabs>
          <w:tab w:val="left" w:pos="606"/>
        </w:tabs>
        <w:rPr>
          <w:rFonts w:hint="eastAsia" w:ascii="宋体" w:hAnsi="宋体" w:cs="宋体"/>
          <w:sz w:val="30"/>
          <w:szCs w:val="30"/>
        </w:rPr>
      </w:pPr>
    </w:p>
    <w:p>
      <w:pPr>
        <w:tabs>
          <w:tab w:val="left" w:pos="606"/>
        </w:tabs>
        <w:rPr>
          <w:rFonts w:hint="eastAsia" w:ascii="宋体" w:hAnsi="宋体" w:cs="宋体"/>
          <w:sz w:val="30"/>
          <w:szCs w:val="30"/>
        </w:rPr>
      </w:pPr>
    </w:p>
    <w:p>
      <w:pPr>
        <w:tabs>
          <w:tab w:val="left" w:pos="606"/>
        </w:tabs>
        <w:rPr>
          <w:rFonts w:hint="eastAsia" w:ascii="宋体" w:hAnsi="宋体" w:cs="宋体"/>
          <w:sz w:val="30"/>
          <w:szCs w:val="30"/>
        </w:rPr>
      </w:pPr>
    </w:p>
    <w:p>
      <w:pPr>
        <w:tabs>
          <w:tab w:val="left" w:pos="606"/>
        </w:tabs>
        <w:rPr>
          <w:rFonts w:hint="eastAsia" w:ascii="宋体" w:hAnsi="宋体" w:cs="宋体"/>
          <w:sz w:val="30"/>
          <w:szCs w:val="30"/>
        </w:rPr>
      </w:pPr>
    </w:p>
    <w:p>
      <w:pPr>
        <w:tabs>
          <w:tab w:val="left" w:pos="606"/>
        </w:tabs>
        <w:rPr>
          <w:rFonts w:ascii="宋体" w:hAnsi="宋体" w:cs="宋体"/>
          <w:spacing w:val="20"/>
          <w:sz w:val="30"/>
          <w:szCs w:val="30"/>
        </w:rPr>
      </w:pPr>
      <w:r>
        <w:rPr>
          <w:rFonts w:hint="eastAsia" w:ascii="宋体" w:hAnsi="宋体" w:cs="宋体"/>
          <w:sz w:val="30"/>
          <w:szCs w:val="30"/>
        </w:rPr>
        <w:t>附件3：</w:t>
      </w:r>
    </w:p>
    <w:p>
      <w:pPr>
        <w:pStyle w:val="4"/>
        <w:overflowPunct w:val="0"/>
        <w:spacing w:line="360" w:lineRule="auto"/>
        <w:ind w:firstLine="0"/>
        <w:jc w:val="center"/>
        <w:rPr>
          <w:rFonts w:ascii="宋体" w:hAnsi="宋体" w:cs="宋体"/>
          <w:b/>
          <w:spacing w:val="40"/>
          <w:kern w:val="0"/>
          <w:sz w:val="30"/>
          <w:szCs w:val="30"/>
        </w:rPr>
      </w:pPr>
      <w:r>
        <w:rPr>
          <w:rFonts w:hint="eastAsia" w:ascii="宋体" w:hAnsi="宋体" w:cs="宋体"/>
          <w:b/>
          <w:spacing w:val="40"/>
          <w:kern w:val="0"/>
          <w:sz w:val="30"/>
          <w:szCs w:val="30"/>
        </w:rPr>
        <w:t>联合响应协议书</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甲方：</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乙方：</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（如果有的话，可按甲、乙、丙、丁…序列增加）</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各方经协商，就响应             组织实施的编号为           号的采购活动联合进行采购之事宜，达成如下协议：</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一、各方一致决定，以           为主办人进行采购，并按照竞争性磋商文件的规定分别提交资格文件。</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二、在本次磋商过程中，主办人的法定代表人或授权代理人根据磋商文件规定及磋商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三、联合响应其余各方保证对主办人为响应本次采购而提供的产品和服务提供全部质量保证及售后服务支持。</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四、本次联合响应中，甲方承担的工作和义务为:</w:t>
      </w:r>
    </w:p>
    <w:p>
      <w:pPr>
        <w:pStyle w:val="4"/>
        <w:overflowPunct w:val="0"/>
        <w:spacing w:line="460" w:lineRule="exact"/>
        <w:ind w:firstLine="642" w:firstLineChars="214"/>
        <w:rPr>
          <w:rFonts w:ascii="宋体" w:hAnsi="宋体" w:cs="宋体"/>
          <w:sz w:val="30"/>
          <w:szCs w:val="30"/>
        </w:rPr>
      </w:pP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乙方承担的工作和义务为：</w:t>
      </w:r>
    </w:p>
    <w:p>
      <w:pPr>
        <w:pStyle w:val="4"/>
        <w:overflowPunct w:val="0"/>
        <w:spacing w:line="460" w:lineRule="exact"/>
        <w:ind w:firstLine="642" w:firstLineChars="214"/>
        <w:rPr>
          <w:rFonts w:ascii="宋体" w:hAnsi="宋体" w:cs="宋体"/>
          <w:sz w:val="30"/>
          <w:szCs w:val="30"/>
        </w:rPr>
      </w:pP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五、有关本次联合响应的其他事宜：</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六、本协议提交磋商方后，联合响应各方不得以任何形式对上述实质内容进行修改或撤销。</w:t>
      </w:r>
    </w:p>
    <w:p>
      <w:pPr>
        <w:pStyle w:val="4"/>
        <w:overflowPunct w:val="0"/>
        <w:spacing w:line="460" w:lineRule="exact"/>
        <w:ind w:firstLine="642" w:firstLineChars="214"/>
        <w:rPr>
          <w:rFonts w:ascii="宋体" w:hAnsi="宋体" w:cs="宋体"/>
          <w:sz w:val="30"/>
          <w:szCs w:val="30"/>
        </w:rPr>
      </w:pPr>
      <w:r>
        <w:rPr>
          <w:rFonts w:hint="eastAsia" w:ascii="宋体" w:hAnsi="宋体" w:cs="宋体"/>
          <w:sz w:val="30"/>
          <w:szCs w:val="30"/>
        </w:rPr>
        <w:t>七、本协议签约各方各持一份，并作为竞争磋商文件的一部分。</w:t>
      </w:r>
    </w:p>
    <w:tbl>
      <w:tblPr>
        <w:tblStyle w:val="4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4"/>
              <w:overflowPunct w:val="0"/>
              <w:spacing w:line="460" w:lineRule="exact"/>
              <w:ind w:firstLine="0"/>
              <w:rPr>
                <w:rFonts w:ascii="宋体" w:hAnsi="宋体" w:cs="宋体"/>
                <w:sz w:val="30"/>
                <w:szCs w:val="30"/>
              </w:rPr>
            </w:pPr>
            <w:r>
              <w:rPr>
                <w:rFonts w:hint="eastAsia" w:ascii="宋体" w:hAnsi="宋体" w:cs="宋体"/>
                <w:sz w:val="30"/>
                <w:szCs w:val="30"/>
              </w:rPr>
              <w:t>甲方单位：       （公章）</w:t>
            </w:r>
          </w:p>
          <w:p>
            <w:pPr>
              <w:pStyle w:val="4"/>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4"/>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noWrap w:val="0"/>
            <w:vAlign w:val="top"/>
          </w:tcPr>
          <w:p>
            <w:pPr>
              <w:pStyle w:val="4"/>
              <w:overflowPunct w:val="0"/>
              <w:spacing w:line="460" w:lineRule="exact"/>
              <w:ind w:firstLine="0"/>
              <w:rPr>
                <w:rFonts w:ascii="宋体" w:hAnsi="宋体" w:cs="宋体"/>
                <w:sz w:val="30"/>
                <w:szCs w:val="30"/>
              </w:rPr>
            </w:pPr>
            <w:r>
              <w:rPr>
                <w:rFonts w:hint="eastAsia" w:ascii="宋体" w:hAnsi="宋体" w:cs="宋体"/>
                <w:sz w:val="30"/>
                <w:szCs w:val="30"/>
              </w:rPr>
              <w:t>乙方单位：       （公章）</w:t>
            </w:r>
          </w:p>
          <w:p>
            <w:pPr>
              <w:pStyle w:val="4"/>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4"/>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pStyle w:val="4"/>
        <w:overflowPunct w:val="0"/>
        <w:spacing w:line="460" w:lineRule="exact"/>
        <w:ind w:firstLine="0"/>
        <w:rPr>
          <w:rFonts w:ascii="宋体" w:hAnsi="宋体" w:cs="宋体"/>
          <w:sz w:val="30"/>
          <w:szCs w:val="30"/>
        </w:rPr>
      </w:pPr>
      <w:r>
        <w:rPr>
          <w:rFonts w:hint="eastAsia" w:ascii="宋体" w:hAnsi="宋体" w:cs="宋体"/>
          <w:kern w:val="0"/>
          <w:sz w:val="30"/>
          <w:szCs w:val="30"/>
        </w:rPr>
        <w:br w:type="page"/>
      </w:r>
      <w:r>
        <w:rPr>
          <w:rFonts w:hint="eastAsia" w:ascii="宋体" w:hAnsi="宋体" w:cs="宋体"/>
          <w:sz w:val="30"/>
          <w:szCs w:val="30"/>
        </w:rPr>
        <w:t>附件4：</w:t>
      </w:r>
    </w:p>
    <w:p>
      <w:pPr>
        <w:pStyle w:val="4"/>
        <w:overflowPunct w:val="0"/>
        <w:spacing w:line="460" w:lineRule="exact"/>
        <w:jc w:val="center"/>
        <w:rPr>
          <w:rFonts w:ascii="宋体" w:hAnsi="宋体" w:cs="宋体"/>
          <w:b/>
          <w:sz w:val="30"/>
          <w:szCs w:val="30"/>
        </w:rPr>
      </w:pPr>
      <w:r>
        <w:rPr>
          <w:rFonts w:hint="eastAsia" w:ascii="宋体" w:hAnsi="宋体" w:cs="宋体"/>
          <w:b/>
          <w:sz w:val="30"/>
          <w:szCs w:val="30"/>
        </w:rPr>
        <w:t>联合响应授权委托书</w:t>
      </w:r>
    </w:p>
    <w:p>
      <w:pPr>
        <w:pStyle w:val="4"/>
        <w:overflowPunct w:val="0"/>
        <w:spacing w:line="460" w:lineRule="exact"/>
        <w:rPr>
          <w:rFonts w:ascii="宋体" w:hAnsi="宋体" w:cs="宋体"/>
          <w:sz w:val="30"/>
          <w:szCs w:val="30"/>
        </w:rPr>
      </w:pPr>
    </w:p>
    <w:p>
      <w:pPr>
        <w:pStyle w:val="4"/>
        <w:overflowPunct w:val="0"/>
        <w:spacing w:line="460" w:lineRule="exact"/>
        <w:rPr>
          <w:rFonts w:ascii="宋体" w:hAnsi="宋体" w:cs="宋体"/>
          <w:sz w:val="30"/>
          <w:szCs w:val="30"/>
        </w:rPr>
      </w:pPr>
      <w:r>
        <w:rPr>
          <w:rFonts w:hint="eastAsia" w:ascii="宋体" w:hAnsi="宋体" w:cs="宋体"/>
          <w:sz w:val="30"/>
          <w:szCs w:val="30"/>
        </w:rPr>
        <w:t xml:space="preserve"> 本授权委托书声明：根据               与         签订的《联合响应协议书》的内容，主办人                 的法定代表人        现授权       为联合响应代理人，代理人在响应、开标、磋商、合同谈判过程中所签署的一切文件和处理与这有关的一切事务， 联合响应各方均予以认可并遵守。</w:t>
      </w:r>
    </w:p>
    <w:p>
      <w:pPr>
        <w:pStyle w:val="4"/>
        <w:overflowPunct w:val="0"/>
        <w:spacing w:line="460" w:lineRule="exact"/>
        <w:rPr>
          <w:rFonts w:ascii="宋体" w:hAnsi="宋体" w:cs="宋体"/>
          <w:sz w:val="30"/>
          <w:szCs w:val="30"/>
        </w:rPr>
      </w:pPr>
      <w:r>
        <w:rPr>
          <w:rFonts w:hint="eastAsia" w:ascii="宋体" w:hAnsi="宋体" w:cs="宋体"/>
          <w:sz w:val="30"/>
          <w:szCs w:val="30"/>
        </w:rPr>
        <w:t xml:space="preserve"> 特此委托。</w:t>
      </w:r>
    </w:p>
    <w:p>
      <w:pPr>
        <w:pStyle w:val="4"/>
        <w:overflowPunct w:val="0"/>
        <w:spacing w:line="460" w:lineRule="exact"/>
        <w:rPr>
          <w:rFonts w:ascii="宋体" w:hAnsi="宋体" w:cs="宋体"/>
          <w:sz w:val="30"/>
          <w:szCs w:val="30"/>
        </w:rPr>
      </w:pPr>
      <w:r>
        <w:rPr>
          <w:rFonts w:hint="eastAsia" w:ascii="宋体" w:hAnsi="宋体" w:cs="宋体"/>
          <w:sz w:val="30"/>
          <w:szCs w:val="30"/>
        </w:rPr>
        <w:t xml:space="preserve">     </w:t>
      </w:r>
    </w:p>
    <w:p>
      <w:pPr>
        <w:pStyle w:val="4"/>
        <w:overflowPunct w:val="0"/>
        <w:spacing w:line="460" w:lineRule="exact"/>
        <w:ind w:firstLine="600" w:firstLineChars="200"/>
        <w:rPr>
          <w:rFonts w:ascii="宋体" w:hAnsi="宋体" w:cs="宋体"/>
          <w:sz w:val="30"/>
          <w:szCs w:val="30"/>
        </w:rPr>
      </w:pPr>
      <w:r>
        <w:rPr>
          <w:rFonts w:hint="eastAsia" w:ascii="宋体" w:hAnsi="宋体" w:cs="宋体"/>
          <w:sz w:val="30"/>
          <w:szCs w:val="30"/>
        </w:rPr>
        <w:t>授权人（签名）：</w:t>
      </w:r>
    </w:p>
    <w:p>
      <w:pPr>
        <w:pStyle w:val="4"/>
        <w:overflowPunct w:val="0"/>
        <w:spacing w:line="460" w:lineRule="exact"/>
        <w:ind w:firstLine="600" w:firstLineChars="200"/>
        <w:rPr>
          <w:rFonts w:ascii="宋体" w:hAnsi="宋体" w:cs="宋体"/>
          <w:sz w:val="30"/>
          <w:szCs w:val="30"/>
        </w:rPr>
      </w:pPr>
    </w:p>
    <w:p>
      <w:pPr>
        <w:pStyle w:val="4"/>
        <w:overflowPunct w:val="0"/>
        <w:spacing w:line="460" w:lineRule="exact"/>
        <w:ind w:left="420" w:leftChars="200" w:firstLine="150" w:firstLineChars="50"/>
        <w:rPr>
          <w:rFonts w:ascii="宋体" w:hAnsi="宋体" w:cs="宋体"/>
          <w:sz w:val="30"/>
          <w:szCs w:val="30"/>
        </w:rPr>
      </w:pPr>
      <w:r>
        <w:rPr>
          <w:rFonts w:hint="eastAsia" w:ascii="宋体" w:hAnsi="宋体" w:cs="宋体"/>
          <w:sz w:val="30"/>
          <w:szCs w:val="30"/>
        </w:rPr>
        <w:t>日期：    年  月  日</w:t>
      </w:r>
    </w:p>
    <w:p>
      <w:pPr>
        <w:pStyle w:val="4"/>
        <w:overflowPunct w:val="0"/>
        <w:spacing w:line="460" w:lineRule="exact"/>
        <w:rPr>
          <w:rFonts w:ascii="宋体" w:hAnsi="宋体" w:cs="宋体"/>
          <w:sz w:val="30"/>
          <w:szCs w:val="30"/>
        </w:rPr>
      </w:pPr>
    </w:p>
    <w:p>
      <w:pPr>
        <w:pStyle w:val="4"/>
        <w:overflowPunct w:val="0"/>
        <w:spacing w:line="460" w:lineRule="exact"/>
        <w:ind w:firstLine="570" w:firstLineChars="190"/>
        <w:rPr>
          <w:rFonts w:ascii="宋体" w:hAnsi="宋体" w:cs="宋体"/>
          <w:sz w:val="30"/>
          <w:szCs w:val="30"/>
        </w:rPr>
      </w:pPr>
      <w:r>
        <w:rPr>
          <w:rFonts w:hint="eastAsia" w:ascii="宋体" w:hAnsi="宋体" w:cs="宋体"/>
          <w:sz w:val="30"/>
          <w:szCs w:val="30"/>
        </w:rPr>
        <w:t>授权代表（签名）；</w:t>
      </w:r>
    </w:p>
    <w:p>
      <w:pPr>
        <w:pStyle w:val="4"/>
        <w:overflowPunct w:val="0"/>
        <w:spacing w:line="460" w:lineRule="exact"/>
        <w:ind w:firstLine="570" w:firstLineChars="190"/>
        <w:rPr>
          <w:rFonts w:ascii="宋体" w:hAnsi="宋体" w:cs="宋体"/>
          <w:sz w:val="30"/>
          <w:szCs w:val="30"/>
        </w:rPr>
      </w:pPr>
    </w:p>
    <w:p>
      <w:pPr>
        <w:pStyle w:val="4"/>
        <w:overflowPunct w:val="0"/>
        <w:spacing w:line="460" w:lineRule="exact"/>
        <w:ind w:firstLine="570" w:firstLineChars="190"/>
        <w:rPr>
          <w:rFonts w:ascii="宋体" w:hAnsi="宋体" w:cs="宋体"/>
          <w:sz w:val="30"/>
          <w:szCs w:val="30"/>
        </w:rPr>
      </w:pPr>
      <w:r>
        <w:rPr>
          <w:rFonts w:hint="eastAsia" w:ascii="宋体" w:hAnsi="宋体" w:cs="宋体"/>
          <w:sz w:val="30"/>
          <w:szCs w:val="30"/>
        </w:rPr>
        <w:t>日期：    年  月  日</w:t>
      </w:r>
    </w:p>
    <w:p>
      <w:pPr>
        <w:tabs>
          <w:tab w:val="left" w:pos="606"/>
        </w:tabs>
        <w:spacing w:line="460" w:lineRule="exact"/>
        <w:rPr>
          <w:rFonts w:ascii="宋体" w:hAnsi="宋体" w:cs="宋体"/>
          <w:spacing w:val="20"/>
          <w:sz w:val="30"/>
          <w:szCs w:val="30"/>
        </w:rPr>
      </w:pPr>
    </w:p>
    <w:p>
      <w:pPr>
        <w:tabs>
          <w:tab w:val="left" w:pos="606"/>
        </w:tabs>
        <w:spacing w:line="460" w:lineRule="exact"/>
        <w:rPr>
          <w:rFonts w:ascii="宋体" w:hAnsi="宋体" w:cs="宋体"/>
          <w:spacing w:val="20"/>
          <w:sz w:val="30"/>
          <w:szCs w:val="30"/>
        </w:rPr>
      </w:pPr>
    </w:p>
    <w:tbl>
      <w:tblPr>
        <w:tblStyle w:val="4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r>
              <w:rPr>
                <w:rFonts w:hint="eastAsia" w:ascii="宋体" w:hAnsi="宋体" w:cs="宋体"/>
                <w:sz w:val="30"/>
                <w:szCs w:val="30"/>
              </w:rPr>
              <w:t>联合体甲方单位：   （公章）</w:t>
            </w: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noWrap w:val="0"/>
            <w:vAlign w:val="top"/>
          </w:tcPr>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r>
              <w:rPr>
                <w:rFonts w:hint="eastAsia" w:ascii="宋体" w:hAnsi="宋体" w:cs="宋体"/>
                <w:sz w:val="30"/>
                <w:szCs w:val="30"/>
              </w:rPr>
              <w:t>联合体乙方单位：   （公章）</w:t>
            </w: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p>
          <w:p>
            <w:pPr>
              <w:pStyle w:val="4"/>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snapToGrid w:val="0"/>
        <w:spacing w:before="120" w:beforeLines="50" w:after="50" w:line="460" w:lineRule="exact"/>
        <w:jc w:val="both"/>
        <w:rPr>
          <w:rFonts w:ascii="仿宋" w:hAnsi="仿宋" w:eastAsia="仿宋"/>
          <w:sz w:val="30"/>
          <w:szCs w:val="30"/>
        </w:rPr>
      </w:pPr>
      <w:r>
        <w:rPr>
          <w:rFonts w:hAnsi="宋体" w:cs="宋体"/>
          <w:kern w:val="0"/>
          <w:sz w:val="30"/>
          <w:szCs w:val="30"/>
        </w:rPr>
        <w:br w:type="page"/>
      </w:r>
      <w:r>
        <w:rPr>
          <w:rFonts w:hint="eastAsia" w:ascii="仿宋" w:hAnsi="仿宋" w:eastAsia="仿宋"/>
          <w:sz w:val="30"/>
          <w:szCs w:val="30"/>
        </w:rPr>
        <w:t>附件5：</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4"/>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4"/>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采购文件要求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line="240" w:lineRule="auto"/>
              <w:outlineLvl w:val="0"/>
              <w:rPr>
                <w:rFonts w:ascii="仿宋" w:hAnsi="仿宋" w:eastAsia="仿宋"/>
                <w:sz w:val="30"/>
                <w:szCs w:val="30"/>
              </w:rPr>
            </w:pPr>
          </w:p>
        </w:tc>
      </w:tr>
    </w:tbl>
    <w:p>
      <w:pPr>
        <w:pStyle w:val="17"/>
        <w:rPr>
          <w:rFonts w:ascii="仿宋" w:hAnsi="仿宋" w:eastAsia="仿宋"/>
          <w:spacing w:val="20"/>
          <w:kern w:val="0"/>
          <w:sz w:val="30"/>
          <w:szCs w:val="30"/>
        </w:rPr>
      </w:pPr>
      <w:r>
        <w:rPr>
          <w:rFonts w:hint="eastAsia" w:ascii="仿宋" w:hAnsi="仿宋" w:eastAsia="仿宋"/>
          <w:sz w:val="30"/>
          <w:szCs w:val="30"/>
        </w:rPr>
        <w:t>注：响应方应根据投标设备的性能指标、对照采购文件要求在“偏离情况”栏注明“正偏离”、“负偏离”或“无偏离”。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pStyle w:val="2"/>
        <w:rPr>
          <w:rFonts w:ascii="仿宋" w:hAnsi="仿宋" w:eastAsia="仿宋"/>
          <w:sz w:val="30"/>
          <w:szCs w:val="30"/>
        </w:rPr>
      </w:pPr>
    </w:p>
    <w:p>
      <w:pPr>
        <w:pStyle w:val="2"/>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附件6：</w:t>
      </w:r>
    </w:p>
    <w:p>
      <w:pPr>
        <w:snapToGrid w:val="0"/>
        <w:spacing w:before="120" w:beforeLines="50" w:after="50"/>
        <w:jc w:val="center"/>
        <w:rPr>
          <w:rFonts w:ascii="仿宋" w:hAnsi="仿宋" w:eastAsia="仿宋"/>
          <w:b/>
          <w:sz w:val="36"/>
          <w:szCs w:val="36"/>
        </w:rPr>
      </w:pPr>
      <w:r>
        <w:rPr>
          <w:rFonts w:hint="eastAsia" w:ascii="仿宋" w:hAnsi="仿宋" w:eastAsia="仿宋"/>
          <w:b/>
          <w:sz w:val="36"/>
          <w:szCs w:val="36"/>
        </w:rPr>
        <w:t>项目实施人员（主要从业人员及其技术资格）一览表</w:t>
      </w:r>
    </w:p>
    <w:p>
      <w:pPr>
        <w:snapToGrid w:val="0"/>
        <w:spacing w:before="120" w:beforeLines="50" w:after="50"/>
        <w:jc w:val="center"/>
        <w:rPr>
          <w:rFonts w:ascii="仿宋" w:hAnsi="仿宋" w:eastAsia="仿宋"/>
          <w:b/>
          <w:sz w:val="30"/>
          <w:szCs w:val="30"/>
        </w:rPr>
      </w:pPr>
    </w:p>
    <w:p>
      <w:pPr>
        <w:pStyle w:val="14"/>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4"/>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after="50" w:line="460" w:lineRule="exact"/>
              <w:ind w:left="525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注：在填写时，响应方可根据本表格式自行划表填写。</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rPr>
      </w:pPr>
      <w:r>
        <w:rPr>
          <w:rFonts w:hint="eastAsia" w:ascii="仿宋" w:hAnsi="仿宋" w:eastAsia="仿宋"/>
          <w:spacing w:val="20"/>
          <w:sz w:val="30"/>
          <w:szCs w:val="30"/>
        </w:rPr>
        <w:t>全权代表签名：日期：</w:t>
      </w: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t>附件7：</w:t>
      </w:r>
    </w:p>
    <w:p>
      <w:pPr>
        <w:snapToGrid w:val="0"/>
        <w:spacing w:before="50"/>
        <w:jc w:val="center"/>
        <w:rPr>
          <w:rFonts w:ascii="仿宋" w:hAnsi="仿宋" w:eastAsia="仿宋"/>
          <w:b/>
          <w:spacing w:val="40"/>
          <w:kern w:val="0"/>
          <w:sz w:val="36"/>
          <w:szCs w:val="36"/>
        </w:rPr>
      </w:pPr>
      <w:r>
        <w:rPr>
          <w:rFonts w:hint="eastAsia" w:ascii="仿宋" w:hAnsi="仿宋" w:eastAsia="仿宋"/>
          <w:b/>
          <w:spacing w:val="40"/>
          <w:kern w:val="0"/>
          <w:sz w:val="36"/>
          <w:szCs w:val="36"/>
        </w:rPr>
        <w:t>商务响应表</w:t>
      </w:r>
    </w:p>
    <w:p>
      <w:pPr>
        <w:pStyle w:val="14"/>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4"/>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3258"/>
        <w:gridCol w:w="958"/>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单一来源采购文件要求</w:t>
            </w:r>
          </w:p>
        </w:tc>
        <w:tc>
          <w:tcPr>
            <w:tcW w:w="9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响应方承诺或说明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售后服务保障要求</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服务期</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项目进度要求</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服务时间</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服务地点</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全权代表签名：日期：</w:t>
      </w: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pacing w:line="440" w:lineRule="exact"/>
        <w:ind w:firstLine="600" w:firstLineChars="200"/>
        <w:rPr>
          <w:rFonts w:ascii="仿宋" w:hAnsi="仿宋" w:eastAsia="仿宋"/>
          <w:sz w:val="30"/>
          <w:szCs w:val="30"/>
        </w:rPr>
      </w:pPr>
    </w:p>
    <w:p>
      <w:pPr>
        <w:pStyle w:val="23"/>
        <w:snapToGrid w:val="0"/>
        <w:spacing w:before="120" w:line="240" w:lineRule="auto"/>
        <w:jc w:val="center"/>
        <w:rPr>
          <w:rFonts w:ascii="仿宋" w:hAnsi="仿宋" w:eastAsia="仿宋"/>
          <w:b/>
          <w:sz w:val="36"/>
          <w:szCs w:val="36"/>
        </w:rPr>
      </w:pPr>
      <w:bookmarkStart w:id="75" w:name="报价明细表1"/>
      <w:bookmarkEnd w:id="75"/>
    </w:p>
    <w:p>
      <w:pPr>
        <w:pStyle w:val="23"/>
        <w:snapToGrid w:val="0"/>
        <w:spacing w:before="120" w:line="240" w:lineRule="auto"/>
        <w:jc w:val="center"/>
        <w:rPr>
          <w:rFonts w:ascii="仿宋" w:hAnsi="仿宋" w:eastAsia="仿宋"/>
          <w:b/>
          <w:sz w:val="36"/>
          <w:szCs w:val="36"/>
        </w:rPr>
      </w:pPr>
    </w:p>
    <w:p>
      <w:pPr>
        <w:pStyle w:val="23"/>
        <w:snapToGrid w:val="0"/>
        <w:spacing w:before="120" w:line="240" w:lineRule="auto"/>
        <w:jc w:val="center"/>
        <w:rPr>
          <w:rFonts w:ascii="仿宋" w:hAnsi="仿宋" w:eastAsia="仿宋"/>
          <w:b/>
          <w:sz w:val="36"/>
          <w:szCs w:val="36"/>
        </w:rPr>
      </w:pPr>
    </w:p>
    <w:p>
      <w:pPr>
        <w:pStyle w:val="23"/>
        <w:snapToGrid w:val="0"/>
        <w:spacing w:before="120" w:line="240" w:lineRule="auto"/>
        <w:jc w:val="center"/>
        <w:rPr>
          <w:rFonts w:ascii="仿宋" w:hAnsi="仿宋" w:eastAsia="仿宋"/>
          <w:b/>
          <w:sz w:val="36"/>
          <w:szCs w:val="36"/>
        </w:rPr>
      </w:pPr>
    </w:p>
    <w:p>
      <w:pPr>
        <w:pStyle w:val="23"/>
        <w:snapToGrid w:val="0"/>
        <w:spacing w:before="120" w:line="240" w:lineRule="auto"/>
        <w:jc w:val="center"/>
        <w:rPr>
          <w:rFonts w:ascii="仿宋" w:hAnsi="仿宋" w:eastAsia="仿宋"/>
          <w:b/>
          <w:sz w:val="36"/>
          <w:szCs w:val="36"/>
        </w:rPr>
      </w:pPr>
    </w:p>
    <w:p>
      <w:pPr>
        <w:snapToGrid w:val="0"/>
        <w:spacing w:before="50" w:after="50" w:line="460" w:lineRule="exact"/>
        <w:rPr>
          <w:rFonts w:ascii="仿宋" w:hAnsi="仿宋" w:eastAsia="仿宋"/>
          <w:spacing w:val="20"/>
          <w:sz w:val="30"/>
          <w:szCs w:val="30"/>
          <w:u w:val="single"/>
        </w:rPr>
      </w:pPr>
    </w:p>
    <w:p>
      <w:pPr>
        <w:snapToGrid w:val="0"/>
        <w:spacing w:before="50" w:after="120" w:afterLines="50" w:line="460" w:lineRule="exact"/>
        <w:jc w:val="left"/>
        <w:rPr>
          <w:rFonts w:ascii="仿宋" w:hAnsi="仿宋" w:eastAsia="仿宋"/>
          <w:sz w:val="30"/>
          <w:szCs w:val="30"/>
        </w:rPr>
      </w:pPr>
    </w:p>
    <w:p>
      <w:pPr>
        <w:pStyle w:val="23"/>
        <w:snapToGrid w:val="0"/>
        <w:spacing w:before="120" w:line="460" w:lineRule="exac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kern w:val="0"/>
          <w:sz w:val="30"/>
          <w:szCs w:val="30"/>
        </w:rPr>
        <w:sectPr>
          <w:type w:val="continuous"/>
          <w:pgSz w:w="11906" w:h="16838"/>
          <w:pgMar w:top="1440" w:right="1800" w:bottom="1440" w:left="1800"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附件8：</w:t>
      </w:r>
    </w:p>
    <w:p>
      <w:pPr>
        <w:pStyle w:val="32"/>
        <w:snapToGrid w:val="0"/>
        <w:ind w:left="723" w:hanging="723"/>
        <w:jc w:val="center"/>
        <w:rPr>
          <w:rFonts w:ascii="仿宋" w:hAnsi="仿宋" w:eastAsia="仿宋"/>
          <w:b/>
          <w:sz w:val="36"/>
          <w:szCs w:val="36"/>
        </w:rPr>
      </w:pPr>
      <w:r>
        <w:rPr>
          <w:rFonts w:hint="eastAsia" w:ascii="仿宋" w:hAnsi="仿宋" w:eastAsia="仿宋"/>
          <w:b/>
          <w:sz w:val="36"/>
          <w:szCs w:val="36"/>
        </w:rPr>
        <w:t>响应方同类项目实施情况一览表</w:t>
      </w:r>
    </w:p>
    <w:p>
      <w:pPr>
        <w:pStyle w:val="14"/>
        <w:snapToGrid w:val="0"/>
        <w:ind w:left="1020" w:hanging="600"/>
        <w:rPr>
          <w:rFonts w:ascii="仿宋" w:hAnsi="仿宋" w:eastAsia="仿宋" w:cs="Times New Roman"/>
          <w:sz w:val="30"/>
          <w:szCs w:val="30"/>
          <w:u w:val="single"/>
        </w:rPr>
      </w:pPr>
      <w:r>
        <w:rPr>
          <w:rFonts w:hint="eastAsia" w:ascii="仿宋" w:hAnsi="仿宋" w:eastAsia="仿宋"/>
          <w:sz w:val="30"/>
          <w:szCs w:val="30"/>
        </w:rPr>
        <w:t>单一来源响应方全称（公章）：</w:t>
      </w:r>
    </w:p>
    <w:tbl>
      <w:tblPr>
        <w:tblStyle w:val="44"/>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须提供响应方同类项目合同复印件、用户验收报告。</w:t>
            </w:r>
          </w:p>
        </w:tc>
      </w:tr>
    </w:tbl>
    <w:p>
      <w:pPr>
        <w:pStyle w:val="14"/>
        <w:snapToGrid w:val="0"/>
        <w:spacing w:before="240"/>
        <w:ind w:left="1020" w:hanging="600"/>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w:t>
      </w:r>
      <w:r>
        <w:rPr>
          <w:rFonts w:hint="eastAsia" w:ascii="仿宋" w:hAnsi="仿宋" w:eastAsia="仿宋"/>
          <w:sz w:val="30"/>
          <w:szCs w:val="30"/>
        </w:rPr>
        <w:t>时间：</w:t>
      </w:r>
    </w:p>
    <w:p>
      <w:pPr>
        <w:widowControl/>
        <w:jc w:val="left"/>
        <w:rPr>
          <w:rFonts w:ascii="仿宋" w:hAnsi="仿宋" w:eastAsia="仿宋"/>
          <w:kern w:val="0"/>
          <w:sz w:val="30"/>
          <w:szCs w:val="30"/>
        </w:rPr>
        <w:sectPr>
          <w:type w:val="continuous"/>
          <w:pgSz w:w="16838" w:h="11906" w:orient="landscape"/>
          <w:pgMar w:top="1440" w:right="1800" w:bottom="1440" w:left="1800" w:header="851" w:footer="851" w:gutter="0"/>
          <w:cols w:space="720" w:num="1"/>
        </w:sectPr>
      </w:pPr>
    </w:p>
    <w:p>
      <w:pPr>
        <w:pStyle w:val="23"/>
        <w:snapToGrid w:val="0"/>
        <w:spacing w:before="156" w:line="240" w:lineRule="auto"/>
        <w:jc w:val="left"/>
        <w:rPr>
          <w:rFonts w:ascii="仿宋" w:hAnsi="仿宋" w:eastAsia="仿宋"/>
          <w:sz w:val="30"/>
          <w:szCs w:val="30"/>
        </w:rPr>
      </w:pPr>
      <w:r>
        <w:rPr>
          <w:rFonts w:hint="eastAsia" w:ascii="仿宋" w:hAnsi="仿宋" w:eastAsia="仿宋"/>
          <w:sz w:val="30"/>
          <w:szCs w:val="30"/>
        </w:rPr>
        <w:t>附件9:</w:t>
      </w:r>
    </w:p>
    <w:p>
      <w:pPr>
        <w:pStyle w:val="23"/>
        <w:snapToGrid w:val="0"/>
        <w:spacing w:before="156" w:line="240" w:lineRule="auto"/>
        <w:jc w:val="center"/>
        <w:rPr>
          <w:rFonts w:ascii="仿宋" w:hAnsi="仿宋" w:eastAsia="仿宋"/>
          <w:b/>
          <w:sz w:val="36"/>
          <w:szCs w:val="36"/>
        </w:rPr>
      </w:pPr>
      <w:r>
        <w:rPr>
          <w:rFonts w:hint="eastAsia" w:ascii="仿宋" w:hAnsi="仿宋" w:eastAsia="仿宋"/>
          <w:b/>
          <w:sz w:val="36"/>
          <w:szCs w:val="36"/>
        </w:rPr>
        <w:t>投标报价明细表</w:t>
      </w:r>
    </w:p>
    <w:p>
      <w:pPr>
        <w:snapToGrid w:val="0"/>
        <w:spacing w:line="600" w:lineRule="exact"/>
        <w:rPr>
          <w:rFonts w:ascii="仿宋" w:hAnsi="仿宋" w:eastAsia="仿宋"/>
          <w:sz w:val="30"/>
          <w:szCs w:val="30"/>
        </w:rPr>
      </w:pPr>
      <w:r>
        <w:rPr>
          <w:rFonts w:hint="eastAsia" w:ascii="仿宋" w:hAnsi="仿宋" w:eastAsia="仿宋"/>
          <w:sz w:val="30"/>
          <w:szCs w:val="30"/>
        </w:rPr>
        <w:t>单一来源响应方全称（公章）：</w:t>
      </w:r>
    </w:p>
    <w:p>
      <w:pPr>
        <w:snapToGrid w:val="0"/>
        <w:spacing w:before="156" w:beforeLines="50" w:after="156" w:afterLines="50" w:line="600" w:lineRule="exact"/>
        <w:rPr>
          <w:rFonts w:ascii="仿宋" w:hAnsi="仿宋" w:eastAsia="仿宋"/>
          <w:sz w:val="30"/>
          <w:szCs w:val="30"/>
        </w:rPr>
      </w:pPr>
      <w:r>
        <w:rPr>
          <w:rFonts w:hint="eastAsia" w:ascii="仿宋" w:hAnsi="仿宋" w:eastAsia="仿宋"/>
          <w:sz w:val="30"/>
          <w:szCs w:val="30"/>
        </w:rPr>
        <w:t>采购编号及标项：</w:t>
      </w:r>
    </w:p>
    <w:tbl>
      <w:tblPr>
        <w:tblStyle w:val="44"/>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564"/>
        <w:gridCol w:w="673"/>
        <w:gridCol w:w="36"/>
        <w:gridCol w:w="289"/>
        <w:gridCol w:w="527"/>
        <w:gridCol w:w="465"/>
        <w:gridCol w:w="564"/>
        <w:gridCol w:w="428"/>
        <w:gridCol w:w="529"/>
        <w:gridCol w:w="322"/>
        <w:gridCol w:w="530"/>
        <w:gridCol w:w="891"/>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3"/>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3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00" w:type="dxa"/>
            <w:gridSpan w:val="3"/>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3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4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4"/>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承接方情况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00" w:type="dxa"/>
            <w:gridSpan w:val="4"/>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200" w:type="dxa"/>
            <w:gridSpan w:val="4"/>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3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宋体" w:hAnsi="宋体" w:cs="宋体"/>
                <w:color w:val="000000"/>
                <w:kern w:val="0"/>
                <w:sz w:val="24"/>
              </w:rPr>
              <w:t>工程项目名称</w:t>
            </w:r>
          </w:p>
        </w:tc>
        <w:tc>
          <w:tcPr>
            <w:tcW w:w="99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99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99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851"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421"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是否中小企业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7" w:type="dxa"/>
            <w:gridSpan w:val="3"/>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99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tc>
      </w:tr>
    </w:tbl>
    <w:p>
      <w:pPr>
        <w:snapToGrid w:val="0"/>
        <w:spacing w:before="240" w:after="50" w:line="400" w:lineRule="exact"/>
        <w:jc w:val="left"/>
        <w:rPr>
          <w:rFonts w:ascii="仿宋" w:hAnsi="仿宋" w:eastAsia="仿宋"/>
          <w:sz w:val="30"/>
          <w:szCs w:val="30"/>
        </w:r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授权代表签名：</w:t>
      </w: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日期：</w:t>
      </w:r>
    </w:p>
    <w:p>
      <w:pPr>
        <w:snapToGrid w:val="0"/>
        <w:spacing w:line="360" w:lineRule="auto"/>
        <w:rPr>
          <w:rFonts w:ascii="仿宋" w:hAnsi="仿宋" w:eastAsia="仿宋"/>
          <w:sz w:val="30"/>
          <w:szCs w:val="30"/>
        </w:rPr>
      </w:pPr>
      <w:r>
        <w:rPr>
          <w:rFonts w:hint="eastAsia" w:ascii="仿宋" w:hAnsi="仿宋" w:eastAsia="仿宋"/>
          <w:sz w:val="30"/>
          <w:szCs w:val="30"/>
        </w:rPr>
        <w:t>附件10：</w:t>
      </w: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 （联合体）参加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响应方名称（盖章）：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23"/>
        <w:spacing w:before="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before="50" w:after="50"/>
        <w:jc w:val="center"/>
        <w:rPr>
          <w:rFonts w:ascii="仿宋" w:hAnsi="仿宋" w:eastAsia="仿宋"/>
          <w:b/>
          <w:sz w:val="36"/>
          <w:szCs w:val="36"/>
        </w:rPr>
      </w:pP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本公司（联合体）郑重声明，根据《政府采购促进中小 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货物、服务、工程）的人员为中小企业依照《中华人民共和国劳动合同法》订立劳动合同的从业人员）。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 万元</w:t>
      </w:r>
      <w:r>
        <w:rPr>
          <w:rFonts w:hint="eastAsia" w:ascii="仿宋" w:hAnsi="仿宋" w:eastAsia="仿宋"/>
          <w:sz w:val="28"/>
          <w:szCs w:val="28"/>
          <w:vertAlign w:val="superscript"/>
        </w:rPr>
        <w:t xml:space="preserve"> 1</w:t>
      </w:r>
      <w:r>
        <w:rPr>
          <w:rFonts w:hint="eastAsia"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 xml:space="preserve">响应方名称（盖章）：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日 期：</w:t>
      </w:r>
    </w:p>
    <w:p>
      <w:pPr>
        <w:pStyle w:val="23"/>
        <w:spacing w:before="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附件11：</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响应方名称（盖章）：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pPr>
        <w:rPr>
          <w:rFonts w:ascii="仿宋" w:hAnsi="仿宋" w:eastAsia="仿宋"/>
        </w:rPr>
      </w:pPr>
    </w:p>
    <w:p>
      <w:pPr>
        <w:snapToGrid w:val="0"/>
        <w:spacing w:before="156" w:beforeLines="50" w:after="50"/>
        <w:rPr>
          <w:rFonts w:ascii="仿宋" w:hAnsi="仿宋" w:eastAsia="仿宋"/>
          <w:sz w:val="30"/>
          <w:szCs w:val="30"/>
        </w:rPr>
      </w:pPr>
    </w:p>
    <w:p>
      <w:pPr>
        <w:spacing w:line="600" w:lineRule="exact"/>
        <w:ind w:right="532"/>
        <w:rPr>
          <w:rFonts w:ascii="仿宋" w:hAnsi="仿宋" w:eastAsia="仿宋"/>
          <w:sz w:val="30"/>
          <w:szCs w:val="30"/>
        </w:rPr>
      </w:pPr>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F NS Text">
    <w:altName w:val="MingLiU-ExtB"/>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GB2312">
    <w:altName w:val="宋体"/>
    <w:panose1 w:val="00000000000000000000"/>
    <w:charset w:val="86"/>
    <w:family w:val="roman"/>
    <w:pitch w:val="default"/>
    <w:sig w:usb0="00000000" w:usb1="00000000" w:usb2="00000000" w:usb3="00000000" w:csb0="00000000" w:csb1="00000000"/>
  </w:font>
  <w:font w:name="Tim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5332D9B"/>
    <w:multiLevelType w:val="multilevel"/>
    <w:tmpl w:val="05332D9B"/>
    <w:lvl w:ilvl="0" w:tentative="0">
      <w:start w:val="1"/>
      <w:numFmt w:val="decimal"/>
      <w:pStyle w:val="215"/>
      <w:lvlText w:val="%1."/>
      <w:lvlJc w:val="left"/>
      <w:pPr>
        <w:ind w:left="920" w:hanging="36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57FD3DA"/>
    <w:multiLevelType w:val="singleLevel"/>
    <w:tmpl w:val="557FD3DA"/>
    <w:lvl w:ilvl="0" w:tentative="0">
      <w:start w:val="3"/>
      <w:numFmt w:val="chineseCounting"/>
      <w:pStyle w:val="188"/>
      <w:suff w:val="nothing"/>
      <w:lvlText w:val="%1、"/>
      <w:lvlJc w:val="left"/>
      <w:pPr>
        <w:ind w:left="0" w:firstLine="0"/>
      </w:pPr>
      <w:rPr>
        <w:rFonts w:cs="Times New Roman"/>
      </w:rPr>
    </w:lvl>
  </w:abstractNum>
  <w:abstractNum w:abstractNumId="4">
    <w:nsid w:val="69C33920"/>
    <w:multiLevelType w:val="multilevel"/>
    <w:tmpl w:val="69C33920"/>
    <w:lvl w:ilvl="0" w:tentative="0">
      <w:start w:val="1"/>
      <w:numFmt w:val="chineseCountingThousand"/>
      <w:pStyle w:val="214"/>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9D73792"/>
    <w:multiLevelType w:val="multilevel"/>
    <w:tmpl w:val="69D73792"/>
    <w:lvl w:ilvl="0" w:tentative="0">
      <w:start w:val="1"/>
      <w:numFmt w:val="decimal"/>
      <w:lvlText w:val="%1."/>
      <w:lvlJc w:val="left"/>
      <w:pPr>
        <w:ind w:left="960" w:hanging="360"/>
      </w:pPr>
      <w:rPr>
        <w:strike w:val="0"/>
        <w:dstrike w:val="0"/>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3"/>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0ZDZmMzc1NTY1MGJlNWZjMTk2MmJiYTc1NGE5MzgifQ=="/>
  </w:docVars>
  <w:rsids>
    <w:rsidRoot w:val="00D531F9"/>
    <w:rsid w:val="0000039A"/>
    <w:rsid w:val="000964EB"/>
    <w:rsid w:val="000C33A4"/>
    <w:rsid w:val="000F23AB"/>
    <w:rsid w:val="0012146F"/>
    <w:rsid w:val="001675B1"/>
    <w:rsid w:val="001B4E1B"/>
    <w:rsid w:val="00204CBC"/>
    <w:rsid w:val="002053F5"/>
    <w:rsid w:val="0023222D"/>
    <w:rsid w:val="002668B3"/>
    <w:rsid w:val="002801F2"/>
    <w:rsid w:val="0030443E"/>
    <w:rsid w:val="00392E3F"/>
    <w:rsid w:val="003978F4"/>
    <w:rsid w:val="003F44AD"/>
    <w:rsid w:val="00445F93"/>
    <w:rsid w:val="00471D4B"/>
    <w:rsid w:val="00487322"/>
    <w:rsid w:val="00631210"/>
    <w:rsid w:val="006B1973"/>
    <w:rsid w:val="006D769F"/>
    <w:rsid w:val="00700A3B"/>
    <w:rsid w:val="00704C5F"/>
    <w:rsid w:val="0072169D"/>
    <w:rsid w:val="007E226D"/>
    <w:rsid w:val="007F5A03"/>
    <w:rsid w:val="00884CEE"/>
    <w:rsid w:val="008D58FD"/>
    <w:rsid w:val="009C0CD7"/>
    <w:rsid w:val="009C249E"/>
    <w:rsid w:val="009C30C0"/>
    <w:rsid w:val="00A139B6"/>
    <w:rsid w:val="00A355E1"/>
    <w:rsid w:val="00A64A2B"/>
    <w:rsid w:val="00AF1B7C"/>
    <w:rsid w:val="00B54E9B"/>
    <w:rsid w:val="00BD3745"/>
    <w:rsid w:val="00C03E42"/>
    <w:rsid w:val="00C20532"/>
    <w:rsid w:val="00C247BE"/>
    <w:rsid w:val="00C51D1B"/>
    <w:rsid w:val="00C54DC0"/>
    <w:rsid w:val="00CB1A57"/>
    <w:rsid w:val="00D531F9"/>
    <w:rsid w:val="00E75123"/>
    <w:rsid w:val="00E9523B"/>
    <w:rsid w:val="00F60BD9"/>
    <w:rsid w:val="00F67C5B"/>
    <w:rsid w:val="00FA3C95"/>
    <w:rsid w:val="00FB6FC2"/>
    <w:rsid w:val="00FB7CBD"/>
    <w:rsid w:val="00FD1553"/>
    <w:rsid w:val="023C7266"/>
    <w:rsid w:val="221D7B41"/>
    <w:rsid w:val="2AE84D1C"/>
    <w:rsid w:val="30514C16"/>
    <w:rsid w:val="4BAD6226"/>
    <w:rsid w:val="4D334235"/>
    <w:rsid w:val="6616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30"/>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6">
    <w:name w:val="heading 2"/>
    <w:basedOn w:val="1"/>
    <w:next w:val="1"/>
    <w:link w:val="57"/>
    <w:unhideWhenUsed/>
    <w:qFormat/>
    <w:uiPriority w:val="0"/>
    <w:pPr>
      <w:keepNext/>
      <w:keepLines/>
      <w:spacing w:before="260" w:after="260" w:line="412" w:lineRule="auto"/>
      <w:outlineLvl w:val="1"/>
    </w:pPr>
    <w:rPr>
      <w:rFonts w:ascii="Arial" w:hAnsi="Arial" w:eastAsia="黑体"/>
      <w:b/>
      <w:bCs/>
      <w:sz w:val="32"/>
      <w:szCs w:val="32"/>
    </w:rPr>
  </w:style>
  <w:style w:type="paragraph" w:styleId="7">
    <w:name w:val="heading 3"/>
    <w:basedOn w:val="1"/>
    <w:next w:val="1"/>
    <w:link w:val="58"/>
    <w:unhideWhenUsed/>
    <w:qFormat/>
    <w:uiPriority w:val="0"/>
    <w:pPr>
      <w:keepNext/>
      <w:keepLines/>
      <w:spacing w:before="260" w:after="260" w:line="412" w:lineRule="auto"/>
      <w:outlineLvl w:val="2"/>
    </w:pPr>
    <w:rPr>
      <w:b/>
      <w:bCs/>
      <w:sz w:val="32"/>
      <w:szCs w:val="32"/>
    </w:rPr>
  </w:style>
  <w:style w:type="paragraph" w:styleId="8">
    <w:name w:val="heading 4"/>
    <w:basedOn w:val="1"/>
    <w:next w:val="1"/>
    <w:link w:val="218"/>
    <w:unhideWhenUsed/>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link w:val="60"/>
    <w:unhideWhenUsed/>
    <w:qFormat/>
    <w:uiPriority w:val="0"/>
    <w:pPr>
      <w:keepNext/>
      <w:keepLines/>
      <w:spacing w:before="280" w:after="290" w:line="372" w:lineRule="auto"/>
      <w:outlineLvl w:val="4"/>
    </w:pPr>
    <w:rPr>
      <w:rFonts w:ascii="Times New Roman" w:hAnsi="Times New Roman"/>
      <w:b/>
      <w:bCs/>
      <w:sz w:val="28"/>
      <w:szCs w:val="28"/>
    </w:rPr>
  </w:style>
  <w:style w:type="paragraph" w:styleId="10">
    <w:name w:val="heading 6"/>
    <w:basedOn w:val="1"/>
    <w:next w:val="1"/>
    <w:link w:val="219"/>
    <w:unhideWhenUsed/>
    <w:qFormat/>
    <w:uiPriority w:val="0"/>
    <w:pPr>
      <w:keepNext/>
      <w:keepLines/>
      <w:spacing w:before="240" w:after="64" w:line="316" w:lineRule="auto"/>
      <w:outlineLvl w:val="5"/>
    </w:pPr>
    <w:rPr>
      <w:rFonts w:ascii="Arial" w:hAnsi="Arial" w:eastAsia="黑体"/>
      <w:b/>
      <w:bCs/>
      <w:sz w:val="24"/>
      <w:szCs w:val="24"/>
    </w:rPr>
  </w:style>
  <w:style w:type="paragraph" w:styleId="11">
    <w:name w:val="heading 7"/>
    <w:basedOn w:val="1"/>
    <w:next w:val="1"/>
    <w:link w:val="220"/>
    <w:unhideWhenUsed/>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Times New Roman" w:hAnsi="Times New Roman" w:cs="Times New Roman"/>
      <w:spacing w:val="0"/>
      <w:sz w:val="21"/>
    </w:rPr>
  </w:style>
  <w:style w:type="paragraph" w:styleId="3">
    <w:name w:val="Body Text Indent"/>
    <w:basedOn w:val="1"/>
    <w:next w:val="4"/>
    <w:link w:val="69"/>
    <w:qFormat/>
    <w:uiPriority w:val="0"/>
    <w:pPr>
      <w:spacing w:line="200" w:lineRule="exact"/>
      <w:ind w:firstLine="301"/>
    </w:pPr>
    <w:rPr>
      <w:rFonts w:ascii="宋体" w:hAnsi="Courier New"/>
      <w:spacing w:val="-4"/>
      <w:sz w:val="18"/>
      <w:szCs w:val="20"/>
    </w:rPr>
  </w:style>
  <w:style w:type="paragraph" w:styleId="4">
    <w:name w:val="Normal Indent"/>
    <w:basedOn w:val="1"/>
    <w:link w:val="64"/>
    <w:qFormat/>
    <w:uiPriority w:val="0"/>
    <w:pPr>
      <w:ind w:firstLine="420"/>
    </w:pPr>
    <w:rPr>
      <w:rFonts w:asciiTheme="minorHAnsi" w:hAnsiTheme="minorHAnsi" w:eastAsiaTheme="minorEastAsia" w:cstheme="minorBidi"/>
    </w:rPr>
  </w:style>
  <w:style w:type="paragraph" w:styleId="12">
    <w:name w:val="toc 7"/>
    <w:basedOn w:val="1"/>
    <w:next w:val="1"/>
    <w:qFormat/>
    <w:uiPriority w:val="0"/>
    <w:pPr>
      <w:snapToGrid w:val="0"/>
      <w:spacing w:line="600" w:lineRule="exact"/>
      <w:ind w:left="3120"/>
      <w:jc w:val="left"/>
    </w:pPr>
    <w:rPr>
      <w:rFonts w:ascii="Times New Roman" w:hAnsi="Times New Roman"/>
      <w:kern w:val="0"/>
      <w:sz w:val="18"/>
      <w:szCs w:val="18"/>
    </w:rPr>
  </w:style>
  <w:style w:type="paragraph" w:styleId="13">
    <w:name w:val="List Number"/>
    <w:basedOn w:val="1"/>
    <w:qFormat/>
    <w:uiPriority w:val="0"/>
    <w:pPr>
      <w:widowControl/>
      <w:numPr>
        <w:ilvl w:val="0"/>
        <w:numId w:val="1"/>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4">
    <w:name w:val="caption"/>
    <w:basedOn w:val="1"/>
    <w:next w:val="1"/>
    <w:link w:val="156"/>
    <w:unhideWhenUsed/>
    <w:qFormat/>
    <w:uiPriority w:val="0"/>
    <w:pPr>
      <w:spacing w:before="152" w:after="160"/>
    </w:pPr>
    <w:rPr>
      <w:rFonts w:ascii="Arial" w:hAnsi="Arial" w:eastAsia="黑体" w:cs="Arial"/>
      <w:sz w:val="20"/>
      <w:szCs w:val="20"/>
    </w:rPr>
  </w:style>
  <w:style w:type="paragraph" w:styleId="15">
    <w:name w:val="Document Map"/>
    <w:basedOn w:val="1"/>
    <w:link w:val="152"/>
    <w:qFormat/>
    <w:uiPriority w:val="0"/>
    <w:rPr>
      <w:rFonts w:ascii="宋体"/>
      <w:sz w:val="18"/>
      <w:szCs w:val="18"/>
    </w:rPr>
  </w:style>
  <w:style w:type="paragraph" w:styleId="16">
    <w:name w:val="annotation text"/>
    <w:basedOn w:val="1"/>
    <w:link w:val="231"/>
    <w:qFormat/>
    <w:uiPriority w:val="0"/>
    <w:pPr>
      <w:jc w:val="left"/>
    </w:pPr>
  </w:style>
  <w:style w:type="paragraph" w:styleId="17">
    <w:name w:val="Body Text 3"/>
    <w:basedOn w:val="1"/>
    <w:link w:val="73"/>
    <w:qFormat/>
    <w:uiPriority w:val="0"/>
    <w:pPr>
      <w:snapToGrid w:val="0"/>
      <w:spacing w:before="50" w:after="50"/>
    </w:pPr>
    <w:rPr>
      <w:rFonts w:ascii="Times New Roman" w:hAnsi="宋体" w:eastAsia="仿宋_GB2312"/>
      <w:b/>
      <w:bCs/>
      <w:sz w:val="24"/>
      <w:szCs w:val="20"/>
    </w:rPr>
  </w:style>
  <w:style w:type="paragraph" w:styleId="18">
    <w:name w:val="Body Text"/>
    <w:basedOn w:val="1"/>
    <w:link w:val="68"/>
    <w:qFormat/>
    <w:uiPriority w:val="0"/>
    <w:pPr>
      <w:spacing w:after="120"/>
    </w:pPr>
  </w:style>
  <w:style w:type="paragraph" w:styleId="19">
    <w:name w:val="List Number 3"/>
    <w:basedOn w:val="1"/>
    <w:qFormat/>
    <w:uiPriority w:val="0"/>
    <w:pPr>
      <w:numPr>
        <w:ilvl w:val="0"/>
        <w:numId w:val="2"/>
      </w:numPr>
      <w:ind w:left="0" w:leftChars="0" w:firstLine="0" w:firstLineChars="0"/>
    </w:pPr>
    <w:rPr>
      <w:rFonts w:ascii="Times New Roman" w:hAnsi="Times New Roman"/>
      <w:szCs w:val="24"/>
    </w:rPr>
  </w:style>
  <w:style w:type="paragraph" w:styleId="20">
    <w:name w:val="List 2"/>
    <w:basedOn w:val="1"/>
    <w:qFormat/>
    <w:uiPriority w:val="0"/>
    <w:pPr>
      <w:ind w:left="100" w:leftChars="200" w:hanging="200" w:hangingChars="200"/>
    </w:pPr>
    <w:rPr>
      <w:rFonts w:ascii="Times New Roman" w:hAnsi="Times New Roman"/>
      <w:sz w:val="28"/>
      <w:szCs w:val="24"/>
    </w:rPr>
  </w:style>
  <w:style w:type="paragraph" w:styleId="21">
    <w:name w:val="toc 5"/>
    <w:basedOn w:val="1"/>
    <w:next w:val="1"/>
    <w:qFormat/>
    <w:uiPriority w:val="0"/>
    <w:pPr>
      <w:snapToGrid w:val="0"/>
      <w:spacing w:line="600" w:lineRule="exact"/>
      <w:ind w:left="2080"/>
      <w:jc w:val="left"/>
    </w:pPr>
    <w:rPr>
      <w:rFonts w:ascii="Times New Roman" w:hAnsi="Times New Roman"/>
      <w:kern w:val="0"/>
      <w:sz w:val="18"/>
      <w:szCs w:val="18"/>
    </w:rPr>
  </w:style>
  <w:style w:type="paragraph" w:styleId="22">
    <w:name w:val="toc 3"/>
    <w:basedOn w:val="1"/>
    <w:next w:val="1"/>
    <w:qFormat/>
    <w:uiPriority w:val="0"/>
    <w:pPr>
      <w:ind w:left="840" w:leftChars="400"/>
    </w:pPr>
  </w:style>
  <w:style w:type="paragraph" w:styleId="23">
    <w:name w:val="Plain Text"/>
    <w:basedOn w:val="1"/>
    <w:link w:val="154"/>
    <w:qFormat/>
    <w:uiPriority w:val="0"/>
    <w:pPr>
      <w:spacing w:beforeLines="50" w:line="400" w:lineRule="exact"/>
    </w:pPr>
    <w:rPr>
      <w:rFonts w:ascii="宋体" w:hAnsi="Courier New"/>
      <w:sz w:val="24"/>
      <w:szCs w:val="24"/>
    </w:rPr>
  </w:style>
  <w:style w:type="paragraph" w:styleId="24">
    <w:name w:val="toc 8"/>
    <w:basedOn w:val="1"/>
    <w:next w:val="1"/>
    <w:qFormat/>
    <w:uiPriority w:val="0"/>
    <w:pPr>
      <w:snapToGrid w:val="0"/>
      <w:spacing w:line="600" w:lineRule="exact"/>
      <w:ind w:left="3640"/>
      <w:jc w:val="left"/>
    </w:pPr>
    <w:rPr>
      <w:rFonts w:ascii="Times New Roman" w:hAnsi="Times New Roman"/>
      <w:kern w:val="0"/>
      <w:sz w:val="18"/>
      <w:szCs w:val="18"/>
    </w:rPr>
  </w:style>
  <w:style w:type="paragraph" w:styleId="25">
    <w:name w:val="Date"/>
    <w:basedOn w:val="1"/>
    <w:next w:val="1"/>
    <w:link w:val="153"/>
    <w:qFormat/>
    <w:uiPriority w:val="0"/>
    <w:pPr>
      <w:ind w:left="2500" w:leftChars="2500"/>
    </w:pPr>
    <w:rPr>
      <w:rFonts w:ascii="Times New Roman" w:hAnsi="Times New Roman" w:eastAsia="楷体_GB2312"/>
      <w:sz w:val="32"/>
      <w:szCs w:val="20"/>
    </w:rPr>
  </w:style>
  <w:style w:type="paragraph" w:styleId="26">
    <w:name w:val="Body Text Indent 2"/>
    <w:basedOn w:val="1"/>
    <w:link w:val="74"/>
    <w:qFormat/>
    <w:uiPriority w:val="0"/>
    <w:pPr>
      <w:snapToGrid w:val="0"/>
      <w:ind w:firstLine="542" w:firstLineChars="225"/>
    </w:pPr>
    <w:rPr>
      <w:rFonts w:ascii="仿宋_GB2312" w:hAnsi="宋体" w:cs="Arial"/>
      <w:b/>
      <w:bCs/>
      <w:color w:val="000000"/>
      <w:sz w:val="24"/>
      <w:szCs w:val="24"/>
    </w:rPr>
  </w:style>
  <w:style w:type="paragraph" w:styleId="27">
    <w:name w:val="Balloon Text"/>
    <w:basedOn w:val="1"/>
    <w:link w:val="232"/>
    <w:qFormat/>
    <w:uiPriority w:val="0"/>
    <w:rPr>
      <w:sz w:val="18"/>
      <w:szCs w:val="18"/>
    </w:rPr>
  </w:style>
  <w:style w:type="paragraph" w:styleId="28">
    <w:name w:val="footer"/>
    <w:basedOn w:val="1"/>
    <w:link w:val="233"/>
    <w:qFormat/>
    <w:uiPriority w:val="0"/>
    <w:pPr>
      <w:tabs>
        <w:tab w:val="center" w:pos="4153"/>
        <w:tab w:val="right" w:pos="8306"/>
      </w:tabs>
      <w:snapToGrid w:val="0"/>
      <w:jc w:val="left"/>
    </w:pPr>
    <w:rPr>
      <w:sz w:val="18"/>
      <w:szCs w:val="18"/>
    </w:rPr>
  </w:style>
  <w:style w:type="paragraph" w:styleId="29">
    <w:name w:val="header"/>
    <w:basedOn w:val="1"/>
    <w:link w:val="23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rPr>
      <w:rFonts w:ascii="Times New Roman" w:hAnsi="Times New Roman"/>
      <w:szCs w:val="24"/>
    </w:rPr>
  </w:style>
  <w:style w:type="paragraph" w:styleId="31">
    <w:name w:val="toc 4"/>
    <w:basedOn w:val="1"/>
    <w:next w:val="1"/>
    <w:qFormat/>
    <w:uiPriority w:val="0"/>
    <w:pPr>
      <w:snapToGrid w:val="0"/>
      <w:spacing w:line="600" w:lineRule="exact"/>
      <w:ind w:left="1560"/>
      <w:jc w:val="left"/>
    </w:pPr>
    <w:rPr>
      <w:rFonts w:ascii="Times New Roman" w:hAnsi="Times New Roman"/>
      <w:kern w:val="0"/>
      <w:sz w:val="18"/>
      <w:szCs w:val="18"/>
    </w:rPr>
  </w:style>
  <w:style w:type="paragraph" w:styleId="32">
    <w:name w:val="List"/>
    <w:basedOn w:val="1"/>
    <w:qFormat/>
    <w:uiPriority w:val="0"/>
    <w:pPr>
      <w:ind w:left="200" w:hanging="200" w:hangingChars="200"/>
    </w:pPr>
    <w:rPr>
      <w:rFonts w:ascii="Times New Roman" w:hAnsi="Times New Roman"/>
      <w:sz w:val="28"/>
      <w:szCs w:val="24"/>
    </w:rPr>
  </w:style>
  <w:style w:type="paragraph" w:styleId="33">
    <w:name w:val="footnote text"/>
    <w:basedOn w:val="1"/>
    <w:link w:val="65"/>
    <w:qFormat/>
    <w:uiPriority w:val="0"/>
    <w:pPr>
      <w:snapToGrid w:val="0"/>
      <w:jc w:val="left"/>
    </w:pPr>
    <w:rPr>
      <w:sz w:val="18"/>
      <w:szCs w:val="18"/>
    </w:rPr>
  </w:style>
  <w:style w:type="paragraph" w:styleId="34">
    <w:name w:val="toc 6"/>
    <w:basedOn w:val="1"/>
    <w:next w:val="1"/>
    <w:qFormat/>
    <w:uiPriority w:val="0"/>
    <w:pPr>
      <w:snapToGrid w:val="0"/>
      <w:spacing w:line="600" w:lineRule="exact"/>
      <w:ind w:left="2600"/>
      <w:jc w:val="left"/>
    </w:pPr>
    <w:rPr>
      <w:rFonts w:ascii="Times New Roman" w:hAnsi="Times New Roman"/>
      <w:kern w:val="0"/>
      <w:sz w:val="18"/>
      <w:szCs w:val="18"/>
    </w:rPr>
  </w:style>
  <w:style w:type="paragraph" w:styleId="35">
    <w:name w:val="Body Text Indent 3"/>
    <w:basedOn w:val="1"/>
    <w:link w:val="75"/>
    <w:qFormat/>
    <w:uiPriority w:val="0"/>
    <w:pPr>
      <w:snapToGrid w:val="0"/>
      <w:ind w:firstLine="480" w:firstLineChars="200"/>
      <w:jc w:val="left"/>
    </w:pPr>
    <w:rPr>
      <w:rFonts w:ascii="仿宋_GB2312" w:hAnsi="宋体" w:eastAsia="仿宋_GB2312"/>
      <w:color w:val="000000"/>
      <w:sz w:val="24"/>
      <w:szCs w:val="24"/>
    </w:rPr>
  </w:style>
  <w:style w:type="paragraph" w:styleId="36">
    <w:name w:val="toc 2"/>
    <w:basedOn w:val="1"/>
    <w:next w:val="1"/>
    <w:qFormat/>
    <w:uiPriority w:val="0"/>
    <w:pPr>
      <w:ind w:left="420" w:leftChars="200"/>
    </w:pPr>
  </w:style>
  <w:style w:type="paragraph" w:styleId="37">
    <w:name w:val="toc 9"/>
    <w:basedOn w:val="1"/>
    <w:next w:val="1"/>
    <w:qFormat/>
    <w:uiPriority w:val="0"/>
    <w:pPr>
      <w:snapToGrid w:val="0"/>
      <w:spacing w:line="600" w:lineRule="exact"/>
      <w:ind w:left="4160"/>
      <w:jc w:val="left"/>
    </w:pPr>
    <w:rPr>
      <w:rFonts w:ascii="Times New Roman" w:hAnsi="Times New Roman"/>
      <w:kern w:val="0"/>
      <w:sz w:val="18"/>
      <w:szCs w:val="18"/>
    </w:rPr>
  </w:style>
  <w:style w:type="paragraph" w:styleId="38">
    <w:name w:val="Body Text 2"/>
    <w:basedOn w:val="1"/>
    <w:link w:val="72"/>
    <w:qFormat/>
    <w:uiPriority w:val="0"/>
    <w:pPr>
      <w:widowControl/>
      <w:snapToGrid w:val="0"/>
      <w:spacing w:before="50" w:line="400" w:lineRule="exact"/>
      <w:jc w:val="left"/>
    </w:pPr>
    <w:rPr>
      <w:rFonts w:ascii="宋体" w:hAnsi="宋体"/>
      <w:color w:val="000000"/>
      <w:sz w:val="24"/>
      <w:szCs w:val="24"/>
    </w:rPr>
  </w:style>
  <w:style w:type="paragraph" w:styleId="39">
    <w:name w:val="HTML Preformatted"/>
    <w:basedOn w:val="1"/>
    <w:link w:val="6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150"/>
    <w:qFormat/>
    <w:uiPriority w:val="0"/>
    <w:pPr>
      <w:spacing w:before="240" w:after="60"/>
      <w:jc w:val="center"/>
      <w:outlineLvl w:val="0"/>
    </w:pPr>
    <w:rPr>
      <w:rFonts w:ascii="Cambria" w:hAnsi="Cambria"/>
      <w:b/>
      <w:bCs/>
      <w:kern w:val="0"/>
      <w:sz w:val="32"/>
      <w:szCs w:val="32"/>
    </w:rPr>
  </w:style>
  <w:style w:type="paragraph" w:styleId="42">
    <w:name w:val="annotation subject"/>
    <w:basedOn w:val="16"/>
    <w:next w:val="16"/>
    <w:link w:val="235"/>
    <w:qFormat/>
    <w:uiPriority w:val="0"/>
    <w:rPr>
      <w:b/>
      <w:bCs/>
    </w:rPr>
  </w:style>
  <w:style w:type="paragraph" w:styleId="43">
    <w:name w:val="Body Text First Indent"/>
    <w:basedOn w:val="18"/>
    <w:link w:val="71"/>
    <w:qFormat/>
    <w:uiPriority w:val="0"/>
    <w:pPr>
      <w:ind w:firstLine="420" w:firstLineChars="100"/>
    </w:pPr>
  </w:style>
  <w:style w:type="table" w:styleId="45">
    <w:name w:val="Table Grid"/>
    <w:basedOn w:val="44"/>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rFonts w:hint="default" w:ascii="Times New Roman" w:hAnsi="Times New Roman" w:cs="Times New Roman"/>
      <w:b/>
    </w:rPr>
  </w:style>
  <w:style w:type="character" w:styleId="48">
    <w:name w:val="page number"/>
    <w:basedOn w:val="46"/>
    <w:qFormat/>
    <w:uiPriority w:val="0"/>
    <w:rPr>
      <w:rFonts w:hint="default" w:ascii="Times New Roman" w:hAnsi="Times New Roman" w:cs="Times New Roman"/>
    </w:rPr>
  </w:style>
  <w:style w:type="character" w:styleId="49">
    <w:name w:val="FollowedHyperlink"/>
    <w:basedOn w:val="46"/>
    <w:qFormat/>
    <w:uiPriority w:val="0"/>
    <w:rPr>
      <w:color w:val="800080"/>
      <w:u w:val="single"/>
    </w:rPr>
  </w:style>
  <w:style w:type="character" w:styleId="50">
    <w:name w:val="Emphasis"/>
    <w:qFormat/>
    <w:uiPriority w:val="0"/>
    <w:rPr>
      <w:color w:val="CC0033"/>
    </w:rPr>
  </w:style>
  <w:style w:type="character" w:styleId="51">
    <w:name w:val="Hyperlink"/>
    <w:basedOn w:val="46"/>
    <w:qFormat/>
    <w:uiPriority w:val="0"/>
    <w:rPr>
      <w:color w:val="0000FF"/>
      <w:u w:val="single"/>
    </w:rPr>
  </w:style>
  <w:style w:type="character" w:styleId="52">
    <w:name w:val="annotation reference"/>
    <w:basedOn w:val="46"/>
    <w:qFormat/>
    <w:uiPriority w:val="0"/>
    <w:rPr>
      <w:sz w:val="21"/>
      <w:szCs w:val="21"/>
    </w:rPr>
  </w:style>
  <w:style w:type="character" w:styleId="53">
    <w:name w:val="footnote reference"/>
    <w:basedOn w:val="46"/>
    <w:qFormat/>
    <w:uiPriority w:val="0"/>
    <w:rPr>
      <w:vertAlign w:val="superscript"/>
    </w:rPr>
  </w:style>
  <w:style w:type="character" w:customStyle="1" w:styleId="54">
    <w:name w:val="页眉 字符"/>
    <w:basedOn w:val="46"/>
    <w:link w:val="29"/>
    <w:qFormat/>
    <w:uiPriority w:val="99"/>
    <w:rPr>
      <w:sz w:val="18"/>
      <w:szCs w:val="18"/>
    </w:rPr>
  </w:style>
  <w:style w:type="character" w:customStyle="1" w:styleId="55">
    <w:name w:val="页脚 字符"/>
    <w:basedOn w:val="46"/>
    <w:link w:val="28"/>
    <w:qFormat/>
    <w:uiPriority w:val="99"/>
    <w:rPr>
      <w:sz w:val="18"/>
      <w:szCs w:val="18"/>
    </w:rPr>
  </w:style>
  <w:style w:type="character" w:customStyle="1" w:styleId="56">
    <w:name w:val="标题 1 字符"/>
    <w:basedOn w:val="46"/>
    <w:link w:val="5"/>
    <w:qFormat/>
    <w:uiPriority w:val="9"/>
    <w:rPr>
      <w:rFonts w:ascii="Times New Roman" w:hAnsi="Times New Roman" w:eastAsia="隶书" w:cs="Times New Roman"/>
      <w:b/>
      <w:bCs/>
      <w:kern w:val="0"/>
      <w:sz w:val="36"/>
      <w:szCs w:val="36"/>
    </w:rPr>
  </w:style>
  <w:style w:type="character" w:customStyle="1" w:styleId="57">
    <w:name w:val="标题 2 字符"/>
    <w:basedOn w:val="46"/>
    <w:link w:val="6"/>
    <w:semiHidden/>
    <w:qFormat/>
    <w:uiPriority w:val="9"/>
    <w:rPr>
      <w:rFonts w:ascii="Arial" w:hAnsi="Arial" w:eastAsia="黑体" w:cs="Times New Roman"/>
      <w:b/>
      <w:bCs/>
      <w:sz w:val="32"/>
      <w:szCs w:val="32"/>
    </w:rPr>
  </w:style>
  <w:style w:type="character" w:customStyle="1" w:styleId="58">
    <w:name w:val="标题 3 字符"/>
    <w:basedOn w:val="46"/>
    <w:link w:val="7"/>
    <w:semiHidden/>
    <w:qFormat/>
    <w:uiPriority w:val="0"/>
    <w:rPr>
      <w:rFonts w:ascii="Calibri" w:hAnsi="Calibri" w:eastAsia="宋体" w:cs="Times New Roman"/>
      <w:b/>
      <w:bCs/>
      <w:sz w:val="32"/>
      <w:szCs w:val="32"/>
    </w:rPr>
  </w:style>
  <w:style w:type="character" w:customStyle="1" w:styleId="59">
    <w:name w:val="标题 4 字符"/>
    <w:basedOn w:val="46"/>
    <w:link w:val="8"/>
    <w:semiHidden/>
    <w:qFormat/>
    <w:uiPriority w:val="9"/>
    <w:rPr>
      <w:rFonts w:ascii="Arial" w:hAnsi="Arial" w:eastAsia="黑体" w:cs="Times New Roman"/>
      <w:b/>
      <w:bCs/>
      <w:sz w:val="28"/>
      <w:szCs w:val="28"/>
    </w:rPr>
  </w:style>
  <w:style w:type="character" w:customStyle="1" w:styleId="60">
    <w:name w:val="标题 5 字符"/>
    <w:basedOn w:val="46"/>
    <w:link w:val="9"/>
    <w:semiHidden/>
    <w:qFormat/>
    <w:uiPriority w:val="9"/>
    <w:rPr>
      <w:rFonts w:ascii="Times New Roman" w:hAnsi="Times New Roman" w:eastAsia="宋体" w:cs="Times New Roman"/>
      <w:b/>
      <w:bCs/>
      <w:sz w:val="28"/>
      <w:szCs w:val="28"/>
    </w:rPr>
  </w:style>
  <w:style w:type="character" w:customStyle="1" w:styleId="61">
    <w:name w:val="标题 6 字符"/>
    <w:basedOn w:val="46"/>
    <w:link w:val="10"/>
    <w:semiHidden/>
    <w:qFormat/>
    <w:uiPriority w:val="9"/>
    <w:rPr>
      <w:rFonts w:ascii="Arial" w:hAnsi="Arial" w:eastAsia="黑体" w:cs="Times New Roman"/>
      <w:b/>
      <w:bCs/>
      <w:sz w:val="24"/>
      <w:szCs w:val="24"/>
    </w:rPr>
  </w:style>
  <w:style w:type="character" w:customStyle="1" w:styleId="62">
    <w:name w:val="标题 7 字符"/>
    <w:basedOn w:val="46"/>
    <w:link w:val="11"/>
    <w:semiHidden/>
    <w:qFormat/>
    <w:uiPriority w:val="9"/>
    <w:rPr>
      <w:rFonts w:ascii="宋体" w:hAnsi="宋体" w:eastAsia="宋体" w:cs="Times New Roman"/>
      <w:b/>
      <w:bCs/>
      <w:kern w:val="0"/>
      <w:sz w:val="24"/>
      <w:szCs w:val="24"/>
    </w:rPr>
  </w:style>
  <w:style w:type="character" w:customStyle="1" w:styleId="63">
    <w:name w:val="HTML 预设格式 字符"/>
    <w:basedOn w:val="46"/>
    <w:link w:val="39"/>
    <w:semiHidden/>
    <w:qFormat/>
    <w:uiPriority w:val="99"/>
    <w:rPr>
      <w:rFonts w:ascii="Courier New" w:hAnsi="Courier New" w:eastAsia="宋体" w:cs="Times New Roman"/>
      <w:sz w:val="20"/>
      <w:szCs w:val="20"/>
    </w:rPr>
  </w:style>
  <w:style w:type="character" w:customStyle="1" w:styleId="64">
    <w:name w:val="正文缩进 字符"/>
    <w:link w:val="4"/>
    <w:semiHidden/>
    <w:qFormat/>
    <w:locked/>
    <w:uiPriority w:val="0"/>
  </w:style>
  <w:style w:type="character" w:customStyle="1" w:styleId="65">
    <w:name w:val="脚注文本 字符"/>
    <w:basedOn w:val="46"/>
    <w:link w:val="33"/>
    <w:semiHidden/>
    <w:qFormat/>
    <w:uiPriority w:val="99"/>
    <w:rPr>
      <w:rFonts w:ascii="Calibri" w:hAnsi="Calibri" w:eastAsia="宋体" w:cs="Times New Roman"/>
      <w:sz w:val="18"/>
      <w:szCs w:val="18"/>
    </w:rPr>
  </w:style>
  <w:style w:type="character" w:customStyle="1" w:styleId="66">
    <w:name w:val="批注文字 字符"/>
    <w:basedOn w:val="46"/>
    <w:link w:val="16"/>
    <w:semiHidden/>
    <w:qFormat/>
    <w:uiPriority w:val="99"/>
    <w:rPr>
      <w:rFonts w:ascii="Calibri" w:hAnsi="Calibri" w:eastAsia="宋体" w:cs="Times New Roman"/>
    </w:rPr>
  </w:style>
  <w:style w:type="character" w:customStyle="1" w:styleId="67">
    <w:name w:val="标题 Char"/>
    <w:basedOn w:val="46"/>
    <w:qFormat/>
    <w:uiPriority w:val="0"/>
    <w:rPr>
      <w:rFonts w:eastAsia="宋体" w:asciiTheme="majorHAnsi" w:hAnsiTheme="majorHAnsi" w:cstheme="majorBidi"/>
      <w:b/>
      <w:bCs/>
      <w:sz w:val="32"/>
      <w:szCs w:val="32"/>
    </w:rPr>
  </w:style>
  <w:style w:type="character" w:customStyle="1" w:styleId="68">
    <w:name w:val="正文文本 字符"/>
    <w:basedOn w:val="46"/>
    <w:link w:val="18"/>
    <w:semiHidden/>
    <w:qFormat/>
    <w:uiPriority w:val="99"/>
    <w:rPr>
      <w:rFonts w:ascii="Calibri" w:hAnsi="Calibri" w:eastAsia="宋体" w:cs="Times New Roman"/>
    </w:rPr>
  </w:style>
  <w:style w:type="character" w:customStyle="1" w:styleId="69">
    <w:name w:val="正文文本缩进 字符"/>
    <w:basedOn w:val="46"/>
    <w:link w:val="3"/>
    <w:semiHidden/>
    <w:qFormat/>
    <w:uiPriority w:val="99"/>
    <w:rPr>
      <w:rFonts w:ascii="宋体" w:hAnsi="Courier New" w:eastAsia="宋体" w:cs="Times New Roman"/>
      <w:spacing w:val="-4"/>
      <w:sz w:val="18"/>
      <w:szCs w:val="20"/>
    </w:rPr>
  </w:style>
  <w:style w:type="character" w:customStyle="1" w:styleId="70">
    <w:name w:val="日期 Char"/>
    <w:basedOn w:val="46"/>
    <w:semiHidden/>
    <w:qFormat/>
    <w:uiPriority w:val="0"/>
    <w:rPr>
      <w:rFonts w:ascii="Calibri" w:hAnsi="Calibri" w:eastAsia="宋体" w:cs="Times New Roman"/>
    </w:rPr>
  </w:style>
  <w:style w:type="character" w:customStyle="1" w:styleId="71">
    <w:name w:val="正文首行缩进 字符"/>
    <w:basedOn w:val="68"/>
    <w:link w:val="43"/>
    <w:semiHidden/>
    <w:qFormat/>
    <w:uiPriority w:val="99"/>
    <w:rPr>
      <w:rFonts w:ascii="Calibri" w:hAnsi="Calibri" w:eastAsia="宋体" w:cs="Times New Roman"/>
    </w:rPr>
  </w:style>
  <w:style w:type="character" w:customStyle="1" w:styleId="72">
    <w:name w:val="正文文本 2 字符"/>
    <w:basedOn w:val="46"/>
    <w:link w:val="38"/>
    <w:semiHidden/>
    <w:qFormat/>
    <w:uiPriority w:val="0"/>
    <w:rPr>
      <w:rFonts w:ascii="宋体" w:hAnsi="宋体" w:eastAsia="宋体" w:cs="Times New Roman"/>
      <w:color w:val="000000"/>
      <w:sz w:val="24"/>
      <w:szCs w:val="24"/>
    </w:rPr>
  </w:style>
  <w:style w:type="character" w:customStyle="1" w:styleId="73">
    <w:name w:val="正文文本 3 字符"/>
    <w:basedOn w:val="46"/>
    <w:link w:val="17"/>
    <w:semiHidden/>
    <w:qFormat/>
    <w:uiPriority w:val="99"/>
    <w:rPr>
      <w:rFonts w:ascii="Times New Roman" w:hAnsi="宋体" w:eastAsia="仿宋_GB2312" w:cs="Times New Roman"/>
      <w:b/>
      <w:bCs/>
      <w:sz w:val="24"/>
      <w:szCs w:val="20"/>
    </w:rPr>
  </w:style>
  <w:style w:type="character" w:customStyle="1" w:styleId="74">
    <w:name w:val="正文文本缩进 2 字符"/>
    <w:basedOn w:val="46"/>
    <w:link w:val="26"/>
    <w:semiHidden/>
    <w:qFormat/>
    <w:uiPriority w:val="99"/>
    <w:rPr>
      <w:rFonts w:ascii="仿宋_GB2312" w:hAnsi="宋体" w:eastAsia="宋体" w:cs="Arial"/>
      <w:b/>
      <w:bCs/>
      <w:color w:val="000000"/>
      <w:sz w:val="24"/>
      <w:szCs w:val="24"/>
    </w:rPr>
  </w:style>
  <w:style w:type="character" w:customStyle="1" w:styleId="75">
    <w:name w:val="正文文本缩进 3 字符"/>
    <w:basedOn w:val="46"/>
    <w:link w:val="35"/>
    <w:semiHidden/>
    <w:qFormat/>
    <w:uiPriority w:val="99"/>
    <w:rPr>
      <w:rFonts w:ascii="仿宋_GB2312" w:hAnsi="宋体" w:eastAsia="仿宋_GB2312" w:cs="Times New Roman"/>
      <w:color w:val="000000"/>
      <w:sz w:val="24"/>
      <w:szCs w:val="24"/>
    </w:rPr>
  </w:style>
  <w:style w:type="character" w:customStyle="1" w:styleId="76">
    <w:name w:val="文档结构图 Char"/>
    <w:basedOn w:val="46"/>
    <w:semiHidden/>
    <w:qFormat/>
    <w:uiPriority w:val="0"/>
    <w:rPr>
      <w:rFonts w:ascii="宋体" w:hAnsi="Calibri" w:eastAsia="宋体" w:cs="Times New Roman"/>
      <w:sz w:val="18"/>
      <w:szCs w:val="18"/>
    </w:rPr>
  </w:style>
  <w:style w:type="character" w:customStyle="1" w:styleId="77">
    <w:name w:val="纯文本 Char"/>
    <w:link w:val="78"/>
    <w:semiHidden/>
    <w:qFormat/>
    <w:uiPriority w:val="0"/>
    <w:rPr>
      <w:rFonts w:ascii="宋体" w:hAnsi="Courier New" w:eastAsia="宋体" w:cs="Courier New"/>
      <w:snapToGrid w:val="0"/>
      <w:kern w:val="0"/>
      <w:sz w:val="18"/>
      <w:szCs w:val="21"/>
    </w:rPr>
  </w:style>
  <w:style w:type="paragraph" w:customStyle="1" w:styleId="78">
    <w:name w:val="Plain Text"/>
    <w:basedOn w:val="1"/>
    <w:link w:val="77"/>
    <w:qFormat/>
    <w:uiPriority w:val="0"/>
    <w:rPr>
      <w:rFonts w:ascii="宋体" w:hAnsi="Courier New" w:eastAsia="宋体" w:cs="Courier New"/>
      <w:snapToGrid w:val="0"/>
      <w:kern w:val="0"/>
      <w:sz w:val="18"/>
      <w:szCs w:val="21"/>
    </w:rPr>
  </w:style>
  <w:style w:type="character" w:customStyle="1" w:styleId="79">
    <w:name w:val="批注主题 字符"/>
    <w:basedOn w:val="66"/>
    <w:link w:val="42"/>
    <w:semiHidden/>
    <w:qFormat/>
    <w:uiPriority w:val="99"/>
    <w:rPr>
      <w:rFonts w:ascii="Calibri" w:hAnsi="Calibri" w:eastAsia="宋体" w:cs="Times New Roman"/>
      <w:b/>
      <w:bCs/>
    </w:rPr>
  </w:style>
  <w:style w:type="character" w:customStyle="1" w:styleId="80">
    <w:name w:val="批注框文本 字符"/>
    <w:basedOn w:val="46"/>
    <w:link w:val="27"/>
    <w:semiHidden/>
    <w:qFormat/>
    <w:uiPriority w:val="99"/>
    <w:rPr>
      <w:rFonts w:ascii="Calibri" w:hAnsi="Calibri" w:eastAsia="宋体" w:cs="Times New Roman"/>
      <w:sz w:val="18"/>
      <w:szCs w:val="18"/>
    </w:rPr>
  </w:style>
  <w:style w:type="character" w:customStyle="1" w:styleId="81">
    <w:name w:val="a Char"/>
    <w:link w:val="82"/>
    <w:qFormat/>
    <w:locked/>
    <w:uiPriority w:val="0"/>
    <w:rPr>
      <w:rFonts w:ascii="宋体" w:hAnsi="宋体" w:eastAsia="仿宋_GB2312"/>
      <w:sz w:val="24"/>
    </w:rPr>
  </w:style>
  <w:style w:type="paragraph" w:customStyle="1" w:styleId="82">
    <w:name w:val="a"/>
    <w:basedOn w:val="1"/>
    <w:link w:val="8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83">
    <w:name w:val="列出段落1 Char"/>
    <w:link w:val="84"/>
    <w:qFormat/>
    <w:locked/>
    <w:uiPriority w:val="99"/>
    <w:rPr>
      <w:rFonts w:asciiTheme="minorHAnsi" w:hAnsiTheme="minorHAnsi" w:eastAsiaTheme="minorEastAsia" w:cstheme="minorBidi"/>
      <w:sz w:val="24"/>
    </w:rPr>
  </w:style>
  <w:style w:type="paragraph" w:customStyle="1" w:styleId="84">
    <w:name w:val="列出段落11"/>
    <w:basedOn w:val="1"/>
    <w:link w:val="83"/>
    <w:qFormat/>
    <w:uiPriority w:val="99"/>
    <w:pPr>
      <w:ind w:firstLine="420" w:firstLineChars="200"/>
    </w:pPr>
    <w:rPr>
      <w:rFonts w:asciiTheme="minorHAnsi" w:hAnsiTheme="minorHAnsi" w:eastAsiaTheme="minorEastAsia" w:cstheme="minorBidi"/>
      <w:sz w:val="24"/>
    </w:rPr>
  </w:style>
  <w:style w:type="paragraph" w:customStyle="1" w:styleId="85">
    <w:name w:val="列出段落1"/>
    <w:basedOn w:val="1"/>
    <w:link w:val="83"/>
    <w:qFormat/>
    <w:uiPriority w:val="34"/>
    <w:pPr>
      <w:ind w:firstLine="420" w:firstLineChars="200"/>
    </w:pPr>
    <w:rPr>
      <w:rFonts w:cs="Calibri" w:eastAsiaTheme="minorEastAsia"/>
      <w:szCs w:val="21"/>
    </w:rPr>
  </w:style>
  <w:style w:type="paragraph" w:customStyle="1" w:styleId="86">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大表 mt"/>
    <w:basedOn w:val="1"/>
    <w:qFormat/>
    <w:uiPriority w:val="99"/>
    <w:pPr>
      <w:widowControl/>
      <w:jc w:val="left"/>
    </w:pPr>
    <w:rPr>
      <w:rFonts w:ascii="宋体" w:hAnsi="宋体" w:cs="宋体"/>
      <w:kern w:val="0"/>
      <w:szCs w:val="21"/>
    </w:rPr>
  </w:style>
  <w:style w:type="paragraph" w:customStyle="1" w:styleId="88">
    <w:name w:val="正文首行缩进:2字符"/>
    <w:basedOn w:val="1"/>
    <w:qFormat/>
    <w:uiPriority w:val="99"/>
    <w:pPr>
      <w:spacing w:line="360" w:lineRule="auto"/>
      <w:ind w:firstLine="480" w:firstLineChars="200"/>
    </w:pPr>
    <w:rPr>
      <w:rFonts w:ascii="Times New Roman" w:hAnsi="Times New Roman" w:cs="宋体"/>
      <w:szCs w:val="20"/>
    </w:rPr>
  </w:style>
  <w:style w:type="paragraph" w:customStyle="1" w:styleId="89">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9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1">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2">
    <w:name w:val="纯文本1"/>
    <w:basedOn w:val="1"/>
    <w:qFormat/>
    <w:uiPriority w:val="99"/>
    <w:pPr>
      <w:spacing w:beforeLines="50" w:line="400" w:lineRule="exact"/>
    </w:pPr>
    <w:rPr>
      <w:rFonts w:ascii="宋体" w:hAnsi="Courier New" w:eastAsia="黑体"/>
      <w:sz w:val="24"/>
      <w:szCs w:val="24"/>
    </w:rPr>
  </w:style>
  <w:style w:type="paragraph" w:customStyle="1" w:styleId="93">
    <w:name w:val="wellhope正文"/>
    <w:basedOn w:val="1"/>
    <w:qFormat/>
    <w:uiPriority w:val="99"/>
    <w:pPr>
      <w:spacing w:before="60" w:after="60" w:line="360" w:lineRule="auto"/>
      <w:ind w:firstLine="200" w:firstLineChars="200"/>
    </w:pPr>
    <w:rPr>
      <w:rFonts w:ascii="Times New Roman" w:hAnsi="Times New Roman"/>
      <w:sz w:val="24"/>
      <w:szCs w:val="20"/>
    </w:rPr>
  </w:style>
  <w:style w:type="paragraph" w:customStyle="1" w:styleId="94">
    <w:name w:val="Char1"/>
    <w:basedOn w:val="1"/>
    <w:qFormat/>
    <w:uiPriority w:val="99"/>
    <w:rPr>
      <w:rFonts w:ascii="仿宋_GB2312" w:hAnsi="Times New Roman" w:eastAsia="仿宋_GB2312"/>
      <w:b/>
      <w:sz w:val="32"/>
      <w:szCs w:val="32"/>
    </w:rPr>
  </w:style>
  <w:style w:type="paragraph" w:customStyle="1" w:styleId="95">
    <w:name w:val="项目圆"/>
    <w:basedOn w:val="1"/>
    <w:qFormat/>
    <w:uiPriority w:val="99"/>
    <w:pPr>
      <w:tabs>
        <w:tab w:val="left" w:pos="840"/>
      </w:tabs>
      <w:spacing w:beforeLines="50" w:line="360" w:lineRule="auto"/>
      <w:ind w:left="454"/>
    </w:pPr>
    <w:rPr>
      <w:rFonts w:ascii="Times New Roman" w:hAnsi="Times New Roman"/>
      <w:szCs w:val="24"/>
    </w:rPr>
  </w:style>
  <w:style w:type="paragraph" w:customStyle="1" w:styleId="96">
    <w:name w:val="paragraph1"/>
    <w:basedOn w:val="1"/>
    <w:qFormat/>
    <w:uiPriority w:val="99"/>
    <w:pPr>
      <w:spacing w:line="360" w:lineRule="auto"/>
      <w:ind w:firstLine="420" w:firstLineChars="200"/>
    </w:pPr>
    <w:rPr>
      <w:rFonts w:ascii="Times New Roman" w:hAnsi="Times New Roman" w:eastAsia="楷体_GB2312"/>
      <w:sz w:val="24"/>
      <w:szCs w:val="20"/>
    </w:rPr>
  </w:style>
  <w:style w:type="paragraph" w:customStyle="1" w:styleId="9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8">
    <w:name w:val="_Style 64"/>
    <w:basedOn w:val="1"/>
    <w:qFormat/>
    <w:uiPriority w:val="99"/>
    <w:rPr>
      <w:rFonts w:ascii="Times New Roman" w:hAnsi="Times New Roman"/>
      <w:sz w:val="24"/>
      <w:szCs w:val="24"/>
    </w:rPr>
  </w:style>
  <w:style w:type="paragraph" w:customStyle="1" w:styleId="99">
    <w:name w:val="Proposals body"/>
    <w:basedOn w:val="1"/>
    <w:next w:val="1"/>
    <w:qFormat/>
    <w:uiPriority w:val="99"/>
    <w:pPr>
      <w:widowControl/>
      <w:snapToGrid w:val="0"/>
      <w:spacing w:line="360" w:lineRule="auto"/>
      <w:jc w:val="left"/>
    </w:pPr>
    <w:rPr>
      <w:rFonts w:ascii="宋体" w:hAnsi="Times New Roman"/>
      <w:color w:val="000000"/>
      <w:kern w:val="0"/>
      <w:sz w:val="24"/>
      <w:szCs w:val="20"/>
    </w:rPr>
  </w:style>
  <w:style w:type="paragraph" w:customStyle="1" w:styleId="10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1">
    <w:name w:val="样式 正文缩进 + 首行缩进:  2 字符"/>
    <w:basedOn w:val="4"/>
    <w:qFormat/>
    <w:uiPriority w:val="99"/>
    <w:pPr>
      <w:tabs>
        <w:tab w:val="left" w:pos="1080"/>
      </w:tabs>
      <w:spacing w:line="360" w:lineRule="auto"/>
      <w:ind w:left="1080" w:hanging="540"/>
    </w:pPr>
    <w:rPr>
      <w:rFonts w:ascii="宋体" w:hAnsi="宋体"/>
      <w:sz w:val="24"/>
      <w:szCs w:val="24"/>
    </w:rPr>
  </w:style>
  <w:style w:type="paragraph" w:customStyle="1" w:styleId="102">
    <w:name w:val="Pa3"/>
    <w:basedOn w:val="1"/>
    <w:next w:val="1"/>
    <w:qFormat/>
    <w:uiPriority w:val="99"/>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03">
    <w:name w:val="文档正文"/>
    <w:basedOn w:val="1"/>
    <w:qFormat/>
    <w:uiPriority w:val="99"/>
    <w:pPr>
      <w:adjustRightInd w:val="0"/>
      <w:spacing w:before="60" w:after="60" w:line="360" w:lineRule="auto"/>
      <w:ind w:firstLine="227"/>
    </w:pPr>
    <w:rPr>
      <w:rFonts w:ascii="宋体" w:hAnsi="Times New Roman"/>
      <w:kern w:val="0"/>
      <w:sz w:val="24"/>
      <w:szCs w:val="24"/>
    </w:rPr>
  </w:style>
  <w:style w:type="paragraph" w:customStyle="1" w:styleId="104">
    <w:name w:val="Char Char Char Char Char Char Char Char Char"/>
    <w:basedOn w:val="1"/>
    <w:qFormat/>
    <w:uiPriority w:val="99"/>
  </w:style>
  <w:style w:type="paragraph" w:customStyle="1" w:styleId="105">
    <w:name w:val="p0"/>
    <w:basedOn w:val="1"/>
    <w:qFormat/>
    <w:uiPriority w:val="99"/>
    <w:pPr>
      <w:widowControl/>
      <w:jc w:val="left"/>
    </w:pPr>
    <w:rPr>
      <w:rFonts w:ascii="Arial" w:hAnsi="Arial" w:cs="Arial"/>
      <w:kern w:val="0"/>
      <w:sz w:val="20"/>
      <w:szCs w:val="20"/>
    </w:rPr>
  </w:style>
  <w:style w:type="character" w:customStyle="1" w:styleId="106">
    <w:name w:val="正文2 Char"/>
    <w:link w:val="107"/>
    <w:qFormat/>
    <w:locked/>
    <w:uiPriority w:val="99"/>
    <w:rPr>
      <w:rFonts w:ascii="Times New Roman" w:hAnsi="Times New Roman" w:cs="Times New Roman"/>
      <w:sz w:val="24"/>
    </w:rPr>
  </w:style>
  <w:style w:type="paragraph" w:customStyle="1" w:styleId="107">
    <w:name w:val="正文2"/>
    <w:next w:val="30"/>
    <w:link w:val="106"/>
    <w:qFormat/>
    <w:uiPriority w:val="99"/>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8">
    <w:name w:val="样式 标题 1标题1(cj) +"/>
    <w:basedOn w:val="5"/>
    <w:qFormat/>
    <w:uiPriority w:val="99"/>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9">
    <w:name w:val="图文框"/>
    <w:basedOn w:val="1"/>
    <w:qFormat/>
    <w:uiPriority w:val="99"/>
    <w:pPr>
      <w:jc w:val="center"/>
    </w:pPr>
    <w:rPr>
      <w:rFonts w:ascii="仿宋_GB2312" w:hAnsi="Times New Roman" w:eastAsia="仿宋_GB2312"/>
      <w:szCs w:val="24"/>
    </w:rPr>
  </w:style>
  <w:style w:type="character" w:customStyle="1" w:styleId="110">
    <w:name w:val="样式1 Char"/>
    <w:link w:val="111"/>
    <w:qFormat/>
    <w:locked/>
    <w:uiPriority w:val="0"/>
    <w:rPr>
      <w:rFonts w:ascii="Arial" w:hAnsi="Arial" w:cs="Arial"/>
    </w:rPr>
  </w:style>
  <w:style w:type="paragraph" w:customStyle="1" w:styleId="111">
    <w:name w:val="样式1"/>
    <w:basedOn w:val="1"/>
    <w:link w:val="110"/>
    <w:qFormat/>
    <w:uiPriority w:val="0"/>
    <w:pPr>
      <w:spacing w:line="360" w:lineRule="exact"/>
      <w:ind w:firstLine="200" w:firstLineChars="200"/>
    </w:pPr>
    <w:rPr>
      <w:rFonts w:ascii="Arial" w:hAnsi="Arial" w:cs="Arial" w:eastAsiaTheme="minorEastAsia"/>
    </w:rPr>
  </w:style>
  <w:style w:type="paragraph" w:customStyle="1" w:styleId="112">
    <w:name w:val="文档正文 Char"/>
    <w:basedOn w:val="1"/>
    <w:qFormat/>
    <w:uiPriority w:val="99"/>
    <w:pPr>
      <w:adjustRightInd w:val="0"/>
      <w:spacing w:line="500" w:lineRule="exact"/>
      <w:ind w:firstLine="567"/>
    </w:pPr>
    <w:rPr>
      <w:rFonts w:ascii="仿宋_GB2312" w:hAnsi="Times New Roman" w:eastAsia="仿宋_GB2312"/>
      <w:sz w:val="28"/>
      <w:szCs w:val="24"/>
    </w:rPr>
  </w:style>
  <w:style w:type="paragraph" w:customStyle="1" w:styleId="113">
    <w:name w:val="正文段"/>
    <w:basedOn w:val="1"/>
    <w:qFormat/>
    <w:uiPriority w:val="99"/>
    <w:pPr>
      <w:widowControl/>
      <w:snapToGrid w:val="0"/>
      <w:ind w:firstLine="200" w:firstLineChars="200"/>
    </w:pPr>
    <w:rPr>
      <w:rFonts w:ascii="Times New Roman" w:hAnsi="Times New Roman"/>
      <w:kern w:val="0"/>
      <w:sz w:val="24"/>
      <w:szCs w:val="20"/>
    </w:rPr>
  </w:style>
  <w:style w:type="paragraph" w:customStyle="1" w:styleId="114">
    <w:name w:val="Char Char Char Char Char Char Char"/>
    <w:basedOn w:val="1"/>
    <w:qFormat/>
    <w:uiPriority w:val="99"/>
    <w:pPr>
      <w:tabs>
        <w:tab w:val="left" w:pos="432"/>
      </w:tabs>
      <w:ind w:left="432" w:hanging="432"/>
    </w:pPr>
    <w:rPr>
      <w:rFonts w:ascii="Tahoma" w:hAnsi="Tahoma"/>
      <w:sz w:val="24"/>
      <w:szCs w:val="20"/>
    </w:rPr>
  </w:style>
  <w:style w:type="paragraph" w:customStyle="1" w:styleId="115">
    <w:name w:val="默认段落字体 Para Char Char Char Char Char Char Char Char Char1 Char Char Char Char"/>
    <w:basedOn w:val="1"/>
    <w:qFormat/>
    <w:uiPriority w:val="99"/>
    <w:rPr>
      <w:rFonts w:ascii="Tahoma" w:hAnsi="Tahoma"/>
      <w:sz w:val="24"/>
      <w:szCs w:val="20"/>
    </w:rPr>
  </w:style>
  <w:style w:type="paragraph" w:customStyle="1" w:styleId="116">
    <w:name w:val="序号"/>
    <w:basedOn w:val="1"/>
    <w:qFormat/>
    <w:uiPriority w:val="99"/>
    <w:pPr>
      <w:tabs>
        <w:tab w:val="left" w:pos="840"/>
      </w:tabs>
      <w:spacing w:line="360" w:lineRule="auto"/>
      <w:ind w:left="840" w:hanging="420"/>
    </w:pPr>
    <w:rPr>
      <w:rFonts w:ascii="Times New Roman" w:hAnsi="Times New Roman"/>
      <w:bCs/>
      <w:szCs w:val="24"/>
    </w:rPr>
  </w:style>
  <w:style w:type="paragraph" w:customStyle="1" w:styleId="117">
    <w:name w:val="样式 标题 1 + 段后: 0.5 行"/>
    <w:basedOn w:val="5"/>
    <w:qFormat/>
    <w:uiPriority w:val="99"/>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8">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119">
    <w:name w:val="7.表小四"/>
    <w:basedOn w:val="1"/>
    <w:qFormat/>
    <w:uiPriority w:val="99"/>
    <w:pPr>
      <w:spacing w:beforeLines="50"/>
    </w:pPr>
    <w:rPr>
      <w:rFonts w:ascii="宋体" w:hAnsi="宋体"/>
      <w:sz w:val="24"/>
      <w:szCs w:val="24"/>
    </w:rPr>
  </w:style>
  <w:style w:type="character" w:customStyle="1" w:styleId="120">
    <w:name w:val="彩色列表 - 强调文字颜色 1 Char"/>
    <w:link w:val="121"/>
    <w:qFormat/>
    <w:locked/>
    <w:uiPriority w:val="99"/>
  </w:style>
  <w:style w:type="paragraph" w:customStyle="1" w:styleId="121">
    <w:name w:val="彩色列表 - 强调文字颜色 11"/>
    <w:basedOn w:val="1"/>
    <w:link w:val="120"/>
    <w:qFormat/>
    <w:uiPriority w:val="99"/>
    <w:pPr>
      <w:ind w:firstLine="420" w:firstLineChars="200"/>
    </w:pPr>
    <w:rPr>
      <w:rFonts w:asciiTheme="minorHAnsi" w:hAnsiTheme="minorHAnsi" w:eastAsiaTheme="minorEastAsia" w:cstheme="minorBidi"/>
    </w:rPr>
  </w:style>
  <w:style w:type="paragraph" w:customStyle="1" w:styleId="122">
    <w:name w:val="Char1 Char Char Char"/>
    <w:basedOn w:val="1"/>
    <w:qFormat/>
    <w:uiPriority w:val="99"/>
    <w:rPr>
      <w:rFonts w:ascii="Tahoma" w:hAnsi="Tahoma"/>
      <w:sz w:val="24"/>
      <w:szCs w:val="20"/>
    </w:rPr>
  </w:style>
  <w:style w:type="paragraph" w:customStyle="1" w:styleId="12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24">
    <w:name w:val="表格文字"/>
    <w:basedOn w:val="1"/>
    <w:qFormat/>
    <w:uiPriority w:val="99"/>
    <w:pPr>
      <w:jc w:val="left"/>
    </w:pPr>
    <w:rPr>
      <w:rFonts w:ascii="Times New Roman" w:hAnsi="Times New Roman"/>
      <w:sz w:val="18"/>
      <w:szCs w:val="24"/>
    </w:rPr>
  </w:style>
  <w:style w:type="paragraph" w:customStyle="1" w:styleId="125">
    <w:name w:val="List Paragraph1"/>
    <w:basedOn w:val="1"/>
    <w:qFormat/>
    <w:uiPriority w:val="99"/>
    <w:pPr>
      <w:ind w:firstLine="420" w:firstLineChars="200"/>
    </w:pPr>
    <w:rPr>
      <w:rFonts w:ascii="Times New Roman" w:hAnsi="Times New Roman"/>
      <w:szCs w:val="24"/>
    </w:rPr>
  </w:style>
  <w:style w:type="character" w:customStyle="1" w:styleId="126">
    <w:name w:val="_正文段落 Char"/>
    <w:link w:val="127"/>
    <w:qFormat/>
    <w:locked/>
    <w:uiPriority w:val="0"/>
    <w:rPr>
      <w:rFonts w:ascii="Times New Roman" w:hAnsi="Times New Roman" w:cs="Times New Roman"/>
      <w:szCs w:val="24"/>
    </w:rPr>
  </w:style>
  <w:style w:type="paragraph" w:customStyle="1" w:styleId="127">
    <w:name w:val="_正文段落"/>
    <w:basedOn w:val="1"/>
    <w:link w:val="126"/>
    <w:qFormat/>
    <w:uiPriority w:val="0"/>
    <w:pPr>
      <w:spacing w:beforeLines="15" w:line="360" w:lineRule="auto"/>
      <w:ind w:firstLine="200" w:firstLineChars="200"/>
    </w:pPr>
    <w:rPr>
      <w:rFonts w:ascii="Times New Roman" w:hAnsi="Times New Roman" w:eastAsiaTheme="minorEastAsia"/>
      <w:szCs w:val="24"/>
    </w:rPr>
  </w:style>
  <w:style w:type="character" w:customStyle="1" w:styleId="128">
    <w:name w:val="InfoBlue Char"/>
    <w:link w:val="129"/>
    <w:qFormat/>
    <w:locked/>
    <w:uiPriority w:val="99"/>
    <w:rPr>
      <w:rFonts w:ascii="仿宋_GB2312" w:hAnsi="宋体" w:eastAsia="仿宋_GB2312"/>
      <w:sz w:val="30"/>
      <w:szCs w:val="30"/>
    </w:rPr>
  </w:style>
  <w:style w:type="paragraph" w:customStyle="1" w:styleId="129">
    <w:name w:val="InfoBlue"/>
    <w:basedOn w:val="1"/>
    <w:link w:val="128"/>
    <w:qFormat/>
    <w:uiPriority w:val="99"/>
    <w:pPr>
      <w:spacing w:before="120" w:after="120" w:line="360" w:lineRule="auto"/>
      <w:ind w:firstLine="600" w:firstLineChars="200"/>
    </w:pPr>
    <w:rPr>
      <w:rFonts w:ascii="仿宋_GB2312" w:hAnsi="宋体" w:eastAsia="仿宋_GB2312" w:cstheme="minorBidi"/>
      <w:sz w:val="30"/>
      <w:szCs w:val="30"/>
    </w:rPr>
  </w:style>
  <w:style w:type="paragraph" w:customStyle="1" w:styleId="130">
    <w:name w:val="样式 小四 行距: 1.5 倍行距"/>
    <w:basedOn w:val="1"/>
    <w:qFormat/>
    <w:uiPriority w:val="99"/>
    <w:pPr>
      <w:spacing w:line="360" w:lineRule="auto"/>
      <w:ind w:firstLine="480" w:firstLineChars="200"/>
    </w:pPr>
    <w:rPr>
      <w:rFonts w:ascii="Times New Roman" w:hAnsi="Times New Roman"/>
      <w:szCs w:val="20"/>
    </w:rPr>
  </w:style>
  <w:style w:type="character" w:customStyle="1" w:styleId="131">
    <w:name w:val="大汉方案正文 Char1"/>
    <w:link w:val="132"/>
    <w:qFormat/>
    <w:locked/>
    <w:uiPriority w:val="99"/>
    <w:rPr>
      <w:rFonts w:ascii="Arial" w:hAnsi="Arial" w:cs="Arial"/>
      <w:sz w:val="24"/>
    </w:rPr>
  </w:style>
  <w:style w:type="paragraph" w:customStyle="1" w:styleId="132">
    <w:name w:val="大汉方案正文"/>
    <w:basedOn w:val="1"/>
    <w:link w:val="131"/>
    <w:qFormat/>
    <w:uiPriority w:val="99"/>
    <w:pPr>
      <w:spacing w:line="360" w:lineRule="auto"/>
      <w:ind w:firstLine="200" w:firstLineChars="200"/>
    </w:pPr>
    <w:rPr>
      <w:rFonts w:ascii="Arial" w:hAnsi="Arial" w:cs="Arial" w:eastAsiaTheme="minorEastAsia"/>
      <w:sz w:val="24"/>
    </w:rPr>
  </w:style>
  <w:style w:type="character" w:customStyle="1" w:styleId="133">
    <w:name w:val="正文缩进2字符 Char"/>
    <w:link w:val="134"/>
    <w:qFormat/>
    <w:locked/>
    <w:uiPriority w:val="99"/>
    <w:rPr>
      <w:sz w:val="24"/>
      <w:szCs w:val="24"/>
    </w:rPr>
  </w:style>
  <w:style w:type="paragraph" w:customStyle="1" w:styleId="134">
    <w:name w:val="正文缩进2字符"/>
    <w:basedOn w:val="1"/>
    <w:link w:val="133"/>
    <w:qFormat/>
    <w:uiPriority w:val="99"/>
    <w:pPr>
      <w:spacing w:line="360" w:lineRule="auto"/>
      <w:ind w:firstLine="480" w:firstLineChars="200"/>
    </w:pPr>
    <w:rPr>
      <w:rFonts w:asciiTheme="minorHAnsi" w:hAnsiTheme="minorHAnsi" w:eastAsiaTheme="minorEastAsia" w:cstheme="minorBidi"/>
      <w:sz w:val="24"/>
      <w:szCs w:val="24"/>
    </w:rPr>
  </w:style>
  <w:style w:type="character" w:customStyle="1" w:styleId="135">
    <w:name w:val="title14"/>
    <w:basedOn w:val="46"/>
    <w:qFormat/>
    <w:uiPriority w:val="99"/>
  </w:style>
  <w:style w:type="character" w:customStyle="1" w:styleId="136">
    <w:name w:val="Char Char1"/>
    <w:qFormat/>
    <w:uiPriority w:val="99"/>
    <w:rPr>
      <w:kern w:val="2"/>
      <w:sz w:val="18"/>
      <w:szCs w:val="18"/>
    </w:rPr>
  </w:style>
  <w:style w:type="character" w:customStyle="1" w:styleId="137">
    <w:name w:val="Char Char2"/>
    <w:qFormat/>
    <w:uiPriority w:val="99"/>
    <w:rPr>
      <w:rFonts w:hint="eastAsia" w:ascii="宋体" w:hAnsi="Courier New" w:eastAsia="宋体"/>
      <w:sz w:val="21"/>
      <w:lang w:val="en-US" w:eastAsia="zh-CN" w:bidi="ar-SA"/>
    </w:rPr>
  </w:style>
  <w:style w:type="character" w:customStyle="1" w:styleId="138">
    <w:name w:val="标题 1 Char Char"/>
    <w:qFormat/>
    <w:uiPriority w:val="99"/>
    <w:rPr>
      <w:rFonts w:hint="eastAsia" w:ascii="宋体" w:hAnsi="宋体" w:eastAsia="宋体"/>
      <w:b/>
      <w:spacing w:val="-2"/>
      <w:sz w:val="24"/>
      <w:lang w:val="en-US" w:eastAsia="zh-CN" w:bidi="ar-SA"/>
    </w:rPr>
  </w:style>
  <w:style w:type="character" w:customStyle="1" w:styleId="139">
    <w:name w:val="b titlename wangputoptitle"/>
    <w:basedOn w:val="46"/>
    <w:qFormat/>
    <w:uiPriority w:val="99"/>
  </w:style>
  <w:style w:type="character" w:customStyle="1" w:styleId="140">
    <w:name w:val="normal_text"/>
    <w:basedOn w:val="46"/>
    <w:qFormat/>
    <w:uiPriority w:val="99"/>
  </w:style>
  <w:style w:type="character" w:customStyle="1" w:styleId="141">
    <w:name w:val="flname7"/>
    <w:basedOn w:val="46"/>
    <w:qFormat/>
    <w:uiPriority w:val="99"/>
  </w:style>
  <w:style w:type="character" w:customStyle="1" w:styleId="142">
    <w:name w:val="maywed421"/>
    <w:qFormat/>
    <w:uiPriority w:val="99"/>
    <w:rPr>
      <w:color w:val="366FB6"/>
      <w:u w:val="none"/>
    </w:rPr>
  </w:style>
  <w:style w:type="character" w:customStyle="1" w:styleId="143">
    <w:name w:val="spelle"/>
    <w:basedOn w:val="46"/>
    <w:qFormat/>
    <w:uiPriority w:val="99"/>
  </w:style>
  <w:style w:type="character" w:customStyle="1" w:styleId="144">
    <w:name w:val="font3"/>
    <w:basedOn w:val="46"/>
    <w:qFormat/>
    <w:uiPriority w:val="99"/>
  </w:style>
  <w:style w:type="character" w:customStyle="1" w:styleId="145">
    <w:name w:val="apple-style-span"/>
    <w:qFormat/>
    <w:uiPriority w:val="99"/>
  </w:style>
  <w:style w:type="character" w:customStyle="1" w:styleId="146">
    <w:name w:val="表正文 Char"/>
    <w:qFormat/>
    <w:uiPriority w:val="99"/>
    <w:rPr>
      <w:rFonts w:hint="eastAsia" w:ascii="宋体" w:hAnsi="宋体" w:eastAsia="宋体"/>
      <w:kern w:val="2"/>
      <w:sz w:val="21"/>
      <w:lang w:val="en-US" w:eastAsia="zh-CN" w:bidi="ar-SA"/>
    </w:rPr>
  </w:style>
  <w:style w:type="character" w:customStyle="1" w:styleId="147">
    <w:name w:val="para"/>
    <w:basedOn w:val="46"/>
    <w:qFormat/>
    <w:uiPriority w:val="99"/>
  </w:style>
  <w:style w:type="character" w:customStyle="1" w:styleId="148">
    <w:name w:val="纯文本 Char1"/>
    <w:qFormat/>
    <w:uiPriority w:val="99"/>
    <w:rPr>
      <w:rFonts w:hint="eastAsia" w:ascii="宋体" w:hAnsi="Courier New" w:eastAsia="宋体"/>
      <w:kern w:val="2"/>
      <w:sz w:val="24"/>
      <w:szCs w:val="24"/>
    </w:rPr>
  </w:style>
  <w:style w:type="character" w:customStyle="1" w:styleId="149">
    <w:name w:val="页脚 Char1"/>
    <w:basedOn w:val="46"/>
    <w:qFormat/>
    <w:locked/>
    <w:uiPriority w:val="99"/>
    <w:rPr>
      <w:rFonts w:ascii="Calibri" w:hAnsi="Calibri" w:eastAsia="宋体" w:cs="Times New Roman"/>
      <w:sz w:val="18"/>
      <w:szCs w:val="18"/>
    </w:rPr>
  </w:style>
  <w:style w:type="character" w:customStyle="1" w:styleId="150">
    <w:name w:val="标题 字符"/>
    <w:basedOn w:val="46"/>
    <w:link w:val="41"/>
    <w:qFormat/>
    <w:locked/>
    <w:uiPriority w:val="99"/>
    <w:rPr>
      <w:rFonts w:ascii="Cambria" w:hAnsi="Cambria" w:eastAsia="宋体" w:cs="Times New Roman"/>
      <w:b/>
      <w:bCs/>
      <w:kern w:val="0"/>
      <w:sz w:val="32"/>
      <w:szCs w:val="32"/>
    </w:rPr>
  </w:style>
  <w:style w:type="character" w:customStyle="1" w:styleId="151">
    <w:name w:val="页眉 Char1"/>
    <w:basedOn w:val="46"/>
    <w:semiHidden/>
    <w:locked/>
    <w:uiPriority w:val="0"/>
    <w:rPr>
      <w:rFonts w:ascii="Calibri" w:hAnsi="Calibri" w:eastAsia="宋体" w:cs="Times New Roman"/>
      <w:sz w:val="18"/>
      <w:szCs w:val="18"/>
    </w:rPr>
  </w:style>
  <w:style w:type="character" w:customStyle="1" w:styleId="152">
    <w:name w:val="文档结构图 字符"/>
    <w:basedOn w:val="46"/>
    <w:link w:val="15"/>
    <w:semiHidden/>
    <w:qFormat/>
    <w:locked/>
    <w:uiPriority w:val="99"/>
    <w:rPr>
      <w:rFonts w:ascii="宋体" w:hAnsi="Calibri" w:eastAsia="宋体" w:cs="Times New Roman"/>
      <w:sz w:val="18"/>
      <w:szCs w:val="18"/>
    </w:rPr>
  </w:style>
  <w:style w:type="character" w:customStyle="1" w:styleId="153">
    <w:name w:val="日期 字符"/>
    <w:basedOn w:val="46"/>
    <w:link w:val="25"/>
    <w:qFormat/>
    <w:locked/>
    <w:uiPriority w:val="0"/>
    <w:rPr>
      <w:rFonts w:ascii="Times New Roman" w:hAnsi="Times New Roman" w:eastAsia="楷体_GB2312" w:cs="Times New Roman"/>
      <w:sz w:val="32"/>
      <w:szCs w:val="20"/>
    </w:rPr>
  </w:style>
  <w:style w:type="character" w:customStyle="1" w:styleId="154">
    <w:name w:val="纯文本 字符"/>
    <w:basedOn w:val="46"/>
    <w:link w:val="23"/>
    <w:qFormat/>
    <w:locked/>
    <w:uiPriority w:val="0"/>
    <w:rPr>
      <w:rFonts w:ascii="宋体" w:hAnsi="Courier New" w:eastAsia="宋体" w:cs="Times New Roman"/>
      <w:sz w:val="24"/>
      <w:szCs w:val="24"/>
    </w:rPr>
  </w:style>
  <w:style w:type="paragraph" w:customStyle="1" w:styleId="15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56">
    <w:name w:val="题注 字符"/>
    <w:link w:val="14"/>
    <w:semiHidden/>
    <w:qFormat/>
    <w:locked/>
    <w:uiPriority w:val="0"/>
    <w:rPr>
      <w:rFonts w:ascii="Arial" w:hAnsi="Arial" w:eastAsia="黑体" w:cs="Arial"/>
      <w:sz w:val="20"/>
      <w:szCs w:val="20"/>
    </w:rPr>
  </w:style>
  <w:style w:type="character" w:customStyle="1" w:styleId="157">
    <w:name w:val="日期 字符1"/>
    <w:basedOn w:val="46"/>
    <w:semiHidden/>
    <w:qFormat/>
    <w:uiPriority w:val="0"/>
    <w:rPr>
      <w:rFonts w:ascii="Calibri" w:hAnsi="Calibri" w:eastAsia="宋体" w:cs="Times New Roman"/>
    </w:rPr>
  </w:style>
  <w:style w:type="character" w:customStyle="1" w:styleId="158">
    <w:name w:val="正文文本 2 字符1"/>
    <w:basedOn w:val="46"/>
    <w:semiHidden/>
    <w:qFormat/>
    <w:uiPriority w:val="0"/>
    <w:rPr>
      <w:rFonts w:ascii="Calibri" w:hAnsi="Calibri" w:eastAsia="宋体" w:cs="Times New Roman"/>
    </w:rPr>
  </w:style>
  <w:style w:type="character" w:customStyle="1" w:styleId="159">
    <w:name w:val="纯文本 字符1"/>
    <w:basedOn w:val="46"/>
    <w:semiHidden/>
    <w:qFormat/>
    <w:uiPriority w:val="0"/>
    <w:rPr>
      <w:rFonts w:hAnsi="Courier New" w:cs="Courier New" w:asciiTheme="minorEastAsia"/>
    </w:rPr>
  </w:style>
  <w:style w:type="character" w:customStyle="1" w:styleId="160">
    <w:name w:val="列出段落 字符"/>
    <w:link w:val="161"/>
    <w:qFormat/>
    <w:locked/>
    <w:uiPriority w:val="0"/>
    <w:rPr>
      <w:rFonts w:ascii="Calibri" w:hAnsi="Calibri" w:eastAsia="宋体" w:cs="Times New Roman"/>
    </w:rPr>
  </w:style>
  <w:style w:type="paragraph" w:styleId="161">
    <w:name w:val="List Paragraph"/>
    <w:basedOn w:val="1"/>
    <w:link w:val="160"/>
    <w:qFormat/>
    <w:uiPriority w:val="0"/>
    <w:pPr>
      <w:ind w:firstLine="420" w:firstLineChars="200"/>
    </w:pPr>
  </w:style>
  <w:style w:type="paragraph" w:customStyle="1" w:styleId="162">
    <w:name w:val="列出段落[858D7CFB-ED40-4347-BF05-701D383B685F][858D7CFB-ED40-4347-BF05-701D383B685F]"/>
    <w:basedOn w:val="1"/>
    <w:qFormat/>
    <w:uiPriority w:val="99"/>
    <w:pPr>
      <w:ind w:firstLine="200" w:firstLineChars="200"/>
    </w:pPr>
  </w:style>
  <w:style w:type="paragraph" w:customStyle="1" w:styleId="163">
    <w:name w:val="Char11"/>
    <w:basedOn w:val="1"/>
    <w:qFormat/>
    <w:uiPriority w:val="99"/>
    <w:rPr>
      <w:rFonts w:ascii="仿宋_GB2312" w:hAnsi="Times New Roman" w:eastAsia="仿宋_GB2312"/>
      <w:b/>
      <w:sz w:val="32"/>
      <w:szCs w:val="32"/>
    </w:rPr>
  </w:style>
  <w:style w:type="paragraph" w:customStyle="1" w:styleId="164">
    <w:name w:val="Char Char Char Char Char Char Char1"/>
    <w:basedOn w:val="1"/>
    <w:qFormat/>
    <w:uiPriority w:val="99"/>
    <w:pPr>
      <w:tabs>
        <w:tab w:val="left" w:pos="432"/>
      </w:tabs>
      <w:ind w:left="432" w:hanging="432"/>
    </w:pPr>
    <w:rPr>
      <w:rFonts w:ascii="Tahoma" w:hAnsi="Tahoma"/>
      <w:sz w:val="24"/>
      <w:szCs w:val="20"/>
    </w:rPr>
  </w:style>
  <w:style w:type="character" w:customStyle="1" w:styleId="165">
    <w:name w:val="一级标题 Char"/>
    <w:link w:val="166"/>
    <w:qFormat/>
    <w:locked/>
    <w:uiPriority w:val="99"/>
    <w:rPr>
      <w:rFonts w:ascii="宋体" w:hAnsi="宋体" w:eastAsia="宋体"/>
      <w:b/>
      <w:sz w:val="36"/>
    </w:rPr>
  </w:style>
  <w:style w:type="paragraph" w:customStyle="1" w:styleId="166">
    <w:name w:val="一级标题"/>
    <w:basedOn w:val="23"/>
    <w:link w:val="165"/>
    <w:qFormat/>
    <w:uiPriority w:val="99"/>
    <w:pPr>
      <w:spacing w:line="360" w:lineRule="auto"/>
      <w:jc w:val="center"/>
    </w:pPr>
    <w:rPr>
      <w:rFonts w:hAnsi="宋体" w:cstheme="minorBidi"/>
      <w:b/>
      <w:sz w:val="36"/>
      <w:szCs w:val="22"/>
    </w:rPr>
  </w:style>
  <w:style w:type="paragraph" w:customStyle="1" w:styleId="167">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8">
    <w:name w:val="纯文本2"/>
    <w:basedOn w:val="167"/>
    <w:qFormat/>
    <w:uiPriority w:val="99"/>
    <w:pPr>
      <w:widowControl/>
      <w:jc w:val="left"/>
    </w:pPr>
    <w:rPr>
      <w:rFonts w:ascii="宋体" w:hAnsi="Courier New"/>
    </w:rPr>
  </w:style>
  <w:style w:type="paragraph" w:customStyle="1" w:styleId="169">
    <w:name w:val="Preistext2"/>
    <w:basedOn w:val="1"/>
    <w:qFormat/>
    <w:uiPriority w:val="99"/>
    <w:pPr>
      <w:tabs>
        <w:tab w:val="left" w:pos="709"/>
        <w:tab w:val="left" w:pos="1701"/>
        <w:tab w:val="left" w:pos="3119"/>
      </w:tabs>
      <w:ind w:left="1843" w:right="1701"/>
    </w:pPr>
    <w:rPr>
      <w:sz w:val="18"/>
      <w:szCs w:val="20"/>
      <w:lang w:val="en-GB" w:eastAsia="de-DE"/>
    </w:rPr>
  </w:style>
  <w:style w:type="paragraph" w:customStyle="1" w:styleId="17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71">
    <w:name w:val="p1"/>
    <w:basedOn w:val="1"/>
    <w:qFormat/>
    <w:uiPriority w:val="99"/>
    <w:pPr>
      <w:widowControl/>
      <w:jc w:val="left"/>
    </w:pPr>
    <w:rPr>
      <w:rFonts w:ascii=".SF NS Text" w:hAnsi="Times New Roman" w:eastAsia=".SF NS Text"/>
      <w:kern w:val="0"/>
      <w:sz w:val="20"/>
      <w:szCs w:val="20"/>
    </w:rPr>
  </w:style>
  <w:style w:type="paragraph" w:customStyle="1" w:styleId="172">
    <w:name w:val="List Paragraph2"/>
    <w:basedOn w:val="1"/>
    <w:qFormat/>
    <w:uiPriority w:val="99"/>
    <w:pPr>
      <w:widowControl/>
      <w:ind w:firstLine="420" w:firstLineChars="200"/>
      <w:jc w:val="left"/>
    </w:pPr>
    <w:rPr>
      <w:rFonts w:ascii="Times New Roman" w:hAnsi="Times New Roman"/>
      <w:kern w:val="0"/>
      <w:sz w:val="24"/>
      <w:szCs w:val="24"/>
    </w:rPr>
  </w:style>
  <w:style w:type="character" w:customStyle="1" w:styleId="173">
    <w:name w:val="图 字符"/>
    <w:link w:val="174"/>
    <w:qFormat/>
    <w:locked/>
    <w:uiPriority w:val="0"/>
    <w:rPr>
      <w:szCs w:val="21"/>
    </w:rPr>
  </w:style>
  <w:style w:type="paragraph" w:customStyle="1" w:styleId="174">
    <w:name w:val="图"/>
    <w:basedOn w:val="1"/>
    <w:link w:val="173"/>
    <w:qFormat/>
    <w:uiPriority w:val="0"/>
    <w:pPr>
      <w:spacing w:line="360" w:lineRule="auto"/>
      <w:jc w:val="center"/>
    </w:pPr>
    <w:rPr>
      <w:rFonts w:asciiTheme="minorHAnsi" w:hAnsiTheme="minorHAnsi" w:eastAsiaTheme="minorEastAsia" w:cstheme="minorBidi"/>
      <w:szCs w:val="21"/>
    </w:rPr>
  </w:style>
  <w:style w:type="character" w:customStyle="1" w:styleId="175">
    <w:name w:val="A_正文 Char"/>
    <w:link w:val="176"/>
    <w:qFormat/>
    <w:locked/>
    <w:uiPriority w:val="0"/>
    <w:rPr>
      <w:rFonts w:ascii="仿宋_GB2312" w:eastAsia="仿宋"/>
      <w:bCs/>
      <w:color w:val="000000"/>
      <w:sz w:val="28"/>
      <w:szCs w:val="28"/>
    </w:rPr>
  </w:style>
  <w:style w:type="paragraph" w:customStyle="1" w:styleId="176">
    <w:name w:val="A_正文"/>
    <w:basedOn w:val="1"/>
    <w:link w:val="175"/>
    <w:qFormat/>
    <w:uiPriority w:val="0"/>
    <w:pPr>
      <w:spacing w:line="600" w:lineRule="exact"/>
    </w:pPr>
    <w:rPr>
      <w:rFonts w:ascii="仿宋_GB2312" w:eastAsia="仿宋" w:hAnsiTheme="minorHAnsi" w:cstheme="minorBidi"/>
      <w:bCs/>
      <w:color w:val="000000"/>
      <w:sz w:val="28"/>
      <w:szCs w:val="28"/>
    </w:rPr>
  </w:style>
  <w:style w:type="character" w:customStyle="1" w:styleId="177">
    <w:name w:val="舟式样--正文 Char"/>
    <w:link w:val="178"/>
    <w:locked/>
    <w:uiPriority w:val="0"/>
    <w:rPr>
      <w:rFonts w:ascii="仿宋" w:hAnsi="仿宋" w:eastAsia="仿宋"/>
      <w:sz w:val="30"/>
    </w:rPr>
  </w:style>
  <w:style w:type="paragraph" w:customStyle="1" w:styleId="178">
    <w:name w:val="舟式样--正文"/>
    <w:basedOn w:val="1"/>
    <w:link w:val="177"/>
    <w:qFormat/>
    <w:uiPriority w:val="0"/>
    <w:pPr>
      <w:spacing w:line="360" w:lineRule="auto"/>
      <w:ind w:firstLine="200" w:firstLineChars="200"/>
    </w:pPr>
    <w:rPr>
      <w:rFonts w:ascii="仿宋" w:hAnsi="仿宋" w:eastAsia="仿宋" w:cstheme="minorBidi"/>
      <w:sz w:val="30"/>
    </w:rPr>
  </w:style>
  <w:style w:type="character" w:customStyle="1" w:styleId="179">
    <w:name w:val="三级标题 字符"/>
    <w:link w:val="180"/>
    <w:qFormat/>
    <w:locked/>
    <w:uiPriority w:val="0"/>
    <w:rPr>
      <w:rFonts w:ascii="宋体" w:hAnsi="宋体" w:eastAsia="仿宋GB2312" w:cs="宋体"/>
      <w:b/>
      <w:sz w:val="32"/>
      <w:szCs w:val="32"/>
    </w:rPr>
  </w:style>
  <w:style w:type="paragraph" w:customStyle="1" w:styleId="180">
    <w:name w:val="三级标题"/>
    <w:basedOn w:val="7"/>
    <w:link w:val="179"/>
    <w:qFormat/>
    <w:uiPriority w:val="0"/>
    <w:pPr>
      <w:adjustRightInd w:val="0"/>
      <w:spacing w:before="120" w:after="0" w:line="416" w:lineRule="atLeast"/>
      <w:ind w:left="70" w:leftChars="70"/>
    </w:pPr>
    <w:rPr>
      <w:rFonts w:ascii="宋体" w:hAnsi="宋体" w:eastAsia="仿宋GB2312" w:cs="宋体"/>
      <w:bCs w:val="0"/>
    </w:rPr>
  </w:style>
  <w:style w:type="character" w:customStyle="1" w:styleId="181">
    <w:name w:val="3级标题 字符"/>
    <w:link w:val="182"/>
    <w:qFormat/>
    <w:locked/>
    <w:uiPriority w:val="0"/>
    <w:rPr>
      <w:rFonts w:ascii="微软雅黑" w:hAnsi="微软雅黑" w:eastAsia="微软雅黑" w:cs="Times New Roman"/>
      <w:b/>
      <w:bCs/>
      <w:sz w:val="32"/>
      <w:szCs w:val="32"/>
    </w:rPr>
  </w:style>
  <w:style w:type="paragraph" w:customStyle="1" w:styleId="182">
    <w:name w:val="3级标题"/>
    <w:basedOn w:val="7"/>
    <w:next w:val="1"/>
    <w:link w:val="181"/>
    <w:qFormat/>
    <w:uiPriority w:val="0"/>
    <w:rPr>
      <w:rFonts w:ascii="微软雅黑" w:hAnsi="微软雅黑" w:eastAsia="微软雅黑"/>
    </w:rPr>
  </w:style>
  <w:style w:type="character" w:customStyle="1" w:styleId="183">
    <w:name w:val="舟-正文 Char"/>
    <w:link w:val="184"/>
    <w:qFormat/>
    <w:locked/>
    <w:uiPriority w:val="0"/>
    <w:rPr>
      <w:rFonts w:ascii="仿宋" w:hAnsi="仿宋" w:eastAsia="仿宋_GB2312"/>
      <w:sz w:val="32"/>
      <w:szCs w:val="21"/>
    </w:rPr>
  </w:style>
  <w:style w:type="paragraph" w:customStyle="1" w:styleId="184">
    <w:name w:val="舟-正文"/>
    <w:basedOn w:val="1"/>
    <w:link w:val="183"/>
    <w:qFormat/>
    <w:uiPriority w:val="0"/>
    <w:pPr>
      <w:ind w:firstLine="560" w:firstLineChars="200"/>
    </w:pPr>
    <w:rPr>
      <w:rFonts w:ascii="仿宋" w:hAnsi="仿宋" w:eastAsia="仿宋_GB2312" w:cstheme="minorBidi"/>
      <w:sz w:val="32"/>
      <w:szCs w:val="21"/>
    </w:rPr>
  </w:style>
  <w:style w:type="character" w:customStyle="1" w:styleId="185">
    <w:name w:val="二级标题 字符"/>
    <w:link w:val="186"/>
    <w:qFormat/>
    <w:locked/>
    <w:uiPriority w:val="0"/>
    <w:rPr>
      <w:rFonts w:ascii="仿宋GB2312" w:hAnsi="Calibri Light" w:eastAsia="楷体GB2312"/>
      <w:b/>
      <w:kern w:val="44"/>
      <w:sz w:val="32"/>
      <w:szCs w:val="32"/>
    </w:rPr>
  </w:style>
  <w:style w:type="paragraph" w:customStyle="1" w:styleId="186">
    <w:name w:val="二级标题"/>
    <w:basedOn w:val="6"/>
    <w:link w:val="185"/>
    <w:qFormat/>
    <w:uiPriority w:val="0"/>
    <w:pPr>
      <w:spacing w:line="415" w:lineRule="auto"/>
      <w:ind w:left="75" w:leftChars="75"/>
    </w:pPr>
    <w:rPr>
      <w:rFonts w:ascii="仿宋GB2312" w:hAnsi="Calibri Light" w:eastAsia="楷体GB2312" w:cstheme="minorBidi"/>
      <w:bCs w:val="0"/>
      <w:kern w:val="44"/>
    </w:rPr>
  </w:style>
  <w:style w:type="character" w:customStyle="1" w:styleId="187">
    <w:name w:val="舟式样-标题2 字符"/>
    <w:link w:val="188"/>
    <w:qFormat/>
    <w:locked/>
    <w:uiPriority w:val="0"/>
    <w:rPr>
      <w:rFonts w:ascii="黑体" w:hAnsi="Cambria" w:eastAsia="楷体_GB2312"/>
      <w:b/>
      <w:bCs/>
      <w:sz w:val="32"/>
      <w:szCs w:val="32"/>
    </w:rPr>
  </w:style>
  <w:style w:type="paragraph" w:customStyle="1" w:styleId="188">
    <w:name w:val="舟式样-标题2"/>
    <w:basedOn w:val="6"/>
    <w:next w:val="1"/>
    <w:link w:val="187"/>
    <w:qFormat/>
    <w:uiPriority w:val="0"/>
    <w:pPr>
      <w:numPr>
        <w:ilvl w:val="0"/>
        <w:numId w:val="3"/>
      </w:numPr>
      <w:spacing w:before="0" w:after="0" w:line="360" w:lineRule="auto"/>
    </w:pPr>
    <w:rPr>
      <w:rFonts w:ascii="黑体" w:hAnsi="Cambria" w:eastAsia="楷体_GB2312" w:cstheme="minorBidi"/>
    </w:rPr>
  </w:style>
  <w:style w:type="character" w:customStyle="1" w:styleId="189">
    <w:name w:val="正文文本首行缩进 字符"/>
    <w:link w:val="190"/>
    <w:qFormat/>
    <w:locked/>
    <w:uiPriority w:val="0"/>
    <w:rPr>
      <w:rFonts w:ascii="Times New Roman" w:hAnsi="Times New Roman" w:cs="Times New Roman"/>
    </w:rPr>
  </w:style>
  <w:style w:type="paragraph" w:customStyle="1" w:styleId="190">
    <w:name w:val="_Style 187"/>
    <w:basedOn w:val="1"/>
    <w:next w:val="1"/>
    <w:link w:val="189"/>
    <w:qFormat/>
    <w:uiPriority w:val="0"/>
    <w:pPr>
      <w:ind w:left="2560"/>
      <w:jc w:val="left"/>
    </w:pPr>
    <w:rPr>
      <w:rFonts w:ascii="Times New Roman" w:hAnsi="Times New Roman" w:eastAsiaTheme="minorEastAsia"/>
    </w:rPr>
  </w:style>
  <w:style w:type="character" w:customStyle="1" w:styleId="191">
    <w:name w:val="方案正文 字符"/>
    <w:link w:val="192"/>
    <w:locked/>
    <w:uiPriority w:val="0"/>
    <w:rPr>
      <w:rFonts w:ascii="仿宋" w:hAnsi="仿宋" w:eastAsia="仿宋" w:cs="宋体"/>
      <w:color w:val="000000"/>
      <w:sz w:val="28"/>
      <w:szCs w:val="32"/>
    </w:rPr>
  </w:style>
  <w:style w:type="paragraph" w:customStyle="1" w:styleId="192">
    <w:name w:val="方案正文"/>
    <w:basedOn w:val="161"/>
    <w:link w:val="191"/>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193">
    <w:name w:val="正文2019 Char"/>
    <w:link w:val="194"/>
    <w:qFormat/>
    <w:locked/>
    <w:uiPriority w:val="0"/>
    <w:rPr>
      <w:rFonts w:ascii="仿宋" w:hAnsi="仿宋" w:eastAsia="仿宋"/>
      <w:sz w:val="32"/>
      <w:szCs w:val="32"/>
    </w:rPr>
  </w:style>
  <w:style w:type="paragraph" w:customStyle="1" w:styleId="194">
    <w:name w:val="正文2019"/>
    <w:basedOn w:val="1"/>
    <w:link w:val="193"/>
    <w:qFormat/>
    <w:uiPriority w:val="0"/>
    <w:pPr>
      <w:spacing w:line="276" w:lineRule="auto"/>
      <w:ind w:firstLine="630" w:firstLineChars="200"/>
      <w:jc w:val="left"/>
    </w:pPr>
    <w:rPr>
      <w:rFonts w:ascii="仿宋" w:hAnsi="仿宋" w:eastAsia="仿宋" w:cstheme="minorBidi"/>
      <w:sz w:val="32"/>
      <w:szCs w:val="32"/>
    </w:rPr>
  </w:style>
  <w:style w:type="character" w:customStyle="1" w:styleId="195">
    <w:name w:val="投标正文 Char Char"/>
    <w:link w:val="196"/>
    <w:qFormat/>
    <w:locked/>
    <w:uiPriority w:val="0"/>
    <w:rPr>
      <w:sz w:val="24"/>
      <w:szCs w:val="24"/>
    </w:rPr>
  </w:style>
  <w:style w:type="paragraph" w:customStyle="1" w:styleId="196">
    <w:name w:val="投标正文"/>
    <w:basedOn w:val="1"/>
    <w:link w:val="195"/>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197">
    <w:name w:val="*正文 Char"/>
    <w:link w:val="198"/>
    <w:qFormat/>
    <w:locked/>
    <w:uiPriority w:val="0"/>
    <w:rPr>
      <w:rFonts w:ascii="Time" w:hAnsi="Time"/>
      <w:sz w:val="24"/>
      <w:szCs w:val="24"/>
      <w:lang w:val="zh-CN" w:bidi="en-US"/>
    </w:rPr>
  </w:style>
  <w:style w:type="paragraph" w:customStyle="1" w:styleId="198">
    <w:name w:val="*正文"/>
    <w:basedOn w:val="1"/>
    <w:link w:val="197"/>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199">
    <w:name w:val="列出段落3"/>
    <w:basedOn w:val="1"/>
    <w:qFormat/>
    <w:uiPriority w:val="99"/>
    <w:pPr>
      <w:ind w:firstLine="420" w:firstLineChars="200"/>
    </w:pPr>
    <w:rPr>
      <w:sz w:val="32"/>
      <w:szCs w:val="24"/>
    </w:rPr>
  </w:style>
  <w:style w:type="paragraph" w:customStyle="1" w:styleId="200">
    <w:name w:val="列出段落7"/>
    <w:basedOn w:val="1"/>
    <w:qFormat/>
    <w:uiPriority w:val="34"/>
    <w:pPr>
      <w:spacing w:line="360" w:lineRule="auto"/>
      <w:ind w:firstLine="420" w:firstLineChars="200"/>
    </w:pPr>
    <w:rPr>
      <w:rFonts w:eastAsia="仿宋_GB2312" w:cs="宋体"/>
      <w:sz w:val="32"/>
      <w:szCs w:val="21"/>
    </w:rPr>
  </w:style>
  <w:style w:type="paragraph" w:customStyle="1" w:styleId="201">
    <w:name w:val="TOC 标题1"/>
    <w:basedOn w:val="5"/>
    <w:next w:val="1"/>
    <w:qFormat/>
    <w:uiPriority w:val="39"/>
    <w:pPr>
      <w:keepNext/>
      <w:keepLines/>
      <w:widowControl/>
      <w:autoSpaceDE/>
      <w:autoSpaceDN/>
      <w:adjustRightInd/>
      <w:spacing w:before="240" w:line="256" w:lineRule="auto"/>
      <w:jc w:val="left"/>
      <w:outlineLvl w:val="9"/>
    </w:pPr>
    <w:rPr>
      <w:rFonts w:ascii="等线 Light" w:hAnsi="等线 Light" w:eastAsia="等线 Light"/>
      <w:b w:val="0"/>
      <w:bCs w:val="0"/>
      <w:color w:val="2F5496"/>
      <w:sz w:val="32"/>
      <w:szCs w:val="32"/>
    </w:rPr>
  </w:style>
  <w:style w:type="paragraph" w:customStyle="1" w:styleId="202">
    <w:name w:val="自定义正文"/>
    <w:basedOn w:val="1"/>
    <w:qFormat/>
    <w:uiPriority w:val="99"/>
    <w:pPr>
      <w:spacing w:before="120" w:after="60" w:line="400" w:lineRule="exact"/>
      <w:ind w:firstLine="200" w:firstLineChars="200"/>
      <w:jc w:val="left"/>
    </w:pPr>
    <w:rPr>
      <w:rFonts w:ascii="仿宋_GB2312" w:hAnsi="Times New Roman" w:eastAsia="仿宋_GB2312"/>
      <w:sz w:val="24"/>
      <w:szCs w:val="20"/>
    </w:rPr>
  </w:style>
  <w:style w:type="paragraph" w:customStyle="1" w:styleId="203">
    <w:name w:val="修订1"/>
    <w:qFormat/>
    <w:uiPriority w:val="99"/>
    <w:rPr>
      <w:rFonts w:ascii="等线" w:hAnsi="等线" w:eastAsia="等线" w:cs="Times New Roman"/>
      <w:kern w:val="2"/>
      <w:sz w:val="21"/>
      <w:szCs w:val="22"/>
      <w:lang w:val="en-US" w:eastAsia="zh-CN" w:bidi="ar-SA"/>
    </w:rPr>
  </w:style>
  <w:style w:type="paragraph" w:customStyle="1" w:styleId="204">
    <w:name w:val="样式 正文首行缩进 2 + 首行缩进:  2 字符"/>
    <w:basedOn w:val="1"/>
    <w:qFormat/>
    <w:uiPriority w:val="99"/>
    <w:pPr>
      <w:spacing w:line="360" w:lineRule="auto"/>
      <w:ind w:firstLine="480" w:firstLineChars="200"/>
    </w:pPr>
    <w:rPr>
      <w:rFonts w:ascii="等线" w:hAnsi="等线" w:eastAsia="仿宋"/>
      <w:sz w:val="32"/>
      <w:szCs w:val="21"/>
    </w:rPr>
  </w:style>
  <w:style w:type="paragraph" w:customStyle="1" w:styleId="205">
    <w:name w:val="A正文小四"/>
    <w:basedOn w:val="1"/>
    <w:qFormat/>
    <w:uiPriority w:val="99"/>
    <w:pPr>
      <w:spacing w:line="360" w:lineRule="auto"/>
      <w:ind w:firstLine="200" w:firstLineChars="200"/>
    </w:pPr>
    <w:rPr>
      <w:rFonts w:ascii="Times New Roman" w:hAnsi="Times New Roman" w:eastAsia="仿宋"/>
      <w:sz w:val="30"/>
      <w:szCs w:val="24"/>
    </w:rPr>
  </w:style>
  <w:style w:type="paragraph" w:customStyle="1" w:styleId="206">
    <w:name w:val="修订2"/>
    <w:semiHidden/>
    <w:qFormat/>
    <w:uiPriority w:val="99"/>
    <w:rPr>
      <w:rFonts w:ascii="Calibri" w:hAnsi="Calibri" w:eastAsia="宋体" w:cs="Times New Roman"/>
      <w:kern w:val="2"/>
      <w:sz w:val="21"/>
      <w:szCs w:val="22"/>
      <w:lang w:val="en-US" w:eastAsia="zh-CN" w:bidi="ar-SA"/>
    </w:rPr>
  </w:style>
  <w:style w:type="paragraph" w:customStyle="1" w:styleId="207">
    <w:name w:val="二级节标题"/>
    <w:basedOn w:val="6"/>
    <w:next w:val="208"/>
    <w:qFormat/>
    <w:uiPriority w:val="99"/>
    <w:pPr>
      <w:tabs>
        <w:tab w:val="left" w:pos="360"/>
      </w:tabs>
      <w:spacing w:before="480" w:after="360" w:line="240" w:lineRule="auto"/>
      <w:contextualSpacing/>
      <w:jc w:val="left"/>
    </w:pPr>
    <w:rPr>
      <w:rFonts w:ascii="Times New Roman" w:hAnsi="Times New Roman"/>
      <w:bCs w:val="0"/>
    </w:rPr>
  </w:style>
  <w:style w:type="paragraph" w:customStyle="1" w:styleId="208">
    <w:name w:val="三级节标题"/>
    <w:basedOn w:val="7"/>
    <w:next w:val="209"/>
    <w:qFormat/>
    <w:uiPriority w:val="99"/>
    <w:pPr>
      <w:tabs>
        <w:tab w:val="left" w:pos="360"/>
      </w:tabs>
      <w:spacing w:before="400" w:after="320" w:line="240" w:lineRule="auto"/>
      <w:contextualSpacing/>
      <w:jc w:val="left"/>
    </w:pPr>
    <w:rPr>
      <w:rFonts w:ascii="Times New Roman" w:hAnsi="Times New Roman" w:eastAsia="黑体"/>
      <w:sz w:val="30"/>
    </w:rPr>
  </w:style>
  <w:style w:type="paragraph" w:customStyle="1" w:styleId="209">
    <w:name w:val="四级节标题"/>
    <w:basedOn w:val="8"/>
    <w:next w:val="210"/>
    <w:qFormat/>
    <w:uiPriority w:val="99"/>
    <w:pPr>
      <w:tabs>
        <w:tab w:val="left" w:pos="360"/>
      </w:tabs>
      <w:spacing w:before="320" w:after="280" w:line="240" w:lineRule="auto"/>
      <w:contextualSpacing/>
    </w:pPr>
    <w:rPr>
      <w:rFonts w:ascii="Times New Roman" w:hAnsi="Times New Roman"/>
    </w:rPr>
  </w:style>
  <w:style w:type="paragraph" w:customStyle="1" w:styleId="210">
    <w:name w:val="五级节标题"/>
    <w:basedOn w:val="9"/>
    <w:next w:val="211"/>
    <w:qFormat/>
    <w:uiPriority w:val="99"/>
    <w:pPr>
      <w:tabs>
        <w:tab w:val="left" w:pos="360"/>
      </w:tabs>
      <w:spacing w:before="240" w:after="200" w:line="240" w:lineRule="auto"/>
      <w:contextualSpacing/>
    </w:pPr>
    <w:rPr>
      <w:rFonts w:eastAsia="仿宋_GB2312"/>
    </w:rPr>
  </w:style>
  <w:style w:type="paragraph" w:customStyle="1" w:styleId="211">
    <w:name w:val="六级节标题"/>
    <w:basedOn w:val="10"/>
    <w:next w:val="1"/>
    <w:qFormat/>
    <w:uiPriority w:val="99"/>
    <w:pPr>
      <w:tabs>
        <w:tab w:val="left" w:pos="360"/>
        <w:tab w:val="left" w:pos="1200"/>
      </w:tabs>
      <w:spacing w:before="160" w:after="120" w:line="240" w:lineRule="auto"/>
      <w:contextualSpacing/>
    </w:pPr>
    <w:rPr>
      <w:rFonts w:ascii="Calibri Light" w:hAnsi="Calibri Light" w:eastAsia="仿宋_GB2312"/>
      <w:sz w:val="21"/>
    </w:rPr>
  </w:style>
  <w:style w:type="paragraph" w:customStyle="1" w:styleId="212">
    <w:name w:val="一级章标题"/>
    <w:basedOn w:val="5"/>
    <w:next w:val="207"/>
    <w:qFormat/>
    <w:uiPriority w:val="99"/>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213">
    <w:name w:val="可研正文"/>
    <w:basedOn w:val="1"/>
    <w:qFormat/>
    <w:uiPriority w:val="99"/>
    <w:pPr>
      <w:spacing w:line="360" w:lineRule="auto"/>
      <w:ind w:firstLine="200" w:firstLineChars="200"/>
    </w:pPr>
    <w:rPr>
      <w:rFonts w:eastAsia="仿宋_GB2312"/>
      <w:bCs/>
      <w:kern w:val="0"/>
      <w:sz w:val="28"/>
      <w:szCs w:val="20"/>
    </w:rPr>
  </w:style>
  <w:style w:type="paragraph" w:customStyle="1" w:styleId="214">
    <w:name w:val="二级章标题"/>
    <w:basedOn w:val="207"/>
    <w:qFormat/>
    <w:uiPriority w:val="99"/>
    <w:pPr>
      <w:numPr>
        <w:ilvl w:val="0"/>
        <w:numId w:val="4"/>
      </w:numPr>
      <w:shd w:val="clear" w:color="auto" w:fill="FFFFFF"/>
      <w:spacing w:before="0" w:beforeLines="100" w:after="0" w:afterLines="50" w:line="360" w:lineRule="auto"/>
      <w:ind w:left="981" w:firstLine="0"/>
    </w:pPr>
    <w:rPr>
      <w:rFonts w:ascii="仿宋" w:hAnsi="仿宋" w:eastAsia="仿宋" w:cs="仿宋"/>
      <w:color w:val="000000"/>
      <w:sz w:val="30"/>
      <w:szCs w:val="30"/>
    </w:rPr>
  </w:style>
  <w:style w:type="paragraph" w:customStyle="1" w:styleId="215">
    <w:name w:val="三级章标题"/>
    <w:basedOn w:val="208"/>
    <w:qFormat/>
    <w:uiPriority w:val="99"/>
    <w:pPr>
      <w:numPr>
        <w:ilvl w:val="0"/>
        <w:numId w:val="5"/>
      </w:numPr>
      <w:spacing w:before="0" w:beforeLines="50" w:after="0" w:line="360" w:lineRule="auto"/>
      <w:ind w:left="919" w:firstLine="0"/>
    </w:pPr>
    <w:rPr>
      <w:rFonts w:ascii="仿宋" w:hAnsi="仿宋" w:eastAsia="仿宋"/>
    </w:rPr>
  </w:style>
  <w:style w:type="paragraph" w:customStyle="1" w:styleId="216">
    <w:name w:val="样式 仿宋 三号 黑色 行距: 1.5 倍行距 首行缩进:  2 字符"/>
    <w:basedOn w:val="1"/>
    <w:qFormat/>
    <w:uiPriority w:val="99"/>
    <w:pPr>
      <w:spacing w:line="360" w:lineRule="auto"/>
      <w:ind w:firstLine="640" w:firstLineChars="200"/>
    </w:pPr>
    <w:rPr>
      <w:rFonts w:ascii="仿宋" w:hAnsi="仿宋" w:eastAsia="仿宋" w:cs="宋体"/>
      <w:color w:val="000000"/>
      <w:sz w:val="28"/>
      <w:szCs w:val="20"/>
    </w:rPr>
  </w:style>
  <w:style w:type="character" w:customStyle="1" w:styleId="217">
    <w:name w:val="标题 1 字符1"/>
    <w:basedOn w:val="46"/>
    <w:link w:val="5"/>
    <w:qFormat/>
    <w:locked/>
    <w:uiPriority w:val="9"/>
    <w:rPr>
      <w:rFonts w:ascii="Times New Roman" w:hAnsi="Times New Roman" w:eastAsia="隶书" w:cs="Times New Roman"/>
      <w:b/>
      <w:bCs/>
      <w:kern w:val="0"/>
      <w:sz w:val="36"/>
      <w:szCs w:val="36"/>
    </w:rPr>
  </w:style>
  <w:style w:type="character" w:customStyle="1" w:styleId="218">
    <w:name w:val="标题 4 字符1"/>
    <w:basedOn w:val="46"/>
    <w:link w:val="8"/>
    <w:semiHidden/>
    <w:qFormat/>
    <w:locked/>
    <w:uiPriority w:val="9"/>
    <w:rPr>
      <w:rFonts w:ascii="Arial" w:hAnsi="Arial" w:eastAsia="黑体" w:cs="Times New Roman"/>
      <w:b/>
      <w:bCs/>
      <w:sz w:val="28"/>
      <w:szCs w:val="28"/>
    </w:rPr>
  </w:style>
  <w:style w:type="character" w:customStyle="1" w:styleId="219">
    <w:name w:val="标题 6 字符1"/>
    <w:basedOn w:val="46"/>
    <w:link w:val="10"/>
    <w:semiHidden/>
    <w:qFormat/>
    <w:locked/>
    <w:uiPriority w:val="9"/>
    <w:rPr>
      <w:rFonts w:ascii="Arial" w:hAnsi="Arial" w:eastAsia="黑体" w:cs="Times New Roman"/>
      <w:b/>
      <w:bCs/>
      <w:sz w:val="24"/>
      <w:szCs w:val="24"/>
    </w:rPr>
  </w:style>
  <w:style w:type="character" w:customStyle="1" w:styleId="220">
    <w:name w:val="标题 7 字符1"/>
    <w:basedOn w:val="46"/>
    <w:link w:val="11"/>
    <w:semiHidden/>
    <w:qFormat/>
    <w:locked/>
    <w:uiPriority w:val="9"/>
    <w:rPr>
      <w:rFonts w:ascii="宋体" w:hAnsi="宋体" w:eastAsia="宋体" w:cs="Times New Roman"/>
      <w:b/>
      <w:bCs/>
      <w:kern w:val="0"/>
      <w:sz w:val="24"/>
      <w:szCs w:val="24"/>
    </w:rPr>
  </w:style>
  <w:style w:type="character" w:customStyle="1" w:styleId="221">
    <w:name w:val="批注文字 字符1"/>
    <w:basedOn w:val="46"/>
    <w:link w:val="16"/>
    <w:semiHidden/>
    <w:qFormat/>
    <w:locked/>
    <w:uiPriority w:val="99"/>
    <w:rPr>
      <w:rFonts w:ascii="Calibri" w:hAnsi="Calibri" w:eastAsia="宋体" w:cs="Times New Roman"/>
    </w:rPr>
  </w:style>
  <w:style w:type="character" w:customStyle="1" w:styleId="222">
    <w:name w:val="页脚 字符1"/>
    <w:basedOn w:val="46"/>
    <w:qFormat/>
    <w:locked/>
    <w:uiPriority w:val="99"/>
    <w:rPr>
      <w:rFonts w:hint="default" w:ascii="Times New Roman" w:hAnsi="Times New Roman" w:cs="Times New Roman"/>
      <w:kern w:val="2"/>
      <w:sz w:val="18"/>
      <w:szCs w:val="18"/>
    </w:rPr>
  </w:style>
  <w:style w:type="character" w:customStyle="1" w:styleId="223">
    <w:name w:val="页眉 字符1"/>
    <w:basedOn w:val="46"/>
    <w:qFormat/>
    <w:locked/>
    <w:uiPriority w:val="99"/>
    <w:rPr>
      <w:rFonts w:hint="default" w:ascii="Times New Roman" w:hAnsi="Times New Roman" w:cs="Times New Roman"/>
      <w:kern w:val="2"/>
      <w:sz w:val="18"/>
      <w:szCs w:val="18"/>
    </w:rPr>
  </w:style>
  <w:style w:type="character" w:customStyle="1" w:styleId="224">
    <w:name w:val="font11"/>
    <w:qFormat/>
    <w:uiPriority w:val="0"/>
    <w:rPr>
      <w:rFonts w:hint="eastAsia" w:ascii="微软雅黑" w:hAnsi="微软雅黑" w:eastAsia="微软雅黑" w:cs="微软雅黑"/>
      <w:color w:val="000000"/>
      <w:sz w:val="20"/>
      <w:szCs w:val="20"/>
      <w:u w:val="none"/>
    </w:rPr>
  </w:style>
  <w:style w:type="character" w:customStyle="1" w:styleId="225">
    <w:name w:val="未处理的提及1"/>
    <w:qFormat/>
    <w:uiPriority w:val="99"/>
    <w:rPr>
      <w:color w:val="605E5C"/>
      <w:shd w:val="clear" w:color="auto" w:fill="E1DFDD"/>
    </w:rPr>
  </w:style>
  <w:style w:type="character" w:customStyle="1" w:styleId="226">
    <w:name w:val="一级标题 字符"/>
    <w:qFormat/>
    <w:uiPriority w:val="0"/>
    <w:rPr>
      <w:rFonts w:hint="eastAsia" w:ascii="黑体" w:hAnsi="黑体" w:eastAsia="黑体"/>
      <w:bCs/>
      <w:kern w:val="44"/>
      <w:sz w:val="32"/>
      <w:szCs w:val="32"/>
    </w:rPr>
  </w:style>
  <w:style w:type="character" w:customStyle="1" w:styleId="227">
    <w:name w:val="标题 3 字符1"/>
    <w:qFormat/>
    <w:uiPriority w:val="0"/>
    <w:rPr>
      <w:rFonts w:hint="default" w:ascii="Calibri" w:hAnsi="Calibri" w:eastAsia="黑体" w:cs="Times New Roman"/>
      <w:b/>
      <w:kern w:val="0"/>
      <w:sz w:val="32"/>
      <w:szCs w:val="20"/>
    </w:rPr>
  </w:style>
  <w:style w:type="character" w:customStyle="1" w:styleId="228">
    <w:name w:val="纯文本 Char2"/>
    <w:qFormat/>
    <w:uiPriority w:val="99"/>
    <w:rPr>
      <w:rFonts w:hint="eastAsia" w:ascii="宋体" w:hAnsi="Courier New" w:eastAsia="宋体" w:cs="Times New Roman"/>
      <w:kern w:val="2"/>
      <w:sz w:val="24"/>
      <w:szCs w:val="24"/>
    </w:rPr>
  </w:style>
  <w:style w:type="character" w:customStyle="1" w:styleId="229">
    <w:name w:val="正文缩进 Char1"/>
    <w:qFormat/>
    <w:uiPriority w:val="0"/>
    <w:rPr>
      <w:rFonts w:hint="default" w:ascii="Calibri" w:hAnsi="Calibri" w:eastAsia="宋体" w:cs="Times New Roman"/>
      <w:kern w:val="2"/>
      <w:sz w:val="21"/>
      <w:lang w:val="en-US" w:eastAsia="zh-CN" w:bidi="ar-SA"/>
    </w:rPr>
  </w:style>
  <w:style w:type="character" w:customStyle="1" w:styleId="230">
    <w:name w:val="标题 1 Char"/>
    <w:link w:val="5"/>
    <w:qFormat/>
    <w:uiPriority w:val="0"/>
    <w:rPr>
      <w:rFonts w:ascii="Times New Roman" w:hAnsi="Times New Roman" w:eastAsia="黑体" w:cs="Times New Roman"/>
      <w:b/>
      <w:bCs/>
      <w:snapToGrid w:val="0"/>
      <w:kern w:val="44"/>
      <w:sz w:val="36"/>
      <w:szCs w:val="44"/>
    </w:rPr>
  </w:style>
  <w:style w:type="character" w:customStyle="1" w:styleId="231">
    <w:name w:val="批注文字 Char"/>
    <w:link w:val="16"/>
    <w:qFormat/>
    <w:uiPriority w:val="0"/>
    <w:rPr>
      <w:rFonts w:ascii="Times New Roman" w:hAnsi="Times New Roman" w:eastAsia="宋体" w:cs="Times New Roman"/>
      <w:snapToGrid/>
      <w:sz w:val="21"/>
    </w:rPr>
  </w:style>
  <w:style w:type="character" w:customStyle="1" w:styleId="232">
    <w:name w:val="批注框文本 Char"/>
    <w:link w:val="27"/>
    <w:qFormat/>
    <w:uiPriority w:val="0"/>
    <w:rPr>
      <w:rFonts w:ascii="Times New Roman" w:hAnsi="Times New Roman" w:eastAsia="宋体" w:cs="Times New Roman"/>
      <w:snapToGrid w:val="0"/>
      <w:sz w:val="18"/>
      <w:szCs w:val="18"/>
    </w:rPr>
  </w:style>
  <w:style w:type="character" w:customStyle="1" w:styleId="233">
    <w:name w:val="页脚 Char"/>
    <w:link w:val="28"/>
    <w:qFormat/>
    <w:uiPriority w:val="0"/>
    <w:rPr>
      <w:rFonts w:ascii="Times New Roman" w:hAnsi="Times New Roman" w:eastAsia="宋体" w:cs="Times New Roman"/>
      <w:snapToGrid w:val="0"/>
      <w:sz w:val="18"/>
      <w:szCs w:val="18"/>
    </w:rPr>
  </w:style>
  <w:style w:type="character" w:customStyle="1" w:styleId="234">
    <w:name w:val="页眉 Char"/>
    <w:link w:val="29"/>
    <w:qFormat/>
    <w:uiPriority w:val="0"/>
    <w:rPr>
      <w:rFonts w:ascii="Times New Roman" w:hAnsi="Times New Roman" w:eastAsia="宋体" w:cs="Times New Roman"/>
      <w:snapToGrid w:val="0"/>
      <w:sz w:val="18"/>
      <w:szCs w:val="18"/>
    </w:rPr>
  </w:style>
  <w:style w:type="character" w:customStyle="1" w:styleId="235">
    <w:name w:val="批注主题 Char"/>
    <w:link w:val="42"/>
    <w:qFormat/>
    <w:uiPriority w:val="0"/>
    <w:rPr>
      <w:rFonts w:ascii="Times New Roman" w:hAnsi="Times New Roman" w:eastAsia="宋体" w:cs="Times New Roman"/>
      <w:b/>
      <w:bCs/>
      <w:snapToGrid/>
      <w:sz w:val="21"/>
    </w:rPr>
  </w:style>
  <w:style w:type="paragraph" w:customStyle="1" w:styleId="236">
    <w:name w:val="_Style 227"/>
    <w:unhideWhenUsed/>
    <w:qFormat/>
    <w:uiPriority w:val="99"/>
    <w:rPr>
      <w:rFonts w:ascii="Times New Roman" w:hAnsi="Times New Roman" w:eastAsia="宋体" w:cs="Times New Roman"/>
      <w:snapToGrid w:val="0"/>
      <w:sz w:val="21"/>
      <w:lang w:val="en-US" w:eastAsia="zh-CN" w:bidi="ar-SA"/>
    </w:rPr>
  </w:style>
  <w:style w:type="paragraph" w:customStyle="1" w:styleId="2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77</Pages>
  <Words>29064</Words>
  <Characters>30656</Characters>
  <Lines>908</Lines>
  <Paragraphs>684</Paragraphs>
  <TotalTime>12</TotalTime>
  <ScaleCrop>false</ScaleCrop>
  <LinksUpToDate>false</LinksUpToDate>
  <CharactersWithSpaces>31409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2021-07-06T17:03:00Z</dcterms:created>
  <dc:creator>ZCY</dc:creator>
  <cp:lastModifiedBy>123456</cp:lastModifiedBy>
  <dcterms:modified xsi:type="dcterms:W3CDTF">2023-07-18T03:03:18Z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0B8FFCBABFB8488E873F8BE00BAA9739_13</vt:lpwstr>
  </property>
</Properties>
</file>