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ind w:right="-108"/>
        <w:jc w:val="center"/>
        <w:rPr>
          <w:rFonts w:hint="eastAsia" w:ascii="宋体" w:hAnsi="宋体" w:eastAsia="宋体"/>
          <w:b/>
          <w:bCs/>
          <w:sz w:val="44"/>
          <w:szCs w:val="44"/>
          <w:lang w:eastAsia="zh-CN"/>
        </w:rPr>
      </w:pPr>
      <w:bookmarkStart w:id="0" w:name="PO_15528_PM002_1"/>
      <w:bookmarkStart w:id="60" w:name="_GoBack"/>
      <w:bookmarkEnd w:id="60"/>
      <w:r>
        <w:rPr>
          <w:rFonts w:hint="eastAsia" w:ascii="宋体" w:hAnsi="宋体"/>
          <w:b/>
          <w:bCs/>
          <w:sz w:val="44"/>
          <w:szCs w:val="44"/>
          <w:lang w:eastAsia="zh-CN"/>
        </w:rPr>
        <w:t>浙江警察学院云计算平台建设、数据中心机房设备采购及网络运维管理平台建设项目</w:t>
      </w:r>
      <w:bookmarkEnd w:id="0"/>
    </w:p>
    <w:p>
      <w:pPr>
        <w:spacing w:before="240" w:beforeLines="100" w:line="360" w:lineRule="auto"/>
        <w:ind w:right="-108"/>
        <w:jc w:val="center"/>
        <w:rPr>
          <w:rFonts w:hint="eastAsia" w:ascii="宋体" w:hAnsi="宋体"/>
          <w:sz w:val="36"/>
          <w:szCs w:val="36"/>
          <w:lang w:eastAsia="zh-CN"/>
        </w:rPr>
      </w:pPr>
      <w:r>
        <w:rPr>
          <w:rFonts w:hint="eastAsia" w:ascii="宋体" w:hAnsi="宋体"/>
          <w:sz w:val="36"/>
          <w:szCs w:val="36"/>
        </w:rPr>
        <w:t>项目编号：</w:t>
      </w:r>
      <w:bookmarkStart w:id="1" w:name="PO_15528_PM001"/>
      <w:r>
        <w:rPr>
          <w:rFonts w:hint="eastAsia" w:ascii="宋体" w:hAnsi="宋体"/>
          <w:sz w:val="36"/>
          <w:szCs w:val="36"/>
          <w:lang w:eastAsia="zh-CN"/>
        </w:rPr>
        <w:t>ZZCG2022X-GK-138</w:t>
      </w:r>
      <w:bookmarkEnd w:id="1"/>
    </w:p>
    <w:p>
      <w:pPr>
        <w:pStyle w:val="19"/>
        <w:rPr>
          <w:rFonts w:hint="eastAsia" w:ascii="宋体" w:hAnsi="宋体"/>
          <w:sz w:val="36"/>
          <w:szCs w:val="36"/>
          <w:lang w:eastAsia="zh-CN"/>
        </w:rPr>
      </w:pPr>
    </w:p>
    <w:p>
      <w:pPr>
        <w:pStyle w:val="19"/>
        <w:rPr>
          <w:rFonts w:hint="eastAsia" w:ascii="宋体" w:hAnsi="宋体"/>
          <w:sz w:val="36"/>
          <w:szCs w:val="36"/>
          <w:lang w:eastAsia="zh-CN"/>
        </w:rPr>
      </w:pPr>
    </w:p>
    <w:p>
      <w:pPr>
        <w:spacing w:before="240" w:beforeLines="10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公</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开</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 xml:space="preserve">招 </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标</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文</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件</w:t>
      </w:r>
    </w:p>
    <w:p>
      <w:pPr>
        <w:ind w:right="-110"/>
        <w:rPr>
          <w:rFonts w:ascii="宋体" w:hAnsi="宋体"/>
          <w:sz w:val="32"/>
          <w:szCs w:val="32"/>
        </w:rPr>
      </w:pPr>
    </w:p>
    <w:p>
      <w:pPr>
        <w:ind w:right="-110"/>
        <w:rPr>
          <w:rFonts w:ascii="宋体" w:hAnsi="宋体"/>
          <w:sz w:val="32"/>
          <w:szCs w:val="32"/>
        </w:rPr>
      </w:pPr>
    </w:p>
    <w:p>
      <w:pPr>
        <w:spacing w:line="500" w:lineRule="exact"/>
        <w:ind w:right="532" w:firstLine="540" w:firstLineChars="150"/>
        <w:rPr>
          <w:rFonts w:ascii="宋体" w:hAnsi="宋体"/>
          <w:sz w:val="36"/>
          <w:szCs w:val="36"/>
        </w:rPr>
      </w:pPr>
      <w:r>
        <w:rPr>
          <w:rFonts w:hint="eastAsia" w:ascii="宋体" w:hAnsi="宋体"/>
          <w:sz w:val="36"/>
          <w:szCs w:val="36"/>
        </w:rPr>
        <w:t>采购单位：浙 江 省 政 府 采 购 中 心</w:t>
      </w:r>
    </w:p>
    <w:p>
      <w:pPr>
        <w:spacing w:line="500" w:lineRule="exact"/>
        <w:ind w:right="532"/>
        <w:rPr>
          <w:rFonts w:ascii="宋体" w:hAnsi="宋体"/>
          <w:sz w:val="36"/>
          <w:szCs w:val="36"/>
        </w:rPr>
      </w:pPr>
    </w:p>
    <w:p>
      <w:pPr>
        <w:wordWrap w:val="0"/>
        <w:spacing w:line="500" w:lineRule="exact"/>
        <w:ind w:right="-108" w:firstLine="540" w:firstLineChars="150"/>
        <w:rPr>
          <w:rFonts w:ascii="宋体" w:hAnsi="宋体"/>
          <w:sz w:val="36"/>
          <w:szCs w:val="36"/>
        </w:rPr>
      </w:pPr>
      <w:r>
        <w:rPr>
          <w:rFonts w:hint="eastAsia" w:ascii="宋体" w:hAnsi="宋体"/>
          <w:sz w:val="36"/>
          <w:szCs w:val="36"/>
        </w:rPr>
        <w:t>地    址：杭州市环城北路305号耀江发展中心</w:t>
      </w:r>
    </w:p>
    <w:p>
      <w:pPr>
        <w:spacing w:line="500" w:lineRule="exact"/>
        <w:ind w:right="-108" w:firstLine="3755" w:firstLineChars="850"/>
        <w:rPr>
          <w:rFonts w:hAnsi="宋体"/>
          <w:b/>
          <w:sz w:val="36"/>
          <w:szCs w:val="36"/>
        </w:rPr>
      </w:pPr>
      <w:r>
        <w:rPr>
          <w:rFonts w:hAnsi="宋体"/>
          <w:b/>
          <w:sz w:val="44"/>
          <w:szCs w:val="44"/>
        </w:rPr>
        <w:br w:type="page"/>
      </w:r>
      <w:r>
        <w:rPr>
          <w:rFonts w:hint="eastAsia" w:hAnsi="宋体"/>
          <w:b/>
          <w:sz w:val="36"/>
          <w:szCs w:val="36"/>
        </w:rPr>
        <w:t>目录</w:t>
      </w:r>
    </w:p>
    <w:p>
      <w:pPr>
        <w:pStyle w:val="32"/>
        <w:spacing w:before="120" w:after="120" w:line="360" w:lineRule="auto"/>
        <w:jc w:val="center"/>
        <w:rPr>
          <w:rFonts w:hAnsi="宋体" w:eastAsia="仿宋_GB2312"/>
          <w:sz w:val="32"/>
          <w:szCs w:val="32"/>
        </w:rPr>
      </w:pPr>
    </w:p>
    <w:p>
      <w:pPr>
        <w:pStyle w:val="41"/>
        <w:tabs>
          <w:tab w:val="right" w:leader="dot" w:pos="8834"/>
        </w:tabs>
        <w:rPr>
          <w:rFonts w:ascii="Calibri" w:hAnsi="Calibri" w:eastAsia="宋体"/>
          <w:sz w:val="21"/>
          <w:szCs w:val="22"/>
        </w:rPr>
      </w:pPr>
      <w:r>
        <w:rPr>
          <w:rFonts w:ascii="宋体" w:hAnsi="宋体" w:eastAsia="仿宋_GB2312"/>
          <w:sz w:val="30"/>
          <w:szCs w:val="30"/>
        </w:rPr>
        <w:fldChar w:fldCharType="begin"/>
      </w:r>
      <w:r>
        <w:rPr>
          <w:rFonts w:ascii="宋体" w:hAnsi="宋体" w:eastAsia="仿宋_GB2312"/>
          <w:sz w:val="30"/>
          <w:szCs w:val="30"/>
        </w:rPr>
        <w:instrText xml:space="preserve"> TOC \o "1-1" \h \z \u </w:instrText>
      </w:r>
      <w:r>
        <w:rPr>
          <w:rFonts w:ascii="宋体" w:hAnsi="宋体" w:eastAsia="仿宋_GB2312"/>
          <w:sz w:val="30"/>
          <w:szCs w:val="30"/>
        </w:rPr>
        <w:fldChar w:fldCharType="separate"/>
      </w:r>
      <w:r>
        <w:fldChar w:fldCharType="begin"/>
      </w:r>
      <w:r>
        <w:instrText xml:space="preserve"> HYPERLINK \l "_Toc496796635" </w:instrText>
      </w:r>
      <w:r>
        <w:fldChar w:fldCharType="separate"/>
      </w:r>
      <w:r>
        <w:rPr>
          <w:rStyle w:val="69"/>
          <w:rFonts w:hint="eastAsia" w:hAnsi="宋体"/>
          <w:b/>
          <w:color w:val="auto"/>
        </w:rPr>
        <w:t>第一章公开招标采购公告</w:t>
      </w:r>
      <w:r>
        <w:tab/>
      </w:r>
      <w:r>
        <w:fldChar w:fldCharType="begin"/>
      </w:r>
      <w:r>
        <w:instrText xml:space="preserve"> PAGEREF _Toc496796635 \h </w:instrText>
      </w:r>
      <w:r>
        <w:fldChar w:fldCharType="separate"/>
      </w:r>
      <w:r>
        <w:t>3</w:t>
      </w:r>
      <w:r>
        <w:fldChar w:fldCharType="end"/>
      </w:r>
      <w:r>
        <w:fldChar w:fldCharType="end"/>
      </w:r>
    </w:p>
    <w:p>
      <w:pPr>
        <w:pStyle w:val="41"/>
        <w:tabs>
          <w:tab w:val="right" w:leader="dot" w:pos="8834"/>
        </w:tabs>
        <w:rPr>
          <w:rFonts w:ascii="Calibri" w:hAnsi="Calibri" w:eastAsia="宋体"/>
          <w:sz w:val="21"/>
          <w:szCs w:val="22"/>
        </w:rPr>
      </w:pPr>
      <w:r>
        <w:fldChar w:fldCharType="begin"/>
      </w:r>
      <w:r>
        <w:instrText xml:space="preserve"> HYPERLINK \l "_Toc496796636" </w:instrText>
      </w:r>
      <w:r>
        <w:fldChar w:fldCharType="separate"/>
      </w:r>
      <w:r>
        <w:rPr>
          <w:rStyle w:val="69"/>
          <w:rFonts w:hint="eastAsia" w:ascii="仿宋" w:hAnsi="仿宋"/>
          <w:b/>
          <w:color w:val="auto"/>
        </w:rPr>
        <w:t>第二章投标人须知</w:t>
      </w:r>
      <w:r>
        <w:tab/>
      </w:r>
      <w:r>
        <w:t>6</w:t>
      </w:r>
      <w:r>
        <w:fldChar w:fldCharType="end"/>
      </w:r>
    </w:p>
    <w:p>
      <w:pPr>
        <w:pStyle w:val="41"/>
        <w:tabs>
          <w:tab w:val="right" w:leader="dot" w:pos="8834"/>
        </w:tabs>
        <w:rPr>
          <w:rFonts w:ascii="Calibri" w:hAnsi="Calibri" w:eastAsia="宋体"/>
          <w:sz w:val="21"/>
          <w:szCs w:val="22"/>
        </w:rPr>
      </w:pPr>
      <w:r>
        <w:fldChar w:fldCharType="begin"/>
      </w:r>
      <w:r>
        <w:instrText xml:space="preserve"> HYPERLINK \l "_Toc496796637" </w:instrText>
      </w:r>
      <w:r>
        <w:fldChar w:fldCharType="separate"/>
      </w:r>
      <w:r>
        <w:rPr>
          <w:rStyle w:val="69"/>
          <w:rFonts w:hint="eastAsia" w:hAnsi="宋体"/>
          <w:b/>
          <w:color w:val="auto"/>
        </w:rPr>
        <w:t>第三章评标办法及评分标准</w:t>
      </w:r>
      <w:r>
        <w:tab/>
      </w:r>
      <w:r>
        <w:fldChar w:fldCharType="begin"/>
      </w:r>
      <w:r>
        <w:instrText xml:space="preserve"> PAGEREF _Toc496796637 \h </w:instrText>
      </w:r>
      <w:r>
        <w:fldChar w:fldCharType="separate"/>
      </w:r>
      <w:r>
        <w:t>23</w:t>
      </w:r>
      <w:r>
        <w:fldChar w:fldCharType="end"/>
      </w:r>
      <w:r>
        <w:fldChar w:fldCharType="end"/>
      </w:r>
    </w:p>
    <w:p>
      <w:pPr>
        <w:pStyle w:val="41"/>
        <w:tabs>
          <w:tab w:val="right" w:leader="dot" w:pos="8834"/>
        </w:tabs>
        <w:rPr>
          <w:rFonts w:ascii="Calibri" w:hAnsi="Calibri" w:eastAsia="宋体"/>
          <w:sz w:val="21"/>
          <w:szCs w:val="22"/>
        </w:rPr>
      </w:pPr>
      <w:r>
        <w:fldChar w:fldCharType="begin"/>
      </w:r>
      <w:r>
        <w:instrText xml:space="preserve"> HYPERLINK \l "_Toc496796638" </w:instrText>
      </w:r>
      <w:r>
        <w:fldChar w:fldCharType="separate"/>
      </w:r>
      <w:r>
        <w:rPr>
          <w:rStyle w:val="69"/>
          <w:rFonts w:hint="eastAsia" w:hAnsi="宋体"/>
          <w:b/>
          <w:color w:val="auto"/>
        </w:rPr>
        <w:t>第四章招标需求</w:t>
      </w:r>
      <w:r>
        <w:tab/>
      </w:r>
      <w:r>
        <w:fldChar w:fldCharType="begin"/>
      </w:r>
      <w:r>
        <w:instrText xml:space="preserve"> PAGEREF _Toc496796638 \h </w:instrText>
      </w:r>
      <w:r>
        <w:fldChar w:fldCharType="separate"/>
      </w:r>
      <w:r>
        <w:t>24</w:t>
      </w:r>
      <w:r>
        <w:fldChar w:fldCharType="end"/>
      </w:r>
      <w:r>
        <w:fldChar w:fldCharType="end"/>
      </w:r>
    </w:p>
    <w:p>
      <w:pPr>
        <w:pStyle w:val="41"/>
        <w:tabs>
          <w:tab w:val="right" w:leader="dot" w:pos="8834"/>
        </w:tabs>
        <w:rPr>
          <w:rFonts w:ascii="Calibri" w:hAnsi="Calibri" w:eastAsia="宋体"/>
          <w:sz w:val="21"/>
          <w:szCs w:val="22"/>
        </w:rPr>
      </w:pPr>
      <w:r>
        <w:fldChar w:fldCharType="begin"/>
      </w:r>
      <w:r>
        <w:instrText xml:space="preserve"> HYPERLINK \l "_Toc496796639" </w:instrText>
      </w:r>
      <w:r>
        <w:fldChar w:fldCharType="separate"/>
      </w:r>
      <w:r>
        <w:rPr>
          <w:rStyle w:val="69"/>
          <w:rFonts w:hint="eastAsia" w:ascii="仿宋" w:hAnsi="仿宋"/>
          <w:b/>
          <w:color w:val="auto"/>
        </w:rPr>
        <w:t>第五章浙江省政府采购合同主要条款指引</w:t>
      </w:r>
      <w:r>
        <w:tab/>
      </w:r>
      <w:r>
        <w:fldChar w:fldCharType="begin"/>
      </w:r>
      <w:r>
        <w:instrText xml:space="preserve"> PAGEREF _Toc496796639 \h </w:instrText>
      </w:r>
      <w:r>
        <w:fldChar w:fldCharType="separate"/>
      </w:r>
      <w:r>
        <w:t>25</w:t>
      </w:r>
      <w:r>
        <w:fldChar w:fldCharType="end"/>
      </w:r>
      <w:r>
        <w:fldChar w:fldCharType="end"/>
      </w:r>
    </w:p>
    <w:p>
      <w:pPr>
        <w:pStyle w:val="41"/>
        <w:tabs>
          <w:tab w:val="right" w:leader="dot" w:pos="8834"/>
        </w:tabs>
        <w:rPr>
          <w:rFonts w:ascii="Calibri" w:hAnsi="Calibri" w:eastAsia="宋体"/>
          <w:sz w:val="21"/>
          <w:szCs w:val="22"/>
        </w:rPr>
      </w:pPr>
      <w:r>
        <w:fldChar w:fldCharType="begin"/>
      </w:r>
      <w:r>
        <w:instrText xml:space="preserve"> HYPERLINK \l "_Toc496796640" </w:instrText>
      </w:r>
      <w:r>
        <w:fldChar w:fldCharType="separate"/>
      </w:r>
      <w:r>
        <w:rPr>
          <w:rStyle w:val="69"/>
          <w:rFonts w:hint="eastAsia" w:hAnsi="宋体"/>
          <w:b/>
          <w:color w:val="auto"/>
        </w:rPr>
        <w:t>第六章投标文件格式附件</w:t>
      </w:r>
      <w:r>
        <w:tab/>
      </w:r>
      <w:r>
        <w:fldChar w:fldCharType="begin"/>
      </w:r>
      <w:r>
        <w:instrText xml:space="preserve"> PAGEREF _Toc496796640 \h </w:instrText>
      </w:r>
      <w:r>
        <w:fldChar w:fldCharType="separate"/>
      </w:r>
      <w:r>
        <w:t>32</w:t>
      </w:r>
      <w:r>
        <w:fldChar w:fldCharType="end"/>
      </w:r>
      <w:r>
        <w:fldChar w:fldCharType="end"/>
      </w:r>
    </w:p>
    <w:p>
      <w:pPr>
        <w:spacing w:before="120" w:beforeLines="50" w:line="480" w:lineRule="exact"/>
        <w:ind w:left="165"/>
        <w:rPr>
          <w:rFonts w:ascii="宋体" w:hAnsi="宋体" w:eastAsia="仿宋_GB2312"/>
          <w:sz w:val="30"/>
          <w:szCs w:val="30"/>
        </w:rPr>
      </w:pPr>
      <w:r>
        <w:rPr>
          <w:rFonts w:ascii="宋体" w:hAnsi="宋体" w:eastAsia="仿宋_GB2312"/>
          <w:sz w:val="30"/>
          <w:szCs w:val="30"/>
        </w:rPr>
        <w:fldChar w:fldCharType="end"/>
      </w:r>
    </w:p>
    <w:p>
      <w:pPr>
        <w:pStyle w:val="32"/>
        <w:spacing w:before="120" w:after="120" w:line="360" w:lineRule="auto"/>
        <w:ind w:firstLine="640"/>
        <w:jc w:val="center"/>
        <w:outlineLvl w:val="0"/>
        <w:rPr>
          <w:rFonts w:hAnsi="宋体"/>
          <w:b/>
          <w:sz w:val="36"/>
          <w:szCs w:val="36"/>
        </w:rPr>
      </w:pPr>
      <w:r>
        <w:rPr>
          <w:rFonts w:hAnsi="宋体" w:eastAsia="仿宋_GB2312"/>
          <w:sz w:val="32"/>
          <w:szCs w:val="32"/>
        </w:rPr>
        <w:br w:type="page"/>
      </w:r>
      <w:bookmarkStart w:id="2" w:name="_Toc496796635"/>
      <w:r>
        <w:rPr>
          <w:rFonts w:hint="eastAsia" w:hAnsi="宋体"/>
          <w:b/>
          <w:sz w:val="36"/>
          <w:szCs w:val="36"/>
        </w:rPr>
        <w:t>第一章 公开招标采购公告</w:t>
      </w:r>
      <w:bookmarkEnd w:id="2"/>
    </w:p>
    <w:p>
      <w:pPr>
        <w:pStyle w:val="397"/>
        <w:widowControl w:val="0"/>
        <w:spacing w:afterLines="0" w:line="460" w:lineRule="exact"/>
        <w:ind w:firstLine="560"/>
        <w:rPr>
          <w:rFonts w:ascii="仿宋" w:hAnsi="仿宋" w:eastAsia="仿宋"/>
          <w:sz w:val="30"/>
          <w:szCs w:val="30"/>
        </w:rPr>
      </w:pPr>
      <w:r>
        <w:rPr>
          <w:rFonts w:hint="eastAsia" w:ascii="仿宋" w:hAnsi="仿宋" w:eastAsia="仿宋"/>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sz w:val="30"/>
          <w:szCs w:val="30"/>
        </w:rPr>
        <w:t>：</w:t>
      </w:r>
    </w:p>
    <w:p>
      <w:pPr>
        <w:snapToGrid w:val="0"/>
        <w:spacing w:line="460" w:lineRule="exact"/>
        <w:ind w:firstLine="600" w:firstLineChars="200"/>
        <w:rPr>
          <w:rFonts w:hint="eastAsia" w:ascii="仿宋" w:hAnsi="仿宋" w:eastAsia="仿宋" w:cs="Arial"/>
          <w:sz w:val="30"/>
          <w:szCs w:val="30"/>
          <w:lang w:eastAsia="zh-CN"/>
        </w:rPr>
      </w:pPr>
      <w:r>
        <w:rPr>
          <w:rFonts w:hint="eastAsia" w:ascii="仿宋" w:hAnsi="仿宋" w:eastAsia="仿宋" w:cs="Arial"/>
          <w:sz w:val="30"/>
          <w:szCs w:val="30"/>
        </w:rPr>
        <w:t>一、</w:t>
      </w:r>
      <w:r>
        <w:rPr>
          <w:rFonts w:hint="eastAsia" w:ascii="仿宋" w:hAnsi="仿宋" w:eastAsia="仿宋" w:cs="Arial"/>
          <w:b/>
          <w:bCs/>
          <w:sz w:val="30"/>
          <w:szCs w:val="30"/>
        </w:rPr>
        <w:t>项目编号：</w:t>
      </w:r>
      <w:bookmarkStart w:id="3" w:name="PO_15528_PM001_1"/>
      <w:r>
        <w:rPr>
          <w:rFonts w:hint="eastAsia" w:ascii="仿宋" w:hAnsi="仿宋" w:eastAsia="仿宋" w:cs="Arial"/>
          <w:b/>
          <w:bCs/>
          <w:sz w:val="30"/>
          <w:szCs w:val="30"/>
          <w:lang w:eastAsia="zh-CN"/>
        </w:rPr>
        <w:t>ZZCG2022X-GK-138</w:t>
      </w:r>
      <w:bookmarkEnd w:id="3"/>
    </w:p>
    <w:p>
      <w:pPr>
        <w:snapToGrid w:val="0"/>
        <w:spacing w:after="120" w:afterLines="50" w:line="460" w:lineRule="exact"/>
        <w:ind w:firstLine="602" w:firstLineChars="200"/>
        <w:rPr>
          <w:rFonts w:ascii="仿宋" w:hAnsi="仿宋" w:eastAsia="仿宋" w:cs="Arial"/>
          <w:b/>
          <w:bCs/>
          <w:sz w:val="30"/>
          <w:szCs w:val="30"/>
        </w:rPr>
      </w:pPr>
      <w:r>
        <w:rPr>
          <w:rFonts w:hint="eastAsia" w:ascii="仿宋" w:hAnsi="仿宋" w:eastAsia="仿宋" w:cs="Arial"/>
          <w:b/>
          <w:sz w:val="30"/>
          <w:szCs w:val="30"/>
        </w:rPr>
        <w:t>二、</w:t>
      </w:r>
      <w:r>
        <w:rPr>
          <w:rFonts w:hint="eastAsia" w:ascii="仿宋" w:hAnsi="仿宋" w:eastAsia="仿宋" w:cs="Arial"/>
          <w:b/>
          <w:sz w:val="28"/>
          <w:szCs w:val="28"/>
        </w:rPr>
        <w:t>公告期限：5个工作日</w:t>
      </w:r>
    </w:p>
    <w:p>
      <w:pPr>
        <w:snapToGrid w:val="0"/>
        <w:spacing w:after="120" w:afterLines="50" w:line="460" w:lineRule="exact"/>
        <w:ind w:firstLine="602" w:firstLineChars="200"/>
        <w:rPr>
          <w:rFonts w:hint="eastAsia" w:ascii="仿宋" w:hAnsi="仿宋" w:eastAsia="仿宋" w:cs="Arial"/>
          <w:b/>
          <w:sz w:val="28"/>
          <w:szCs w:val="28"/>
          <w:vertAlign w:val="baseline"/>
          <w:lang w:eastAsia="zh-CN"/>
        </w:rPr>
      </w:pPr>
      <w:r>
        <w:rPr>
          <w:rFonts w:hint="eastAsia" w:ascii="仿宋" w:hAnsi="仿宋" w:eastAsia="仿宋" w:cs="Arial"/>
          <w:b/>
          <w:sz w:val="30"/>
          <w:szCs w:val="30"/>
        </w:rPr>
        <w:t>三、</w:t>
      </w:r>
      <w:r>
        <w:rPr>
          <w:rFonts w:hint="eastAsia" w:ascii="仿宋" w:hAnsi="仿宋" w:eastAsia="仿宋" w:cs="Arial"/>
          <w:b/>
          <w:sz w:val="28"/>
          <w:szCs w:val="28"/>
        </w:rPr>
        <w:t>采购项目内容、数量及预算</w:t>
      </w:r>
      <w:bookmarkStart w:id="4" w:name="PO_15528_PM004"/>
      <w:r>
        <w:rPr>
          <w:rFonts w:hint="eastAsia" w:ascii="仿宋" w:hAnsi="仿宋" w:eastAsia="仿宋" w:cs="Arial"/>
          <w:b/>
          <w:sz w:val="28"/>
          <w:szCs w:val="28"/>
          <w:lang w:eastAsia="zh-CN"/>
        </w:rPr>
        <w:t xml:space="preserve"> </w:t>
      </w:r>
    </w:p>
    <w:tbl>
      <w:tblPr>
        <w:tblStyle w:val="60"/>
        <w:tblW w:w="8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2580"/>
        <w:gridCol w:w="780"/>
        <w:gridCol w:w="870"/>
        <w:gridCol w:w="1635"/>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标项序号</w:t>
            </w:r>
          </w:p>
        </w:tc>
        <w:tc>
          <w:tcPr>
            <w:tcW w:w="2580" w:type="dxa"/>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标项名称</w:t>
            </w:r>
          </w:p>
        </w:tc>
        <w:tc>
          <w:tcPr>
            <w:tcW w:w="780" w:type="dxa"/>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数量</w:t>
            </w:r>
          </w:p>
        </w:tc>
        <w:tc>
          <w:tcPr>
            <w:tcW w:w="870" w:type="dxa"/>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单位</w:t>
            </w:r>
          </w:p>
        </w:tc>
        <w:tc>
          <w:tcPr>
            <w:tcW w:w="1635" w:type="dxa"/>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预算金额(万元)</w:t>
            </w:r>
          </w:p>
        </w:tc>
        <w:tc>
          <w:tcPr>
            <w:tcW w:w="1980" w:type="dxa"/>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1</w:t>
            </w:r>
          </w:p>
        </w:tc>
        <w:tc>
          <w:tcPr>
            <w:tcW w:w="2580" w:type="dxa"/>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云计算平台建设项目</w:t>
            </w:r>
          </w:p>
        </w:tc>
        <w:tc>
          <w:tcPr>
            <w:tcW w:w="780" w:type="dxa"/>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1</w:t>
            </w:r>
          </w:p>
        </w:tc>
        <w:tc>
          <w:tcPr>
            <w:tcW w:w="870" w:type="dxa"/>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批</w:t>
            </w:r>
          </w:p>
        </w:tc>
        <w:tc>
          <w:tcPr>
            <w:tcW w:w="1635" w:type="dxa"/>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615.2</w:t>
            </w:r>
          </w:p>
        </w:tc>
        <w:tc>
          <w:tcPr>
            <w:tcW w:w="1980" w:type="dxa"/>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2</w:t>
            </w:r>
          </w:p>
        </w:tc>
        <w:tc>
          <w:tcPr>
            <w:tcW w:w="2580" w:type="dxa"/>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数据中心机房设备采购及网络运维管理平台建设项目</w:t>
            </w:r>
          </w:p>
        </w:tc>
        <w:tc>
          <w:tcPr>
            <w:tcW w:w="780" w:type="dxa"/>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1</w:t>
            </w:r>
          </w:p>
        </w:tc>
        <w:tc>
          <w:tcPr>
            <w:tcW w:w="870" w:type="dxa"/>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批</w:t>
            </w:r>
          </w:p>
        </w:tc>
        <w:tc>
          <w:tcPr>
            <w:tcW w:w="1635" w:type="dxa"/>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268.474494</w:t>
            </w:r>
          </w:p>
        </w:tc>
        <w:tc>
          <w:tcPr>
            <w:tcW w:w="1980" w:type="dxa"/>
          </w:tcPr>
          <w:p>
            <w:pPr>
              <w:snapToGrid w:val="0"/>
              <w:spacing w:after="120" w:afterLines="50" w:line="460" w:lineRule="exact"/>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详见招标文件</w:t>
            </w:r>
          </w:p>
        </w:tc>
      </w:tr>
    </w:tbl>
    <w:p>
      <w:pPr>
        <w:snapToGrid w:val="0"/>
        <w:spacing w:after="120" w:afterLines="50" w:line="460" w:lineRule="exact"/>
        <w:ind w:firstLine="562" w:firstLineChars="200"/>
        <w:rPr>
          <w:rFonts w:hint="eastAsia" w:ascii="仿宋" w:hAnsi="仿宋" w:eastAsia="仿宋" w:cs="Arial"/>
          <w:b/>
          <w:sz w:val="28"/>
          <w:szCs w:val="28"/>
          <w:lang w:eastAsia="zh-CN"/>
        </w:rPr>
      </w:pPr>
      <w:r>
        <w:rPr>
          <w:rFonts w:hint="eastAsia" w:ascii="仿宋" w:hAnsi="仿宋" w:eastAsia="仿宋" w:cs="Arial"/>
          <w:b/>
          <w:sz w:val="28"/>
          <w:szCs w:val="28"/>
          <w:lang w:eastAsia="zh-CN"/>
        </w:rPr>
        <w:t xml:space="preserve"> </w:t>
      </w:r>
      <w:bookmarkEnd w:id="4"/>
    </w:p>
    <w:p>
      <w:pPr>
        <w:snapToGrid w:val="0"/>
        <w:spacing w:line="46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四、合格投标人的资格要求</w:t>
      </w:r>
    </w:p>
    <w:p>
      <w:pPr>
        <w:snapToGrid w:val="0"/>
        <w:spacing w:line="460" w:lineRule="exact"/>
        <w:ind w:firstLine="560" w:firstLineChars="200"/>
        <w:rPr>
          <w:rFonts w:ascii="仿宋" w:hAnsi="仿宋" w:eastAsia="仿宋" w:cs="Arial"/>
          <w:bCs/>
          <w:sz w:val="28"/>
          <w:szCs w:val="28"/>
        </w:rPr>
      </w:pPr>
      <w:r>
        <w:rPr>
          <w:rFonts w:hint="eastAsia" w:ascii="仿宋" w:hAnsi="仿宋" w:eastAsia="仿宋" w:cs="Arial"/>
          <w:bCs/>
          <w:sz w:val="28"/>
          <w:szCs w:val="28"/>
        </w:rPr>
        <w:t>符合《中华人民共和国政府采购法》第二十二条规定,且未被</w:t>
      </w:r>
      <w:r>
        <w:rPr>
          <w:rFonts w:hint="eastAsia" w:ascii="仿宋" w:hAnsi="仿宋" w:eastAsia="仿宋"/>
          <w:sz w:val="28"/>
          <w:szCs w:val="28"/>
        </w:rPr>
        <w:t>“信用中国”（www.creditchina.gov.cn）、中国政府采购网（www.ccgp.gov.cn）列入失信被执行人、重大税收违法案件当事人名单、政府采购严重违法失信行为记录名单。</w:t>
      </w:r>
    </w:p>
    <w:p>
      <w:pPr>
        <w:snapToGrid w:val="0"/>
        <w:spacing w:line="460" w:lineRule="exact"/>
        <w:ind w:firstLine="602" w:firstLineChars="200"/>
        <w:rPr>
          <w:rFonts w:hint="eastAsia" w:ascii="仿宋" w:hAnsi="仿宋" w:eastAsia="仿宋" w:cs="Arial"/>
          <w:b/>
          <w:bCs/>
          <w:sz w:val="30"/>
          <w:szCs w:val="30"/>
          <w:lang w:val="en-US" w:eastAsia="zh-CN"/>
        </w:rPr>
      </w:pPr>
      <w:r>
        <w:rPr>
          <w:rFonts w:hint="eastAsia" w:ascii="仿宋" w:hAnsi="仿宋" w:eastAsia="仿宋" w:cs="Arial"/>
          <w:b/>
          <w:bCs/>
          <w:sz w:val="30"/>
          <w:szCs w:val="30"/>
        </w:rPr>
        <w:t>投标人的特定条件：</w:t>
      </w:r>
      <w:r>
        <w:rPr>
          <w:rFonts w:hint="eastAsia" w:ascii="仿宋" w:hAnsi="仿宋" w:eastAsia="仿宋" w:cs="Arial"/>
          <w:b/>
          <w:bCs/>
          <w:sz w:val="30"/>
          <w:szCs w:val="30"/>
          <w:lang w:val="en-US" w:eastAsia="zh-CN"/>
        </w:rPr>
        <w:t>无</w:t>
      </w:r>
    </w:p>
    <w:p>
      <w:pPr>
        <w:snapToGrid w:val="0"/>
        <w:spacing w:line="500" w:lineRule="exact"/>
        <w:ind w:firstLine="562" w:firstLineChars="200"/>
        <w:rPr>
          <w:rFonts w:ascii="宋体" w:hAnsi="宋体" w:cs="Arial"/>
          <w:b/>
          <w:bCs/>
          <w:sz w:val="28"/>
          <w:szCs w:val="28"/>
        </w:rPr>
      </w:pPr>
      <w:r>
        <w:rPr>
          <w:rFonts w:hint="eastAsia" w:ascii="宋体" w:hAnsi="宋体" w:cs="仿宋"/>
          <w:b/>
          <w:bCs/>
          <w:kern w:val="0"/>
          <w:sz w:val="28"/>
          <w:szCs w:val="28"/>
          <w:lang w:val="zh-CN"/>
        </w:rPr>
        <w:t>五、获取采购文件</w:t>
      </w:r>
    </w:p>
    <w:p>
      <w:pPr>
        <w:snapToGrid w:val="0"/>
        <w:spacing w:line="500" w:lineRule="exact"/>
        <w:ind w:firstLine="560" w:firstLineChars="200"/>
        <w:rPr>
          <w:rFonts w:ascii="宋体" w:hAnsi="宋体"/>
          <w:kern w:val="0"/>
          <w:sz w:val="28"/>
          <w:szCs w:val="28"/>
        </w:rPr>
      </w:pPr>
      <w:r>
        <w:rPr>
          <w:rFonts w:hint="eastAsia" w:ascii="宋体" w:hAnsi="宋体"/>
          <w:kern w:val="0"/>
          <w:sz w:val="28"/>
          <w:szCs w:val="28"/>
        </w:rPr>
        <w:t>1.获取时间：</w:t>
      </w:r>
      <w:r>
        <w:rPr>
          <w:rFonts w:ascii="仿宋" w:hAnsi="仿宋" w:eastAsia="仿宋"/>
          <w:kern w:val="0"/>
          <w:sz w:val="30"/>
          <w:szCs w:val="30"/>
        </w:rPr>
        <w:t>[项目采购-报名开始日期]</w:t>
      </w:r>
      <w:r>
        <w:rPr>
          <w:rFonts w:hint="eastAsia" w:ascii="仿宋" w:hAnsi="仿宋" w:eastAsia="仿宋"/>
          <w:kern w:val="0"/>
          <w:sz w:val="30"/>
          <w:szCs w:val="30"/>
        </w:rPr>
        <w:t xml:space="preserve"> 至 </w:t>
      </w:r>
      <w:bookmarkStart w:id="5" w:name="PO_15528_PM009"/>
      <w:r>
        <w:rPr>
          <w:rFonts w:hint="eastAsia" w:ascii="仿宋" w:hAnsi="仿宋" w:eastAsia="仿宋"/>
          <w:kern w:val="0"/>
          <w:sz w:val="30"/>
          <w:szCs w:val="30"/>
          <w:lang w:eastAsia="zh-CN"/>
        </w:rPr>
        <w:t>2022-07-25 10:00:00</w:t>
      </w:r>
      <w:bookmarkEnd w:id="5"/>
      <w:r>
        <w:rPr>
          <w:rFonts w:hint="eastAsia" w:ascii="宋体" w:hAnsi="宋体"/>
          <w:kern w:val="0"/>
          <w:sz w:val="28"/>
          <w:szCs w:val="28"/>
        </w:rPr>
        <w:t>。</w:t>
      </w:r>
    </w:p>
    <w:p>
      <w:pPr>
        <w:autoSpaceDE w:val="0"/>
        <w:autoSpaceDN w:val="0"/>
        <w:adjustRightInd w:val="0"/>
        <w:snapToGrid w:val="0"/>
        <w:spacing w:line="500" w:lineRule="exact"/>
        <w:ind w:firstLine="600"/>
        <w:rPr>
          <w:rFonts w:ascii="宋体" w:hAnsi="宋体" w:cs="仿宋"/>
          <w:kern w:val="0"/>
          <w:sz w:val="28"/>
          <w:szCs w:val="28"/>
          <w:lang w:val="zh-CN"/>
        </w:rPr>
      </w:pPr>
      <w:r>
        <w:rPr>
          <w:rFonts w:ascii="宋体" w:hAnsi="宋体" w:cs="仿宋"/>
          <w:kern w:val="0"/>
          <w:sz w:val="28"/>
          <w:szCs w:val="28"/>
          <w:lang w:val="zh-CN"/>
        </w:rPr>
        <w:t>2</w:t>
      </w:r>
      <w:r>
        <w:rPr>
          <w:rFonts w:hint="eastAsia" w:ascii="宋体" w:hAnsi="宋体" w:cs="仿宋"/>
          <w:kern w:val="0"/>
          <w:sz w:val="28"/>
          <w:szCs w:val="28"/>
          <w:lang w:val="zh-CN"/>
        </w:rPr>
        <w:t>.获取方式：本项目招标文件实行网上获取。供应商登录浙江政府采购网（</w:t>
      </w:r>
      <w:r>
        <w:fldChar w:fldCharType="begin"/>
      </w:r>
      <w:r>
        <w:instrText xml:space="preserve"> HYPERLINK "http://zfcg.czt.zj.gov.cn/" </w:instrText>
      </w:r>
      <w:r>
        <w:fldChar w:fldCharType="separate"/>
      </w:r>
      <w:r>
        <w:rPr>
          <w:rStyle w:val="69"/>
          <w:color w:val="auto"/>
          <w:sz w:val="28"/>
          <w:szCs w:val="28"/>
        </w:rPr>
        <w:t>http://zfcg.czt.zj.gov.cn/</w:t>
      </w:r>
      <w:r>
        <w:rPr>
          <w:rStyle w:val="69"/>
          <w:color w:val="auto"/>
          <w:sz w:val="28"/>
          <w:szCs w:val="28"/>
        </w:rPr>
        <w:fldChar w:fldCharType="end"/>
      </w:r>
      <w:r>
        <w:rPr>
          <w:rFonts w:hint="eastAsia" w:ascii="宋体" w:hAnsi="宋体" w:cs="仿宋"/>
          <w:kern w:val="0"/>
          <w:sz w:val="28"/>
          <w:szCs w:val="28"/>
          <w:lang w:val="zh-CN"/>
        </w:rPr>
        <w:t>）进入政采云系统“项目采购”模块“获取采购文件”菜单，进行网上获取招标文件。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kern w:val="0"/>
          <w:sz w:val="28"/>
          <w:szCs w:val="28"/>
          <w:lang w:val="zh-CN"/>
        </w:rPr>
      </w:pPr>
      <w:r>
        <w:rPr>
          <w:rFonts w:ascii="宋体" w:hAnsi="宋体" w:cs="仿宋"/>
          <w:kern w:val="0"/>
          <w:sz w:val="28"/>
          <w:szCs w:val="28"/>
          <w:lang w:val="zh-CN"/>
        </w:rPr>
        <w:t>3</w:t>
      </w:r>
      <w:r>
        <w:rPr>
          <w:rFonts w:hint="eastAsia" w:ascii="宋体" w:hAnsi="宋体" w:cs="仿宋"/>
          <w:kern w:val="0"/>
          <w:sz w:val="28"/>
          <w:szCs w:val="28"/>
          <w:lang w:val="zh-CN"/>
        </w:rPr>
        <w:t>.招标文件免费获取。</w:t>
      </w:r>
    </w:p>
    <w:p>
      <w:pPr>
        <w:snapToGrid w:val="0"/>
        <w:spacing w:line="500" w:lineRule="exact"/>
        <w:ind w:firstLine="562" w:firstLineChars="200"/>
        <w:rPr>
          <w:rFonts w:ascii="宋体" w:hAnsi="宋体"/>
          <w:b/>
          <w:kern w:val="0"/>
          <w:sz w:val="28"/>
          <w:szCs w:val="28"/>
        </w:rPr>
      </w:pPr>
      <w:r>
        <w:rPr>
          <w:rFonts w:hint="eastAsia" w:ascii="宋体" w:hAnsi="宋体" w:cs="Arial"/>
          <w:b/>
          <w:bCs/>
          <w:sz w:val="28"/>
          <w:szCs w:val="28"/>
        </w:rPr>
        <w:t>六、投标截止时间、地点和形式</w:t>
      </w:r>
    </w:p>
    <w:p>
      <w:pPr>
        <w:pStyle w:val="32"/>
        <w:adjustRightInd w:val="0"/>
        <w:snapToGrid w:val="0"/>
        <w:spacing w:beforeLines="0" w:afterLines="0" w:line="500" w:lineRule="exact"/>
        <w:ind w:firstLine="565" w:firstLineChars="201"/>
        <w:rPr>
          <w:rFonts w:hAnsi="宋体"/>
          <w:kern w:val="0"/>
          <w:sz w:val="28"/>
          <w:szCs w:val="28"/>
        </w:rPr>
      </w:pPr>
      <w:r>
        <w:rPr>
          <w:rFonts w:hint="eastAsia" w:hAnsi="宋体"/>
          <w:b/>
          <w:kern w:val="0"/>
          <w:sz w:val="28"/>
          <w:szCs w:val="28"/>
        </w:rPr>
        <w:t>投标截止时间：</w:t>
      </w:r>
      <w:bookmarkStart w:id="6" w:name="PO_15528_PM015"/>
      <w:r>
        <w:rPr>
          <w:rFonts w:hint="eastAsia" w:ascii="仿宋" w:hAnsi="仿宋" w:eastAsia="仿宋" w:cs="Arial"/>
          <w:color w:val="000000"/>
          <w:sz w:val="30"/>
          <w:szCs w:val="30"/>
          <w:lang w:eastAsia="zh-CN"/>
        </w:rPr>
        <w:t>2022-07-25 10:00:00</w:t>
      </w:r>
      <w:bookmarkEnd w:id="6"/>
      <w:r>
        <w:rPr>
          <w:rFonts w:hint="eastAsia" w:hAnsi="宋体"/>
          <w:b/>
          <w:kern w:val="0"/>
          <w:sz w:val="28"/>
          <w:szCs w:val="28"/>
        </w:rPr>
        <w:t>。</w:t>
      </w:r>
    </w:p>
    <w:p>
      <w:pPr>
        <w:pStyle w:val="32"/>
        <w:adjustRightInd w:val="0"/>
        <w:snapToGrid w:val="0"/>
        <w:spacing w:beforeLines="0" w:afterLines="0" w:line="500" w:lineRule="exact"/>
        <w:ind w:firstLine="562" w:firstLineChars="201"/>
        <w:rPr>
          <w:rFonts w:hAnsi="宋体"/>
          <w:kern w:val="0"/>
          <w:sz w:val="28"/>
          <w:szCs w:val="28"/>
        </w:rPr>
      </w:pPr>
      <w:r>
        <w:rPr>
          <w:rFonts w:hint="eastAsia" w:hAnsi="宋体"/>
          <w:kern w:val="0"/>
          <w:sz w:val="28"/>
          <w:szCs w:val="28"/>
        </w:rPr>
        <w:t>本项目实行电子投标。投标文件应按照本项目招标文件</w:t>
      </w:r>
      <w:r>
        <w:rPr>
          <w:rFonts w:hint="eastAsia" w:hAnsi="宋体"/>
          <w:sz w:val="28"/>
          <w:szCs w:val="28"/>
        </w:rPr>
        <w:t>和电子交易平台</w:t>
      </w:r>
      <w:r>
        <w:rPr>
          <w:rFonts w:hint="eastAsia" w:hAnsi="宋体"/>
          <w:kern w:val="0"/>
          <w:sz w:val="28"/>
          <w:szCs w:val="28"/>
        </w:rPr>
        <w:t>的要求编制、加密，并应当在投标截止时间前在规定电子交易平台完成传输递交，投标截止时间后送达的投标文件，将被电子交易平台拒收。</w:t>
      </w:r>
    </w:p>
    <w:p>
      <w:pPr>
        <w:pStyle w:val="32"/>
        <w:adjustRightInd w:val="0"/>
        <w:snapToGrid w:val="0"/>
        <w:spacing w:beforeLines="0" w:afterLines="0" w:line="500" w:lineRule="exact"/>
        <w:ind w:firstLine="562" w:firstLineChars="201"/>
        <w:rPr>
          <w:rFonts w:hAnsi="宋体"/>
          <w:kern w:val="0"/>
          <w:sz w:val="28"/>
          <w:szCs w:val="28"/>
        </w:rPr>
      </w:pPr>
      <w:r>
        <w:rPr>
          <w:rFonts w:hint="eastAsia" w:hAnsi="宋体"/>
          <w:kern w:val="0"/>
          <w:sz w:val="28"/>
          <w:szCs w:val="28"/>
        </w:rPr>
        <w:t>如认为需要，投标人可以选择递交备份投标文件，采用数据电文形式，以U盘或DVD光盘形式存储，并在投标截止时间前，通过邮寄方式，送达指定地点，逾期送达或未密封将被拒收。</w:t>
      </w:r>
    </w:p>
    <w:p>
      <w:pPr>
        <w:pStyle w:val="32"/>
        <w:adjustRightInd w:val="0"/>
        <w:snapToGrid w:val="0"/>
        <w:spacing w:beforeLines="0" w:afterLines="0" w:line="500" w:lineRule="exact"/>
        <w:ind w:firstLine="562" w:firstLineChars="201"/>
        <w:rPr>
          <w:rFonts w:hAnsi="宋体"/>
          <w:kern w:val="0"/>
          <w:sz w:val="28"/>
          <w:szCs w:val="28"/>
        </w:rPr>
      </w:pPr>
      <w:r>
        <w:rPr>
          <w:rFonts w:hint="eastAsia" w:hAnsi="宋体"/>
          <w:kern w:val="0"/>
          <w:sz w:val="28"/>
          <w:szCs w:val="28"/>
        </w:rPr>
        <w:t>投标文件收件填写人：</w:t>
      </w:r>
      <w:r>
        <w:rPr>
          <w:rFonts w:hint="eastAsia" w:hAnsi="宋体"/>
          <w:kern w:val="0"/>
          <w:sz w:val="28"/>
          <w:szCs w:val="28"/>
          <w:lang w:val="en-US" w:eastAsia="zh-CN"/>
        </w:rPr>
        <w:t>陶老师</w:t>
      </w:r>
      <w:r>
        <w:rPr>
          <w:rFonts w:hint="eastAsia" w:hAnsi="宋体"/>
          <w:kern w:val="0"/>
          <w:sz w:val="28"/>
          <w:szCs w:val="28"/>
        </w:rPr>
        <w:t>，联系方式：</w:t>
      </w:r>
      <w:r>
        <w:rPr>
          <w:rFonts w:hint="eastAsia" w:hAnsi="宋体"/>
          <w:kern w:val="0"/>
          <w:sz w:val="28"/>
          <w:szCs w:val="28"/>
          <w:lang w:val="en-US" w:eastAsia="zh-CN"/>
        </w:rPr>
        <w:t>0571-88901836</w:t>
      </w:r>
      <w:r>
        <w:rPr>
          <w:rFonts w:hint="eastAsia" w:hAnsi="宋体"/>
          <w:kern w:val="0"/>
          <w:sz w:val="28"/>
          <w:szCs w:val="28"/>
        </w:rPr>
        <w:t>，收件地址：浙江省杭州市下城区环城北路305号耀江发展中心三楼浙江省政府采购中心302会议室。（疫情期间仅接收邮寄方式递交的</w:t>
      </w:r>
      <w:r>
        <w:rPr>
          <w:rFonts w:hint="eastAsia" w:hAnsi="宋体"/>
          <w:b/>
          <w:kern w:val="0"/>
          <w:sz w:val="28"/>
          <w:szCs w:val="28"/>
        </w:rPr>
        <w:t>备份</w:t>
      </w:r>
      <w:r>
        <w:rPr>
          <w:rFonts w:hint="eastAsia" w:hAnsi="宋体"/>
          <w:kern w:val="0"/>
          <w:sz w:val="28"/>
          <w:szCs w:val="28"/>
        </w:rPr>
        <w:t>投标文件,因本大楼疫情管控，推荐使用中国邮政速递和顺丰快递。）</w:t>
      </w:r>
    </w:p>
    <w:p>
      <w:pPr>
        <w:pStyle w:val="32"/>
        <w:adjustRightInd w:val="0"/>
        <w:snapToGrid w:val="0"/>
        <w:spacing w:before="120" w:after="120" w:line="500" w:lineRule="exact"/>
        <w:ind w:firstLine="565" w:firstLineChars="201"/>
        <w:rPr>
          <w:rFonts w:hAnsi="宋体"/>
          <w:b/>
          <w:kern w:val="0"/>
          <w:sz w:val="28"/>
          <w:szCs w:val="28"/>
        </w:rPr>
      </w:pPr>
      <w:r>
        <w:rPr>
          <w:rFonts w:hint="eastAsia" w:hAnsi="宋体"/>
          <w:b/>
          <w:kern w:val="0"/>
          <w:sz w:val="28"/>
          <w:szCs w:val="28"/>
        </w:rPr>
        <w:t>本项目拒绝接受纸质投标文件。</w:t>
      </w:r>
    </w:p>
    <w:p>
      <w:pPr>
        <w:snapToGrid w:val="0"/>
        <w:spacing w:line="500" w:lineRule="exact"/>
        <w:ind w:firstLine="562" w:firstLineChars="200"/>
        <w:rPr>
          <w:rFonts w:ascii="宋体" w:hAnsi="宋体" w:cs="Arial"/>
          <w:b/>
          <w:bCs/>
          <w:sz w:val="28"/>
          <w:szCs w:val="28"/>
        </w:rPr>
      </w:pPr>
      <w:r>
        <w:rPr>
          <w:rFonts w:hint="eastAsia" w:ascii="宋体" w:hAnsi="宋体" w:cs="Arial"/>
          <w:b/>
          <w:bCs/>
          <w:sz w:val="28"/>
          <w:szCs w:val="28"/>
        </w:rPr>
        <w:t>七、开标时间及地点：</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本次招标将于</w:t>
      </w:r>
      <w:bookmarkStart w:id="7" w:name="PO_15528_PM015_1"/>
      <w:r>
        <w:rPr>
          <w:rFonts w:hint="eastAsia" w:ascii="宋体" w:hAnsi="宋体" w:cs="Arial"/>
          <w:b/>
          <w:sz w:val="28"/>
          <w:szCs w:val="28"/>
          <w:lang w:eastAsia="zh-CN"/>
        </w:rPr>
        <w:t>2022-07-25 10:00:00</w:t>
      </w:r>
      <w:bookmarkEnd w:id="7"/>
      <w:r>
        <w:rPr>
          <w:rFonts w:hint="eastAsia" w:ascii="宋体" w:hAnsi="宋体" w:cs="Arial"/>
          <w:b/>
          <w:sz w:val="28"/>
          <w:szCs w:val="28"/>
        </w:rPr>
        <w:t>时整在</w:t>
      </w:r>
      <w:bookmarkStart w:id="8" w:name="PO_15528_PM016_1"/>
      <w:r>
        <w:rPr>
          <w:rFonts w:hint="eastAsia" w:ascii="宋体" w:hAnsi="宋体" w:cs="Arial"/>
          <w:b/>
          <w:sz w:val="28"/>
          <w:szCs w:val="28"/>
          <w:lang w:eastAsia="zh-CN"/>
        </w:rPr>
        <w:t>拱墅区杭州市环城北路305号耀江发展中心 3A（四楼）06开标室</w:t>
      </w:r>
      <w:bookmarkEnd w:id="8"/>
      <w:r>
        <w:rPr>
          <w:rFonts w:hint="eastAsia" w:ascii="宋体" w:hAnsi="宋体" w:cs="Arial"/>
          <w:b/>
          <w:sz w:val="28"/>
          <w:szCs w:val="28"/>
        </w:rPr>
        <w:t>开标。</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本项目实行“不见面开评标”，投标人无须派人员到现场出席开标会议。</w:t>
      </w:r>
    </w:p>
    <w:tbl>
      <w:tblPr>
        <w:tblStyle w:val="60"/>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3444"/>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Pr>
          <w:p>
            <w:pPr>
              <w:pStyle w:val="32"/>
              <w:adjustRightInd w:val="0"/>
              <w:snapToGrid w:val="0"/>
              <w:spacing w:beforeLines="0" w:afterLines="0" w:line="500" w:lineRule="exact"/>
              <w:rPr>
                <w:rFonts w:hAnsi="宋体"/>
                <w:kern w:val="0"/>
                <w:sz w:val="28"/>
                <w:szCs w:val="28"/>
              </w:rPr>
            </w:pPr>
            <w:r>
              <w:rPr>
                <w:rFonts w:hint="eastAsia" w:hAnsi="宋体"/>
                <w:kern w:val="0"/>
                <w:sz w:val="28"/>
                <w:szCs w:val="28"/>
              </w:rPr>
              <w:t>开标现场咨询电话</w:t>
            </w:r>
          </w:p>
        </w:tc>
        <w:tc>
          <w:tcPr>
            <w:tcW w:w="3444" w:type="dxa"/>
          </w:tcPr>
          <w:p>
            <w:pPr>
              <w:pStyle w:val="32"/>
              <w:adjustRightInd w:val="0"/>
              <w:snapToGrid w:val="0"/>
              <w:spacing w:beforeLines="0" w:afterLines="0" w:line="500" w:lineRule="exact"/>
              <w:rPr>
                <w:rFonts w:hAnsi="宋体"/>
                <w:kern w:val="0"/>
                <w:sz w:val="28"/>
                <w:szCs w:val="28"/>
              </w:rPr>
            </w:pPr>
            <w:r>
              <w:rPr>
                <w:rFonts w:hint="eastAsia" w:hAnsi="宋体"/>
                <w:kern w:val="0"/>
                <w:sz w:val="28"/>
                <w:szCs w:val="28"/>
              </w:rPr>
              <w:t>201开标室（大）：0</w:t>
            </w:r>
            <w:r>
              <w:rPr>
                <w:rFonts w:hAnsi="宋体"/>
                <w:kern w:val="0"/>
                <w:sz w:val="28"/>
                <w:szCs w:val="28"/>
              </w:rPr>
              <w:t>571-</w:t>
            </w:r>
            <w:r>
              <w:rPr>
                <w:rFonts w:hint="eastAsia" w:hAnsi="宋体"/>
                <w:kern w:val="0"/>
                <w:sz w:val="28"/>
                <w:szCs w:val="28"/>
              </w:rPr>
              <w:t>8</w:t>
            </w:r>
            <w:r>
              <w:rPr>
                <w:rFonts w:hAnsi="宋体"/>
                <w:kern w:val="0"/>
                <w:sz w:val="28"/>
                <w:szCs w:val="28"/>
              </w:rPr>
              <w:t>8907719</w:t>
            </w:r>
          </w:p>
        </w:tc>
        <w:tc>
          <w:tcPr>
            <w:tcW w:w="3445" w:type="dxa"/>
          </w:tcPr>
          <w:p>
            <w:pPr>
              <w:pStyle w:val="32"/>
              <w:adjustRightInd w:val="0"/>
              <w:snapToGrid w:val="0"/>
              <w:spacing w:beforeLines="0" w:afterLines="0" w:line="500" w:lineRule="exact"/>
              <w:rPr>
                <w:rFonts w:hAnsi="宋体"/>
                <w:kern w:val="0"/>
                <w:sz w:val="28"/>
                <w:szCs w:val="28"/>
              </w:rPr>
            </w:pPr>
            <w:r>
              <w:rPr>
                <w:rFonts w:hint="eastAsia" w:hAnsi="宋体"/>
                <w:kern w:val="0"/>
                <w:sz w:val="28"/>
                <w:szCs w:val="28"/>
              </w:rPr>
              <w:t>202评标室（小）：0</w:t>
            </w:r>
            <w:r>
              <w:rPr>
                <w:rFonts w:hAnsi="宋体"/>
                <w:kern w:val="0"/>
                <w:sz w:val="28"/>
                <w:szCs w:val="28"/>
              </w:rPr>
              <w:t>571-</w:t>
            </w:r>
            <w:r>
              <w:rPr>
                <w:rFonts w:hint="eastAsia" w:hAnsi="宋体"/>
                <w:kern w:val="0"/>
                <w:sz w:val="28"/>
                <w:szCs w:val="28"/>
              </w:rPr>
              <w:t>8</w:t>
            </w:r>
            <w:r>
              <w:rPr>
                <w:rFonts w:hAnsi="宋体"/>
                <w:kern w:val="0"/>
                <w:sz w:val="28"/>
                <w:szCs w:val="28"/>
              </w:rPr>
              <w:t>8907720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pStyle w:val="32"/>
              <w:adjustRightInd w:val="0"/>
              <w:snapToGrid w:val="0"/>
              <w:spacing w:beforeLines="0" w:afterLines="0" w:line="500" w:lineRule="exact"/>
              <w:ind w:firstLine="562" w:firstLineChars="201"/>
              <w:rPr>
                <w:rFonts w:hAnsi="宋体"/>
                <w:kern w:val="0"/>
                <w:sz w:val="28"/>
                <w:szCs w:val="28"/>
              </w:rPr>
            </w:pPr>
          </w:p>
        </w:tc>
        <w:tc>
          <w:tcPr>
            <w:tcW w:w="3444" w:type="dxa"/>
          </w:tcPr>
          <w:p>
            <w:pPr>
              <w:pStyle w:val="32"/>
              <w:adjustRightInd w:val="0"/>
              <w:snapToGrid w:val="0"/>
              <w:spacing w:beforeLines="0" w:afterLines="0" w:line="500" w:lineRule="exact"/>
              <w:rPr>
                <w:rFonts w:hAnsi="宋体"/>
                <w:kern w:val="0"/>
                <w:sz w:val="28"/>
                <w:szCs w:val="28"/>
              </w:rPr>
            </w:pPr>
            <w:r>
              <w:rPr>
                <w:rFonts w:hint="eastAsia" w:hAnsi="宋体"/>
                <w:kern w:val="0"/>
                <w:sz w:val="28"/>
                <w:szCs w:val="28"/>
              </w:rPr>
              <w:t>3A（四楼）05评标室：0</w:t>
            </w:r>
            <w:r>
              <w:rPr>
                <w:rFonts w:hAnsi="宋体"/>
                <w:kern w:val="0"/>
                <w:sz w:val="28"/>
                <w:szCs w:val="28"/>
              </w:rPr>
              <w:t>571-</w:t>
            </w:r>
            <w:r>
              <w:rPr>
                <w:rFonts w:hint="eastAsia" w:hAnsi="宋体"/>
                <w:kern w:val="0"/>
                <w:sz w:val="28"/>
                <w:szCs w:val="28"/>
              </w:rPr>
              <w:t>8</w:t>
            </w:r>
            <w:r>
              <w:rPr>
                <w:rFonts w:hAnsi="宋体"/>
                <w:kern w:val="0"/>
                <w:sz w:val="28"/>
                <w:szCs w:val="28"/>
              </w:rPr>
              <w:t>8907792</w:t>
            </w:r>
          </w:p>
        </w:tc>
        <w:tc>
          <w:tcPr>
            <w:tcW w:w="3445" w:type="dxa"/>
          </w:tcPr>
          <w:p>
            <w:pPr>
              <w:pStyle w:val="32"/>
              <w:adjustRightInd w:val="0"/>
              <w:snapToGrid w:val="0"/>
              <w:spacing w:beforeLines="0" w:afterLines="0" w:line="500" w:lineRule="exact"/>
              <w:rPr>
                <w:rFonts w:hAnsi="宋体"/>
                <w:kern w:val="0"/>
                <w:sz w:val="28"/>
                <w:szCs w:val="28"/>
              </w:rPr>
            </w:pPr>
            <w:r>
              <w:rPr>
                <w:rFonts w:hint="eastAsia" w:hAnsi="宋体"/>
                <w:kern w:val="0"/>
                <w:sz w:val="28"/>
                <w:szCs w:val="28"/>
              </w:rPr>
              <w:t>3A（四楼）06开标室：</w:t>
            </w:r>
            <w:r>
              <w:rPr>
                <w:rFonts w:hAnsi="宋体"/>
                <w:kern w:val="0"/>
                <w:sz w:val="28"/>
                <w:szCs w:val="28"/>
              </w:rPr>
              <w:t>0571-</w:t>
            </w:r>
            <w:r>
              <w:rPr>
                <w:rFonts w:hint="eastAsia" w:hAnsi="宋体"/>
                <w:kern w:val="0"/>
                <w:sz w:val="28"/>
                <w:szCs w:val="28"/>
              </w:rPr>
              <w:t>8</w:t>
            </w:r>
            <w:r>
              <w:rPr>
                <w:rFonts w:hAnsi="宋体"/>
                <w:kern w:val="0"/>
                <w:sz w:val="28"/>
                <w:szCs w:val="28"/>
              </w:rPr>
              <w:t>8907791</w:t>
            </w:r>
          </w:p>
        </w:tc>
      </w:tr>
    </w:tbl>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八、电子交易平台的网络地址和登录方法</w:t>
      </w:r>
    </w:p>
    <w:p>
      <w:pPr>
        <w:snapToGrid w:val="0"/>
        <w:spacing w:line="500" w:lineRule="exact"/>
        <w:ind w:firstLine="562" w:firstLineChars="200"/>
        <w:rPr>
          <w:sz w:val="28"/>
          <w:szCs w:val="28"/>
        </w:rPr>
      </w:pPr>
      <w:r>
        <w:rPr>
          <w:rFonts w:hint="eastAsia" w:ascii="宋体" w:hAnsi="宋体" w:cs="Arial"/>
          <w:b/>
          <w:sz w:val="28"/>
          <w:szCs w:val="28"/>
        </w:rPr>
        <w:t>（一）网络地址：</w:t>
      </w:r>
      <w:r>
        <w:rPr>
          <w:rFonts w:hint="eastAsia" w:ascii="宋体" w:hAnsi="宋体" w:cs="仿宋"/>
          <w:sz w:val="28"/>
          <w:szCs w:val="28"/>
        </w:rPr>
        <w:t xml:space="preserve">浙江政府采购网 </w:t>
      </w:r>
      <w:r>
        <w:fldChar w:fldCharType="begin"/>
      </w:r>
      <w:r>
        <w:instrText xml:space="preserve"> HYPERLINK "http://zfcg.czt.zj.gov.cn/" </w:instrText>
      </w:r>
      <w:r>
        <w:fldChar w:fldCharType="separate"/>
      </w:r>
      <w:r>
        <w:rPr>
          <w:rStyle w:val="69"/>
          <w:color w:val="auto"/>
          <w:sz w:val="28"/>
          <w:szCs w:val="28"/>
        </w:rPr>
        <w:t>http://zfcg.czt.zj.gov.cn/</w:t>
      </w:r>
      <w:r>
        <w:rPr>
          <w:rStyle w:val="69"/>
          <w:color w:val="auto"/>
          <w:sz w:val="28"/>
          <w:szCs w:val="28"/>
        </w:rPr>
        <w:fldChar w:fldCharType="end"/>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（二）登录方法：</w:t>
      </w:r>
      <w:r>
        <w:rPr>
          <w:rFonts w:hint="eastAsia" w:ascii="宋体" w:hAnsi="宋体" w:cs="Arial"/>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sz w:val="28"/>
          <w:szCs w:val="28"/>
        </w:rPr>
      </w:pPr>
      <w:r>
        <w:rPr>
          <w:rFonts w:hint="eastAsia" w:ascii="宋体" w:hAnsi="宋体" w:cs="Arial"/>
          <w:b/>
          <w:bCs/>
          <w:sz w:val="28"/>
          <w:szCs w:val="28"/>
        </w:rPr>
        <w:t>九、其他：</w:t>
      </w:r>
    </w:p>
    <w:p>
      <w:pPr>
        <w:snapToGrid w:val="0"/>
        <w:spacing w:line="440" w:lineRule="exact"/>
        <w:ind w:firstLine="562" w:firstLineChars="200"/>
        <w:rPr>
          <w:rFonts w:ascii="宋体" w:hAnsi="宋体" w:cs="Arial"/>
          <w:b/>
          <w:sz w:val="28"/>
          <w:szCs w:val="28"/>
        </w:rPr>
      </w:pPr>
      <w:r>
        <w:rPr>
          <w:rFonts w:hint="eastAsia" w:ascii="宋体" w:hAnsi="宋体" w:cs="Arial"/>
          <w:b/>
          <w:sz w:val="28"/>
          <w:szCs w:val="28"/>
        </w:rPr>
        <w:t>（一）本项目采用“电子交易/不见面开评标”，供应商可进入电子卖场服务中心采云学院</w:t>
      </w:r>
    </w:p>
    <w:p>
      <w:pPr>
        <w:snapToGrid w:val="0"/>
        <w:spacing w:line="440" w:lineRule="exact"/>
        <w:ind w:firstLine="562" w:firstLineChars="200"/>
        <w:rPr>
          <w:rFonts w:ascii="仿宋" w:hAnsi="仿宋" w:eastAsia="仿宋"/>
          <w:sz w:val="28"/>
          <w:szCs w:val="28"/>
        </w:rPr>
      </w:pPr>
      <w:r>
        <w:rPr>
          <w:rFonts w:hint="eastAsia" w:ascii="宋体" w:hAnsi="宋体" w:cs="Arial"/>
          <w:b/>
          <w:sz w:val="28"/>
          <w:szCs w:val="28"/>
        </w:rPr>
        <w:t>（</w:t>
      </w:r>
      <w:r>
        <w:rPr>
          <w:rFonts w:ascii="宋体" w:hAnsi="宋体" w:cs="Arial"/>
          <w:b/>
          <w:sz w:val="28"/>
          <w:szCs w:val="28"/>
        </w:rPr>
        <w:t>https://edu.zcygov.cn/live?utm=a0018.2ef5001f.0.0.1939d340e5db11ea867fb57c149ddb61</w:t>
      </w:r>
      <w:r>
        <w:rPr>
          <w:rFonts w:hint="eastAsia" w:ascii="宋体" w:hAnsi="宋体" w:cs="Arial"/>
          <w:b/>
          <w:sz w:val="28"/>
          <w:szCs w:val="28"/>
        </w:rPr>
        <w:t>）自行提前学习</w:t>
      </w:r>
      <w:r>
        <w:rPr>
          <w:rFonts w:hint="eastAsia" w:ascii="宋体" w:hAnsi="宋体" w:cs="Arial"/>
          <w:sz w:val="28"/>
          <w:szCs w:val="28"/>
        </w:rPr>
        <w:t>。</w:t>
      </w:r>
    </w:p>
    <w:p>
      <w:pPr>
        <w:snapToGrid w:val="0"/>
        <w:spacing w:line="44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十、业务咨询</w:t>
      </w:r>
    </w:p>
    <w:tbl>
      <w:tblPr>
        <w:tblStyle w:val="59"/>
        <w:tblpPr w:leftFromText="180" w:rightFromText="180" w:vertAnchor="text" w:horzAnchor="page" w:tblpX="1337" w:tblpY="223"/>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机 构</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浙江省杭州市下城区环城北路305号耀江发展中心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网 站</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浙江政府采购网</w:t>
            </w:r>
            <w:r>
              <w:rPr>
                <w:rFonts w:hint="eastAsia" w:ascii="仿宋_GB2312" w:hAnsi="Segoe UI" w:eastAsia="仿宋_GB2312" w:cs="Segoe UI"/>
                <w:sz w:val="29"/>
                <w:szCs w:val="29"/>
              </w:rPr>
              <w:t>ht</w:t>
            </w:r>
            <w:r>
              <w:rPr>
                <w:rFonts w:hint="eastAsia" w:ascii="仿宋" w:hAnsi="仿宋" w:eastAsia="仿宋" w:cs="仿宋"/>
                <w:sz w:val="28"/>
                <w:szCs w:val="28"/>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咨询事项</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联系方式</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传真</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项目联系人</w:t>
            </w:r>
          </w:p>
          <w:p>
            <w:pPr>
              <w:spacing w:line="480" w:lineRule="exact"/>
              <w:rPr>
                <w:rFonts w:ascii="仿宋" w:hAnsi="仿宋" w:eastAsia="仿宋" w:cs="仿宋"/>
                <w:sz w:val="28"/>
                <w:szCs w:val="28"/>
              </w:rPr>
            </w:pPr>
            <w:r>
              <w:rPr>
                <w:rFonts w:hint="eastAsia" w:ascii="仿宋" w:hAnsi="仿宋" w:eastAsia="仿宋" w:cs="仿宋"/>
                <w:sz w:val="28"/>
                <w:szCs w:val="28"/>
              </w:rPr>
              <w:t>（A岗）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bookmarkStart w:id="9" w:name="PO_15528_PM032"/>
            <w:r>
              <w:rPr>
                <w:rFonts w:hint="eastAsia" w:ascii="仿宋" w:hAnsi="仿宋" w:eastAsia="仿宋" w:cs="仿宋"/>
                <w:sz w:val="28"/>
                <w:szCs w:val="28"/>
              </w:rPr>
              <w:t>柯泓</w:t>
            </w:r>
            <w:bookmarkEnd w:id="9"/>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bookmarkStart w:id="10" w:name="PO_15528_PM033"/>
            <w:r>
              <w:rPr>
                <w:rFonts w:hint="eastAsia" w:ascii="仿宋" w:hAnsi="仿宋" w:eastAsia="仿宋" w:cs="仿宋"/>
                <w:sz w:val="28"/>
                <w:szCs w:val="28"/>
              </w:rPr>
              <w:t>0571-88901833</w:t>
            </w:r>
            <w:bookmarkEnd w:id="10"/>
          </w:p>
        </w:tc>
        <w:tc>
          <w:tcPr>
            <w:tcW w:w="2066" w:type="dxa"/>
            <w:vMerge w:val="restart"/>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0571-88907751</w:t>
            </w:r>
          </w:p>
        </w:tc>
        <w:tc>
          <w:tcPr>
            <w:tcW w:w="2644" w:type="dxa"/>
            <w:vMerge w:val="restart"/>
            <w:tcBorders>
              <w:top w:val="single" w:color="auto" w:sz="4" w:space="0"/>
              <w:lef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三楼（采购二部）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项目协办人</w:t>
            </w:r>
          </w:p>
          <w:p>
            <w:pPr>
              <w:spacing w:line="480" w:lineRule="exact"/>
              <w:rPr>
                <w:rFonts w:ascii="仿宋" w:hAnsi="仿宋" w:eastAsia="仿宋" w:cs="仿宋"/>
                <w:sz w:val="28"/>
                <w:szCs w:val="28"/>
              </w:rPr>
            </w:pPr>
            <w:r>
              <w:rPr>
                <w:rFonts w:hint="eastAsia" w:ascii="仿宋" w:hAnsi="仿宋" w:eastAsia="仿宋" w:cs="仿宋"/>
                <w:sz w:val="28"/>
                <w:szCs w:val="28"/>
              </w:rPr>
              <w:t>（B岗）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高媛沁</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ascii="仿宋" w:hAnsi="仿宋" w:eastAsia="仿宋" w:cs="仿宋"/>
                <w:sz w:val="28"/>
                <w:szCs w:val="28"/>
              </w:rPr>
              <w:t>0571-88907717</w:t>
            </w:r>
          </w:p>
        </w:tc>
        <w:tc>
          <w:tcPr>
            <w:tcW w:w="2066" w:type="dxa"/>
            <w:vMerge w:val="continue"/>
            <w:tcBorders>
              <w:left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vMerge w:val="continue"/>
            <w:tcBorders>
              <w:left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高媛沁</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ascii="仿宋" w:hAnsi="仿宋" w:eastAsia="仿宋" w:cs="仿宋"/>
                <w:sz w:val="28"/>
                <w:szCs w:val="28"/>
              </w:rPr>
              <w:t>0571-88907717</w:t>
            </w:r>
          </w:p>
        </w:tc>
        <w:tc>
          <w:tcPr>
            <w:tcW w:w="2066" w:type="dxa"/>
            <w:vMerge w:val="continue"/>
            <w:tcBorders>
              <w:left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vMerge w:val="continue"/>
            <w:tcBorders>
              <w:left w:val="single" w:color="auto" w:sz="4" w:space="0"/>
              <w:bottom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吴女士</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w:t>
            </w:r>
            <w:r>
              <w:rPr>
                <w:rFonts w:ascii="仿宋" w:hAnsi="仿宋" w:eastAsia="仿宋" w:cs="仿宋"/>
                <w:sz w:val="28"/>
                <w:szCs w:val="28"/>
              </w:rPr>
              <w:t>0117</w:t>
            </w:r>
          </w:p>
        </w:tc>
        <w:tc>
          <w:tcPr>
            <w:tcW w:w="2066" w:type="dxa"/>
            <w:vMerge w:val="continue"/>
            <w:tcBorders>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三楼（采购监督部）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客  服</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4008817190</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注册、账号、系统操作等</w:t>
            </w:r>
          </w:p>
        </w:tc>
      </w:tr>
    </w:tbl>
    <w:p>
      <w:pPr>
        <w:snapToGrid w:val="0"/>
        <w:spacing w:line="440" w:lineRule="exact"/>
        <w:ind w:firstLine="602" w:firstLineChars="200"/>
        <w:rPr>
          <w:rFonts w:hint="eastAsia" w:ascii="仿宋" w:hAnsi="仿宋" w:eastAsia="仿宋" w:cs="Arial"/>
          <w:b/>
          <w:bCs/>
          <w:sz w:val="30"/>
          <w:szCs w:val="30"/>
        </w:rPr>
      </w:pPr>
    </w:p>
    <w:p>
      <w:pPr>
        <w:snapToGrid w:val="0"/>
        <w:spacing w:line="360" w:lineRule="auto"/>
        <w:ind w:firstLine="602" w:firstLineChars="200"/>
        <w:rPr>
          <w:rFonts w:ascii="仿宋" w:hAnsi="仿宋" w:eastAsia="仿宋" w:cs="Arial"/>
          <w:b/>
          <w:bCs/>
          <w:sz w:val="30"/>
          <w:szCs w:val="30"/>
        </w:rPr>
      </w:pPr>
      <w:r>
        <w:rPr>
          <w:rFonts w:hint="eastAsia" w:ascii="仿宋" w:hAnsi="仿宋" w:eastAsia="仿宋" w:cs="Arial"/>
          <w:b/>
          <w:bCs/>
          <w:sz w:val="30"/>
          <w:szCs w:val="30"/>
        </w:rPr>
        <w:t>十一、采购需求咨询</w:t>
      </w:r>
    </w:p>
    <w:p>
      <w:pPr>
        <w:snapToGrid w:val="0"/>
        <w:spacing w:line="440" w:lineRule="exact"/>
        <w:jc w:val="both"/>
        <w:rPr>
          <w:rFonts w:hint="eastAsia" w:ascii="仿宋_GB2312" w:hAnsi="仿宋" w:eastAsia="仿宋_GB2312"/>
          <w:sz w:val="30"/>
          <w:szCs w:val="30"/>
          <w:vertAlign w:val="baseline"/>
          <w:lang w:eastAsia="zh-CN"/>
        </w:rPr>
      </w:pPr>
      <w:bookmarkStart w:id="11" w:name="PO_TDCUS_ITEM_PRC_TITLE_1"/>
      <w:r>
        <w:rPr>
          <w:rFonts w:hint="eastAsia" w:ascii="仿宋_GB2312" w:hAnsi="仿宋" w:eastAsia="仿宋_GB2312"/>
          <w:sz w:val="30"/>
          <w:szCs w:val="30"/>
          <w:lang w:eastAsia="zh-CN"/>
        </w:rPr>
        <w:t xml:space="preserve">标项1 </w:t>
      </w:r>
      <w:bookmarkStart w:id="12" w:name="PO_TDCUS_ITEM_PRC_TITLE_2"/>
      <w:r>
        <w:rPr>
          <w:rFonts w:hint="eastAsia" w:ascii="仿宋_GB2312" w:hAnsi="仿宋" w:eastAsia="仿宋_GB2312"/>
          <w:sz w:val="30"/>
          <w:szCs w:val="30"/>
          <w:lang w:val="en-US" w:eastAsia="zh-CN"/>
        </w:rPr>
        <w:t>和</w:t>
      </w:r>
      <w:r>
        <w:rPr>
          <w:rFonts w:hint="eastAsia" w:ascii="仿宋_GB2312" w:hAnsi="仿宋" w:eastAsia="仿宋_GB2312"/>
          <w:sz w:val="30"/>
          <w:szCs w:val="30"/>
          <w:lang w:eastAsia="zh-CN"/>
        </w:rPr>
        <w:t>标项2</w:t>
      </w:r>
      <w:bookmarkEnd w:id="11"/>
      <w:bookmarkEnd w:id="12"/>
      <w:bookmarkStart w:id="13" w:name="PO_TDCUS_ITEM_PRC_TABLE_1_1"/>
    </w:p>
    <w:tbl>
      <w:tblPr>
        <w:tblStyle w:val="6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采购单位</w:t>
            </w:r>
          </w:p>
        </w:tc>
        <w:tc>
          <w:tcPr>
            <w:tcW w:w="4264" w:type="dxa"/>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浙江警察学院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地址</w:t>
            </w:r>
          </w:p>
        </w:tc>
        <w:tc>
          <w:tcPr>
            <w:tcW w:w="4264" w:type="dxa"/>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浙江省杭州市滨江区滨文路555号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咨询事项</w:t>
            </w:r>
          </w:p>
        </w:tc>
        <w:tc>
          <w:tcPr>
            <w:tcW w:w="4264" w:type="dxa"/>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联系人</w:t>
            </w:r>
          </w:p>
        </w:tc>
        <w:tc>
          <w:tcPr>
            <w:tcW w:w="4264" w:type="dxa"/>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汤天啊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联系方式</w:t>
            </w:r>
          </w:p>
        </w:tc>
        <w:tc>
          <w:tcPr>
            <w:tcW w:w="4264" w:type="dxa"/>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0571-87787048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传真</w:t>
            </w:r>
          </w:p>
        </w:tc>
        <w:tc>
          <w:tcPr>
            <w:tcW w:w="4264" w:type="dxa"/>
          </w:tcPr>
          <w:p>
            <w:pPr>
              <w:snapToGrid w:val="0"/>
              <w:spacing w:line="440" w:lineRule="exact"/>
              <w:jc w:val="center"/>
              <w:rPr>
                <w:rFonts w:hint="eastAsia" w:ascii="仿宋_GB2312" w:hAnsi="仿宋" w:eastAsia="仿宋_GB2312"/>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备注</w:t>
            </w:r>
          </w:p>
        </w:tc>
        <w:tc>
          <w:tcPr>
            <w:tcW w:w="4264" w:type="dxa"/>
          </w:tcPr>
          <w:p>
            <w:pPr>
              <w:snapToGrid w:val="0"/>
              <w:spacing w:line="440" w:lineRule="exact"/>
              <w:jc w:val="center"/>
              <w:rPr>
                <w:rFonts w:hint="eastAsia" w:ascii="仿宋_GB2312" w:hAnsi="仿宋" w:eastAsia="仿宋_GB2312"/>
                <w:sz w:val="30"/>
                <w:szCs w:val="30"/>
                <w:vertAlign w:val="baseline"/>
                <w:lang w:eastAsia="zh-CN"/>
              </w:rPr>
            </w:pPr>
          </w:p>
        </w:tc>
      </w:tr>
      <w:bookmarkEnd w:id="13"/>
    </w:tbl>
    <w:p>
      <w:pPr>
        <w:snapToGrid w:val="0"/>
        <w:spacing w:line="440" w:lineRule="exact"/>
        <w:ind w:firstLine="600" w:firstLineChars="200"/>
        <w:jc w:val="center"/>
        <w:rPr>
          <w:rFonts w:hint="eastAsia" w:ascii="仿宋_GB2312" w:hAnsi="仿宋" w:eastAsia="仿宋_GB2312"/>
          <w:sz w:val="30"/>
          <w:szCs w:val="30"/>
          <w:vertAlign w:val="baseline"/>
          <w:lang w:eastAsia="zh-CN"/>
        </w:rPr>
      </w:pPr>
      <w:bookmarkStart w:id="14" w:name="PO_TDCUS_ITEM_PRC_TABLE_2_1"/>
      <w:r>
        <w:rPr>
          <w:rFonts w:hint="eastAsia" w:ascii="仿宋_GB2312" w:hAnsi="仿宋" w:eastAsia="仿宋_GB2312"/>
          <w:sz w:val="30"/>
          <w:szCs w:val="30"/>
          <w:lang w:eastAsia="zh-CN"/>
        </w:rPr>
        <w:t xml:space="preserve"> </w:t>
      </w:r>
    </w:p>
    <w:bookmarkEnd w:id="14"/>
    <w:p>
      <w:pPr>
        <w:pStyle w:val="32"/>
        <w:spacing w:before="120" w:after="120" w:line="360" w:lineRule="auto"/>
        <w:jc w:val="center"/>
        <w:outlineLvl w:val="0"/>
        <w:rPr>
          <w:rFonts w:hAnsi="宋体"/>
          <w:b/>
          <w:sz w:val="36"/>
          <w:szCs w:val="36"/>
        </w:rPr>
      </w:pPr>
      <w:r>
        <w:rPr>
          <w:rFonts w:ascii="仿宋" w:hAnsi="仿宋" w:eastAsia="仿宋"/>
          <w:b/>
          <w:sz w:val="36"/>
          <w:szCs w:val="36"/>
        </w:rPr>
        <w:br w:type="page"/>
      </w:r>
      <w:bookmarkStart w:id="15" w:name="_Toc496796636"/>
      <w:r>
        <w:rPr>
          <w:rFonts w:hint="eastAsia" w:ascii="仿宋" w:hAnsi="仿宋" w:eastAsia="仿宋"/>
          <w:b/>
          <w:sz w:val="36"/>
          <w:szCs w:val="36"/>
        </w:rPr>
        <w:t>第二章 投标人须知</w:t>
      </w:r>
      <w:bookmarkEnd w:id="15"/>
    </w:p>
    <w:p>
      <w:pPr>
        <w:snapToGrid w:val="0"/>
        <w:rPr>
          <w:rFonts w:ascii="宋体" w:hAnsi="宋体"/>
          <w:sz w:val="28"/>
          <w:szCs w:val="28"/>
        </w:rPr>
      </w:pPr>
      <w:r>
        <w:rPr>
          <w:rFonts w:hint="eastAsia" w:ascii="宋体" w:hAnsi="宋体"/>
          <w:sz w:val="28"/>
          <w:szCs w:val="28"/>
        </w:rPr>
        <w:t>前附表</w:t>
      </w:r>
    </w:p>
    <w:tbl>
      <w:tblPr>
        <w:tblStyle w:val="59"/>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9"/>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内  容</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sz w:val="24"/>
                <w:szCs w:val="24"/>
              </w:rPr>
            </w:pPr>
            <w:r>
              <w:rPr>
                <w:rFonts w:hint="eastAsia" w:ascii="仿宋" w:hAnsi="仿宋" w:eastAsia="仿宋"/>
                <w:sz w:val="24"/>
                <w:szCs w:val="24"/>
              </w:rP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sz w:val="24"/>
                <w:szCs w:val="24"/>
              </w:rPr>
            </w:pPr>
            <w:r>
              <w:rPr>
                <w:rFonts w:hint="eastAsia" w:ascii="仿宋" w:hAnsi="仿宋" w:eastAsia="仿宋"/>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sz w:val="24"/>
                <w:szCs w:val="24"/>
              </w:rPr>
            </w:pPr>
            <w:r>
              <w:rPr>
                <w:rFonts w:hint="eastAsia" w:ascii="仿宋" w:hAnsi="仿宋" w:eastAsia="仿宋"/>
                <w:b/>
                <w:sz w:val="24"/>
                <w:szCs w:val="24"/>
              </w:rPr>
              <w:t>根据《政府采购促进中小企业发展管理办法》财库〔</w:t>
            </w:r>
            <w:r>
              <w:rPr>
                <w:rFonts w:ascii="仿宋" w:hAnsi="仿宋" w:eastAsia="仿宋"/>
                <w:b/>
                <w:sz w:val="24"/>
                <w:szCs w:val="24"/>
              </w:rPr>
              <w:t>2020〕46号</w:t>
            </w:r>
            <w:r>
              <w:rPr>
                <w:rFonts w:hint="eastAsia" w:ascii="仿宋" w:hAnsi="仿宋" w:eastAsia="仿宋"/>
                <w:b/>
                <w:sz w:val="24"/>
                <w:szCs w:val="24"/>
              </w:rPr>
              <w:t>文件的规定，本项目</w:t>
            </w:r>
            <w:r>
              <w:rPr>
                <w:rFonts w:hint="eastAsia" w:ascii="仿宋" w:hAnsi="仿宋" w:eastAsia="仿宋"/>
                <w:b/>
                <w:sz w:val="24"/>
                <w:szCs w:val="24"/>
                <w:lang w:val="en-US" w:eastAsia="zh-CN"/>
              </w:rPr>
              <w:t>标项1和标项2</w:t>
            </w:r>
            <w:r>
              <w:rPr>
                <w:rFonts w:hint="eastAsia" w:ascii="仿宋" w:hAnsi="仿宋" w:eastAsia="仿宋"/>
                <w:b/>
                <w:sz w:val="24"/>
                <w:szCs w:val="24"/>
                <w:u w:val="single"/>
                <w:lang w:val="en-US" w:eastAsia="zh-CN"/>
              </w:rPr>
              <w:t>不</w:t>
            </w:r>
            <w:r>
              <w:rPr>
                <w:rFonts w:hint="eastAsia" w:ascii="仿宋" w:hAnsi="仿宋" w:eastAsia="仿宋"/>
                <w:b/>
                <w:sz w:val="24"/>
                <w:szCs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8"/>
                <w:szCs w:val="28"/>
              </w:rPr>
            </w:pPr>
            <w:r>
              <w:rPr>
                <w:rFonts w:hint="eastAsia" w:ascii="仿宋_GB2312" w:hAnsi="仿宋" w:eastAsia="仿宋_GB2312"/>
                <w:bCs/>
                <w:sz w:val="24"/>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pPr>
              <w:pStyle w:val="182"/>
              <w:numPr>
                <w:ilvl w:val="0"/>
                <w:numId w:val="31"/>
              </w:numPr>
              <w:snapToGrid w:val="0"/>
              <w:spacing w:line="360" w:lineRule="auto"/>
              <w:ind w:firstLineChars="0"/>
              <w:rPr>
                <w:rFonts w:ascii="仿宋" w:hAnsi="仿宋" w:eastAsia="仿宋"/>
                <w:b/>
                <w:sz w:val="24"/>
                <w:szCs w:val="24"/>
                <w:u w:val="single"/>
              </w:rPr>
            </w:pPr>
            <w:r>
              <w:rPr>
                <w:rFonts w:hint="eastAsia" w:ascii="仿宋" w:hAnsi="仿宋" w:eastAsia="仿宋"/>
                <w:b/>
                <w:sz w:val="24"/>
                <w:szCs w:val="24"/>
              </w:rPr>
              <w:t>项目属性（货物类）</w:t>
            </w:r>
          </w:p>
          <w:p>
            <w:pPr>
              <w:pStyle w:val="182"/>
              <w:numPr>
                <w:ilvl w:val="0"/>
                <w:numId w:val="31"/>
              </w:numPr>
              <w:snapToGrid w:val="0"/>
              <w:spacing w:line="360" w:lineRule="auto"/>
              <w:ind w:firstLineChars="0"/>
              <w:rPr>
                <w:rFonts w:ascii="仿宋" w:hAnsi="仿宋" w:eastAsia="仿宋"/>
                <w:b/>
                <w:sz w:val="24"/>
                <w:szCs w:val="24"/>
              </w:rPr>
            </w:pPr>
            <w:r>
              <w:rPr>
                <w:rFonts w:hint="eastAsia" w:ascii="仿宋" w:hAnsi="仿宋" w:eastAsia="仿宋"/>
                <w:b/>
                <w:sz w:val="24"/>
                <w:szCs w:val="24"/>
              </w:rPr>
              <w:t>中小企业划分标准所属行业（具体根据</w:t>
            </w:r>
            <w:r>
              <w:rPr>
                <w:rFonts w:ascii="仿宋" w:hAnsi="仿宋" w:eastAsia="仿宋"/>
                <w:b/>
                <w:sz w:val="24"/>
                <w:szCs w:val="24"/>
              </w:rPr>
              <w:t>《中小企业划型标准规定》</w:t>
            </w:r>
            <w:r>
              <w:rPr>
                <w:rFonts w:hint="eastAsia" w:ascii="仿宋" w:hAnsi="仿宋" w:eastAsia="仿宋"/>
                <w:b/>
                <w:sz w:val="24"/>
                <w:szCs w:val="24"/>
              </w:rPr>
              <w:t>执行）</w:t>
            </w:r>
          </w:p>
          <w:p>
            <w:pPr>
              <w:snapToGrid w:val="0"/>
              <w:spacing w:line="360" w:lineRule="auto"/>
              <w:ind w:left="600"/>
              <w:rPr>
                <w:rFonts w:hint="eastAsia" w:ascii="仿宋" w:hAnsi="仿宋" w:eastAsia="仿宋"/>
                <w:b/>
                <w:sz w:val="24"/>
                <w:szCs w:val="24"/>
                <w:lang w:val="en-US" w:eastAsia="zh-CN"/>
              </w:rPr>
            </w:pPr>
            <w:r>
              <w:rPr>
                <w:rFonts w:hint="eastAsia" w:ascii="仿宋" w:hAnsi="仿宋" w:eastAsia="仿宋"/>
                <w:b/>
                <w:sz w:val="24"/>
                <w:szCs w:val="24"/>
              </w:rPr>
              <w:t>采购标的：</w:t>
            </w:r>
            <w:r>
              <w:rPr>
                <w:rFonts w:hint="eastAsia" w:ascii="仿宋" w:hAnsi="仿宋" w:eastAsia="仿宋"/>
                <w:b/>
                <w:sz w:val="24"/>
                <w:szCs w:val="24"/>
                <w:lang w:val="en-US" w:eastAsia="zh-CN"/>
              </w:rPr>
              <w:t>标项1：云计算平台建设项目；标项2：数据中心机房设备采购及网络运维管理平台建设项目，</w:t>
            </w:r>
            <w:r>
              <w:rPr>
                <w:rFonts w:hint="eastAsia" w:ascii="仿宋" w:hAnsi="仿宋" w:eastAsia="仿宋"/>
                <w:b/>
                <w:sz w:val="24"/>
                <w:szCs w:val="24"/>
              </w:rPr>
              <w:t>所属行业：</w:t>
            </w:r>
            <w:r>
              <w:rPr>
                <w:rFonts w:hint="eastAsia" w:ascii="仿宋" w:hAnsi="仿宋" w:eastAsia="仿宋"/>
                <w:b/>
                <w:sz w:val="24"/>
                <w:szCs w:val="24"/>
                <w:lang w:val="en-US" w:eastAsia="zh-CN"/>
              </w:rPr>
              <w:t>工业</w:t>
            </w:r>
          </w:p>
          <w:p>
            <w:pPr>
              <w:snapToGrid w:val="0"/>
              <w:spacing w:line="460" w:lineRule="exact"/>
              <w:ind w:firstLine="602" w:firstLineChars="250"/>
              <w:rPr>
                <w:rFonts w:ascii="仿宋" w:hAnsi="仿宋" w:eastAsia="仿宋"/>
                <w:b/>
                <w:strike/>
                <w:sz w:val="24"/>
                <w:szCs w:val="24"/>
              </w:rPr>
            </w:pPr>
            <w:r>
              <w:rPr>
                <w:rFonts w:hint="eastAsia" w:ascii="仿宋" w:hAnsi="仿宋" w:eastAsia="仿宋"/>
                <w:b/>
                <w:sz w:val="24"/>
                <w:szCs w:val="24"/>
              </w:rPr>
              <w:t>3.根据财库〔2020〕46号的相关规定，在评审时对符合本办法规定的小微企业报价给予</w:t>
            </w:r>
            <w:r>
              <w:rPr>
                <w:rFonts w:hint="eastAsia" w:ascii="仿宋" w:hAnsi="仿宋" w:eastAsia="仿宋"/>
                <w:b/>
                <w:sz w:val="24"/>
                <w:szCs w:val="24"/>
                <w:u w:val="single"/>
              </w:rPr>
              <w:t xml:space="preserve"> </w:t>
            </w:r>
            <w:r>
              <w:rPr>
                <w:rFonts w:ascii="仿宋" w:hAnsi="仿宋" w:eastAsia="仿宋"/>
                <w:b/>
                <w:sz w:val="24"/>
                <w:szCs w:val="24"/>
                <w:u w:val="single"/>
              </w:rPr>
              <w:t xml:space="preserve"> </w:t>
            </w:r>
            <w:r>
              <w:rPr>
                <w:rFonts w:hint="eastAsia" w:ascii="仿宋" w:hAnsi="仿宋" w:eastAsia="仿宋"/>
                <w:b/>
                <w:sz w:val="24"/>
                <w:szCs w:val="24"/>
                <w:u w:val="single"/>
                <w:lang w:val="en-US" w:eastAsia="zh-CN"/>
              </w:rPr>
              <w:t>20%</w:t>
            </w:r>
            <w:r>
              <w:rPr>
                <w:rFonts w:ascii="仿宋" w:hAnsi="仿宋" w:eastAsia="仿宋"/>
                <w:b/>
                <w:sz w:val="24"/>
                <w:szCs w:val="24"/>
                <w:u w:val="single"/>
              </w:rPr>
              <w:t xml:space="preserve">  </w:t>
            </w:r>
            <w:r>
              <w:rPr>
                <w:rFonts w:hint="eastAsia" w:ascii="仿宋" w:hAnsi="仿宋" w:eastAsia="仿宋"/>
                <w:b/>
                <w:sz w:val="24"/>
                <w:szCs w:val="24"/>
              </w:rPr>
              <w:t>（</w:t>
            </w:r>
            <w:r>
              <w:rPr>
                <w:rFonts w:ascii="仿宋" w:hAnsi="仿宋" w:eastAsia="仿宋"/>
                <w:b/>
                <w:sz w:val="24"/>
                <w:szCs w:val="24"/>
              </w:rPr>
              <w:t>10</w:t>
            </w:r>
            <w:r>
              <w:rPr>
                <w:rFonts w:hint="eastAsia" w:ascii="仿宋" w:hAnsi="仿宋" w:eastAsia="仿宋"/>
                <w:b/>
                <w:sz w:val="24"/>
                <w:szCs w:val="24"/>
              </w:rPr>
              <w:t>%-</w:t>
            </w:r>
            <w:r>
              <w:rPr>
                <w:rFonts w:ascii="仿宋" w:hAnsi="仿宋" w:eastAsia="仿宋"/>
                <w:b/>
                <w:sz w:val="24"/>
                <w:szCs w:val="24"/>
              </w:rPr>
              <w:t>20</w:t>
            </w:r>
            <w:r>
              <w:rPr>
                <w:rFonts w:hint="eastAsia" w:ascii="仿宋" w:hAnsi="仿宋" w:eastAsia="仿宋"/>
                <w:b/>
                <w:sz w:val="24"/>
                <w:szCs w:val="24"/>
              </w:rPr>
              <w:t>%）的扣除，取扣除后的价格作为最终投标报价（此最终投标报价仅作为价格分计算）。中小企业参加政府采购活动，应当出具本办法规定的《中小企业声明函》，否则不得享受相关中小企业扶持政策。</w:t>
            </w:r>
          </w:p>
          <w:p>
            <w:pPr>
              <w:snapToGrid w:val="0"/>
              <w:spacing w:line="460" w:lineRule="exact"/>
              <w:ind w:firstLine="602" w:firstLineChars="250"/>
              <w:rPr>
                <w:rFonts w:ascii="仿宋" w:hAnsi="仿宋" w:eastAsia="仿宋"/>
                <w:b/>
                <w:strike/>
                <w:sz w:val="24"/>
                <w:szCs w:val="24"/>
              </w:rPr>
            </w:pPr>
            <w:r>
              <w:rPr>
                <w:rFonts w:ascii="仿宋" w:hAnsi="仿宋" w:eastAsia="仿宋"/>
                <w:b/>
                <w:sz w:val="24"/>
                <w:szCs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ascii="仿宋" w:hAnsi="仿宋" w:eastAsia="仿宋"/>
                <w:b/>
                <w:sz w:val="24"/>
                <w:szCs w:val="24"/>
                <w:u w:val="single"/>
              </w:rPr>
              <w:t xml:space="preserve">  </w:t>
            </w:r>
            <w:r>
              <w:rPr>
                <w:rFonts w:hint="eastAsia" w:ascii="仿宋" w:hAnsi="仿宋" w:eastAsia="仿宋"/>
                <w:b/>
                <w:sz w:val="24"/>
                <w:szCs w:val="24"/>
                <w:u w:val="single"/>
                <w:lang w:val="en-US" w:eastAsia="zh-CN"/>
              </w:rPr>
              <w:t>6%</w:t>
            </w:r>
            <w:r>
              <w:rPr>
                <w:rFonts w:ascii="仿宋" w:hAnsi="仿宋" w:eastAsia="仿宋"/>
                <w:b/>
                <w:sz w:val="24"/>
                <w:szCs w:val="24"/>
                <w:u w:val="single"/>
              </w:rPr>
              <w:t xml:space="preserve">  </w:t>
            </w:r>
            <w:r>
              <w:rPr>
                <w:rFonts w:hint="eastAsia" w:ascii="仿宋" w:hAnsi="仿宋" w:eastAsia="仿宋"/>
                <w:b/>
                <w:sz w:val="24"/>
                <w:szCs w:val="24"/>
              </w:rPr>
              <w:t>(</w:t>
            </w:r>
            <w:r>
              <w:rPr>
                <w:rFonts w:ascii="仿宋" w:hAnsi="仿宋" w:eastAsia="仿宋"/>
                <w:b/>
                <w:sz w:val="24"/>
                <w:szCs w:val="24"/>
              </w:rPr>
              <w:t>4</w:t>
            </w:r>
            <w:r>
              <w:rPr>
                <w:rFonts w:hint="eastAsia" w:ascii="仿宋" w:hAnsi="仿宋" w:eastAsia="仿宋"/>
                <w:b/>
                <w:sz w:val="24"/>
                <w:szCs w:val="24"/>
              </w:rPr>
              <w:t>%-</w:t>
            </w:r>
            <w:r>
              <w:rPr>
                <w:rFonts w:ascii="仿宋" w:hAnsi="仿宋" w:eastAsia="仿宋"/>
                <w:b/>
                <w:sz w:val="24"/>
                <w:szCs w:val="24"/>
              </w:rPr>
              <w:t>6</w:t>
            </w:r>
            <w:r>
              <w:rPr>
                <w:rFonts w:hint="eastAsia" w:ascii="仿宋" w:hAnsi="仿宋" w:eastAsia="仿宋"/>
                <w:b/>
                <w:sz w:val="24"/>
                <w:szCs w:val="24"/>
              </w:rPr>
              <w:t>%)</w:t>
            </w:r>
            <w:r>
              <w:rPr>
                <w:rFonts w:ascii="仿宋" w:hAnsi="仿宋" w:eastAsia="仿宋"/>
                <w:b/>
                <w:sz w:val="24"/>
                <w:szCs w:val="24"/>
              </w:rPr>
              <w:t>的扣除，用扣除后的价格参加评审。</w:t>
            </w:r>
          </w:p>
          <w:p>
            <w:pPr>
              <w:snapToGrid w:val="0"/>
              <w:spacing w:line="360" w:lineRule="auto"/>
              <w:ind w:firstLine="602" w:firstLineChars="250"/>
              <w:rPr>
                <w:rFonts w:ascii="仿宋" w:hAnsi="仿宋" w:eastAsia="仿宋"/>
                <w:b/>
                <w:sz w:val="24"/>
                <w:szCs w:val="24"/>
              </w:rPr>
            </w:pPr>
            <w:r>
              <w:rPr>
                <w:rFonts w:ascii="仿宋" w:hAnsi="仿宋" w:eastAsia="仿宋"/>
                <w:b/>
                <w:sz w:val="24"/>
                <w:szCs w:val="24"/>
              </w:rPr>
              <w:t>组成联合体或者接受分包 的小微企业与联合体内其他企业、分包企业之间存在直接控 股、管理关系的，不享受价格扣除优惠政策。</w:t>
            </w:r>
          </w:p>
          <w:p>
            <w:pPr>
              <w:snapToGrid w:val="0"/>
              <w:spacing w:line="360" w:lineRule="auto"/>
              <w:ind w:firstLine="600" w:firstLineChars="250"/>
              <w:rPr>
                <w:rFonts w:ascii="仿宋" w:hAnsi="仿宋" w:eastAsia="仿宋"/>
                <w:sz w:val="24"/>
                <w:szCs w:val="24"/>
              </w:rPr>
            </w:pPr>
            <w:r>
              <w:rPr>
                <w:rFonts w:hint="eastAsia" w:ascii="仿宋" w:hAnsi="仿宋" w:eastAsia="仿宋"/>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360" w:lineRule="auto"/>
              <w:ind w:firstLine="600" w:firstLineChars="250"/>
              <w:rPr>
                <w:rFonts w:ascii="仿宋" w:hAnsi="仿宋" w:eastAsia="仿宋"/>
                <w:sz w:val="24"/>
                <w:szCs w:val="24"/>
              </w:rPr>
            </w:pPr>
            <w:r>
              <w:rPr>
                <w:rFonts w:hint="eastAsia" w:ascii="仿宋" w:hAnsi="仿宋" w:eastAsia="仿宋"/>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spacing w:line="360" w:lineRule="auto"/>
              <w:jc w:val="left"/>
              <w:rPr>
                <w:rFonts w:ascii="仿宋" w:hAnsi="仿宋" w:eastAsia="仿宋"/>
                <w:b/>
                <w:bCs/>
                <w:sz w:val="24"/>
                <w:szCs w:val="24"/>
              </w:rPr>
            </w:pPr>
            <w:r>
              <w:rPr>
                <w:rFonts w:hint="eastAsia" w:ascii="仿宋" w:hAnsi="仿宋" w:eastAsia="仿宋"/>
                <w:b/>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600" w:firstLineChars="250"/>
              <w:rPr>
                <w:rFonts w:ascii="仿宋" w:hAnsi="仿宋" w:eastAsia="仿宋"/>
                <w:sz w:val="24"/>
                <w:szCs w:val="24"/>
              </w:rPr>
            </w:pPr>
            <w:r>
              <w:rPr>
                <w:rFonts w:hint="eastAsia" w:ascii="仿宋" w:hAnsi="仿宋" w:eastAsia="仿宋"/>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360" w:lineRule="auto"/>
              <w:ind w:firstLine="600" w:firstLineChars="250"/>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sz w:val="24"/>
                <w:szCs w:val="24"/>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6</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质疑</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600" w:firstLineChars="250"/>
              <w:rPr>
                <w:rFonts w:ascii="仿宋" w:hAnsi="仿宋" w:eastAsia="仿宋"/>
                <w:sz w:val="24"/>
                <w:szCs w:val="24"/>
              </w:rPr>
            </w:pPr>
            <w:r>
              <w:rPr>
                <w:rFonts w:hint="eastAsia" w:ascii="仿宋" w:hAnsi="仿宋" w:eastAsia="仿宋"/>
                <w:sz w:val="24"/>
                <w:szCs w:val="24"/>
              </w:rPr>
              <w:t>投标人</w:t>
            </w:r>
            <w:r>
              <w:rPr>
                <w:rFonts w:ascii="仿宋" w:hAnsi="仿宋" w:eastAsia="仿宋"/>
                <w:sz w:val="24"/>
                <w:szCs w:val="24"/>
              </w:rPr>
              <w:t>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w:t>
            </w:r>
            <w:r>
              <w:rPr>
                <w:rFonts w:hint="eastAsia" w:ascii="仿宋" w:hAnsi="仿宋" w:eastAsia="仿宋"/>
                <w:sz w:val="24"/>
                <w:szCs w:val="24"/>
              </w:rPr>
              <w:t>招标方</w:t>
            </w:r>
            <w:r>
              <w:rPr>
                <w:rFonts w:ascii="仿宋" w:hAnsi="仿宋" w:eastAsia="仿宋"/>
                <w:sz w:val="24"/>
                <w:szCs w:val="24"/>
              </w:rPr>
              <w:t>提出质疑</w:t>
            </w:r>
            <w:r>
              <w:rPr>
                <w:rFonts w:hint="eastAsia" w:ascii="仿宋" w:hAnsi="仿宋" w:eastAsia="仿宋"/>
                <w:sz w:val="24"/>
                <w:szCs w:val="24"/>
              </w:rPr>
              <w:t>，格式及内容要求详见总则（五）质疑</w:t>
            </w:r>
            <w:r>
              <w:rPr>
                <w:rFonts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7</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sz w:val="24"/>
                <w:szCs w:val="24"/>
              </w:rPr>
            </w:pPr>
            <w:bookmarkStart w:id="16" w:name="PO_15528_PM042"/>
            <w:r>
              <w:rPr>
                <w:rFonts w:hint="eastAsia" w:ascii="仿宋" w:hAnsi="仿宋" w:eastAsia="仿宋"/>
                <w:sz w:val="24"/>
                <w:szCs w:val="24"/>
                <w:lang w:eastAsia="zh-CN"/>
              </w:rPr>
              <w:t>不允许进口产品</w:t>
            </w:r>
            <w:bookmarkEnd w:id="16"/>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8</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sz w:val="24"/>
                <w:szCs w:val="24"/>
                <w:lang w:val="en-US" w:eastAsia="zh-CN"/>
              </w:rPr>
            </w:pPr>
            <w:r>
              <w:rPr>
                <w:rFonts w:hint="eastAsia" w:ascii="仿宋" w:hAnsi="仿宋" w:eastAsia="仿宋"/>
                <w:sz w:val="24"/>
                <w:szCs w:val="24"/>
                <w:lang w:val="en-US" w:eastAsia="zh-CN"/>
              </w:rPr>
              <w:t>转包：否</w:t>
            </w:r>
          </w:p>
          <w:p>
            <w:pPr>
              <w:spacing w:line="360" w:lineRule="auto"/>
              <w:jc w:val="left"/>
              <w:rPr>
                <w:rFonts w:hint="eastAsia" w:ascii="仿宋" w:hAnsi="仿宋" w:eastAsia="仿宋"/>
                <w:sz w:val="24"/>
                <w:szCs w:val="24"/>
                <w:lang w:val="en-US" w:eastAsia="zh-CN"/>
              </w:rPr>
            </w:pPr>
            <w:r>
              <w:rPr>
                <w:rFonts w:hint="eastAsia" w:ascii="仿宋" w:hAnsi="仿宋" w:eastAsia="仿宋"/>
                <w:sz w:val="24"/>
                <w:szCs w:val="24"/>
                <w:lang w:val="en-US" w:eastAsia="zh-CN"/>
              </w:rPr>
              <w:t>分包：</w:t>
            </w:r>
            <w:bookmarkStart w:id="17" w:name="PO_15528_PM044"/>
            <w:r>
              <w:rPr>
                <w:rFonts w:hint="eastAsia" w:ascii="仿宋" w:hAnsi="仿宋" w:eastAsia="仿宋"/>
                <w:sz w:val="24"/>
                <w:szCs w:val="24"/>
                <w:lang w:val="en-US" w:eastAsia="zh-CN"/>
              </w:rPr>
              <w:t>允许分包</w:t>
            </w:r>
            <w:bookmarkEnd w:id="17"/>
            <w:r>
              <w:rPr>
                <w:rFonts w:hint="eastAsia" w:ascii="仿宋" w:hAnsi="仿宋" w:eastAsia="仿宋"/>
                <w:sz w:val="24"/>
                <w:szCs w:val="24"/>
                <w:lang w:val="en-US" w:eastAsia="zh-CN"/>
              </w:rPr>
              <w:t>。</w:t>
            </w:r>
          </w:p>
          <w:p>
            <w:pPr>
              <w:spacing w:line="360" w:lineRule="auto"/>
              <w:jc w:val="left"/>
            </w:pPr>
            <w:r>
              <w:rPr>
                <w:rFonts w:hint="eastAsia" w:ascii="仿宋" w:hAnsi="仿宋" w:eastAsia="仿宋"/>
                <w:sz w:val="24"/>
                <w:szCs w:val="24"/>
                <w:lang w:val="en-US" w:eastAsia="zh-CN"/>
              </w:rPr>
              <w:t>当分包份额占到合同总金额100%时，视为转包。此情况根据《中华人民共和国政府采购法实施条例》（国务院令第658号）文件第七十二条规定，将依照政府采购法第七十七条第一款的规定追究相应法律责任。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9</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是否接受联合体投标</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sz w:val="24"/>
                <w:szCs w:val="24"/>
              </w:rPr>
            </w:pPr>
            <w:bookmarkStart w:id="18" w:name="PO_15528_PM007_1"/>
            <w:r>
              <w:rPr>
                <w:rFonts w:hint="eastAsia" w:ascii="仿宋" w:hAnsi="仿宋" w:eastAsia="仿宋"/>
                <w:sz w:val="24"/>
                <w:szCs w:val="24"/>
                <w:lang w:eastAsia="zh-CN"/>
              </w:rPr>
              <w:t>标项1</w:t>
            </w:r>
            <w:r>
              <w:rPr>
                <w:rFonts w:hint="eastAsia" w:ascii="仿宋" w:hAnsi="仿宋" w:eastAsia="仿宋"/>
                <w:sz w:val="24"/>
                <w:szCs w:val="24"/>
                <w:lang w:val="en-US" w:eastAsia="zh-CN"/>
              </w:rPr>
              <w:t>和</w:t>
            </w:r>
            <w:r>
              <w:rPr>
                <w:rFonts w:hint="eastAsia" w:ascii="仿宋" w:hAnsi="仿宋" w:eastAsia="仿宋"/>
                <w:sz w:val="24"/>
                <w:szCs w:val="24"/>
                <w:lang w:eastAsia="zh-CN"/>
              </w:rPr>
              <w:t>标项2:允许联合体投标</w:t>
            </w:r>
            <w:bookmarkEnd w:id="18"/>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10</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sz w:val="24"/>
                <w:szCs w:val="24"/>
              </w:rPr>
            </w:pPr>
            <w:bookmarkStart w:id="19" w:name="PO_15528_PM040"/>
            <w:r>
              <w:rPr>
                <w:rFonts w:hint="eastAsia" w:ascii="仿宋" w:hAnsi="仿宋" w:eastAsia="仿宋"/>
                <w:sz w:val="24"/>
                <w:szCs w:val="24"/>
                <w:lang w:eastAsia="zh-CN"/>
              </w:rPr>
              <w:t>不组织现场踏勘</w:t>
            </w:r>
            <w:bookmarkEnd w:id="19"/>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11</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sz w:val="24"/>
                <w:szCs w:val="24"/>
              </w:rPr>
            </w:pPr>
            <w:bookmarkStart w:id="20" w:name="PO_1000000445_PM041"/>
            <w:r>
              <w:rPr>
                <w:rFonts w:hint="eastAsia" w:ascii="仿宋" w:hAnsi="仿宋" w:eastAsia="仿宋"/>
                <w:sz w:val="24"/>
                <w:szCs w:val="24"/>
                <w:lang w:eastAsia="zh-CN"/>
              </w:rPr>
              <w:t>不进行演示</w:t>
            </w:r>
            <w:bookmarkEnd w:id="20"/>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12</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sz w:val="24"/>
                <w:szCs w:val="24"/>
              </w:rPr>
            </w:pPr>
            <w:bookmarkStart w:id="21" w:name="PO_1000000445_PM043"/>
            <w:r>
              <w:rPr>
                <w:rFonts w:hint="eastAsia" w:ascii="仿宋" w:hAnsi="仿宋" w:eastAsia="仿宋"/>
                <w:color w:val="000000" w:themeColor="text1"/>
                <w:sz w:val="24"/>
                <w:szCs w:val="24"/>
                <w:lang w:eastAsia="zh-CN"/>
                <w14:textFill>
                  <w14:solidFill>
                    <w14:schemeClr w14:val="tx1"/>
                  </w14:solidFill>
                </w14:textFill>
              </w:rPr>
              <w:t>不要求提供样品</w:t>
            </w:r>
            <w:bookmarkEnd w:id="21"/>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sz w:val="24"/>
                <w:szCs w:val="24"/>
              </w:rPr>
            </w:pPr>
            <w:r>
              <w:rPr>
                <w:rFonts w:hint="eastAsia" w:ascii="仿宋" w:hAnsi="仿宋" w:eastAsia="仿宋"/>
                <w:sz w:val="24"/>
                <w:szCs w:val="24"/>
              </w:rPr>
              <w:t>投标文件均由资质文件、技术商务文件、报价文件组成。</w:t>
            </w:r>
          </w:p>
          <w:p>
            <w:pPr>
              <w:spacing w:line="360" w:lineRule="auto"/>
              <w:jc w:val="left"/>
              <w:rPr>
                <w:rFonts w:ascii="仿宋" w:hAnsi="仿宋" w:eastAsia="仿宋"/>
                <w:sz w:val="24"/>
                <w:szCs w:val="24"/>
              </w:rPr>
            </w:pPr>
            <w:r>
              <w:rPr>
                <w:rFonts w:hint="eastAsia" w:ascii="仿宋" w:hAnsi="仿宋" w:eastAsia="仿宋"/>
                <w:sz w:val="24"/>
                <w:szCs w:val="24"/>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b/>
                <w:sz w:val="24"/>
                <w:szCs w:val="24"/>
              </w:rPr>
            </w:pPr>
            <w:r>
              <w:rPr>
                <w:rFonts w:hint="eastAsia" w:ascii="仿宋" w:hAnsi="仿宋" w:eastAsia="仿宋"/>
                <w:b/>
                <w:sz w:val="24"/>
                <w:szCs w:val="24"/>
              </w:rPr>
              <w:t>第一步：供应商注册</w:t>
            </w:r>
          </w:p>
          <w:p>
            <w:pPr>
              <w:spacing w:line="360" w:lineRule="auto"/>
              <w:jc w:val="left"/>
              <w:rPr>
                <w:rFonts w:ascii="仿宋" w:hAnsi="仿宋" w:eastAsia="仿宋"/>
                <w:b/>
                <w:sz w:val="24"/>
                <w:szCs w:val="24"/>
              </w:rPr>
            </w:pPr>
            <w:r>
              <w:rPr>
                <w:rFonts w:hint="eastAsia" w:ascii="仿宋" w:hAnsi="仿宋" w:eastAsia="仿宋"/>
                <w:b/>
                <w:sz w:val="24"/>
                <w:szCs w:val="24"/>
              </w:rPr>
              <w:t>投标人</w:t>
            </w:r>
            <w:r>
              <w:rPr>
                <w:rFonts w:ascii="仿宋" w:hAnsi="仿宋" w:eastAsia="仿宋"/>
                <w:b/>
                <w:sz w:val="24"/>
                <w:szCs w:val="24"/>
              </w:rPr>
              <w:t>应在</w:t>
            </w:r>
            <w:r>
              <w:rPr>
                <w:rFonts w:hint="eastAsia" w:ascii="仿宋" w:hAnsi="仿宋" w:eastAsia="仿宋"/>
                <w:b/>
                <w:sz w:val="24"/>
                <w:szCs w:val="24"/>
              </w:rPr>
              <w:t>投</w:t>
            </w:r>
            <w:r>
              <w:rPr>
                <w:rFonts w:ascii="仿宋" w:hAnsi="仿宋" w:eastAsia="仿宋"/>
                <w:b/>
                <w:sz w:val="24"/>
                <w:szCs w:val="24"/>
              </w:rPr>
              <w:t>标前</w:t>
            </w:r>
            <w:r>
              <w:rPr>
                <w:rFonts w:hint="eastAsia" w:ascii="仿宋" w:hAnsi="仿宋" w:eastAsia="仿宋"/>
                <w:b/>
                <w:sz w:val="24"/>
                <w:szCs w:val="24"/>
              </w:rPr>
              <w:t>注册成为浙江政府采购网的正式供应商（注册网址：</w:t>
            </w:r>
            <w:r>
              <w:fldChar w:fldCharType="begin"/>
            </w:r>
            <w:r>
              <w:instrText xml:space="preserve"> HYPERLINK "https://middle.zcygov.cn/v-settle-front/registry" </w:instrText>
            </w:r>
            <w:r>
              <w:fldChar w:fldCharType="separate"/>
            </w:r>
            <w:r>
              <w:rPr>
                <w:rFonts w:ascii="仿宋" w:hAnsi="仿宋" w:eastAsia="仿宋"/>
                <w:b/>
                <w:sz w:val="24"/>
                <w:szCs w:val="24"/>
              </w:rPr>
              <w:t>https://middle.zcygov.cn/v-settle-front/registry</w:t>
            </w:r>
            <w:r>
              <w:rPr>
                <w:rFonts w:ascii="仿宋" w:hAnsi="仿宋" w:eastAsia="仿宋"/>
                <w:b/>
                <w:sz w:val="24"/>
                <w:szCs w:val="24"/>
              </w:rPr>
              <w:fldChar w:fldCharType="end"/>
            </w:r>
            <w:r>
              <w:rPr>
                <w:rFonts w:hint="eastAsia" w:ascii="仿宋" w:hAnsi="仿宋" w:eastAsia="仿宋"/>
                <w:b/>
                <w:sz w:val="24"/>
                <w:szCs w:val="24"/>
              </w:rPr>
              <w:t>）；</w:t>
            </w:r>
          </w:p>
          <w:p>
            <w:pPr>
              <w:spacing w:line="360" w:lineRule="auto"/>
              <w:jc w:val="left"/>
              <w:rPr>
                <w:rFonts w:ascii="仿宋" w:hAnsi="仿宋" w:eastAsia="仿宋"/>
                <w:b/>
                <w:sz w:val="24"/>
                <w:szCs w:val="24"/>
              </w:rPr>
            </w:pPr>
            <w:r>
              <w:rPr>
                <w:rFonts w:hint="eastAsia" w:ascii="仿宋" w:hAnsi="仿宋" w:eastAsia="仿宋"/>
                <w:b/>
                <w:sz w:val="24"/>
                <w:szCs w:val="24"/>
              </w:rPr>
              <w:t>第二步：申请CA</w:t>
            </w:r>
          </w:p>
          <w:p>
            <w:pPr>
              <w:spacing w:line="360" w:lineRule="auto"/>
              <w:jc w:val="left"/>
              <w:rPr>
                <w:rFonts w:ascii="仿宋" w:hAnsi="仿宋" w:eastAsia="仿宋"/>
                <w:b/>
                <w:sz w:val="24"/>
                <w:szCs w:val="24"/>
              </w:rPr>
            </w:pPr>
            <w:r>
              <w:rPr>
                <w:rFonts w:hint="eastAsia" w:ascii="仿宋" w:hAnsi="仿宋" w:eastAsia="仿宋"/>
                <w:b/>
                <w:sz w:val="24"/>
                <w:szCs w:val="24"/>
              </w:rPr>
              <w:t>投标人</w:t>
            </w:r>
            <w:r>
              <w:rPr>
                <w:rFonts w:ascii="仿宋" w:hAnsi="仿宋" w:eastAsia="仿宋"/>
                <w:b/>
                <w:sz w:val="24"/>
                <w:szCs w:val="24"/>
              </w:rPr>
              <w:t>应在</w:t>
            </w:r>
            <w:r>
              <w:rPr>
                <w:rFonts w:hint="eastAsia" w:ascii="仿宋" w:hAnsi="仿宋" w:eastAsia="仿宋"/>
                <w:b/>
                <w:sz w:val="24"/>
                <w:szCs w:val="24"/>
              </w:rPr>
              <w:t>投</w:t>
            </w:r>
            <w:r>
              <w:rPr>
                <w:rFonts w:ascii="仿宋" w:hAnsi="仿宋" w:eastAsia="仿宋"/>
                <w:b/>
                <w:sz w:val="24"/>
                <w:szCs w:val="24"/>
              </w:rPr>
              <w:t>标前完成CA数字证书办理（办理流程详见http://zfcg.czt.zj.gov.cn/bidClientTemplate/2019-05-27/12945.html）。完成CA数字证书办理</w:t>
            </w:r>
            <w:r>
              <w:rPr>
                <w:rFonts w:hint="eastAsia" w:ascii="仿宋" w:hAnsi="仿宋" w:eastAsia="仿宋"/>
                <w:b/>
                <w:sz w:val="24"/>
                <w:szCs w:val="24"/>
              </w:rPr>
              <w:t>预计一周左右，建议各投标人抓紧时间办理；</w:t>
            </w:r>
          </w:p>
          <w:p>
            <w:pPr>
              <w:spacing w:line="360" w:lineRule="auto"/>
              <w:jc w:val="left"/>
              <w:rPr>
                <w:rFonts w:ascii="仿宋" w:hAnsi="仿宋" w:eastAsia="仿宋"/>
                <w:b/>
                <w:sz w:val="24"/>
                <w:szCs w:val="24"/>
              </w:rPr>
            </w:pPr>
            <w:r>
              <w:rPr>
                <w:rFonts w:hint="eastAsia" w:ascii="仿宋" w:hAnsi="仿宋" w:eastAsia="仿宋"/>
                <w:b/>
                <w:sz w:val="24"/>
                <w:szCs w:val="24"/>
              </w:rPr>
              <w:t>第三步：下载客户端</w:t>
            </w:r>
          </w:p>
          <w:p>
            <w:pPr>
              <w:spacing w:line="360" w:lineRule="auto"/>
              <w:jc w:val="left"/>
              <w:rPr>
                <w:rFonts w:ascii="仿宋" w:hAnsi="仿宋" w:eastAsia="仿宋"/>
                <w:b/>
                <w:sz w:val="24"/>
                <w:szCs w:val="24"/>
              </w:rPr>
            </w:pPr>
            <w:r>
              <w:rPr>
                <w:rFonts w:ascii="仿宋" w:hAnsi="仿宋" w:eastAsia="仿宋"/>
                <w:b/>
                <w:sz w:val="24"/>
                <w:szCs w:val="24"/>
              </w:rPr>
              <w:t>投标人通过政采云电子交易客户端制作投标文件，请自行前往</w:t>
            </w:r>
            <w:r>
              <w:rPr>
                <w:rFonts w:hint="eastAsia" w:ascii="仿宋" w:hAnsi="仿宋" w:eastAsia="仿宋"/>
                <w:b/>
                <w:sz w:val="24"/>
                <w:szCs w:val="24"/>
              </w:rPr>
              <w:t>浙江政府采购网下载并安装（下载网址：</w:t>
            </w:r>
            <w:r>
              <w:fldChar w:fldCharType="begin"/>
            </w:r>
            <w:r>
              <w:instrText xml:space="preserve"> HYPERLINK "http://zfcg.czt.zj.gov.cn/bidClientTemplate/2019-09-24/12975.html" </w:instrText>
            </w:r>
            <w:r>
              <w:fldChar w:fldCharType="separate"/>
            </w:r>
            <w:r>
              <w:rPr>
                <w:rFonts w:ascii="仿宋" w:hAnsi="仿宋" w:eastAsia="仿宋"/>
                <w:b/>
                <w:sz w:val="24"/>
                <w:szCs w:val="24"/>
              </w:rPr>
              <w:t>http://zfcg.czt.zj.gov.cn/bidClientTemplate/2019-09-24/12975.html</w:t>
            </w:r>
            <w:r>
              <w:rPr>
                <w:rFonts w:ascii="仿宋" w:hAnsi="仿宋" w:eastAsia="仿宋"/>
                <w:b/>
                <w:sz w:val="24"/>
                <w:szCs w:val="24"/>
              </w:rPr>
              <w:fldChar w:fldCharType="end"/>
            </w:r>
            <w:r>
              <w:rPr>
                <w:rFonts w:hint="eastAsia" w:ascii="仿宋" w:hAnsi="仿宋" w:eastAsia="仿宋"/>
                <w:b/>
                <w:sz w:val="24"/>
                <w:szCs w:val="24"/>
              </w:rPr>
              <w:t>）；</w:t>
            </w:r>
          </w:p>
          <w:p>
            <w:pPr>
              <w:spacing w:line="360" w:lineRule="auto"/>
              <w:jc w:val="left"/>
              <w:rPr>
                <w:rFonts w:ascii="仿宋" w:hAnsi="仿宋" w:eastAsia="仿宋"/>
                <w:b/>
                <w:sz w:val="24"/>
                <w:szCs w:val="24"/>
              </w:rPr>
            </w:pPr>
            <w:r>
              <w:rPr>
                <w:rFonts w:hint="eastAsia" w:ascii="仿宋" w:hAnsi="仿宋" w:eastAsia="仿宋"/>
                <w:b/>
                <w:sz w:val="24"/>
                <w:szCs w:val="24"/>
              </w:rPr>
              <w:t>第四步：具体流程</w:t>
            </w:r>
          </w:p>
          <w:p>
            <w:pPr>
              <w:spacing w:line="360" w:lineRule="auto"/>
              <w:jc w:val="left"/>
              <w:rPr>
                <w:rFonts w:ascii="仿宋" w:hAnsi="仿宋" w:eastAsia="仿宋"/>
                <w:b/>
                <w:sz w:val="24"/>
                <w:szCs w:val="24"/>
              </w:rPr>
            </w:pPr>
            <w:r>
              <w:rPr>
                <w:rFonts w:ascii="仿宋" w:hAnsi="仿宋" w:eastAsia="仿宋"/>
                <w:b/>
                <w:sz w:val="24"/>
                <w:szCs w:val="24"/>
              </w:rPr>
              <w:t>详见</w:t>
            </w:r>
            <w:r>
              <w:rPr>
                <w:rFonts w:hint="eastAsia" w:ascii="仿宋" w:hAnsi="仿宋" w:eastAsia="仿宋"/>
                <w:b/>
                <w:sz w:val="24"/>
                <w:szCs w:val="24"/>
              </w:rPr>
              <w:t>浙江省“电子交易/不见面开评标”学习专题（网址</w:t>
            </w:r>
            <w:r>
              <w:fldChar w:fldCharType="begin"/>
            </w:r>
            <w:r>
              <w:instrText xml:space="preserve"> HYPERLINK "https://edu.zcygov.cn/luban/e-biding" </w:instrText>
            </w:r>
            <w:r>
              <w:fldChar w:fldCharType="separate"/>
            </w:r>
            <w:r>
              <w:rPr>
                <w:rFonts w:hint="eastAsia" w:ascii="仿宋" w:hAnsi="仿宋" w:eastAsia="仿宋"/>
                <w:b/>
                <w:sz w:val="24"/>
                <w:szCs w:val="24"/>
              </w:rPr>
              <w:t>https://edu.zcygov.cn/luban/e-biding</w:t>
            </w:r>
            <w:r>
              <w:rPr>
                <w:rFonts w:hint="eastAsia" w:ascii="仿宋" w:hAnsi="仿宋" w:eastAsia="仿宋"/>
                <w:b/>
                <w:sz w:val="24"/>
                <w:szCs w:val="24"/>
              </w:rPr>
              <w:fldChar w:fldCharType="end"/>
            </w:r>
            <w:r>
              <w:rPr>
                <w:rFonts w:hint="eastAsia" w:ascii="仿宋" w:hAnsi="仿宋" w:eastAsia="仿宋"/>
                <w:b/>
                <w:sz w:val="24"/>
                <w:szCs w:val="24"/>
              </w:rPr>
              <w:t>）</w:t>
            </w:r>
          </w:p>
          <w:p>
            <w:pPr>
              <w:spacing w:line="360" w:lineRule="auto"/>
              <w:jc w:val="left"/>
              <w:rPr>
                <w:rFonts w:ascii="仿宋" w:hAnsi="仿宋" w:eastAsia="仿宋"/>
                <w:sz w:val="24"/>
                <w:szCs w:val="24"/>
              </w:rPr>
            </w:pPr>
            <w:r>
              <w:rPr>
                <w:rFonts w:hint="eastAsia" w:ascii="仿宋" w:hAnsi="仿宋" w:eastAsia="仿宋"/>
                <w:b/>
                <w:sz w:val="24"/>
                <w:szCs w:val="24"/>
              </w:rP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b/>
                <w:sz w:val="24"/>
                <w:szCs w:val="24"/>
              </w:rPr>
            </w:pPr>
            <w:r>
              <w:rPr>
                <w:rFonts w:hint="eastAsia" w:ascii="仿宋" w:hAnsi="仿宋" w:eastAsia="仿宋"/>
                <w:b/>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spacing w:line="360" w:lineRule="auto"/>
              <w:jc w:val="left"/>
              <w:rPr>
                <w:rFonts w:ascii="仿宋" w:hAnsi="仿宋" w:eastAsia="仿宋"/>
                <w:b/>
                <w:sz w:val="24"/>
                <w:szCs w:val="24"/>
              </w:rPr>
            </w:pPr>
            <w:r>
              <w:rPr>
                <w:rFonts w:hint="eastAsia" w:ascii="仿宋" w:hAnsi="仿宋" w:eastAsia="仿宋"/>
                <w:b/>
                <w:sz w:val="24"/>
                <w:szCs w:val="24"/>
              </w:rPr>
              <w:t>投标文件的接收以本项目公告要求的时间、地点和“第二章”的“投标文件的编制”等要求为准。</w:t>
            </w:r>
          </w:p>
          <w:p>
            <w:pPr>
              <w:spacing w:line="360" w:lineRule="auto"/>
              <w:jc w:val="left"/>
              <w:rPr>
                <w:rFonts w:ascii="仿宋" w:hAnsi="仿宋" w:eastAsia="仿宋"/>
                <w:b/>
                <w:sz w:val="24"/>
                <w:szCs w:val="24"/>
              </w:rPr>
            </w:pPr>
            <w:r>
              <w:rPr>
                <w:rFonts w:hint="eastAsia" w:ascii="仿宋" w:hAnsi="仿宋" w:eastAsia="仿宋"/>
                <w:b/>
                <w:sz w:val="24"/>
                <w:szCs w:val="24"/>
              </w:rPr>
              <w:t>投标人递交备份投标文件，出现下列情况之一的，将被拒收：</w:t>
            </w:r>
          </w:p>
          <w:p>
            <w:pPr>
              <w:spacing w:line="360" w:lineRule="auto"/>
              <w:jc w:val="left"/>
              <w:rPr>
                <w:rFonts w:ascii="仿宋" w:hAnsi="仿宋" w:eastAsia="仿宋"/>
                <w:b/>
                <w:sz w:val="24"/>
                <w:szCs w:val="24"/>
              </w:rPr>
            </w:pPr>
            <w:r>
              <w:rPr>
                <w:rFonts w:hint="eastAsia" w:ascii="仿宋" w:hAnsi="仿宋" w:eastAsia="仿宋"/>
                <w:b/>
                <w:sz w:val="24"/>
                <w:szCs w:val="24"/>
              </w:rPr>
              <w:t>1、未按规定密封或标记的；</w:t>
            </w:r>
          </w:p>
          <w:p>
            <w:pPr>
              <w:spacing w:line="360" w:lineRule="auto"/>
              <w:jc w:val="left"/>
              <w:rPr>
                <w:rFonts w:ascii="仿宋" w:hAnsi="仿宋" w:eastAsia="仿宋"/>
                <w:b/>
                <w:sz w:val="24"/>
                <w:szCs w:val="24"/>
              </w:rPr>
            </w:pPr>
            <w:r>
              <w:rPr>
                <w:rFonts w:hint="eastAsia" w:ascii="仿宋" w:hAnsi="仿宋" w:eastAsia="仿宋"/>
                <w:b/>
                <w:sz w:val="24"/>
                <w:szCs w:val="24"/>
              </w:rPr>
              <w:t>2、由于包装不妥，在送交途中严重破损或失散的；</w:t>
            </w:r>
          </w:p>
          <w:p>
            <w:pPr>
              <w:spacing w:line="360" w:lineRule="auto"/>
              <w:jc w:val="left"/>
              <w:rPr>
                <w:rFonts w:ascii="仿宋" w:hAnsi="仿宋" w:eastAsia="仿宋"/>
                <w:sz w:val="24"/>
                <w:szCs w:val="24"/>
              </w:rPr>
            </w:pPr>
            <w:r>
              <w:rPr>
                <w:rFonts w:hint="eastAsia" w:ascii="仿宋" w:hAnsi="仿宋" w:eastAsia="仿宋"/>
                <w:b/>
                <w:sz w:val="24"/>
                <w:szCs w:val="24"/>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16</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仿宋" w:hAnsi="仿宋" w:eastAsia="仿宋"/>
                <w:sz w:val="28"/>
                <w:szCs w:val="28"/>
              </w:rPr>
            </w:pPr>
            <w:r>
              <w:rPr>
                <w:rFonts w:hint="eastAsia" w:ascii="仿宋" w:hAnsi="仿宋" w:eastAsia="仿宋"/>
                <w:sz w:val="24"/>
                <w:szCs w:val="24"/>
              </w:rPr>
              <w:t>中标供应商确定之日起2个工作日内，将在</w:t>
            </w:r>
            <w:r>
              <w:rPr>
                <w:rFonts w:hint="eastAsia" w:ascii="仿宋" w:hAnsi="仿宋" w:eastAsia="仿宋" w:cs="Arial"/>
                <w:sz w:val="24"/>
                <w:szCs w:val="24"/>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auto"/>
                <w:sz w:val="24"/>
                <w:szCs w:val="24"/>
              </w:rPr>
              <w:t>http://www.zjzfcg.gov.cn</w:t>
            </w:r>
            <w:r>
              <w:rPr>
                <w:rStyle w:val="69"/>
                <w:rFonts w:hint="eastAsia" w:ascii="仿宋" w:hAnsi="仿宋" w:eastAsia="仿宋"/>
                <w:color w:val="auto"/>
                <w:sz w:val="24"/>
                <w:szCs w:val="24"/>
              </w:rPr>
              <w:fldChar w:fldCharType="end"/>
            </w:r>
            <w:r>
              <w:rPr>
                <w:rFonts w:hint="eastAsia" w:ascii="仿宋" w:hAnsi="仿宋" w:eastAsia="仿宋" w:cs="Arial"/>
                <w:sz w:val="24"/>
                <w:szCs w:val="24"/>
              </w:rPr>
              <w:t>)发布</w:t>
            </w:r>
            <w:r>
              <w:rPr>
                <w:rFonts w:hint="eastAsia" w:ascii="仿宋" w:hAnsi="仿宋" w:eastAsia="仿宋"/>
                <w:sz w:val="24"/>
                <w:szCs w:val="24"/>
              </w:rPr>
              <w:t>中标公告</w:t>
            </w:r>
            <w:r>
              <w:rPr>
                <w:rFonts w:hint="eastAsia" w:ascii="仿宋" w:hAnsi="仿宋" w:eastAsia="仿宋"/>
                <w:b/>
                <w:sz w:val="24"/>
                <w:szCs w:val="24"/>
              </w:rPr>
              <w:t>（中标人为中小企业的，其声明函将随中标结果同时公告）</w:t>
            </w:r>
            <w:r>
              <w:rPr>
                <w:rFonts w:hint="eastAsia" w:ascii="仿宋" w:hAnsi="仿宋" w:eastAsia="仿宋"/>
                <w:sz w:val="24"/>
                <w:szCs w:val="24"/>
              </w:rPr>
              <w:t>，公告期限为1个工作日</w:t>
            </w:r>
            <w:r>
              <w:rPr>
                <w:rFonts w:hint="eastAsia" w:ascii="仿宋" w:hAnsi="仿宋" w:eastAsia="仿宋" w:cs="Arial"/>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17</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0"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18</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国库集中支付（采购人自行支付）详见各标项的商务要求表。</w:t>
            </w:r>
          </w:p>
          <w:p>
            <w:pPr>
              <w:spacing w:line="360" w:lineRule="auto"/>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19</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left"/>
              <w:textAlignment w:val="bottom"/>
              <w:rPr>
                <w:rFonts w:ascii="仿宋" w:hAnsi="仿宋" w:eastAsia="仿宋"/>
                <w:sz w:val="28"/>
                <w:szCs w:val="28"/>
              </w:rPr>
            </w:pPr>
            <w:r>
              <w:rPr>
                <w:rFonts w:hint="eastAsia" w:ascii="仿宋" w:hAnsi="仿宋" w:eastAsia="仿宋" w:cs="Arial"/>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20</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仿宋" w:hAnsi="仿宋" w:eastAsia="仿宋"/>
                <w:sz w:val="28"/>
                <w:szCs w:val="28"/>
              </w:rPr>
            </w:pPr>
            <w:r>
              <w:rPr>
                <w:rFonts w:hint="eastAsia" w:ascii="仿宋" w:hAnsi="仿宋" w:eastAsia="仿宋"/>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21</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sz w:val="24"/>
                <w:szCs w:val="24"/>
              </w:rPr>
            </w:pPr>
            <w:r>
              <w:rPr>
                <w:rFonts w:hint="eastAsia" w:ascii="仿宋" w:hAnsi="仿宋" w:eastAsia="仿宋"/>
                <w:sz w:val="24"/>
                <w:szCs w:val="24"/>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解释权</w:t>
            </w:r>
          </w:p>
        </w:tc>
        <w:tc>
          <w:tcPr>
            <w:tcW w:w="737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sz w:val="24"/>
                <w:szCs w:val="24"/>
              </w:rPr>
            </w:pPr>
            <w:r>
              <w:rPr>
                <w:rFonts w:hint="eastAsia" w:ascii="仿宋" w:hAnsi="仿宋" w:eastAsia="仿宋"/>
                <w:sz w:val="24"/>
                <w:szCs w:val="24"/>
              </w:rPr>
              <w:t>本招标文件的解释权属于浙江省政府采购中心。</w:t>
            </w:r>
          </w:p>
        </w:tc>
      </w:tr>
    </w:tbl>
    <w:p>
      <w:pPr>
        <w:pStyle w:val="32"/>
        <w:snapToGrid w:val="0"/>
        <w:spacing w:before="240" w:beforeLines="100" w:after="240" w:afterLines="100" w:line="360" w:lineRule="auto"/>
        <w:jc w:val="center"/>
        <w:rPr>
          <w:rFonts w:ascii="仿宋" w:hAnsi="仿宋" w:eastAsia="仿宋"/>
          <w:b/>
          <w:bCs/>
          <w:sz w:val="28"/>
          <w:szCs w:val="28"/>
        </w:rPr>
      </w:pPr>
      <w:r>
        <w:rPr>
          <w:rFonts w:ascii="仿宋" w:hAnsi="仿宋" w:eastAsia="仿宋_GB2312"/>
          <w:sz w:val="30"/>
          <w:szCs w:val="30"/>
        </w:rPr>
        <w:br w:type="page"/>
      </w:r>
      <w:r>
        <w:rPr>
          <w:rFonts w:hint="eastAsia" w:ascii="仿宋" w:hAnsi="仿宋" w:eastAsia="仿宋"/>
          <w:b/>
          <w:bCs/>
          <w:sz w:val="28"/>
          <w:szCs w:val="28"/>
        </w:rPr>
        <w:t>一、总  则</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（一）适用范围</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仅适用于本次招标文件中采购项目的招标、投标、评标、定标、验收、合同履约、付款等行为（法律、法规另有规定的，从其规定）。</w:t>
      </w:r>
    </w:p>
    <w:p>
      <w:pPr>
        <w:snapToGrid w:val="0"/>
        <w:spacing w:before="120" w:beforeLines="50" w:line="460" w:lineRule="exact"/>
        <w:ind w:firstLine="411" w:firstLineChars="147"/>
        <w:jc w:val="left"/>
        <w:outlineLvl w:val="1"/>
        <w:rPr>
          <w:rFonts w:ascii="仿宋" w:hAnsi="仿宋" w:eastAsia="仿宋"/>
          <w:bCs/>
          <w:sz w:val="28"/>
          <w:szCs w:val="28"/>
        </w:rPr>
      </w:pPr>
      <w:r>
        <w:rPr>
          <w:rFonts w:hint="eastAsia" w:ascii="仿宋" w:hAnsi="仿宋" w:eastAsia="仿宋"/>
          <w:bCs/>
          <w:sz w:val="28"/>
          <w:szCs w:val="28"/>
        </w:rPr>
        <w:t xml:space="preserve">（二）定义 </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1.招标方：指组织本项目采购的浙江省政府采购中心。</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2.投标人：</w:t>
      </w:r>
      <w:r>
        <w:rPr>
          <w:rFonts w:ascii="仿宋" w:hAnsi="仿宋" w:eastAsia="仿宋"/>
          <w:bCs/>
          <w:sz w:val="28"/>
          <w:szCs w:val="28"/>
        </w:rPr>
        <w:t>指响应招标、参加投标竞争的法人、其他组织或者自然人</w:t>
      </w:r>
      <w:r>
        <w:rPr>
          <w:rFonts w:hint="eastAsia" w:ascii="仿宋" w:hAnsi="仿宋" w:eastAsia="仿宋"/>
          <w:bCs/>
          <w:sz w:val="28"/>
          <w:szCs w:val="28"/>
        </w:rPr>
        <w:t>。</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3.采购人：指委托招标方采购本次货物、服务项目的国家机关、事业单位和团体组织。</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5.服务：指招标文件规定投标人须承担的劳务以及其他类似的义务。</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6.项目：指投标人按招标文件规定向采购人提供的需求总称。</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7.电子交易平台:指</w:t>
      </w:r>
      <w:r>
        <w:rPr>
          <w:rFonts w:ascii="仿宋" w:hAnsi="仿宋" w:eastAsia="仿宋"/>
          <w:bCs/>
          <w:sz w:val="28"/>
          <w:szCs w:val="28"/>
        </w:rPr>
        <w:t>政府采购项目电子交易平台</w:t>
      </w:r>
      <w:r>
        <w:rPr>
          <w:rFonts w:hint="eastAsia" w:ascii="仿宋" w:hAnsi="仿宋" w:eastAsia="仿宋"/>
          <w:bCs/>
          <w:sz w:val="28"/>
          <w:szCs w:val="28"/>
        </w:rPr>
        <w:t>，即</w:t>
      </w:r>
      <w:r>
        <w:rPr>
          <w:rFonts w:ascii="仿宋" w:hAnsi="仿宋" w:eastAsia="仿宋"/>
          <w:bCs/>
          <w:sz w:val="28"/>
          <w:szCs w:val="28"/>
        </w:rPr>
        <w:t>政采云平台。</w:t>
      </w:r>
    </w:p>
    <w:p>
      <w:pPr>
        <w:spacing w:line="360" w:lineRule="auto"/>
        <w:ind w:firstLine="562" w:firstLineChars="200"/>
        <w:rPr>
          <w:rFonts w:ascii="仿宋" w:hAnsi="仿宋" w:eastAsia="仿宋" w:cs="Arial"/>
          <w:b/>
          <w:sz w:val="28"/>
          <w:szCs w:val="28"/>
        </w:rPr>
      </w:pPr>
      <w:r>
        <w:rPr>
          <w:rFonts w:hint="eastAsia" w:ascii="仿宋" w:hAnsi="仿宋" w:eastAsia="仿宋" w:cs="Arial"/>
          <w:b/>
          <w:sz w:val="28"/>
          <w:szCs w:val="28"/>
        </w:rPr>
        <w:t>8.中小企业：</w:t>
      </w:r>
      <w:r>
        <w:rPr>
          <w:rFonts w:ascii="仿宋" w:hAnsi="仿宋" w:eastAsia="仿宋" w:cs="Arial"/>
          <w:b/>
          <w:sz w:val="28"/>
          <w:szCs w:val="28"/>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sz w:val="28"/>
          <w:szCs w:val="28"/>
        </w:rPr>
      </w:pPr>
      <w:r>
        <w:rPr>
          <w:rFonts w:ascii="仿宋" w:hAnsi="仿宋" w:eastAsia="仿宋" w:cs="Arial"/>
          <w:b/>
          <w:sz w:val="28"/>
          <w:szCs w:val="28"/>
        </w:rPr>
        <w:t>符合中小企业划分标准的个体工商户，在政府采购活动中视同中小企业。</w:t>
      </w:r>
    </w:p>
    <w:p>
      <w:pPr>
        <w:snapToGrid w:val="0"/>
        <w:spacing w:before="120" w:beforeLines="50" w:line="460" w:lineRule="exact"/>
        <w:ind w:firstLine="548" w:firstLineChars="196"/>
        <w:jc w:val="left"/>
        <w:outlineLvl w:val="1"/>
        <w:rPr>
          <w:rFonts w:ascii="仿宋" w:hAnsi="仿宋" w:eastAsia="仿宋"/>
          <w:bCs/>
          <w:sz w:val="28"/>
          <w:szCs w:val="28"/>
        </w:rPr>
      </w:pPr>
      <w:r>
        <w:rPr>
          <w:rFonts w:hint="eastAsia" w:ascii="仿宋" w:hAnsi="仿宋" w:eastAsia="仿宋"/>
          <w:bCs/>
          <w:sz w:val="28"/>
          <w:szCs w:val="28"/>
        </w:rPr>
        <w:t>（三）投标人及委托有关说明</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1.如授权代表不是法定代表人，须有法定代表人出具的授权委托书</w:t>
      </w:r>
      <w:r>
        <w:rPr>
          <w:rFonts w:hint="eastAsia" w:ascii="仿宋" w:hAnsi="仿宋" w:eastAsia="仿宋"/>
          <w:b/>
          <w:bCs/>
          <w:sz w:val="28"/>
          <w:szCs w:val="28"/>
        </w:rPr>
        <w:t>（格式见附件）。</w:t>
      </w:r>
    </w:p>
    <w:p>
      <w:pPr>
        <w:pStyle w:val="32"/>
        <w:snapToGrid w:val="0"/>
        <w:spacing w:beforeLines="0" w:after="120" w:line="460" w:lineRule="exact"/>
        <w:ind w:left="2" w:leftChars="1" w:firstLine="560" w:firstLineChars="200"/>
        <w:rPr>
          <w:rFonts w:ascii="仿宋" w:hAnsi="仿宋" w:eastAsia="仿宋"/>
          <w:bCs/>
          <w:sz w:val="28"/>
          <w:szCs w:val="28"/>
        </w:rPr>
      </w:pPr>
      <w:r>
        <w:rPr>
          <w:rFonts w:hint="eastAsia" w:ascii="仿宋" w:hAnsi="仿宋" w:eastAsia="仿宋"/>
          <w:bCs/>
          <w:sz w:val="28"/>
          <w:szCs w:val="28"/>
        </w:rP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3.单位负责人为同一人或者存在直接控股、管理关系的不同供应商，不得参加同一合同项下的政府采购活动。</w:t>
      </w:r>
    </w:p>
    <w:p>
      <w:pPr>
        <w:pStyle w:val="32"/>
        <w:snapToGrid w:val="0"/>
        <w:spacing w:beforeLines="0" w:after="120" w:line="460" w:lineRule="exact"/>
        <w:ind w:left="2" w:leftChars="1" w:firstLine="560" w:firstLineChars="200"/>
        <w:rPr>
          <w:rFonts w:ascii="仿宋" w:hAnsi="仿宋" w:eastAsia="仿宋"/>
          <w:bCs/>
          <w:sz w:val="28"/>
          <w:szCs w:val="28"/>
        </w:rPr>
      </w:pPr>
      <w:r>
        <w:rPr>
          <w:rFonts w:hint="eastAsia" w:ascii="仿宋" w:hAnsi="仿宋" w:eastAsia="仿宋"/>
          <w:bCs/>
          <w:sz w:val="28"/>
          <w:szCs w:val="28"/>
        </w:rPr>
        <w:t>4.投标人应仔细阅读招标文件的所有内容，按照招标文件的要求提交投标文件，并对所提供的全部资料的真实性承担法律责任。</w:t>
      </w:r>
    </w:p>
    <w:p>
      <w:pPr>
        <w:snapToGrid w:val="0"/>
        <w:spacing w:before="120" w:beforeLines="50" w:line="460" w:lineRule="exact"/>
        <w:ind w:firstLine="548" w:firstLineChars="196"/>
        <w:jc w:val="left"/>
        <w:outlineLvl w:val="1"/>
        <w:rPr>
          <w:rFonts w:ascii="仿宋" w:hAnsi="仿宋" w:eastAsia="仿宋"/>
          <w:bCs/>
          <w:sz w:val="28"/>
          <w:szCs w:val="28"/>
        </w:rPr>
      </w:pPr>
      <w:r>
        <w:rPr>
          <w:rFonts w:hint="eastAsia" w:ascii="仿宋" w:hAnsi="仿宋" w:eastAsia="仿宋"/>
          <w:bCs/>
          <w:sz w:val="28"/>
          <w:szCs w:val="28"/>
        </w:rPr>
        <w:t>（四）投标费用</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（五）质疑</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1.投标人认为招标过程或中标结果使自己的合法权益受到损害的，可以在中标结果公告期限届满之日起七个工作日内，以书面形式向招标方提出质疑。</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 xml:space="preserve"> 2.质疑应当以书面形式提出，格式见《政府采购质疑和投诉办法》（财政部令第94号）附件范本，下载网址：浙江政府采购网(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Fonts w:ascii="仿宋" w:hAnsi="仿宋" w:eastAsia="仿宋"/>
          <w:bCs/>
          <w:sz w:val="28"/>
          <w:szCs w:val="28"/>
        </w:rPr>
        <w:t>http://zfcg.czt.zj.gov.cn/</w:t>
      </w:r>
      <w:r>
        <w:rPr>
          <w:rFonts w:ascii="仿宋" w:hAnsi="仿宋" w:eastAsia="仿宋"/>
          <w:bCs/>
          <w:sz w:val="28"/>
          <w:szCs w:val="28"/>
        </w:rPr>
        <w:fldChar w:fldCharType="end"/>
      </w:r>
      <w:r>
        <w:rPr>
          <w:rFonts w:hint="eastAsia" w:ascii="仿宋" w:hAnsi="仿宋" w:eastAsia="仿宋"/>
          <w:bCs/>
          <w:sz w:val="28"/>
          <w:szCs w:val="28"/>
        </w:rPr>
        <w:t>)，位置：“首页-下载专区-质疑投诉模板”。供应商提出质疑应当提交质疑函和必要的证明材料。供应商应当在法定质疑期内一次性提出针对同一采购程序环节的质疑。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质疑函应当包括下列内容：</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a.供应商的姓名或者名称、地址、邮编、联系人及联系电话；</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b.质疑项目的名称、编号；</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c.具体、明确的质疑事项和与质疑事项相关的请求；</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d.事实依据；</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e.必要的法律依据；</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f.提出质疑的日期。</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 xml:space="preserve">（六）招标文件的澄清与修改 </w:t>
      </w:r>
    </w:p>
    <w:p>
      <w:pPr>
        <w:pStyle w:val="32"/>
        <w:snapToGrid w:val="0"/>
        <w:spacing w:before="120" w:after="120" w:line="460" w:lineRule="exact"/>
        <w:ind w:firstLine="560" w:firstLineChars="200"/>
        <w:rPr>
          <w:rFonts w:ascii="仿宋" w:hAnsi="仿宋" w:eastAsia="仿宋"/>
          <w:b/>
          <w:bCs/>
          <w:sz w:val="28"/>
          <w:szCs w:val="28"/>
        </w:rPr>
      </w:pPr>
      <w:r>
        <w:rPr>
          <w:rFonts w:hint="eastAsia" w:ascii="仿宋" w:hAnsi="仿宋" w:eastAsia="仿宋"/>
          <w:bCs/>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sz w:val="28"/>
          <w:szCs w:val="28"/>
        </w:rPr>
        <w:t>逾期提出招标方将不予受理。</w:t>
      </w:r>
    </w:p>
    <w:p>
      <w:pPr>
        <w:pStyle w:val="32"/>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2.招标方主动进行的澄清、修改：招标方无论出于何种原因，均可主动对招标文件中的相关事项，用补充文件等方式进行澄清和修改。</w:t>
      </w:r>
    </w:p>
    <w:p>
      <w:pPr>
        <w:pStyle w:val="32"/>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3.招标文件澄清、答复、修改、补充的内容为招标文件的组成部分。当招标文件与招标文件的答复、澄清、修改、补充通知就同一内容的表述不一致时，以最后发出的书面文件为准。</w:t>
      </w:r>
    </w:p>
    <w:p>
      <w:pPr>
        <w:pStyle w:val="32"/>
        <w:snapToGrid w:val="0"/>
        <w:spacing w:before="240" w:beforeLines="100" w:after="240" w:afterLines="100" w:line="360" w:lineRule="auto"/>
        <w:jc w:val="center"/>
        <w:rPr>
          <w:rFonts w:ascii="仿宋" w:hAnsi="仿宋" w:eastAsia="仿宋"/>
          <w:bCs/>
          <w:sz w:val="28"/>
          <w:szCs w:val="28"/>
        </w:rPr>
      </w:pPr>
      <w:r>
        <w:rPr>
          <w:rFonts w:hint="eastAsia" w:ascii="仿宋" w:hAnsi="仿宋" w:eastAsia="仿宋"/>
          <w:bCs/>
          <w:sz w:val="28"/>
          <w:szCs w:val="28"/>
        </w:rPr>
        <w:t>二、投标文件的编制</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（一）投标文件编制工具</w:t>
      </w:r>
    </w:p>
    <w:p>
      <w:pPr>
        <w:pStyle w:val="32"/>
        <w:adjustRightInd w:val="0"/>
        <w:snapToGrid w:val="0"/>
        <w:spacing w:before="120" w:after="120" w:line="500" w:lineRule="exact"/>
        <w:ind w:firstLine="565" w:firstLineChars="201"/>
        <w:rPr>
          <w:rFonts w:ascii="仿宋" w:hAnsi="仿宋" w:eastAsia="仿宋"/>
          <w:b/>
          <w:bCs/>
          <w:sz w:val="28"/>
          <w:szCs w:val="28"/>
        </w:rPr>
      </w:pPr>
      <w:r>
        <w:rPr>
          <w:rFonts w:hint="eastAsia" w:ascii="仿宋" w:hAnsi="仿宋" w:eastAsia="仿宋"/>
          <w:b/>
          <w:bCs/>
          <w:sz w:val="28"/>
          <w:szCs w:val="28"/>
        </w:rPr>
        <w:t>投标文件编制工具为</w:t>
      </w:r>
      <w:r>
        <w:rPr>
          <w:rFonts w:ascii="仿宋" w:hAnsi="仿宋" w:eastAsia="仿宋"/>
          <w:b/>
          <w:bCs/>
          <w:sz w:val="28"/>
          <w:szCs w:val="28"/>
        </w:rPr>
        <w:t>政采云电子交易客户端，</w:t>
      </w:r>
      <w:r>
        <w:rPr>
          <w:rFonts w:hint="eastAsia" w:ascii="仿宋" w:hAnsi="仿宋" w:eastAsia="仿宋"/>
          <w:b/>
          <w:bCs/>
          <w:sz w:val="28"/>
          <w:szCs w:val="28"/>
        </w:rPr>
        <w:t>下载网址：</w:t>
      </w:r>
      <w:r>
        <w:fldChar w:fldCharType="begin"/>
      </w:r>
      <w:r>
        <w:instrText xml:space="preserve"> HYPERLINK "http://zfcg.czt.zj.gov.cn/bidClientTemplate/2019-09-24/12975.html" </w:instrText>
      </w:r>
      <w:r>
        <w:fldChar w:fldCharType="separate"/>
      </w:r>
      <w:r>
        <w:rPr>
          <w:rFonts w:ascii="仿宋" w:hAnsi="仿宋" w:eastAsia="仿宋"/>
          <w:b/>
          <w:bCs/>
          <w:sz w:val="28"/>
          <w:szCs w:val="28"/>
        </w:rPr>
        <w:t>http://zfcg.czt.zj.gov.cn/bidClientTemplate/2019-09-24/12975.html</w:t>
      </w:r>
      <w:r>
        <w:rPr>
          <w:rFonts w:ascii="仿宋" w:hAnsi="仿宋" w:eastAsia="仿宋"/>
          <w:b/>
          <w:bCs/>
          <w:sz w:val="28"/>
          <w:szCs w:val="28"/>
        </w:rPr>
        <w:fldChar w:fldCharType="end"/>
      </w:r>
      <w:r>
        <w:rPr>
          <w:rFonts w:hint="eastAsia" w:ascii="仿宋" w:hAnsi="仿宋" w:eastAsia="仿宋"/>
          <w:b/>
          <w:bCs/>
          <w:sz w:val="28"/>
          <w:szCs w:val="28"/>
        </w:rPr>
        <w:t>，请自行下载并安装。</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（二）投标文件的组成</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电子投标文件每个标项由资质文件、技术商务文件、投标报价文件三部份组成，具体详见“第六章  投标文件格式附件”。备份投标文件的组成和内容等同电子投标文件。</w:t>
      </w:r>
    </w:p>
    <w:p>
      <w:pPr>
        <w:pStyle w:val="51"/>
        <w:widowControl w:val="0"/>
        <w:spacing w:after="120" w:line="460" w:lineRule="exact"/>
        <w:ind w:firstLine="562" w:firstLineChars="200"/>
        <w:jc w:val="both"/>
        <w:rPr>
          <w:rFonts w:ascii="仿宋" w:hAnsi="仿宋" w:eastAsia="仿宋"/>
          <w:bCs/>
          <w:color w:val="auto"/>
          <w:sz w:val="28"/>
          <w:szCs w:val="28"/>
        </w:rPr>
      </w:pPr>
      <w:r>
        <w:rPr>
          <w:rFonts w:hint="eastAsia" w:ascii="仿宋" w:hAnsi="仿宋" w:eastAsia="仿宋"/>
          <w:b/>
          <w:bCs/>
          <w:color w:val="auto"/>
          <w:sz w:val="28"/>
          <w:szCs w:val="28"/>
        </w:rPr>
        <w:t>注：法定代表人授权委托书、投标声明书、开标一览表必须按招标文件格式要求正确签署并加盖投标人公章。投标文件中所须加盖公章部分均采用CA签章。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（三）投标文件的效力</w:t>
      </w:r>
    </w:p>
    <w:p>
      <w:pPr>
        <w:adjustRightInd w:val="0"/>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（四）投标文件的语言及计量</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2.投标计量单位，招标文件已有明确规定的，使用招标文件规定的计量单位；招标文件没有规定的，应采用中华人民共和国法定计量单位（货币单位：人民币元），否则将作无效标处理。</w:t>
      </w:r>
    </w:p>
    <w:p>
      <w:pPr>
        <w:pStyle w:val="18"/>
        <w:widowControl w:val="0"/>
        <w:numPr>
          <w:ilvl w:val="0"/>
          <w:numId w:val="0"/>
        </w:numPr>
        <w:tabs>
          <w:tab w:val="clear" w:pos="454"/>
        </w:tabs>
        <w:snapToGrid w:val="0"/>
        <w:spacing w:before="120" w:beforeLines="50" w:after="120" w:line="460" w:lineRule="exact"/>
        <w:ind w:firstLine="560" w:firstLineChars="200"/>
        <w:rPr>
          <w:rFonts w:ascii="仿宋" w:hAnsi="仿宋" w:eastAsia="仿宋"/>
          <w:bCs/>
          <w:kern w:val="2"/>
          <w:sz w:val="28"/>
          <w:szCs w:val="28"/>
        </w:rPr>
      </w:pPr>
      <w:r>
        <w:rPr>
          <w:rFonts w:hint="eastAsia" w:ascii="仿宋" w:hAnsi="仿宋" w:eastAsia="仿宋"/>
          <w:bCs/>
          <w:kern w:val="2"/>
          <w:sz w:val="28"/>
          <w:szCs w:val="28"/>
        </w:rPr>
        <w:t>（五）投标文件的有效期</w:t>
      </w:r>
    </w:p>
    <w:p>
      <w:pPr>
        <w:pStyle w:val="18"/>
        <w:widowControl w:val="0"/>
        <w:numPr>
          <w:ilvl w:val="0"/>
          <w:numId w:val="0"/>
        </w:numPr>
        <w:tabs>
          <w:tab w:val="clear" w:pos="454"/>
        </w:tabs>
        <w:snapToGrid w:val="0"/>
        <w:spacing w:before="120" w:beforeLines="50" w:after="120" w:line="460" w:lineRule="exact"/>
        <w:ind w:firstLine="560" w:firstLineChars="200"/>
        <w:rPr>
          <w:rFonts w:ascii="仿宋" w:hAnsi="仿宋" w:eastAsia="仿宋"/>
          <w:bCs/>
          <w:kern w:val="2"/>
          <w:sz w:val="28"/>
          <w:szCs w:val="28"/>
        </w:rPr>
      </w:pPr>
      <w:r>
        <w:rPr>
          <w:rFonts w:hint="eastAsia" w:ascii="仿宋" w:hAnsi="仿宋" w:eastAsia="仿宋"/>
          <w:bCs/>
          <w:kern w:val="2"/>
          <w:sz w:val="28"/>
          <w:szCs w:val="28"/>
        </w:rPr>
        <w:t>1.自投标截止日起90天内投标文件应保持有效。有效期不足的投标文件将作无效标处理。</w:t>
      </w:r>
    </w:p>
    <w:p>
      <w:pPr>
        <w:pStyle w:val="18"/>
        <w:widowControl w:val="0"/>
        <w:numPr>
          <w:ilvl w:val="0"/>
          <w:numId w:val="0"/>
        </w:numPr>
        <w:tabs>
          <w:tab w:val="clear" w:pos="454"/>
        </w:tabs>
        <w:snapToGrid w:val="0"/>
        <w:spacing w:before="120" w:beforeLines="50" w:after="120" w:line="460" w:lineRule="exact"/>
        <w:ind w:firstLine="560" w:firstLineChars="200"/>
        <w:rPr>
          <w:rFonts w:ascii="仿宋" w:hAnsi="仿宋" w:eastAsia="仿宋"/>
          <w:bCs/>
          <w:kern w:val="2"/>
          <w:sz w:val="28"/>
          <w:szCs w:val="28"/>
        </w:rPr>
      </w:pPr>
      <w:r>
        <w:rPr>
          <w:rFonts w:hint="eastAsia" w:ascii="仿宋" w:hAnsi="仿宋" w:eastAsia="仿宋"/>
          <w:bCs/>
          <w:kern w:val="2"/>
          <w:sz w:val="28"/>
          <w:szCs w:val="28"/>
        </w:rPr>
        <w:t>2.中标供应商的投标文件自开标之日起至合同履行完毕止均应保持有效。</w:t>
      </w:r>
    </w:p>
    <w:p>
      <w:pPr>
        <w:snapToGrid w:val="0"/>
        <w:spacing w:before="120" w:beforeLines="50" w:line="460" w:lineRule="exact"/>
        <w:ind w:firstLine="420" w:firstLineChars="150"/>
        <w:jc w:val="left"/>
        <w:rPr>
          <w:rFonts w:ascii="仿宋" w:hAnsi="仿宋" w:eastAsia="仿宋"/>
          <w:bCs/>
          <w:sz w:val="28"/>
          <w:szCs w:val="28"/>
        </w:rPr>
      </w:pPr>
      <w:r>
        <w:rPr>
          <w:rFonts w:hint="eastAsia" w:ascii="仿宋" w:hAnsi="仿宋" w:eastAsia="仿宋"/>
          <w:bCs/>
          <w:sz w:val="28"/>
          <w:szCs w:val="28"/>
        </w:rPr>
        <w:t>（六）投标文件的签署和包装</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1.电子投标文件部分： </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2.投标人选择递交备份投标文件的，备份投标文件另须满足以下条件：</w:t>
      </w:r>
    </w:p>
    <w:p>
      <w:pPr>
        <w:pStyle w:val="32"/>
        <w:adjustRightInd w:val="0"/>
        <w:snapToGrid w:val="0"/>
        <w:spacing w:before="120" w:after="120" w:line="50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（1）储存形式：U盘、DVD </w:t>
      </w:r>
    </w:p>
    <w:p>
      <w:pPr>
        <w:pStyle w:val="32"/>
        <w:adjustRightInd w:val="0"/>
        <w:snapToGrid w:val="0"/>
        <w:spacing w:before="120" w:after="120" w:line="500" w:lineRule="exact"/>
        <w:ind w:firstLine="557" w:firstLineChars="198"/>
        <w:rPr>
          <w:rFonts w:ascii="仿宋" w:hAnsi="仿宋" w:eastAsia="仿宋"/>
          <w:bCs/>
          <w:sz w:val="28"/>
          <w:szCs w:val="28"/>
        </w:rPr>
      </w:pPr>
      <w:r>
        <w:rPr>
          <w:rFonts w:hint="eastAsia" w:ascii="仿宋" w:hAnsi="仿宋" w:eastAsia="仿宋"/>
          <w:b/>
          <w:bCs/>
          <w:sz w:val="28"/>
          <w:szCs w:val="28"/>
        </w:rP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20" w:beforeLines="50"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（七）投标报价</w:t>
      </w:r>
    </w:p>
    <w:p>
      <w:pPr>
        <w:tabs>
          <w:tab w:val="left" w:pos="525"/>
        </w:tabs>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1.投标文件只允许有一个报价，投标报价应按招标文件中相关附表格式填报，该投标报价应与明细报价汇总相等，且不允许出现报价优惠等字样（明细出现“0”元，视同赠送，按无效标处理）。</w:t>
      </w:r>
    </w:p>
    <w:p>
      <w:pPr>
        <w:pStyle w:val="32"/>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投标报价应包含项目所需全部产品、服务，不得缺漏，是履行合同的最终价格（含货款、标准附件、备品备件、专用工具、包装、运输、装卸、保险、货到就位以及安装、调试、培训、保修等和费用，本项目不含车辆购置税）。</w:t>
      </w:r>
    </w:p>
    <w:p>
      <w:pPr>
        <w:pStyle w:val="32"/>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3.投标报价金额到元为止，如投标报价总价出现角、分，将被抹除。</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（八）串通投标认定</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有下列情形之一的，视为投标人串通投标，其投标无效：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1.不同投标人的投标文件由同一单位或者个人编制；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2.不同投标人委托同一单位或者个人办理投标事宜；</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3.不同投标人的投标文件载明的项目管理成员或者联系人员为同一人；</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4.不同投标人的投标文件异常一致或者投标报价呈规律性差异；</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5.不同投标人的投标文件相互混装；</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（九）投标无效的情形</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在评审时，如发现下列情形之一的，投标文件将被视为无效：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1.投标人未能提供合格的资格文件、投标有效期不足的；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3.仅提供备份投标文件的；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4.电子投标文件解密失败，且未在规定时间内提交备份投标文件的；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6.投标文件未按招标文件要求签署、盖章的；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7.与招标文件有重大偏离、未满足带“▲”号实质性指标的投标文件；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9.投标报价超出招标文件中规定的预算金额或者最高限价的；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10.标项以赠送方式投标的、对一个标项提供两个投标方案或两个报价的；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11.评标委员会认为投标人的报价明显低于其他通过符合性审查投标人的报价，有可能影响产品质量或者不能诚信履约，且不能证明其报价合理性的；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12.投标人不接受报价文件中修正后的报价的；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13.未按本章“二、投标文件的编制”第七点投标报价要求报价的；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14.投标文件含有采购人不能接受的附加条件的；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15.投标人被视为串通投标的；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16.不符合法律、法规和本招标文件规定的其他实质性要求的。</w:t>
      </w:r>
    </w:p>
    <w:p>
      <w:pPr>
        <w:pStyle w:val="32"/>
        <w:snapToGrid w:val="0"/>
        <w:spacing w:beforeLines="0" w:after="120" w:line="460" w:lineRule="exact"/>
        <w:ind w:left="759" w:leftChars="228" w:hanging="280" w:hangingChars="100"/>
        <w:rPr>
          <w:rFonts w:ascii="仿宋" w:hAnsi="仿宋" w:eastAsia="仿宋"/>
          <w:bCs/>
          <w:sz w:val="28"/>
          <w:szCs w:val="28"/>
        </w:rPr>
      </w:pPr>
      <w:r>
        <w:rPr>
          <w:rFonts w:hint="eastAsia" w:ascii="仿宋" w:hAnsi="仿宋" w:eastAsia="仿宋"/>
          <w:bCs/>
          <w:sz w:val="28"/>
          <w:szCs w:val="28"/>
        </w:rPr>
        <w:t>（十）错误修正</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投标文件报价出现前后不一致的，除招标文件另有规定外，按照下列规定修正：</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1.投标文件中开标一览表内容与投标文件中相应内容不一致的，以开标一览表为准；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2.大写金额和小写金额不一致的，以大写金额为准；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3.单价金额小数点或者百分比有明显错位的，以开标一览表的总价为准，并修改单价；</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4.总价金额与按单价汇总金额不一致的，以单价金额计算结果为准。</w:t>
      </w:r>
    </w:p>
    <w:p>
      <w:pPr>
        <w:snapToGrid w:val="0"/>
        <w:spacing w:line="460" w:lineRule="exact"/>
        <w:ind w:firstLine="562" w:firstLineChars="200"/>
        <w:rPr>
          <w:rFonts w:ascii="仿宋" w:hAnsi="仿宋" w:eastAsia="仿宋"/>
          <w:bCs/>
          <w:sz w:val="28"/>
          <w:szCs w:val="28"/>
        </w:rPr>
      </w:pPr>
      <w:r>
        <w:rPr>
          <w:rFonts w:hint="eastAsia" w:ascii="仿宋" w:hAnsi="仿宋" w:eastAsia="仿宋"/>
          <w:b/>
          <w:bCs/>
          <w:sz w:val="28"/>
          <w:szCs w:val="28"/>
        </w:rP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（十一）采购过程中的异常情况及处理措施</w:t>
      </w:r>
    </w:p>
    <w:p>
      <w:pPr>
        <w:pStyle w:val="32"/>
        <w:adjustRightInd w:val="0"/>
        <w:snapToGrid w:val="0"/>
        <w:spacing w:before="120" w:after="120" w:line="500" w:lineRule="exact"/>
        <w:ind w:firstLine="565" w:firstLineChars="201"/>
        <w:rPr>
          <w:rFonts w:ascii="仿宋" w:hAnsi="仿宋" w:eastAsia="仿宋"/>
          <w:b/>
          <w:bCs/>
          <w:sz w:val="28"/>
          <w:szCs w:val="28"/>
        </w:rPr>
      </w:pPr>
      <w:r>
        <w:rPr>
          <w:rFonts w:hint="eastAsia" w:ascii="仿宋" w:hAnsi="仿宋" w:eastAsia="仿宋"/>
          <w:b/>
          <w:bCs/>
          <w:sz w:val="28"/>
          <w:szCs w:val="28"/>
        </w:rP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1.电子交易平台发生故障而无法登录访问的；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2.电子交易平台应用或数据库出现错误，不能进行正常操作的；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3.电子交易平台发现严重安全漏洞，有潜在泄密危险的；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4.病毒发作导致不能进行正常操作的；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5.其他无法保证电子交易的公平、公正和安全的情况。</w:t>
      </w:r>
    </w:p>
    <w:p>
      <w:pPr>
        <w:spacing w:line="440" w:lineRule="exact"/>
        <w:ind w:firstLine="562" w:firstLineChars="200"/>
        <w:rPr>
          <w:rFonts w:ascii="仿宋" w:hAnsi="仿宋" w:eastAsia="仿宋"/>
          <w:bCs/>
          <w:sz w:val="28"/>
          <w:szCs w:val="28"/>
        </w:rPr>
      </w:pPr>
      <w:r>
        <w:rPr>
          <w:rFonts w:hint="eastAsia" w:ascii="仿宋" w:hAnsi="仿宋" w:eastAsia="仿宋"/>
          <w:b/>
          <w:bCs/>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pPr>
        <w:pStyle w:val="32"/>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三、开、评标程序及评标委员会的评审程序</w:t>
      </w:r>
    </w:p>
    <w:p>
      <w:pPr>
        <w:pStyle w:val="32"/>
        <w:snapToGrid w:val="0"/>
        <w:spacing w:before="120" w:after="120" w:line="460" w:lineRule="exact"/>
        <w:ind w:firstLine="551" w:firstLineChars="196"/>
        <w:rPr>
          <w:rFonts w:ascii="仿宋" w:hAnsi="仿宋" w:eastAsia="仿宋"/>
          <w:b/>
          <w:sz w:val="28"/>
          <w:szCs w:val="28"/>
        </w:rPr>
      </w:pPr>
      <w:r>
        <w:rPr>
          <w:rFonts w:hint="eastAsia" w:ascii="仿宋" w:hAnsi="仿宋" w:eastAsia="仿宋"/>
          <w:b/>
          <w:sz w:val="28"/>
          <w:szCs w:val="28"/>
        </w:rPr>
        <w:t>（一）组织开标</w:t>
      </w:r>
    </w:p>
    <w:p>
      <w:pPr>
        <w:pStyle w:val="32"/>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招标方将按照招标文件规定的时间、地点和程序组织开标，各投标人授权代表及相关人员</w:t>
      </w:r>
      <w:r>
        <w:rPr>
          <w:rFonts w:hint="eastAsia" w:ascii="仿宋" w:hAnsi="仿宋" w:eastAsia="仿宋"/>
          <w:b/>
          <w:bCs/>
          <w:sz w:val="28"/>
          <w:szCs w:val="28"/>
        </w:rPr>
        <w:t>均应当准时在线参加</w:t>
      </w:r>
      <w:r>
        <w:rPr>
          <w:rFonts w:hint="eastAsia" w:ascii="仿宋" w:hAnsi="仿宋" w:eastAsia="仿宋"/>
          <w:bCs/>
          <w:sz w:val="28"/>
          <w:szCs w:val="28"/>
        </w:rPr>
        <w:t>，无关人员不得进入开标现场。</w:t>
      </w:r>
      <w:r>
        <w:rPr>
          <w:rFonts w:hint="eastAsia" w:ascii="仿宋" w:hAnsi="仿宋" w:eastAsia="仿宋"/>
          <w:b/>
          <w:bCs/>
          <w:sz w:val="28"/>
          <w:szCs w:val="28"/>
        </w:rPr>
        <w:t>投标人如未准时在线参加的</w:t>
      </w:r>
      <w:r>
        <w:rPr>
          <w:rFonts w:hint="eastAsia" w:ascii="仿宋" w:hAnsi="仿宋" w:eastAsia="仿宋"/>
          <w:bCs/>
          <w:sz w:val="28"/>
          <w:szCs w:val="28"/>
        </w:rPr>
        <w:t>，事后不得对采购相关人员、开标过程和开标结果提出异议。</w:t>
      </w:r>
    </w:p>
    <w:p>
      <w:pPr>
        <w:pStyle w:val="32"/>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1. 落实工作场地、设施，检查录音录像采集设备运行情况，验证电子交易平台是否能正常登录。</w:t>
      </w:r>
    </w:p>
    <w:p>
      <w:pPr>
        <w:pStyle w:val="32"/>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2. 开标由招标方主持，主持人介绍开标现场的人员情况，宣读递交投标文件的投标人名单、开标纪律、应当回避的情形等注意事项。</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3.投标截止时，电子交易平台自动提取所有电子投标文件。招标方点击[开始解密]按钮后，投标人可以在线解密，解密时限为30分钟。</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解密时限内未完成解密且按规定提供了备份投标文件的，招标方将拆封其备份投标文件，并导入电子交易平台。</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6.招标方在电子交易平台开启投标人的报价文件信息，投标人对报价信息进行确认。投标人对报价信息不予确认的不影响后续评标过程。</w:t>
      </w:r>
    </w:p>
    <w:p>
      <w:pPr>
        <w:pStyle w:val="32"/>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8.在电子交易平台上公布评审结果。</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特别说明：政采云公司如对电子化开标及评审程序有调整的，按调整后的程序操作。</w:t>
      </w:r>
    </w:p>
    <w:p>
      <w:pPr>
        <w:pStyle w:val="32"/>
        <w:snapToGrid w:val="0"/>
        <w:spacing w:before="120" w:after="120" w:line="460" w:lineRule="exact"/>
        <w:ind w:firstLine="562" w:firstLineChars="200"/>
        <w:rPr>
          <w:rFonts w:ascii="仿宋" w:hAnsi="仿宋" w:eastAsia="仿宋"/>
          <w:b/>
          <w:sz w:val="28"/>
          <w:szCs w:val="28"/>
        </w:rPr>
      </w:pPr>
      <w:r>
        <w:rPr>
          <w:rFonts w:hint="eastAsia" w:ascii="仿宋" w:hAnsi="仿宋" w:eastAsia="仿宋"/>
          <w:b/>
          <w:sz w:val="28"/>
          <w:szCs w:val="28"/>
        </w:rPr>
        <w:t>（二）组织评标程序</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招标方将按照招标文件规定的时间、地点和程序组织评标，各评审专家及相关人员应参加评审活动并接受核验、签到，无关人员不得进入评审现场。</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1、开启开标场地录音录像采集设备，并确保正常运行。</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2、按规定统一收缴、保存评标现场相关人员通讯工具。</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3、介绍评审现场的人员情况，宣布评审工作纪律，告知评审人员应当回避情形；组织推选评标委员会组长。</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4、宣读提交投标文件的供应商名单，组织评标委员会各位成员签订纸质形式的《政府采购评审人员廉洁自律承诺书》。</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5、采购人可以在评标前说明项目背景和采购需求，说明内容不得含有歧视性、倾向性意见，不得超出招标文件所述范围。说明应当提交书面材料，并随采购文件一并存档。</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7、采购人代表对投标人资格文件进行审查并</w:t>
      </w:r>
      <w:r>
        <w:rPr>
          <w:rFonts w:hint="eastAsia" w:ascii="仿宋" w:hAnsi="仿宋" w:eastAsia="仿宋"/>
          <w:sz w:val="28"/>
          <w:szCs w:val="28"/>
        </w:rPr>
        <w:t>以开标当日为准</w:t>
      </w:r>
      <w:r>
        <w:rPr>
          <w:rFonts w:hint="eastAsia" w:ascii="仿宋" w:hAnsi="仿宋" w:eastAsia="仿宋"/>
          <w:bCs/>
          <w:sz w:val="28"/>
          <w:szCs w:val="28"/>
        </w:rPr>
        <w:t>对投标人“信用中国”网站（www.creditchina.gov.cn）、中国政府采购网（www.ccgp.gov.cn）信用记录情况进行核实，资格不符合的，应组织相关投标人代表进行陈述、澄清或申辩。</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9、做好评审现场相关记录，协助评标委员会组长做好评审报告起草、有关内容电脑文字录入等工作，并要求评标委员会各成员签字确认。</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10、评审结束后，招标方应对评标委员会各成员的专业水平、职业道德、遵纪守法等情况进行评价；同时按规定向评审专家发放评审费，并交还评审人员及其他现场相关人员的通讯工具。</w:t>
      </w:r>
    </w:p>
    <w:p>
      <w:pPr>
        <w:pStyle w:val="32"/>
        <w:snapToGrid w:val="0"/>
        <w:spacing w:before="120" w:after="120" w:line="460" w:lineRule="exact"/>
        <w:ind w:firstLine="551" w:firstLineChars="196"/>
        <w:rPr>
          <w:rFonts w:ascii="仿宋" w:hAnsi="仿宋" w:eastAsia="仿宋"/>
          <w:bCs/>
          <w:sz w:val="28"/>
          <w:szCs w:val="28"/>
        </w:rPr>
      </w:pPr>
      <w:r>
        <w:rPr>
          <w:rFonts w:hint="eastAsia" w:ascii="仿宋" w:hAnsi="仿宋" w:eastAsia="仿宋"/>
          <w:b/>
          <w:bCs/>
          <w:sz w:val="28"/>
          <w:szCs w:val="28"/>
        </w:rPr>
        <w:t>11、招标方将在《中标公告》中，公开评标委员会对每个投标人的《评分明细》以及《得分汇总表》情况。</w:t>
      </w:r>
      <w:r>
        <w:rPr>
          <w:rFonts w:ascii="Calibri" w:hAnsi="Calibri" w:eastAsia="仿宋" w:cs="Calibri"/>
          <w:b/>
          <w:bCs/>
          <w:sz w:val="28"/>
          <w:szCs w:val="28"/>
        </w:rPr>
        <w:t> </w:t>
      </w:r>
      <w:r>
        <w:rPr>
          <w:rFonts w:ascii="仿宋" w:hAnsi="仿宋" w:eastAsia="仿宋"/>
          <w:b/>
          <w:bCs/>
          <w:sz w:val="28"/>
          <w:szCs w:val="28"/>
        </w:rPr>
        <w:tab/>
      </w:r>
    </w:p>
    <w:p>
      <w:pPr>
        <w:pStyle w:val="32"/>
        <w:snapToGrid w:val="0"/>
        <w:spacing w:before="120" w:after="120" w:line="460" w:lineRule="exact"/>
        <w:ind w:firstLine="562" w:firstLineChars="200"/>
        <w:rPr>
          <w:rFonts w:ascii="仿宋" w:hAnsi="仿宋" w:eastAsia="仿宋"/>
          <w:b/>
          <w:sz w:val="28"/>
          <w:szCs w:val="28"/>
        </w:rPr>
      </w:pPr>
      <w:r>
        <w:rPr>
          <w:rFonts w:hint="eastAsia" w:ascii="仿宋" w:hAnsi="仿宋" w:eastAsia="仿宋"/>
          <w:b/>
          <w:sz w:val="28"/>
          <w:szCs w:val="28"/>
        </w:rPr>
        <w:t>（三）评审程序</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1、在评审专家中推选评标委员会组长。</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3、评审人员对各投标人投标文件的有效性、符合性、完整性和响应程度进行审查，确定是否对招标文件作出实质性响应。</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4、评审人员按招标文件规定的评审方法和评审标准，依法独立对投标人投标文件进行评估、比较，并给予评价或打分，不受任何单位和个人的干预。</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 xml:space="preserve">7、评标委员会根据评审汇总情况和招标文件规定确定中标候选供应商排序名单。 </w:t>
      </w:r>
    </w:p>
    <w:p>
      <w:pPr>
        <w:pStyle w:val="32"/>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8、起草评审报告，所有评审人员须在评审报告上签字确认。</w:t>
      </w:r>
    </w:p>
    <w:p>
      <w:pPr>
        <w:pStyle w:val="32"/>
        <w:snapToGrid w:val="0"/>
        <w:spacing w:before="240" w:beforeLines="100" w:after="240" w:afterLines="100" w:line="360" w:lineRule="auto"/>
        <w:jc w:val="center"/>
        <w:rPr>
          <w:rFonts w:ascii="仿宋" w:hAnsi="仿宋" w:eastAsia="仿宋"/>
          <w:b/>
          <w:bCs/>
          <w:sz w:val="28"/>
          <w:szCs w:val="28"/>
        </w:rPr>
      </w:pPr>
      <w:r>
        <w:rPr>
          <w:rFonts w:hint="eastAsia" w:ascii="仿宋" w:hAnsi="仿宋" w:eastAsia="仿宋"/>
          <w:b/>
          <w:bCs/>
          <w:sz w:val="28"/>
          <w:szCs w:val="28"/>
        </w:rPr>
        <w:t>四、评审原则</w:t>
      </w:r>
    </w:p>
    <w:p>
      <w:pPr>
        <w:pStyle w:val="32"/>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2"/>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2"/>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2"/>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2"/>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非单一产品采购项目，采购人应当根据采购项目技术构成、产品价格比重等合理确定核心产品，并在招标文件中载明。多家投标人提供的核心产品品牌相同的，按前款规定处理。</w:t>
      </w:r>
    </w:p>
    <w:p>
      <w:pPr>
        <w:pStyle w:val="32"/>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5</w:t>
      </w:r>
      <w:r>
        <w:rPr>
          <w:rFonts w:ascii="仿宋" w:hAnsi="仿宋" w:eastAsia="仿宋"/>
          <w:b/>
          <w:bCs/>
          <w:sz w:val="28"/>
          <w:szCs w:val="28"/>
        </w:rPr>
        <w:t>.</w:t>
      </w:r>
      <w:r>
        <w:rPr>
          <w:rFonts w:hint="eastAsia" w:ascii="仿宋" w:hAnsi="仿宋" w:eastAsia="仿宋"/>
          <w:b/>
          <w:bCs/>
          <w:sz w:val="28"/>
          <w:szCs w:val="28"/>
        </w:rPr>
        <w:t>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2"/>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五、确定中标供应商的原则</w:t>
      </w:r>
    </w:p>
    <w:p>
      <w:pPr>
        <w:pStyle w:val="32"/>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1.项目由评标委员会根据第三章《评标办法与评分标准》规定提出中标候选人排序。</w:t>
      </w:r>
    </w:p>
    <w:p>
      <w:pPr>
        <w:pStyle w:val="32"/>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32"/>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3.采购结果经采购人确认后，招标方将于2个工作日内在浙江省政府采购网上发布中标公告，通过电子交易平台统一签发《中标通知书》</w:t>
      </w:r>
      <w:r>
        <w:rPr>
          <w:rFonts w:hint="eastAsia" w:ascii="仿宋" w:hAnsi="仿宋" w:eastAsia="仿宋" w:cs="Arial"/>
          <w:sz w:val="28"/>
          <w:szCs w:val="28"/>
        </w:rPr>
        <w:t>。</w:t>
      </w:r>
    </w:p>
    <w:p>
      <w:pPr>
        <w:pStyle w:val="32"/>
        <w:snapToGrid w:val="0"/>
        <w:spacing w:before="240" w:beforeLines="100" w:after="240" w:afterLines="100" w:line="360" w:lineRule="auto"/>
        <w:jc w:val="center"/>
        <w:rPr>
          <w:rFonts w:ascii="仿宋" w:hAnsi="仿宋" w:eastAsia="仿宋"/>
          <w:b/>
          <w:sz w:val="30"/>
          <w:szCs w:val="30"/>
        </w:rPr>
      </w:pPr>
    </w:p>
    <w:p>
      <w:pPr>
        <w:pStyle w:val="32"/>
        <w:snapToGrid w:val="0"/>
        <w:spacing w:before="240" w:beforeLines="100" w:after="240" w:afterLines="100" w:line="360" w:lineRule="auto"/>
        <w:jc w:val="center"/>
        <w:rPr>
          <w:rFonts w:ascii="仿宋" w:hAnsi="仿宋" w:eastAsia="仿宋"/>
          <w:b/>
          <w:sz w:val="30"/>
          <w:szCs w:val="30"/>
        </w:rPr>
      </w:pPr>
    </w:p>
    <w:p>
      <w:pPr>
        <w:pStyle w:val="32"/>
        <w:snapToGrid w:val="0"/>
        <w:spacing w:before="240" w:beforeLines="100" w:after="240" w:afterLines="100" w:line="360" w:lineRule="auto"/>
        <w:jc w:val="center"/>
        <w:rPr>
          <w:rFonts w:ascii="仿宋" w:hAnsi="仿宋" w:eastAsia="仿宋"/>
          <w:b/>
          <w:sz w:val="30"/>
          <w:szCs w:val="30"/>
        </w:rPr>
      </w:pPr>
    </w:p>
    <w:p>
      <w:pPr>
        <w:pStyle w:val="32"/>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六、合同授予</w:t>
      </w:r>
    </w:p>
    <w:p>
      <w:pPr>
        <w:snapToGrid w:val="0"/>
        <w:spacing w:line="460" w:lineRule="exact"/>
        <w:ind w:firstLine="551" w:firstLineChars="196"/>
        <w:rPr>
          <w:rFonts w:ascii="仿宋" w:hAnsi="仿宋" w:eastAsia="仿宋"/>
          <w:b/>
          <w:bCs/>
          <w:sz w:val="28"/>
          <w:szCs w:val="28"/>
        </w:rPr>
      </w:pPr>
      <w:r>
        <w:rPr>
          <w:rFonts w:hint="eastAsia" w:ascii="仿宋" w:hAnsi="仿宋" w:eastAsia="仿宋"/>
          <w:b/>
          <w:bCs/>
          <w:sz w:val="28"/>
          <w:szCs w:val="28"/>
        </w:rPr>
        <w:t>（一）签订合同</w:t>
      </w:r>
    </w:p>
    <w:p>
      <w:pPr>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1.采购人与中标人应当在《中标通知书》发出之日起30日内签订政府采购合同。</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2.中标人拖延、拒签合同的,将被取消中标资格。</w:t>
      </w:r>
    </w:p>
    <w:p>
      <w:pPr>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3.</w:t>
      </w:r>
      <w:r>
        <w:rPr>
          <w:rFonts w:ascii="仿宋" w:hAnsi="仿宋" w:eastAsia="仿宋"/>
          <w:b/>
          <w:sz w:val="28"/>
          <w:szCs w:val="28"/>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2"/>
        <w:snapToGrid w:val="0"/>
        <w:spacing w:before="120" w:after="120" w:line="460" w:lineRule="exact"/>
        <w:ind w:firstLine="551" w:firstLineChars="196"/>
        <w:rPr>
          <w:rFonts w:ascii="仿宋" w:hAnsi="仿宋" w:eastAsia="仿宋"/>
          <w:b/>
          <w:sz w:val="28"/>
          <w:szCs w:val="28"/>
        </w:rPr>
      </w:pPr>
      <w:r>
        <w:rPr>
          <w:rFonts w:hint="eastAsia" w:ascii="仿宋" w:hAnsi="仿宋" w:eastAsia="仿宋"/>
          <w:b/>
          <w:sz w:val="28"/>
          <w:szCs w:val="28"/>
        </w:rPr>
        <w:t>（二）履约保证金</w:t>
      </w:r>
    </w:p>
    <w:p>
      <w:pPr>
        <w:pStyle w:val="32"/>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2"/>
        <w:snapToGrid w:val="0"/>
        <w:spacing w:before="120" w:after="120" w:line="460" w:lineRule="exact"/>
        <w:ind w:firstLine="554" w:firstLineChars="198"/>
        <w:rPr>
          <w:rFonts w:ascii="仿宋" w:hAnsi="仿宋" w:eastAsia="仿宋"/>
          <w:sz w:val="28"/>
          <w:szCs w:val="28"/>
        </w:rPr>
      </w:pPr>
      <w:r>
        <w:rPr>
          <w:rFonts w:hint="eastAsia" w:ascii="仿宋" w:hAnsi="仿宋" w:eastAsia="仿宋"/>
          <w:sz w:val="28"/>
          <w:szCs w:val="28"/>
        </w:rPr>
        <w:t>2.按合同约定办理履约保证金退还手续。</w:t>
      </w:r>
    </w:p>
    <w:p>
      <w:pPr>
        <w:pStyle w:val="32"/>
        <w:snapToGrid w:val="0"/>
        <w:spacing w:before="240" w:beforeLines="100" w:after="240" w:afterLines="100" w:line="360" w:lineRule="auto"/>
        <w:jc w:val="center"/>
        <w:rPr>
          <w:rFonts w:ascii="仿宋" w:hAnsi="仿宋" w:eastAsia="仿宋"/>
          <w:b/>
          <w:sz w:val="30"/>
          <w:szCs w:val="30"/>
        </w:rPr>
      </w:pPr>
    </w:p>
    <w:p>
      <w:pPr>
        <w:pStyle w:val="32"/>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七、货款的结算</w:t>
      </w:r>
    </w:p>
    <w:p>
      <w:pPr>
        <w:pStyle w:val="32"/>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货款由采购人按采购文件规定的付款方式自行支付。纳入国库集中支付的，按照国库集中支付有关规定付款。</w:t>
      </w:r>
    </w:p>
    <w:p>
      <w:pPr>
        <w:pStyle w:val="32"/>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资金支付进度：采购人对于满足合同约定支付条件的，自收到发票后7个工作日内将资金支付到合同约定的供应商账户。迟延支付中小企业款项的，供应商可要求采购人支付逾期利息。</w:t>
      </w:r>
    </w:p>
    <w:p>
      <w:pPr>
        <w:pStyle w:val="32"/>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pPr>
        <w:pStyle w:val="32"/>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1.对中小企业合同预付款比例原则上不低于合同金额的40％，不高于合同金额的70%；</w:t>
      </w:r>
    </w:p>
    <w:p>
      <w:pPr>
        <w:pStyle w:val="32"/>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2.项目分年安排预算的，每年预付款比例不低于项目年度计划支付资金额的40％，不高于年度计划支付资金额的70%；</w:t>
      </w:r>
    </w:p>
    <w:p>
      <w:pPr>
        <w:pStyle w:val="32"/>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3.采购项目实施以人工投入为主的，可适当降低预付款比例，但不得低于20%。</w:t>
      </w:r>
    </w:p>
    <w:p>
      <w:pPr>
        <w:pStyle w:val="32"/>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4.对供应商为大型企业的项目或者以人工投入为主且实行按月定期结算支付款项的项目，预付款可低于上述比例或者不约定预付款。</w:t>
      </w:r>
    </w:p>
    <w:p>
      <w:pPr>
        <w:pStyle w:val="32"/>
        <w:spacing w:before="120" w:after="120" w:line="240" w:lineRule="auto"/>
        <w:ind w:firstLine="560" w:firstLineChars="200"/>
        <w:rPr>
          <w:rFonts w:hint="eastAsia" w:ascii="仿宋" w:hAnsi="仿宋" w:eastAsia="仿宋" w:cs="Times New Roman"/>
          <w:b/>
          <w:bCs/>
          <w:kern w:val="2"/>
          <w:sz w:val="28"/>
          <w:szCs w:val="28"/>
          <w:lang w:val="en-US" w:eastAsia="zh-CN" w:bidi="ar-SA"/>
        </w:rPr>
      </w:pPr>
      <w:r>
        <w:rPr>
          <w:rFonts w:hint="eastAsia" w:ascii="仿宋" w:hAnsi="仿宋" w:eastAsia="仿宋"/>
          <w:sz w:val="28"/>
          <w:szCs w:val="28"/>
        </w:rPr>
        <w:t>备注：在签订合同时，供应商明确表示无需预付款或者主动要求降低预付款比例的，采购单位可不适用前述预付款比例的规定。</w:t>
      </w:r>
    </w:p>
    <w:p>
      <w:pPr>
        <w:pStyle w:val="32"/>
        <w:spacing w:before="120" w:after="120" w:line="360" w:lineRule="auto"/>
        <w:jc w:val="center"/>
        <w:rPr>
          <w:rFonts w:ascii="仿宋" w:hAnsi="仿宋" w:eastAsia="仿宋"/>
          <w:b/>
          <w:sz w:val="28"/>
          <w:szCs w:val="28"/>
        </w:rPr>
      </w:pPr>
    </w:p>
    <w:p>
      <w:pPr>
        <w:pStyle w:val="32"/>
        <w:snapToGrid w:val="0"/>
        <w:spacing w:before="120" w:after="120" w:line="240" w:lineRule="auto"/>
        <w:ind w:firstLine="600" w:firstLineChars="200"/>
        <w:rPr>
          <w:rFonts w:ascii="仿宋_GB2312" w:hAnsi="仿宋" w:eastAsia="仿宋_GB2312"/>
          <w:sz w:val="30"/>
          <w:szCs w:val="30"/>
        </w:rPr>
      </w:pPr>
    </w:p>
    <w:p>
      <w:pPr>
        <w:pStyle w:val="32"/>
        <w:spacing w:before="120" w:after="120" w:line="360" w:lineRule="auto"/>
        <w:jc w:val="center"/>
        <w:outlineLvl w:val="0"/>
        <w:rPr>
          <w:rFonts w:hAnsi="宋体"/>
          <w:b/>
          <w:sz w:val="36"/>
          <w:szCs w:val="36"/>
        </w:rPr>
      </w:pPr>
      <w:r>
        <w:rPr>
          <w:rFonts w:hAnsi="宋体"/>
          <w:b/>
          <w:sz w:val="36"/>
          <w:szCs w:val="36"/>
        </w:rPr>
        <w:br w:type="page"/>
      </w:r>
      <w:bookmarkStart w:id="22" w:name="_Toc496796637"/>
      <w:r>
        <w:rPr>
          <w:rFonts w:hint="eastAsia" w:hAnsi="宋体"/>
          <w:b/>
          <w:sz w:val="36"/>
          <w:szCs w:val="36"/>
        </w:rPr>
        <w:t>第三章 评标办法及评分标准</w:t>
      </w:r>
      <w:bookmarkEnd w:id="22"/>
    </w:p>
    <w:p>
      <w:pPr>
        <w:spacing w:before="120" w:beforeLines="50" w:after="120" w:afterLines="50" w:line="460" w:lineRule="exact"/>
        <w:ind w:firstLine="420"/>
        <w:rPr>
          <w:rFonts w:ascii="仿宋" w:hAnsi="仿宋" w:eastAsia="仿宋"/>
          <w:sz w:val="30"/>
          <w:szCs w:val="30"/>
        </w:rPr>
      </w:pPr>
      <w:r>
        <w:rPr>
          <w:rFonts w:hint="eastAsia" w:ascii="仿宋" w:hAnsi="仿宋" w:eastAsia="仿宋"/>
          <w:sz w:val="30"/>
          <w:szCs w:val="30"/>
        </w:rPr>
        <w:t>根据《中华人民共和国政府采购法》等有关法律法规，结合本项目的实际需求，制定本办法。</w:t>
      </w:r>
    </w:p>
    <w:p>
      <w:pPr>
        <w:spacing w:before="120" w:beforeLines="50" w:after="120"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sz w:val="30"/>
          <w:szCs w:val="30"/>
        </w:rPr>
        <w:t>评分过程中采用四舍五入法，并保留小数2位。</w:t>
      </w:r>
    </w:p>
    <w:p>
      <w:pPr>
        <w:spacing w:before="120" w:beforeLines="50" w:after="12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技术、资信、商务及其他分按照评标委员会成员的独立评分结果汇总后的算术平均分计算，计算公式为：</w:t>
      </w:r>
    </w:p>
    <w:p>
      <w:pPr>
        <w:spacing w:before="120" w:beforeLines="50" w:after="120" w:afterLines="50" w:line="460" w:lineRule="exact"/>
        <w:ind w:firstLine="495"/>
        <w:rPr>
          <w:rFonts w:ascii="仿宋" w:hAnsi="仿宋" w:eastAsia="仿宋"/>
          <w:sz w:val="30"/>
          <w:szCs w:val="30"/>
        </w:rPr>
      </w:pPr>
      <w:r>
        <w:rPr>
          <w:rFonts w:hint="eastAsia" w:ascii="仿宋" w:hAnsi="仿宋" w:eastAsia="仿宋"/>
          <w:sz w:val="30"/>
          <w:szCs w:val="30"/>
        </w:rPr>
        <w:t>技术、资信商务及其他分=评标委员会所有成员评分合计数/评标委员会组成人员数</w:t>
      </w:r>
    </w:p>
    <w:p>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投标人评标</w:t>
      </w:r>
      <w:r>
        <w:rPr>
          <w:rFonts w:hint="eastAsia" w:ascii="仿宋" w:hAnsi="仿宋" w:eastAsia="仿宋"/>
          <w:bCs/>
          <w:sz w:val="30"/>
          <w:szCs w:val="30"/>
        </w:rPr>
        <w:t>综合得分=价格分+(技术分+资信商务及其他分)</w:t>
      </w:r>
    </w:p>
    <w:p>
      <w:pPr>
        <w:spacing w:before="120" w:beforeLines="50" w:after="120" w:afterLines="50" w:line="460" w:lineRule="exact"/>
        <w:ind w:firstLine="602" w:firstLineChars="200"/>
        <w:rPr>
          <w:rFonts w:ascii="仿宋" w:hAnsi="仿宋" w:eastAsia="仿宋"/>
          <w:b/>
          <w:bCs/>
          <w:sz w:val="30"/>
          <w:szCs w:val="30"/>
        </w:rPr>
      </w:pPr>
    </w:p>
    <w:p>
      <w:pPr>
        <w:spacing w:before="120" w:beforeLines="50" w:after="120" w:afterLines="50" w:line="460" w:lineRule="exact"/>
        <w:ind w:firstLine="602" w:firstLineChars="200"/>
        <w:rPr>
          <w:rFonts w:ascii="仿宋" w:hAnsi="仿宋" w:eastAsia="仿宋"/>
          <w:bCs/>
          <w:sz w:val="30"/>
          <w:szCs w:val="30"/>
        </w:rPr>
      </w:pPr>
      <w:r>
        <w:rPr>
          <w:rFonts w:hint="eastAsia" w:ascii="仿宋" w:hAnsi="仿宋" w:eastAsia="仿宋"/>
          <w:b/>
          <w:bCs/>
          <w:sz w:val="30"/>
          <w:szCs w:val="30"/>
        </w:rPr>
        <w:t>特别提醒：</w:t>
      </w:r>
      <w:r>
        <w:rPr>
          <w:rFonts w:hint="eastAsia" w:ascii="仿宋" w:hAnsi="仿宋" w:eastAsia="仿宋"/>
          <w:bCs/>
          <w:sz w:val="30"/>
          <w:szCs w:val="30"/>
        </w:rPr>
        <w:t>评标委员会对每个投标人的评分明细以及得分汇总表情况在中标公告中公布。</w:t>
      </w:r>
    </w:p>
    <w:p>
      <w:pPr>
        <w:spacing w:before="120" w:beforeLines="50" w:after="120" w:afterLines="50" w:line="460" w:lineRule="exact"/>
        <w:rPr>
          <w:rFonts w:ascii="仿宋" w:hAnsi="仿宋" w:eastAsiaTheme="minorEastAsia"/>
          <w:bCs/>
          <w:sz w:val="30"/>
          <w:szCs w:val="30"/>
        </w:rPr>
      </w:pPr>
    </w:p>
    <w:p>
      <w:pPr>
        <w:spacing w:before="120" w:beforeLines="50" w:after="120" w:afterLines="50" w:line="480" w:lineRule="auto"/>
        <w:rPr>
          <w:rFonts w:hAnsi="宋体"/>
          <w:b/>
          <w:sz w:val="36"/>
          <w:szCs w:val="36"/>
        </w:rPr>
      </w:pPr>
      <w:r>
        <w:rPr>
          <w:rFonts w:ascii="仿宋" w:hAnsi="仿宋" w:eastAsia="仿宋_GB2312"/>
          <w:bCs/>
          <w:sz w:val="30"/>
          <w:szCs w:val="30"/>
        </w:rPr>
        <w:br w:type="page"/>
      </w:r>
      <w:r>
        <w:rPr>
          <w:rFonts w:hint="eastAsia" w:ascii="仿宋" w:hAnsi="仿宋" w:eastAsia="仿宋_GB2312"/>
          <w:b/>
          <w:sz w:val="32"/>
          <w:szCs w:val="32"/>
        </w:rPr>
        <w:t>三、评标内容及标</w:t>
      </w:r>
      <w:r>
        <w:rPr>
          <w:rFonts w:hint="eastAsia" w:ascii="仿宋" w:hAnsi="仿宋" w:eastAsia="仿宋_GB2312"/>
          <w:b/>
          <w:sz w:val="30"/>
          <w:szCs w:val="30"/>
        </w:rPr>
        <w:t>准</w:t>
      </w:r>
      <w:bookmarkStart w:id="23" w:name="_Toc496796638"/>
    </w:p>
    <w:p>
      <w:pPr>
        <w:spacing w:before="120" w:beforeLines="50" w:after="120" w:afterLines="50" w:line="340" w:lineRule="exact"/>
        <w:rPr>
          <w:rFonts w:hint="eastAsia" w:ascii="仿宋_GB2312" w:hAnsi="宋体" w:eastAsia="仿宋_GB2312"/>
          <w:b/>
          <w:sz w:val="32"/>
          <w:szCs w:val="32"/>
          <w:lang w:eastAsia="zh-CN"/>
        </w:rPr>
      </w:pPr>
      <w:bookmarkStart w:id="24" w:name="PO_15528_PM051"/>
      <w:r>
        <w:rPr>
          <w:rFonts w:hint="eastAsia" w:ascii="仿宋_GB2312" w:hAnsi="宋体" w:eastAsia="仿宋_GB2312"/>
          <w:b/>
          <w:sz w:val="32"/>
          <w:szCs w:val="32"/>
          <w:lang w:eastAsia="zh-CN"/>
        </w:rPr>
        <w:t xml:space="preserve"> </w:t>
      </w:r>
      <w:bookmarkEnd w:id="24"/>
      <w:bookmarkStart w:id="25" w:name="PO_TDCUS_ITEM_SM_TITLE_1"/>
      <w:r>
        <w:rPr>
          <w:rFonts w:hint="eastAsia" w:ascii="仿宋_GB2312" w:hAnsi="宋体" w:eastAsia="仿宋_GB2312"/>
          <w:b/>
          <w:sz w:val="32"/>
          <w:szCs w:val="32"/>
          <w:lang w:eastAsia="zh-CN"/>
        </w:rPr>
        <w:t>标项1的评分方法</w:t>
      </w:r>
      <w:bookmarkEnd w:id="25"/>
      <w:bookmarkStart w:id="26" w:name="PO_TDCUS_ITEM_SM_TABLE_1"/>
      <w:r>
        <w:rPr>
          <w:rFonts w:hint="eastAsia" w:ascii="仿宋_GB2312" w:hAnsi="宋体" w:eastAsia="仿宋_GB2312"/>
          <w:b/>
          <w:sz w:val="32"/>
          <w:szCs w:val="32"/>
          <w:lang w:eastAsia="zh-CN"/>
        </w:rPr>
        <w:t xml:space="preserve"> </w:t>
      </w:r>
    </w:p>
    <w:tbl>
      <w:tblPr>
        <w:tblStyle w:val="6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831"/>
        <w:gridCol w:w="4067"/>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序号</w:t>
            </w:r>
          </w:p>
        </w:tc>
        <w:tc>
          <w:tcPr>
            <w:tcW w:w="183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评分类型</w:t>
            </w:r>
          </w:p>
        </w:tc>
        <w:tc>
          <w:tcPr>
            <w:tcW w:w="4067"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评分标准</w:t>
            </w:r>
          </w:p>
        </w:tc>
        <w:tc>
          <w:tcPr>
            <w:tcW w:w="160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w:t>
            </w:r>
          </w:p>
        </w:tc>
        <w:tc>
          <w:tcPr>
            <w:tcW w:w="183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报价</w:t>
            </w:r>
          </w:p>
        </w:tc>
        <w:tc>
          <w:tcPr>
            <w:tcW w:w="4067"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(最低报价/投标报价)*最大分值</w:t>
            </w:r>
          </w:p>
        </w:tc>
        <w:tc>
          <w:tcPr>
            <w:tcW w:w="160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w:t>
            </w:r>
          </w:p>
        </w:tc>
        <w:tc>
          <w:tcPr>
            <w:tcW w:w="183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4067"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highlight w:val="none"/>
              </w:rPr>
              <w:t>符合明确指标参数得2</w:t>
            </w:r>
            <w:r>
              <w:rPr>
                <w:rFonts w:hint="eastAsia" w:ascii="仿宋_GB2312" w:hAnsi="宋体" w:eastAsia="仿宋_GB2312"/>
                <w:b/>
                <w:sz w:val="32"/>
                <w:szCs w:val="32"/>
                <w:highlight w:val="none"/>
                <w:lang w:val="en-US" w:eastAsia="zh-CN"/>
              </w:rPr>
              <w:t>4</w:t>
            </w:r>
            <w:r>
              <w:rPr>
                <w:rFonts w:hint="eastAsia" w:ascii="仿宋_GB2312" w:hAnsi="宋体" w:eastAsia="仿宋_GB2312"/>
                <w:b/>
                <w:sz w:val="32"/>
                <w:szCs w:val="32"/>
                <w:highlight w:val="none"/>
              </w:rPr>
              <w:t>分。</w:t>
            </w:r>
            <w:r>
              <w:rPr>
                <w:rFonts w:hint="eastAsia" w:ascii="仿宋_GB2312" w:hAnsi="宋体" w:eastAsia="仿宋_GB2312"/>
                <w:b/>
                <w:sz w:val="32"/>
                <w:szCs w:val="32"/>
                <w:vertAlign w:val="baseline"/>
                <w:lang w:eastAsia="zh-CN"/>
              </w:rPr>
              <w:t>标有</w:t>
            </w:r>
            <w:r>
              <w:rPr>
                <w:rFonts w:hint="eastAsia" w:ascii="仿宋_GB2312" w:hAnsi="宋体" w:eastAsia="仿宋_GB2312"/>
                <w:b/>
                <w:sz w:val="32"/>
                <w:szCs w:val="32"/>
                <w:highlight w:val="none"/>
              </w:rPr>
              <w:t>“★”的，属负偏离或缺漏项的每项扣3分；</w:t>
            </w:r>
            <w:r>
              <w:rPr>
                <w:rFonts w:hint="eastAsia" w:ascii="仿宋_GB2312" w:hAnsi="宋体" w:eastAsia="仿宋_GB2312"/>
                <w:b/>
                <w:sz w:val="32"/>
                <w:szCs w:val="32"/>
                <w:highlight w:val="none"/>
                <w:lang w:val="en-US" w:eastAsia="zh-CN"/>
              </w:rPr>
              <w:t>未标</w:t>
            </w:r>
            <w:r>
              <w:rPr>
                <w:rFonts w:hint="eastAsia" w:ascii="仿宋_GB2312" w:hAnsi="宋体" w:eastAsia="仿宋_GB2312"/>
                <w:b/>
                <w:sz w:val="32"/>
                <w:szCs w:val="32"/>
                <w:highlight w:val="none"/>
              </w:rPr>
              <w:t>“★”的</w:t>
            </w:r>
            <w:r>
              <w:rPr>
                <w:rFonts w:hint="eastAsia" w:ascii="仿宋_GB2312" w:hAnsi="宋体" w:eastAsia="仿宋_GB2312"/>
                <w:b/>
                <w:sz w:val="32"/>
                <w:szCs w:val="32"/>
                <w:highlight w:val="none"/>
                <w:lang w:eastAsia="zh-CN"/>
              </w:rPr>
              <w:t>，</w:t>
            </w:r>
            <w:r>
              <w:rPr>
                <w:rFonts w:hint="eastAsia" w:ascii="仿宋_GB2312" w:hAnsi="宋体" w:eastAsia="仿宋_GB2312"/>
                <w:b/>
                <w:sz w:val="32"/>
                <w:szCs w:val="32"/>
                <w:highlight w:val="none"/>
              </w:rPr>
              <w:t>属负偏离或缺漏项的每项扣2分；</w:t>
            </w:r>
            <w:r>
              <w:rPr>
                <w:rFonts w:hint="eastAsia" w:ascii="仿宋_GB2312" w:hAnsi="宋体" w:eastAsia="仿宋_GB2312"/>
                <w:b/>
                <w:sz w:val="32"/>
                <w:szCs w:val="32"/>
                <w:vertAlign w:val="baseline"/>
                <w:lang w:eastAsia="zh-CN"/>
              </w:rPr>
              <w:t>标有</w:t>
            </w:r>
            <w:r>
              <w:rPr>
                <w:rFonts w:hint="eastAsia" w:ascii="仿宋_GB2312" w:hAnsi="宋体" w:eastAsia="仿宋_GB2312"/>
                <w:b/>
                <w:sz w:val="32"/>
                <w:szCs w:val="32"/>
                <w:highlight w:val="none"/>
              </w:rPr>
              <w:t>“★”的和</w:t>
            </w:r>
            <w:r>
              <w:rPr>
                <w:rFonts w:hint="eastAsia" w:ascii="仿宋_GB2312" w:hAnsi="宋体" w:eastAsia="仿宋_GB2312"/>
                <w:b/>
                <w:sz w:val="32"/>
                <w:szCs w:val="32"/>
                <w:highlight w:val="none"/>
                <w:lang w:val="en-US" w:eastAsia="zh-CN"/>
              </w:rPr>
              <w:t>未标</w:t>
            </w:r>
            <w:r>
              <w:rPr>
                <w:rFonts w:hint="eastAsia" w:ascii="仿宋_GB2312" w:hAnsi="宋体" w:eastAsia="仿宋_GB2312"/>
                <w:b/>
                <w:sz w:val="32"/>
                <w:szCs w:val="32"/>
                <w:highlight w:val="none"/>
              </w:rPr>
              <w:t>“★”的</w:t>
            </w:r>
            <w:r>
              <w:rPr>
                <w:rFonts w:hint="eastAsia" w:ascii="仿宋_GB2312" w:hAnsi="宋体" w:eastAsia="仿宋_GB2312"/>
                <w:b/>
                <w:sz w:val="32"/>
                <w:szCs w:val="32"/>
                <w:highlight w:val="none"/>
                <w:lang w:eastAsia="zh-CN"/>
              </w:rPr>
              <w:t>，</w:t>
            </w:r>
            <w:r>
              <w:rPr>
                <w:rFonts w:hint="eastAsia" w:ascii="仿宋_GB2312" w:hAnsi="宋体" w:eastAsia="仿宋_GB2312"/>
                <w:b/>
                <w:sz w:val="32"/>
                <w:szCs w:val="32"/>
                <w:highlight w:val="none"/>
              </w:rPr>
              <w:t>负偏离</w:t>
            </w:r>
            <w:r>
              <w:rPr>
                <w:rFonts w:hint="eastAsia" w:ascii="仿宋_GB2312" w:hAnsi="宋体" w:eastAsia="仿宋_GB2312"/>
                <w:b/>
                <w:sz w:val="32"/>
                <w:szCs w:val="32"/>
                <w:highlight w:val="none"/>
                <w:lang w:val="en-US" w:eastAsia="zh-CN"/>
              </w:rPr>
              <w:t>共</w:t>
            </w:r>
            <w:r>
              <w:rPr>
                <w:rFonts w:hint="eastAsia" w:ascii="仿宋_GB2312" w:hAnsi="宋体" w:eastAsia="仿宋_GB2312"/>
                <w:b/>
                <w:sz w:val="32"/>
                <w:szCs w:val="32"/>
                <w:highlight w:val="none"/>
              </w:rPr>
              <w:t>达到5个及以上的按重大偏离处理。</w:t>
            </w:r>
          </w:p>
        </w:tc>
        <w:tc>
          <w:tcPr>
            <w:tcW w:w="1601" w:type="dxa"/>
          </w:tcPr>
          <w:p>
            <w:pPr>
              <w:spacing w:before="120" w:beforeLines="50" w:after="120" w:afterLines="50" w:line="340" w:lineRule="exact"/>
              <w:rPr>
                <w:rFonts w:hint="default" w:ascii="仿宋_GB2312" w:hAnsi="宋体" w:eastAsia="仿宋_GB2312"/>
                <w:b/>
                <w:sz w:val="32"/>
                <w:szCs w:val="32"/>
                <w:vertAlign w:val="baseline"/>
                <w:lang w:val="en-US" w:eastAsia="zh-CN"/>
              </w:rPr>
            </w:pPr>
            <w:r>
              <w:rPr>
                <w:rFonts w:hint="eastAsia" w:ascii="仿宋_GB2312" w:hAnsi="宋体" w:eastAsia="仿宋_GB2312"/>
                <w:b/>
                <w:sz w:val="32"/>
                <w:szCs w:val="32"/>
                <w:vertAlign w:val="baseli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 xml:space="preserve"> 2</w:t>
            </w:r>
          </w:p>
        </w:tc>
        <w:tc>
          <w:tcPr>
            <w:tcW w:w="183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4067"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对性能指标、技术参数属正偏或高配的、有先进程度的正偏离每项加1分（最高分为5分），无实质性意义的正偏离不加分。</w:t>
            </w:r>
          </w:p>
        </w:tc>
        <w:tc>
          <w:tcPr>
            <w:tcW w:w="160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w:t>
            </w:r>
          </w:p>
        </w:tc>
        <w:tc>
          <w:tcPr>
            <w:tcW w:w="183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4067"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 节能产品认证证书或者证书的查询网址及截图的，得1分。</w:t>
            </w:r>
          </w:p>
        </w:tc>
        <w:tc>
          <w:tcPr>
            <w:tcW w:w="160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4</w:t>
            </w:r>
          </w:p>
        </w:tc>
        <w:tc>
          <w:tcPr>
            <w:tcW w:w="183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4067"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所投产品的技术先进性。</w:t>
            </w:r>
          </w:p>
        </w:tc>
        <w:tc>
          <w:tcPr>
            <w:tcW w:w="160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5</w:t>
            </w:r>
          </w:p>
        </w:tc>
        <w:tc>
          <w:tcPr>
            <w:tcW w:w="183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4067"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系统集成的具体技术解决方案。</w:t>
            </w:r>
          </w:p>
        </w:tc>
        <w:tc>
          <w:tcPr>
            <w:tcW w:w="160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6</w:t>
            </w:r>
          </w:p>
        </w:tc>
        <w:tc>
          <w:tcPr>
            <w:tcW w:w="183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4067" w:type="dxa"/>
          </w:tcPr>
          <w:p>
            <w:pPr>
              <w:spacing w:before="120" w:beforeLines="50" w:after="120" w:afterLines="50" w:line="340" w:lineRule="exact"/>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eastAsia="zh-CN"/>
              </w:rPr>
              <w:t>项目系统集成具体实施计划。</w:t>
            </w:r>
          </w:p>
        </w:tc>
        <w:tc>
          <w:tcPr>
            <w:tcW w:w="1601" w:type="dxa"/>
          </w:tcPr>
          <w:p>
            <w:pPr>
              <w:spacing w:before="120" w:beforeLines="50" w:after="120" w:afterLines="50" w:line="340" w:lineRule="exact"/>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7</w:t>
            </w:r>
          </w:p>
        </w:tc>
        <w:tc>
          <w:tcPr>
            <w:tcW w:w="183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4067" w:type="dxa"/>
          </w:tcPr>
          <w:p>
            <w:pPr>
              <w:spacing w:before="120" w:beforeLines="50" w:after="120" w:afterLines="50" w:line="340" w:lineRule="exact"/>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eastAsia="zh-CN"/>
              </w:rPr>
              <w:t>系统集成项目组实施人员能力（详见招标需求）。</w:t>
            </w:r>
          </w:p>
        </w:tc>
        <w:tc>
          <w:tcPr>
            <w:tcW w:w="1601" w:type="dxa"/>
          </w:tcPr>
          <w:p>
            <w:pPr>
              <w:spacing w:before="120" w:beforeLines="50" w:after="120" w:afterLines="50" w:line="340" w:lineRule="exact"/>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8</w:t>
            </w:r>
          </w:p>
        </w:tc>
        <w:tc>
          <w:tcPr>
            <w:tcW w:w="183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商务资信</w:t>
            </w:r>
          </w:p>
        </w:tc>
        <w:tc>
          <w:tcPr>
            <w:tcW w:w="4067" w:type="dxa"/>
          </w:tcPr>
          <w:p>
            <w:pPr>
              <w:spacing w:before="120" w:beforeLines="50" w:after="120" w:afterLines="50" w:line="340" w:lineRule="exact"/>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eastAsia="zh-CN"/>
              </w:rPr>
              <w:t>项目维护计划（驻点人员安排，定期巡检，备品备件等情况）的有效性等。</w:t>
            </w:r>
          </w:p>
        </w:tc>
        <w:tc>
          <w:tcPr>
            <w:tcW w:w="1601" w:type="dxa"/>
          </w:tcPr>
          <w:p>
            <w:pPr>
              <w:spacing w:before="120" w:beforeLines="50" w:after="120" w:afterLines="50" w:line="340" w:lineRule="exact"/>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9</w:t>
            </w:r>
          </w:p>
        </w:tc>
        <w:tc>
          <w:tcPr>
            <w:tcW w:w="183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商务资信</w:t>
            </w:r>
          </w:p>
        </w:tc>
        <w:tc>
          <w:tcPr>
            <w:tcW w:w="4067" w:type="dxa"/>
          </w:tcPr>
          <w:p>
            <w:pPr>
              <w:spacing w:before="120" w:beforeLines="50" w:after="120" w:afterLines="50" w:line="340" w:lineRule="exact"/>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eastAsia="zh-CN"/>
              </w:rPr>
              <w:t>售后服务的响应情况（对用户故障响应、处理等）。</w:t>
            </w:r>
          </w:p>
        </w:tc>
        <w:tc>
          <w:tcPr>
            <w:tcW w:w="1601" w:type="dxa"/>
          </w:tcPr>
          <w:p>
            <w:pPr>
              <w:spacing w:before="120" w:beforeLines="50" w:after="120" w:afterLines="50" w:line="340" w:lineRule="exact"/>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10</w:t>
            </w:r>
          </w:p>
        </w:tc>
        <w:tc>
          <w:tcPr>
            <w:tcW w:w="183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商务资信</w:t>
            </w:r>
          </w:p>
        </w:tc>
        <w:tc>
          <w:tcPr>
            <w:tcW w:w="4067" w:type="dxa"/>
          </w:tcPr>
          <w:p>
            <w:pPr>
              <w:spacing w:before="120" w:beforeLines="50" w:after="120" w:afterLines="50" w:line="340" w:lineRule="exact"/>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eastAsia="zh-CN"/>
              </w:rPr>
              <w:t>培训方案、计划的可行性及合理性。</w:t>
            </w:r>
          </w:p>
        </w:tc>
        <w:tc>
          <w:tcPr>
            <w:tcW w:w="1601" w:type="dxa"/>
          </w:tcPr>
          <w:p>
            <w:pPr>
              <w:spacing w:before="120" w:beforeLines="50" w:after="120" w:afterLines="50" w:line="340" w:lineRule="exact"/>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11</w:t>
            </w:r>
          </w:p>
        </w:tc>
        <w:tc>
          <w:tcPr>
            <w:tcW w:w="183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商务资信</w:t>
            </w:r>
          </w:p>
        </w:tc>
        <w:tc>
          <w:tcPr>
            <w:tcW w:w="4067" w:type="dxa"/>
          </w:tcPr>
          <w:p>
            <w:pPr>
              <w:spacing w:before="120" w:beforeLines="50" w:after="120" w:afterLines="50" w:line="340" w:lineRule="exact"/>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eastAsia="zh-CN"/>
              </w:rPr>
              <w:t>公司技术力量情况（详见商务要求表）。</w:t>
            </w:r>
          </w:p>
        </w:tc>
        <w:tc>
          <w:tcPr>
            <w:tcW w:w="1601" w:type="dxa"/>
          </w:tcPr>
          <w:p>
            <w:pPr>
              <w:spacing w:before="120" w:beforeLines="50" w:after="120" w:afterLines="50" w:line="340" w:lineRule="exact"/>
              <w:rPr>
                <w:rFonts w:hint="eastAsia" w:ascii="仿宋_GB2312" w:hAnsi="宋体" w:eastAsia="仿宋_GB2312"/>
                <w:b/>
                <w:color w:val="auto"/>
                <w:sz w:val="32"/>
                <w:szCs w:val="32"/>
                <w:vertAlign w:val="baseline"/>
                <w:lang w:eastAsia="zh-CN"/>
              </w:rPr>
            </w:pPr>
            <w:r>
              <w:rPr>
                <w:rFonts w:hint="eastAsia" w:ascii="仿宋_GB2312" w:hAnsi="宋体" w:eastAsia="仿宋_GB2312"/>
                <w:b/>
                <w:color w:val="auto"/>
                <w:sz w:val="32"/>
                <w:szCs w:val="32"/>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12</w:t>
            </w:r>
          </w:p>
        </w:tc>
        <w:tc>
          <w:tcPr>
            <w:tcW w:w="183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商务资信</w:t>
            </w:r>
          </w:p>
        </w:tc>
        <w:tc>
          <w:tcPr>
            <w:tcW w:w="4067"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经验及业绩（详见商务要求表）。</w:t>
            </w:r>
          </w:p>
        </w:tc>
        <w:tc>
          <w:tcPr>
            <w:tcW w:w="160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val="en-US" w:eastAsia="zh-CN"/>
              </w:rPr>
              <w:t>3</w:t>
            </w:r>
          </w:p>
        </w:tc>
      </w:tr>
    </w:tbl>
    <w:p>
      <w:pPr>
        <w:pStyle w:val="2"/>
        <w:rPr>
          <w:rFonts w:hint="eastAsia"/>
          <w:lang w:eastAsia="zh-CN"/>
        </w:rPr>
      </w:pPr>
    </w:p>
    <w:p>
      <w:pPr>
        <w:spacing w:before="120" w:beforeLines="50" w:after="120" w:afterLines="50" w:line="340" w:lineRule="exact"/>
        <w:rPr>
          <w:rFonts w:hint="eastAsia" w:ascii="仿宋_GB2312" w:hAnsi="宋体" w:eastAsia="仿宋_GB2312"/>
          <w:b/>
          <w:sz w:val="32"/>
          <w:szCs w:val="32"/>
          <w:lang w:eastAsia="zh-CN"/>
        </w:rPr>
      </w:pPr>
    </w:p>
    <w:p>
      <w:pPr>
        <w:spacing w:before="120" w:beforeLines="50" w:after="120" w:afterLines="50" w:line="240" w:lineRule="auto"/>
        <w:rPr>
          <w:rFonts w:hint="eastAsia" w:ascii="仿宋_GB2312" w:hAnsi="宋体" w:eastAsia="仿宋_GB2312"/>
          <w:b/>
          <w:sz w:val="32"/>
          <w:szCs w:val="32"/>
          <w:lang w:eastAsia="zh-CN"/>
        </w:rPr>
      </w:pPr>
    </w:p>
    <w:p>
      <w:pPr>
        <w:spacing w:before="120" w:beforeLines="50" w:after="120" w:afterLines="50" w:line="240" w:lineRule="auto"/>
        <w:rPr>
          <w:rFonts w:hint="eastAsia" w:ascii="仿宋_GB2312" w:hAnsi="宋体" w:eastAsia="仿宋_GB2312"/>
          <w:b/>
          <w:sz w:val="32"/>
          <w:szCs w:val="32"/>
          <w:lang w:eastAsia="zh-CN"/>
        </w:rPr>
      </w:pPr>
    </w:p>
    <w:p>
      <w:pPr>
        <w:spacing w:before="120" w:beforeLines="50" w:after="120" w:afterLines="50" w:line="240" w:lineRule="auto"/>
        <w:rPr>
          <w:rFonts w:hint="eastAsia" w:ascii="仿宋_GB2312" w:hAnsi="宋体" w:eastAsia="仿宋_GB2312"/>
          <w:b/>
          <w:sz w:val="32"/>
          <w:szCs w:val="32"/>
          <w:lang w:eastAsia="zh-CN"/>
        </w:rPr>
      </w:pPr>
    </w:p>
    <w:p>
      <w:pPr>
        <w:spacing w:before="120" w:beforeLines="50" w:after="120" w:afterLines="50" w:line="240" w:lineRule="auto"/>
        <w:rPr>
          <w:rFonts w:hint="eastAsia" w:ascii="仿宋_GB2312" w:hAnsi="宋体" w:eastAsia="仿宋_GB2312"/>
          <w:b/>
          <w:sz w:val="32"/>
          <w:szCs w:val="32"/>
          <w:lang w:eastAsia="zh-CN"/>
        </w:rPr>
      </w:pPr>
    </w:p>
    <w:p>
      <w:pPr>
        <w:spacing w:before="120" w:beforeLines="50" w:after="120" w:afterLines="50" w:line="240" w:lineRule="auto"/>
        <w:rPr>
          <w:rFonts w:hint="eastAsia" w:ascii="仿宋_GB2312" w:hAnsi="宋体" w:eastAsia="仿宋_GB2312"/>
          <w:b/>
          <w:sz w:val="32"/>
          <w:szCs w:val="32"/>
          <w:lang w:eastAsia="zh-CN"/>
        </w:rPr>
      </w:pPr>
    </w:p>
    <w:p>
      <w:pPr>
        <w:spacing w:before="120" w:beforeLines="50" w:after="120" w:afterLines="50" w:line="240" w:lineRule="auto"/>
        <w:rPr>
          <w:rFonts w:hint="eastAsia" w:ascii="仿宋_GB2312" w:hAnsi="宋体" w:eastAsia="仿宋_GB2312"/>
          <w:b/>
          <w:sz w:val="32"/>
          <w:szCs w:val="32"/>
          <w:lang w:eastAsia="zh-CN"/>
        </w:rPr>
      </w:pPr>
    </w:p>
    <w:p>
      <w:pPr>
        <w:spacing w:before="120" w:beforeLines="50" w:after="120" w:afterLines="50" w:line="240" w:lineRule="auto"/>
        <w:rPr>
          <w:rFonts w:hint="eastAsia" w:ascii="仿宋_GB2312" w:hAnsi="宋体" w:eastAsia="仿宋_GB2312"/>
          <w:b/>
          <w:sz w:val="32"/>
          <w:szCs w:val="32"/>
          <w:lang w:eastAsia="zh-CN"/>
        </w:rPr>
      </w:pPr>
    </w:p>
    <w:p>
      <w:pPr>
        <w:spacing w:before="120" w:beforeLines="50" w:after="120" w:afterLines="50" w:line="240" w:lineRule="auto"/>
        <w:rPr>
          <w:rFonts w:hint="eastAsia" w:ascii="仿宋_GB2312" w:hAnsi="宋体" w:eastAsia="仿宋_GB2312"/>
          <w:b/>
          <w:sz w:val="32"/>
          <w:szCs w:val="32"/>
          <w:lang w:eastAsia="zh-CN"/>
        </w:rPr>
      </w:pPr>
    </w:p>
    <w:p>
      <w:pPr>
        <w:spacing w:before="120" w:beforeLines="50" w:after="120" w:afterLines="50" w:line="240" w:lineRule="auto"/>
        <w:rPr>
          <w:rFonts w:hint="eastAsia" w:ascii="仿宋_GB2312" w:hAnsi="宋体" w:eastAsia="仿宋_GB2312"/>
          <w:b/>
          <w:sz w:val="32"/>
          <w:szCs w:val="32"/>
          <w:lang w:eastAsia="zh-CN"/>
        </w:rPr>
      </w:pPr>
    </w:p>
    <w:p>
      <w:pPr>
        <w:spacing w:before="120" w:beforeLines="50" w:after="120" w:afterLines="50" w:line="240" w:lineRule="auto"/>
        <w:rPr>
          <w:rFonts w:hint="eastAsia" w:ascii="仿宋_GB2312" w:hAnsi="宋体" w:eastAsia="仿宋_GB2312"/>
          <w:b/>
          <w:sz w:val="32"/>
          <w:szCs w:val="32"/>
          <w:lang w:eastAsia="zh-CN"/>
        </w:rPr>
      </w:pPr>
    </w:p>
    <w:p>
      <w:pPr>
        <w:spacing w:before="120" w:beforeLines="50" w:after="120" w:afterLines="50" w:line="240" w:lineRule="auto"/>
        <w:rPr>
          <w:rFonts w:hint="eastAsia" w:ascii="仿宋_GB2312" w:hAnsi="宋体" w:eastAsia="仿宋_GB2312"/>
          <w:b/>
          <w:sz w:val="32"/>
          <w:szCs w:val="32"/>
          <w:lang w:eastAsia="zh-CN"/>
        </w:rPr>
      </w:pPr>
    </w:p>
    <w:p>
      <w:pPr>
        <w:spacing w:before="120" w:beforeLines="50" w:after="120" w:afterLines="50" w:line="240" w:lineRule="auto"/>
        <w:rPr>
          <w:rFonts w:hint="eastAsia" w:ascii="仿宋_GB2312" w:hAnsi="宋体" w:eastAsia="仿宋_GB2312"/>
          <w:b/>
          <w:sz w:val="32"/>
          <w:szCs w:val="32"/>
          <w:lang w:eastAsia="zh-CN"/>
        </w:rPr>
      </w:pPr>
    </w:p>
    <w:p>
      <w:pPr>
        <w:spacing w:before="120" w:beforeLines="50" w:after="120" w:afterLines="50" w:line="240" w:lineRule="auto"/>
        <w:rPr>
          <w:rFonts w:hint="eastAsia" w:ascii="仿宋_GB2312" w:hAnsi="宋体" w:eastAsia="仿宋_GB2312"/>
          <w:b/>
          <w:sz w:val="32"/>
          <w:szCs w:val="32"/>
          <w:lang w:eastAsia="zh-CN"/>
        </w:rPr>
      </w:pPr>
    </w:p>
    <w:p>
      <w:pPr>
        <w:spacing w:before="120" w:beforeLines="50" w:after="120" w:afterLines="50" w:line="240" w:lineRule="auto"/>
        <w:rPr>
          <w:rFonts w:hint="eastAsia" w:ascii="仿宋_GB2312" w:hAnsi="宋体" w:eastAsia="仿宋_GB2312"/>
          <w:b/>
          <w:sz w:val="32"/>
          <w:szCs w:val="32"/>
          <w:lang w:eastAsia="zh-CN"/>
        </w:rPr>
      </w:pPr>
      <w:r>
        <w:rPr>
          <w:rFonts w:hint="eastAsia" w:ascii="仿宋_GB2312" w:hAnsi="宋体" w:eastAsia="仿宋_GB2312"/>
          <w:b/>
          <w:sz w:val="32"/>
          <w:szCs w:val="32"/>
          <w:lang w:eastAsia="zh-CN"/>
        </w:rPr>
        <w:t xml:space="preserve"> </w:t>
      </w:r>
      <w:bookmarkEnd w:id="26"/>
      <w:bookmarkStart w:id="27" w:name="PO_TDCUS_ITEM_SM_TITLE_2"/>
      <w:r>
        <w:rPr>
          <w:rFonts w:hint="eastAsia" w:ascii="仿宋_GB2312" w:hAnsi="宋体" w:eastAsia="仿宋_GB2312"/>
          <w:b/>
          <w:sz w:val="32"/>
          <w:szCs w:val="32"/>
          <w:lang w:eastAsia="zh-CN"/>
        </w:rPr>
        <w:t>标项2的评分方法</w:t>
      </w:r>
      <w:bookmarkEnd w:id="27"/>
      <w:bookmarkStart w:id="28" w:name="PO_TDCUS_ITEM_SM_TABLE_2"/>
      <w:r>
        <w:rPr>
          <w:rFonts w:hint="eastAsia" w:ascii="仿宋_GB2312" w:hAnsi="宋体" w:eastAsia="仿宋_GB2312"/>
          <w:b/>
          <w:sz w:val="32"/>
          <w:szCs w:val="32"/>
          <w:lang w:eastAsia="zh-CN"/>
        </w:rPr>
        <w:t xml:space="preserve"> </w:t>
      </w:r>
    </w:p>
    <w:tbl>
      <w:tblPr>
        <w:tblStyle w:val="6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831"/>
        <w:gridCol w:w="4067"/>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序号</w:t>
            </w:r>
          </w:p>
        </w:tc>
        <w:tc>
          <w:tcPr>
            <w:tcW w:w="183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评分类型</w:t>
            </w:r>
          </w:p>
        </w:tc>
        <w:tc>
          <w:tcPr>
            <w:tcW w:w="4067"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评分标准</w:t>
            </w:r>
          </w:p>
        </w:tc>
        <w:tc>
          <w:tcPr>
            <w:tcW w:w="160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w:t>
            </w:r>
          </w:p>
        </w:tc>
        <w:tc>
          <w:tcPr>
            <w:tcW w:w="183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报价</w:t>
            </w:r>
          </w:p>
        </w:tc>
        <w:tc>
          <w:tcPr>
            <w:tcW w:w="4067"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(最低报价/投标报价)*最大分值</w:t>
            </w:r>
          </w:p>
        </w:tc>
        <w:tc>
          <w:tcPr>
            <w:tcW w:w="160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w:t>
            </w:r>
          </w:p>
        </w:tc>
        <w:tc>
          <w:tcPr>
            <w:tcW w:w="183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4067"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符合明确指标参数得2</w:t>
            </w:r>
            <w:r>
              <w:rPr>
                <w:rFonts w:hint="eastAsia" w:ascii="仿宋_GB2312" w:hAnsi="宋体" w:eastAsia="仿宋_GB2312"/>
                <w:b/>
                <w:sz w:val="32"/>
                <w:szCs w:val="32"/>
                <w:vertAlign w:val="baseline"/>
                <w:lang w:val="en-US" w:eastAsia="zh-CN"/>
              </w:rPr>
              <w:t>4</w:t>
            </w:r>
            <w:r>
              <w:rPr>
                <w:rFonts w:hint="eastAsia" w:ascii="仿宋_GB2312" w:hAnsi="宋体" w:eastAsia="仿宋_GB2312"/>
                <w:b/>
                <w:sz w:val="32"/>
                <w:szCs w:val="32"/>
                <w:vertAlign w:val="baseline"/>
                <w:lang w:eastAsia="zh-CN"/>
              </w:rPr>
              <w:t>分。对非关键的性能指标及技术参数属负偏离或缺漏项的每项扣3分（若负偏或缺漏项5个及以上的按重大偏离处理）。</w:t>
            </w:r>
          </w:p>
        </w:tc>
        <w:tc>
          <w:tcPr>
            <w:tcW w:w="160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2</w:t>
            </w:r>
            <w:r>
              <w:rPr>
                <w:rFonts w:hint="eastAsia" w:ascii="仿宋_GB2312" w:hAnsi="宋体" w:eastAsia="仿宋_GB2312"/>
                <w:b/>
                <w:sz w:val="32"/>
                <w:szCs w:val="32"/>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2</w:t>
            </w:r>
          </w:p>
        </w:tc>
        <w:tc>
          <w:tcPr>
            <w:tcW w:w="183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4067"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对性能指标、技术参数属正偏或高配的、有先进程度的正偏离每项加1分（最高分为5分），无实质性意义的正偏离不加分。</w:t>
            </w:r>
          </w:p>
        </w:tc>
        <w:tc>
          <w:tcPr>
            <w:tcW w:w="160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w:t>
            </w:r>
          </w:p>
        </w:tc>
        <w:tc>
          <w:tcPr>
            <w:tcW w:w="183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4067"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 节能产品认证证书或者证书的查询网址及截图的，得1分。</w:t>
            </w:r>
          </w:p>
        </w:tc>
        <w:tc>
          <w:tcPr>
            <w:tcW w:w="160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4</w:t>
            </w:r>
          </w:p>
        </w:tc>
        <w:tc>
          <w:tcPr>
            <w:tcW w:w="183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4067"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所投产品的技术先进性。</w:t>
            </w:r>
          </w:p>
        </w:tc>
        <w:tc>
          <w:tcPr>
            <w:tcW w:w="160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5</w:t>
            </w:r>
          </w:p>
        </w:tc>
        <w:tc>
          <w:tcPr>
            <w:tcW w:w="183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4067"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系统集成的具体技术解决方案。</w:t>
            </w:r>
          </w:p>
        </w:tc>
        <w:tc>
          <w:tcPr>
            <w:tcW w:w="160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6</w:t>
            </w:r>
          </w:p>
        </w:tc>
        <w:tc>
          <w:tcPr>
            <w:tcW w:w="183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4067"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项目系统集成具体实施计划。</w:t>
            </w:r>
          </w:p>
        </w:tc>
        <w:tc>
          <w:tcPr>
            <w:tcW w:w="160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7</w:t>
            </w:r>
          </w:p>
        </w:tc>
        <w:tc>
          <w:tcPr>
            <w:tcW w:w="183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tc>
        <w:tc>
          <w:tcPr>
            <w:tcW w:w="4067"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系统集成项目组实施人员能力（详见招标需求）。</w:t>
            </w:r>
          </w:p>
        </w:tc>
        <w:tc>
          <w:tcPr>
            <w:tcW w:w="160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8</w:t>
            </w:r>
          </w:p>
        </w:tc>
        <w:tc>
          <w:tcPr>
            <w:tcW w:w="183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商务资信</w:t>
            </w:r>
          </w:p>
        </w:tc>
        <w:tc>
          <w:tcPr>
            <w:tcW w:w="4067"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项目维护计划（驻点人员安排，定期巡检，备品备件等情况）的有效性等。</w:t>
            </w:r>
          </w:p>
        </w:tc>
        <w:tc>
          <w:tcPr>
            <w:tcW w:w="160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9</w:t>
            </w:r>
          </w:p>
        </w:tc>
        <w:tc>
          <w:tcPr>
            <w:tcW w:w="183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商务资信</w:t>
            </w:r>
          </w:p>
        </w:tc>
        <w:tc>
          <w:tcPr>
            <w:tcW w:w="4067"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售后服务的响应情况（对用户故障响应、处理等）。</w:t>
            </w:r>
          </w:p>
        </w:tc>
        <w:tc>
          <w:tcPr>
            <w:tcW w:w="160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10</w:t>
            </w:r>
          </w:p>
        </w:tc>
        <w:tc>
          <w:tcPr>
            <w:tcW w:w="183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商务资信</w:t>
            </w:r>
          </w:p>
        </w:tc>
        <w:tc>
          <w:tcPr>
            <w:tcW w:w="4067"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培训方案、计划的可行性及合理性。</w:t>
            </w:r>
          </w:p>
        </w:tc>
        <w:tc>
          <w:tcPr>
            <w:tcW w:w="160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11</w:t>
            </w:r>
          </w:p>
        </w:tc>
        <w:tc>
          <w:tcPr>
            <w:tcW w:w="183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商务资信</w:t>
            </w:r>
          </w:p>
        </w:tc>
        <w:tc>
          <w:tcPr>
            <w:tcW w:w="4067"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公司技术力量情况（详见商务要求表）。</w:t>
            </w:r>
          </w:p>
        </w:tc>
        <w:tc>
          <w:tcPr>
            <w:tcW w:w="160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12</w:t>
            </w:r>
          </w:p>
        </w:tc>
        <w:tc>
          <w:tcPr>
            <w:tcW w:w="183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商务资信</w:t>
            </w:r>
          </w:p>
        </w:tc>
        <w:tc>
          <w:tcPr>
            <w:tcW w:w="4067"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经验及业绩（详见商务要求表）。</w:t>
            </w:r>
          </w:p>
        </w:tc>
        <w:tc>
          <w:tcPr>
            <w:tcW w:w="1601" w:type="dxa"/>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val="en-US" w:eastAsia="zh-CN"/>
              </w:rPr>
              <w:t>3</w:t>
            </w:r>
          </w:p>
        </w:tc>
      </w:tr>
    </w:tbl>
    <w:p>
      <w:pPr>
        <w:pStyle w:val="2"/>
        <w:rPr>
          <w:rFonts w:hint="eastAsia"/>
          <w:lang w:eastAsia="zh-CN"/>
        </w:rPr>
      </w:pPr>
    </w:p>
    <w:p>
      <w:pPr>
        <w:spacing w:before="120" w:beforeLines="50" w:after="120" w:afterLines="50" w:line="340" w:lineRule="exact"/>
        <w:rPr>
          <w:rFonts w:hint="eastAsia" w:ascii="仿宋_GB2312" w:hAnsi="宋体" w:eastAsia="仿宋_GB2312"/>
          <w:b/>
          <w:sz w:val="32"/>
          <w:szCs w:val="32"/>
          <w:lang w:eastAsia="zh-CN"/>
        </w:rPr>
      </w:pPr>
      <w:r>
        <w:rPr>
          <w:rFonts w:hint="eastAsia" w:ascii="仿宋_GB2312" w:hAnsi="宋体" w:eastAsia="仿宋_GB2312"/>
          <w:b/>
          <w:sz w:val="32"/>
          <w:szCs w:val="32"/>
          <w:lang w:eastAsia="zh-CN"/>
        </w:rPr>
        <w:t xml:space="preserve"> </w:t>
      </w:r>
      <w:bookmarkEnd w:id="28"/>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both"/>
        <w:outlineLvl w:val="0"/>
        <w:rPr>
          <w:rFonts w:hAnsi="宋体"/>
          <w:b/>
          <w:sz w:val="36"/>
          <w:szCs w:val="36"/>
        </w:rPr>
      </w:pPr>
    </w:p>
    <w:p>
      <w:pPr>
        <w:spacing w:after="240" w:afterLines="100" w:line="340" w:lineRule="exact"/>
        <w:jc w:val="both"/>
        <w:outlineLvl w:val="0"/>
        <w:rPr>
          <w:rFonts w:hAnsi="宋体"/>
          <w:b/>
          <w:sz w:val="36"/>
          <w:szCs w:val="36"/>
        </w:rPr>
      </w:pPr>
    </w:p>
    <w:p>
      <w:pPr>
        <w:spacing w:after="240" w:afterLines="100" w:line="240" w:lineRule="auto"/>
        <w:jc w:val="center"/>
        <w:outlineLvl w:val="0"/>
        <w:rPr>
          <w:rFonts w:hAnsi="宋体"/>
          <w:b/>
          <w:sz w:val="36"/>
          <w:szCs w:val="36"/>
        </w:rPr>
      </w:pPr>
      <w:r>
        <w:rPr>
          <w:rFonts w:hint="eastAsia" w:hAnsi="宋体"/>
          <w:b/>
          <w:sz w:val="36"/>
          <w:szCs w:val="36"/>
        </w:rPr>
        <w:t>第四章</w:t>
      </w:r>
      <w:r>
        <w:rPr>
          <w:rFonts w:hint="eastAsia" w:hAnsi="宋体"/>
          <w:b/>
          <w:sz w:val="36"/>
          <w:szCs w:val="36"/>
          <w:lang w:val="en-US" w:eastAsia="zh-CN"/>
        </w:rPr>
        <w:t xml:space="preserve"> </w:t>
      </w:r>
      <w:r>
        <w:rPr>
          <w:rFonts w:hint="eastAsia" w:hAnsi="宋体"/>
          <w:b/>
          <w:sz w:val="36"/>
          <w:szCs w:val="36"/>
        </w:rPr>
        <w:t>招标需求</w:t>
      </w:r>
      <w:bookmarkEnd w:id="23"/>
    </w:p>
    <w:p>
      <w:pPr>
        <w:snapToGrid w:val="0"/>
        <w:spacing w:before="120" w:beforeLines="50" w:after="120" w:afterLines="50"/>
        <w:rPr>
          <w:rFonts w:ascii="宋体" w:hAnsi="宋体" w:eastAsiaTheme="minorEastAsia"/>
          <w:b/>
          <w:spacing w:val="40"/>
          <w:kern w:val="0"/>
          <w:sz w:val="36"/>
          <w:szCs w:val="36"/>
        </w:rPr>
      </w:pPr>
    </w:p>
    <w:p>
      <w:pPr>
        <w:snapToGrid w:val="0"/>
        <w:spacing w:before="120" w:beforeLines="50" w:after="120" w:afterLines="50"/>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1.根据浙财采监字[2007]2号文件规定：除采购文件明确的品牌外，欢迎其他能满足本项目技术需求且性能与所明确品牌相当的产品参加。</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2.需求中不允许偏离的实质性要求和条件，以“▲”号标明，如投标人未响应的，将被视为无效。</w:t>
      </w:r>
    </w:p>
    <w:p>
      <w:pPr>
        <w:spacing w:line="360" w:lineRule="auto"/>
        <w:ind w:firstLine="562" w:firstLineChars="200"/>
        <w:rPr>
          <w:rFonts w:ascii="仿宋" w:hAnsi="仿宋" w:eastAsia="仿宋_GB2312"/>
          <w:b/>
          <w:sz w:val="30"/>
          <w:szCs w:val="30"/>
        </w:rPr>
      </w:pPr>
      <w:r>
        <w:rPr>
          <w:rFonts w:hint="eastAsia" w:ascii="仿宋" w:hAnsi="仿宋" w:eastAsia="仿宋"/>
          <w:b/>
          <w:sz w:val="28"/>
          <w:szCs w:val="28"/>
        </w:rPr>
        <w:t>3.核心产品在各标项内容中明确，如出现同品牌情况的，评标委员会根据评审原则第4条规定执行</w:t>
      </w:r>
      <w:r>
        <w:rPr>
          <w:rFonts w:hint="eastAsia" w:ascii="仿宋" w:hAnsi="仿宋" w:eastAsia="仿宋_GB2312"/>
          <w:b/>
          <w:sz w:val="30"/>
          <w:szCs w:val="30"/>
        </w:rPr>
        <w:t>。</w:t>
      </w:r>
    </w:p>
    <w:p>
      <w:pPr>
        <w:pStyle w:val="54"/>
        <w:shd w:val="clear" w:color="auto" w:fill="FDFAF5"/>
        <w:spacing w:before="0" w:beforeAutospacing="0" w:after="0" w:afterAutospacing="0" w:line="520" w:lineRule="atLeast"/>
        <w:ind w:firstLine="562" w:firstLineChars="200"/>
        <w:rPr>
          <w:rFonts w:ascii="仿宋" w:hAnsi="仿宋" w:eastAsia="仿宋" w:cs="Times New Roman"/>
          <w:b/>
          <w:kern w:val="2"/>
          <w:sz w:val="28"/>
          <w:szCs w:val="28"/>
        </w:rPr>
      </w:pPr>
      <w:r>
        <w:rPr>
          <w:rFonts w:ascii="仿宋" w:hAnsi="仿宋" w:eastAsia="仿宋" w:cs="Times New Roman"/>
          <w:b/>
          <w:kern w:val="2"/>
          <w:sz w:val="28"/>
          <w:szCs w:val="28"/>
        </w:rPr>
        <w:t>4</w:t>
      </w:r>
      <w:r>
        <w:rPr>
          <w:rFonts w:hint="eastAsia" w:ascii="仿宋" w:hAnsi="仿宋" w:eastAsia="仿宋" w:cs="Times New Roman"/>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pStyle w:val="32"/>
        <w:spacing w:before="120" w:after="120" w:line="360" w:lineRule="auto"/>
        <w:rPr>
          <w:rFonts w:ascii="仿宋" w:hAnsi="仿宋" w:eastAsia="仿宋" w:cs="Arial"/>
          <w:b/>
          <w:sz w:val="28"/>
          <w:szCs w:val="28"/>
        </w:rPr>
      </w:pPr>
      <w:bookmarkStart w:id="29" w:name="_Toc496796639"/>
    </w:p>
    <w:p>
      <w:pPr>
        <w:jc w:val="center"/>
        <w:rPr>
          <w:rFonts w:hint="eastAsia" w:hAnsi="宋体"/>
          <w:b/>
          <w:sz w:val="36"/>
          <w:szCs w:val="36"/>
          <w:lang w:eastAsia="zh-CN"/>
        </w:rPr>
      </w:pPr>
      <w:bookmarkStart w:id="30" w:name="PO_416_PM050"/>
      <w:r>
        <w:rPr>
          <w:rFonts w:hint="eastAsia" w:hAnsi="宋体"/>
          <w:b/>
          <w:sz w:val="36"/>
          <w:szCs w:val="36"/>
          <w:lang w:eastAsia="zh-CN"/>
        </w:rPr>
        <w:t xml:space="preserve"> </w:t>
      </w:r>
      <w:bookmarkEnd w:id="30"/>
      <w:bookmarkStart w:id="31" w:name="PO_TDCUS_ITEM_PB_REQ_TITLE_1"/>
    </w:p>
    <w:p>
      <w:pPr>
        <w:jc w:val="center"/>
        <w:rPr>
          <w:rFonts w:hint="eastAsia" w:hAnsi="宋体"/>
          <w:b/>
          <w:sz w:val="36"/>
          <w:szCs w:val="36"/>
          <w:lang w:eastAsia="zh-CN"/>
        </w:rPr>
      </w:pPr>
    </w:p>
    <w:p>
      <w:pPr>
        <w:jc w:val="center"/>
        <w:rPr>
          <w:rFonts w:hint="eastAsia" w:hAnsi="宋体"/>
          <w:b/>
          <w:sz w:val="36"/>
          <w:szCs w:val="36"/>
          <w:lang w:eastAsia="zh-CN"/>
        </w:rPr>
      </w:pPr>
    </w:p>
    <w:p>
      <w:pPr>
        <w:jc w:val="center"/>
        <w:rPr>
          <w:rFonts w:hint="eastAsia" w:hAnsi="宋体"/>
          <w:b/>
          <w:sz w:val="36"/>
          <w:szCs w:val="36"/>
          <w:lang w:eastAsia="zh-CN"/>
        </w:rPr>
      </w:pPr>
    </w:p>
    <w:p>
      <w:pPr>
        <w:jc w:val="center"/>
        <w:rPr>
          <w:rFonts w:hint="eastAsia" w:hAnsi="宋体"/>
          <w:b/>
          <w:sz w:val="36"/>
          <w:szCs w:val="36"/>
          <w:lang w:eastAsia="zh-CN"/>
        </w:rPr>
      </w:pPr>
    </w:p>
    <w:p>
      <w:pPr>
        <w:jc w:val="center"/>
        <w:rPr>
          <w:rFonts w:hint="eastAsia" w:hAnsi="宋体"/>
          <w:b/>
          <w:sz w:val="36"/>
          <w:szCs w:val="36"/>
          <w:lang w:eastAsia="zh-CN"/>
        </w:rPr>
      </w:pPr>
    </w:p>
    <w:p>
      <w:pPr>
        <w:jc w:val="center"/>
        <w:rPr>
          <w:rFonts w:hint="eastAsia" w:hAnsi="宋体"/>
          <w:b/>
          <w:sz w:val="36"/>
          <w:szCs w:val="36"/>
          <w:lang w:eastAsia="zh-CN"/>
        </w:rPr>
      </w:pPr>
    </w:p>
    <w:p>
      <w:pPr>
        <w:jc w:val="center"/>
        <w:rPr>
          <w:rFonts w:hint="eastAsia" w:hAnsi="宋体"/>
          <w:b/>
          <w:sz w:val="36"/>
          <w:szCs w:val="36"/>
          <w:lang w:eastAsia="zh-CN"/>
        </w:rPr>
      </w:pPr>
    </w:p>
    <w:p>
      <w:pPr>
        <w:jc w:val="center"/>
        <w:rPr>
          <w:rFonts w:hint="eastAsia" w:hAnsi="宋体"/>
          <w:b/>
          <w:sz w:val="36"/>
          <w:szCs w:val="36"/>
          <w:lang w:eastAsia="zh-CN"/>
        </w:rPr>
      </w:pPr>
    </w:p>
    <w:p>
      <w:pPr>
        <w:spacing w:line="360" w:lineRule="auto"/>
        <w:jc w:val="center"/>
        <w:rPr>
          <w:rFonts w:hint="default" w:ascii="仿宋" w:hAnsi="仿宋" w:eastAsia="仿宋"/>
          <w:b/>
          <w:sz w:val="32"/>
          <w:szCs w:val="32"/>
          <w:lang w:val="en-US" w:eastAsia="zh-CN"/>
        </w:rPr>
      </w:pPr>
      <w:r>
        <w:rPr>
          <w:rFonts w:hint="eastAsia" w:ascii="仿宋" w:hAnsi="仿宋" w:eastAsia="仿宋"/>
          <w:b/>
          <w:sz w:val="32"/>
          <w:szCs w:val="32"/>
          <w:lang w:val="en-US" w:eastAsia="zh-CN"/>
        </w:rPr>
        <w:t>标项1:</w:t>
      </w:r>
      <w:bookmarkEnd w:id="31"/>
      <w:bookmarkStart w:id="32" w:name="PO_TDCUS_ITEM_PB_REQ_FILE_1_1"/>
      <w:r>
        <w:rPr>
          <w:rFonts w:hint="eastAsia" w:ascii="仿宋" w:hAnsi="仿宋" w:eastAsia="仿宋"/>
          <w:b/>
          <w:sz w:val="32"/>
          <w:szCs w:val="32"/>
          <w:lang w:val="en-US" w:eastAsia="zh-CN"/>
        </w:rPr>
        <w:t>云计算平台建设项目</w:t>
      </w:r>
    </w:p>
    <w:p>
      <w:pPr>
        <w:rPr>
          <w:rFonts w:ascii="宋体" w:hAnsi="宋体" w:eastAsia="宋体" w:cs="宋体"/>
          <w:sz w:val="24"/>
          <w:szCs w:val="24"/>
        </w:rPr>
      </w:pPr>
    </w:p>
    <w:p>
      <w:pPr>
        <w:pStyle w:val="5"/>
        <w:numPr>
          <w:ilvl w:val="1"/>
          <w:numId w:val="0"/>
        </w:numPr>
        <w:ind w:leftChars="0"/>
        <w:rPr>
          <w:rFonts w:hint="eastAsia"/>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一、</w:t>
      </w:r>
      <w:r>
        <w:rPr>
          <w:rFonts w:hint="eastAsia"/>
          <w:color w:val="000000" w:themeColor="text1"/>
          <w:sz w:val="28"/>
          <w:szCs w:val="28"/>
          <w14:textFill>
            <w14:solidFill>
              <w14:schemeClr w14:val="tx1"/>
            </w14:solidFill>
          </w14:textFill>
        </w:rPr>
        <w:t>项目背景</w:t>
      </w:r>
    </w:p>
    <w:p>
      <w:pPr>
        <w:ind w:firstLine="42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引入云计算模式已经成为高校数字化管理的必然发展趋势。解决现有数据中心在服务保障教学过程中遇到的实际问题，突破传统计算中心的瓶颈，是我校数据中心建设发展迫切的需求。国务院《“十四五”数字经济发展规划》指出，云计算发展进一步提速，助力智能转型升级。《浙江警察学院“十四五”信息化建设发展规划》指出，学校的基础设施体系建设应遵循规划、架构、标准、建设、管理、运维“六个统一”，非必要各部门、系部不再单独建设。本项目拟在滨江校区搭建云计算平台，通过硬件集群的方式更好地整合包括计算，存储，网络等IT资源，实现基础设施统建共享,软硬件资源按需自动发放,业务应用快速部署上线，达到建设成本和管理成本有效控制的目标。</w:t>
      </w:r>
    </w:p>
    <w:p>
      <w:pPr>
        <w:rPr>
          <w:rFonts w:ascii="宋体" w:hAnsi="宋体" w:eastAsia="宋体" w:cs="宋体"/>
          <w:sz w:val="24"/>
          <w:szCs w:val="24"/>
        </w:rPr>
      </w:pPr>
    </w:p>
    <w:p>
      <w:pPr>
        <w:pStyle w:val="5"/>
        <w:numPr>
          <w:ilvl w:val="1"/>
          <w:numId w:val="0"/>
        </w:numPr>
        <w:ind w:leftChars="0"/>
        <w:rPr>
          <w:rFonts w:hint="eastAsia"/>
          <w:color w:val="000000" w:themeColor="text1"/>
          <w:sz w:val="28"/>
          <w:szCs w:val="28"/>
          <w:lang w:val="en-US" w:eastAsia="zh-CN"/>
          <w14:textFill>
            <w14:solidFill>
              <w14:schemeClr w14:val="tx1"/>
            </w14:solidFill>
          </w14:textFill>
        </w:rPr>
      </w:pPr>
      <w:bookmarkStart w:id="33" w:name="_Toc98434329"/>
      <w:r>
        <w:rPr>
          <w:rFonts w:hint="eastAsia"/>
          <w:color w:val="000000" w:themeColor="text1"/>
          <w:sz w:val="28"/>
          <w:szCs w:val="28"/>
          <w:lang w:val="en-US" w:eastAsia="zh-CN"/>
          <w14:textFill>
            <w14:solidFill>
              <w14:schemeClr w14:val="tx1"/>
            </w14:solidFill>
          </w14:textFill>
        </w:rPr>
        <w:t>二、采购清单</w:t>
      </w:r>
      <w:bookmarkEnd w:id="33"/>
    </w:p>
    <w:p>
      <w:pPr>
        <w:ind w:firstLine="42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本次专有云采购主要由专有云平台服务器、和专有云平台软件及运维部署服务</w:t>
      </w:r>
      <w:r>
        <w:rPr>
          <w:rFonts w:hint="eastAsia"/>
          <w:color w:val="000000" w:themeColor="text1"/>
          <w:lang w:val="en-US" w:eastAsia="zh-CN"/>
          <w14:textFill>
            <w14:solidFill>
              <w14:schemeClr w14:val="tx1"/>
            </w14:solidFill>
          </w14:textFill>
        </w:rPr>
        <w:t>三</w:t>
      </w:r>
      <w:r>
        <w:rPr>
          <w:rFonts w:hint="eastAsia"/>
          <w:color w:val="000000" w:themeColor="text1"/>
          <w14:textFill>
            <w14:solidFill>
              <w14:schemeClr w14:val="tx1"/>
            </w14:solidFill>
          </w14:textFill>
        </w:rPr>
        <w:t>部分组成。清单如下：</w:t>
      </w:r>
    </w:p>
    <w:tbl>
      <w:tblPr>
        <w:tblStyle w:val="59"/>
        <w:tblW w:w="8301" w:type="dxa"/>
        <w:tblInd w:w="-5" w:type="dxa"/>
        <w:tblLayout w:type="fixed"/>
        <w:tblCellMar>
          <w:top w:w="0" w:type="dxa"/>
          <w:left w:w="108" w:type="dxa"/>
          <w:bottom w:w="0" w:type="dxa"/>
          <w:right w:w="108" w:type="dxa"/>
        </w:tblCellMar>
      </w:tblPr>
      <w:tblGrid>
        <w:gridCol w:w="616"/>
        <w:gridCol w:w="1652"/>
        <w:gridCol w:w="4253"/>
        <w:gridCol w:w="992"/>
        <w:gridCol w:w="788"/>
      </w:tblGrid>
      <w:tr>
        <w:tblPrEx>
          <w:tblCellMar>
            <w:top w:w="0" w:type="dxa"/>
            <w:left w:w="108" w:type="dxa"/>
            <w:bottom w:w="0" w:type="dxa"/>
            <w:right w:w="108" w:type="dxa"/>
          </w:tblCellMar>
        </w:tblPrEx>
        <w:trPr>
          <w:trHeight w:val="270" w:hRule="atLeast"/>
        </w:trPr>
        <w:tc>
          <w:tcPr>
            <w:tcW w:w="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序号</w:t>
            </w:r>
          </w:p>
        </w:tc>
        <w:tc>
          <w:tcPr>
            <w:tcW w:w="165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名称</w:t>
            </w:r>
          </w:p>
        </w:tc>
        <w:tc>
          <w:tcPr>
            <w:tcW w:w="425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hAnsi="宋体" w:cs="宋体" w:eastAsiaTheme="minorEastAsia"/>
                <w:color w:val="000000"/>
                <w:kern w:val="0"/>
                <w:sz w:val="20"/>
                <w:szCs w:val="20"/>
                <w:lang w:val="en-US" w:eastAsia="zh-CN"/>
              </w:rPr>
            </w:pPr>
            <w:r>
              <w:rPr>
                <w:rFonts w:hint="eastAsia" w:hAnsi="宋体" w:cs="宋体"/>
                <w:color w:val="000000"/>
                <w:kern w:val="0"/>
                <w:sz w:val="20"/>
                <w:szCs w:val="20"/>
                <w:lang w:val="en-US" w:eastAsia="zh-CN"/>
              </w:rPr>
              <w:t>参数</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数量</w:t>
            </w:r>
          </w:p>
        </w:tc>
        <w:tc>
          <w:tcPr>
            <w:tcW w:w="78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单位</w:t>
            </w:r>
          </w:p>
        </w:tc>
      </w:tr>
      <w:tr>
        <w:tblPrEx>
          <w:tblCellMar>
            <w:top w:w="0" w:type="dxa"/>
            <w:left w:w="108" w:type="dxa"/>
            <w:bottom w:w="0" w:type="dxa"/>
            <w:right w:w="108" w:type="dxa"/>
          </w:tblCellMar>
        </w:tblPrEx>
        <w:trPr>
          <w:trHeight w:val="270" w:hRule="atLeast"/>
        </w:trPr>
        <w:tc>
          <w:tcPr>
            <w:tcW w:w="830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一、云平台服务器</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1</w:t>
            </w:r>
          </w:p>
        </w:tc>
        <w:tc>
          <w:tcPr>
            <w:tcW w:w="16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0"/>
                <w:szCs w:val="20"/>
              </w:rPr>
            </w:pPr>
            <w:r>
              <w:rPr>
                <w:rFonts w:hint="eastAsia" w:hAnsi="宋体" w:cs="宋体"/>
                <w:color w:val="000000"/>
                <w:kern w:val="0"/>
                <w:sz w:val="20"/>
                <w:szCs w:val="20"/>
              </w:rPr>
              <w:t>服务器型号1</w:t>
            </w: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hAnsi="宋体" w:cs="宋体" w:eastAsiaTheme="minorEastAsia"/>
                <w:color w:val="000000"/>
                <w:kern w:val="0"/>
                <w:sz w:val="20"/>
                <w:szCs w:val="20"/>
                <w:lang w:val="en-US" w:eastAsia="zh-CN"/>
              </w:rPr>
            </w:pPr>
            <w:r>
              <w:rPr>
                <w:rFonts w:hint="eastAsia" w:hAnsi="宋体" w:cs="宋体"/>
                <w:color w:val="000000"/>
                <w:kern w:val="0"/>
                <w:sz w:val="20"/>
                <w:szCs w:val="20"/>
                <w:lang w:val="en-US" w:eastAsia="zh-CN"/>
              </w:rPr>
              <w:t>见</w:t>
            </w:r>
            <w:r>
              <w:rPr>
                <w:rFonts w:hint="eastAsia"/>
                <w:color w:val="000000" w:themeColor="text1"/>
                <w14:textFill>
                  <w14:solidFill>
                    <w14:schemeClr w14:val="tx1"/>
                  </w14:solidFill>
                </w14:textFill>
              </w:rPr>
              <w:t>产品详细技术要求</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2</w:t>
            </w:r>
          </w:p>
        </w:tc>
        <w:tc>
          <w:tcPr>
            <w:tcW w:w="7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台</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2</w:t>
            </w:r>
          </w:p>
        </w:tc>
        <w:tc>
          <w:tcPr>
            <w:tcW w:w="16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0"/>
                <w:szCs w:val="20"/>
              </w:rPr>
            </w:pPr>
            <w:r>
              <w:rPr>
                <w:rFonts w:hint="eastAsia" w:hAnsi="宋体" w:cs="宋体"/>
                <w:color w:val="000000"/>
                <w:kern w:val="0"/>
                <w:sz w:val="20"/>
                <w:szCs w:val="20"/>
              </w:rPr>
              <w:t>服务器型号2</w:t>
            </w: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0"/>
                <w:szCs w:val="20"/>
              </w:rPr>
            </w:pPr>
            <w:r>
              <w:rPr>
                <w:rFonts w:hint="eastAsia" w:hAnsi="宋体" w:cs="宋体"/>
                <w:color w:val="000000"/>
                <w:kern w:val="0"/>
                <w:sz w:val="20"/>
                <w:szCs w:val="20"/>
                <w:lang w:val="en-US" w:eastAsia="zh-CN"/>
              </w:rPr>
              <w:t>见</w:t>
            </w:r>
            <w:r>
              <w:rPr>
                <w:rFonts w:hint="eastAsia"/>
                <w:color w:val="000000" w:themeColor="text1"/>
                <w14:textFill>
                  <w14:solidFill>
                    <w14:schemeClr w14:val="tx1"/>
                  </w14:solidFill>
                </w14:textFill>
              </w:rPr>
              <w:t>产品详细技术要求</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2</w:t>
            </w:r>
          </w:p>
        </w:tc>
        <w:tc>
          <w:tcPr>
            <w:tcW w:w="7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台</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3</w:t>
            </w:r>
          </w:p>
        </w:tc>
        <w:tc>
          <w:tcPr>
            <w:tcW w:w="16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0"/>
                <w:szCs w:val="20"/>
              </w:rPr>
            </w:pPr>
            <w:r>
              <w:rPr>
                <w:rFonts w:hint="eastAsia" w:hAnsi="宋体" w:cs="宋体"/>
                <w:color w:val="000000"/>
                <w:kern w:val="0"/>
                <w:sz w:val="20"/>
                <w:szCs w:val="20"/>
              </w:rPr>
              <w:t>服务器型号3</w:t>
            </w: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0"/>
                <w:szCs w:val="20"/>
              </w:rPr>
            </w:pPr>
            <w:r>
              <w:rPr>
                <w:rFonts w:hint="eastAsia" w:hAnsi="宋体" w:cs="宋体"/>
                <w:color w:val="000000"/>
                <w:kern w:val="0"/>
                <w:sz w:val="20"/>
                <w:szCs w:val="20"/>
                <w:lang w:val="en-US" w:eastAsia="zh-CN"/>
              </w:rPr>
              <w:t>见</w:t>
            </w:r>
            <w:r>
              <w:rPr>
                <w:rFonts w:hint="eastAsia"/>
                <w:color w:val="000000" w:themeColor="text1"/>
                <w14:textFill>
                  <w14:solidFill>
                    <w14:schemeClr w14:val="tx1"/>
                  </w14:solidFill>
                </w14:textFill>
              </w:rPr>
              <w:t>产品详细技术要求</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3</w:t>
            </w:r>
          </w:p>
        </w:tc>
        <w:tc>
          <w:tcPr>
            <w:tcW w:w="7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台</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4</w:t>
            </w:r>
          </w:p>
        </w:tc>
        <w:tc>
          <w:tcPr>
            <w:tcW w:w="16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0"/>
                <w:szCs w:val="20"/>
              </w:rPr>
            </w:pPr>
            <w:r>
              <w:rPr>
                <w:rFonts w:hint="eastAsia" w:hAnsi="宋体" w:cs="宋体"/>
                <w:color w:val="000000"/>
                <w:kern w:val="0"/>
                <w:sz w:val="20"/>
                <w:szCs w:val="20"/>
              </w:rPr>
              <w:t>服务器型号4</w:t>
            </w: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0"/>
                <w:szCs w:val="20"/>
              </w:rPr>
            </w:pPr>
            <w:r>
              <w:rPr>
                <w:rFonts w:hint="eastAsia" w:hAnsi="宋体" w:cs="宋体"/>
                <w:color w:val="000000"/>
                <w:kern w:val="0"/>
                <w:sz w:val="20"/>
                <w:szCs w:val="20"/>
                <w:lang w:val="en-US" w:eastAsia="zh-CN"/>
              </w:rPr>
              <w:t>见</w:t>
            </w:r>
            <w:r>
              <w:rPr>
                <w:rFonts w:hint="eastAsia"/>
                <w:color w:val="000000" w:themeColor="text1"/>
                <w14:textFill>
                  <w14:solidFill>
                    <w14:schemeClr w14:val="tx1"/>
                  </w14:solidFill>
                </w14:textFill>
              </w:rPr>
              <w:t>产品详细技术要求</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4</w:t>
            </w:r>
          </w:p>
        </w:tc>
        <w:tc>
          <w:tcPr>
            <w:tcW w:w="7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台</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5</w:t>
            </w:r>
          </w:p>
        </w:tc>
        <w:tc>
          <w:tcPr>
            <w:tcW w:w="16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0"/>
                <w:szCs w:val="20"/>
              </w:rPr>
            </w:pPr>
            <w:r>
              <w:rPr>
                <w:rFonts w:hint="eastAsia" w:hAnsi="宋体" w:cs="宋体"/>
                <w:color w:val="000000"/>
                <w:kern w:val="0"/>
                <w:sz w:val="20"/>
                <w:szCs w:val="20"/>
              </w:rPr>
              <w:t>服务器型号5</w:t>
            </w: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0"/>
                <w:szCs w:val="20"/>
              </w:rPr>
            </w:pPr>
            <w:r>
              <w:rPr>
                <w:rFonts w:hint="eastAsia" w:hAnsi="宋体" w:cs="宋体"/>
                <w:color w:val="000000"/>
                <w:kern w:val="0"/>
                <w:sz w:val="20"/>
                <w:szCs w:val="20"/>
                <w:lang w:val="en-US" w:eastAsia="zh-CN"/>
              </w:rPr>
              <w:t>见</w:t>
            </w:r>
            <w:r>
              <w:rPr>
                <w:rFonts w:hint="eastAsia"/>
                <w:color w:val="000000" w:themeColor="text1"/>
                <w14:textFill>
                  <w14:solidFill>
                    <w14:schemeClr w14:val="tx1"/>
                  </w14:solidFill>
                </w14:textFill>
              </w:rPr>
              <w:t>产品详细技术要求</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4</w:t>
            </w:r>
          </w:p>
        </w:tc>
        <w:tc>
          <w:tcPr>
            <w:tcW w:w="7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台</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6</w:t>
            </w:r>
          </w:p>
        </w:tc>
        <w:tc>
          <w:tcPr>
            <w:tcW w:w="16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0"/>
                <w:szCs w:val="20"/>
              </w:rPr>
            </w:pPr>
            <w:r>
              <w:rPr>
                <w:rFonts w:hint="eastAsia" w:hAnsi="宋体" w:cs="宋体"/>
                <w:color w:val="000000"/>
                <w:kern w:val="0"/>
                <w:sz w:val="20"/>
                <w:szCs w:val="20"/>
              </w:rPr>
              <w:t>服务器型号6</w:t>
            </w: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0"/>
                <w:szCs w:val="20"/>
              </w:rPr>
            </w:pPr>
            <w:r>
              <w:rPr>
                <w:rFonts w:hint="eastAsia" w:hAnsi="宋体" w:cs="宋体"/>
                <w:color w:val="000000"/>
                <w:kern w:val="0"/>
                <w:sz w:val="20"/>
                <w:szCs w:val="20"/>
                <w:lang w:val="en-US" w:eastAsia="zh-CN"/>
              </w:rPr>
              <w:t>见</w:t>
            </w:r>
            <w:r>
              <w:rPr>
                <w:rFonts w:hint="eastAsia"/>
                <w:color w:val="000000" w:themeColor="text1"/>
                <w14:textFill>
                  <w14:solidFill>
                    <w14:schemeClr w14:val="tx1"/>
                  </w14:solidFill>
                </w14:textFill>
              </w:rPr>
              <w:t>产品详细技术要求</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4</w:t>
            </w:r>
          </w:p>
        </w:tc>
        <w:tc>
          <w:tcPr>
            <w:tcW w:w="7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台</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7</w:t>
            </w:r>
          </w:p>
        </w:tc>
        <w:tc>
          <w:tcPr>
            <w:tcW w:w="16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0"/>
                <w:szCs w:val="20"/>
              </w:rPr>
            </w:pPr>
            <w:r>
              <w:rPr>
                <w:rFonts w:hint="eastAsia" w:hAnsi="宋体" w:cs="宋体"/>
                <w:color w:val="000000"/>
                <w:kern w:val="0"/>
                <w:sz w:val="20"/>
                <w:szCs w:val="20"/>
              </w:rPr>
              <w:t>服务器型号7</w:t>
            </w: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0"/>
                <w:szCs w:val="20"/>
              </w:rPr>
            </w:pPr>
            <w:r>
              <w:rPr>
                <w:rFonts w:hint="eastAsia" w:hAnsi="宋体" w:cs="宋体"/>
                <w:color w:val="000000"/>
                <w:kern w:val="0"/>
                <w:sz w:val="20"/>
                <w:szCs w:val="20"/>
                <w:lang w:val="en-US" w:eastAsia="zh-CN"/>
              </w:rPr>
              <w:t>见</w:t>
            </w:r>
            <w:r>
              <w:rPr>
                <w:rFonts w:hint="eastAsia"/>
                <w:color w:val="000000" w:themeColor="text1"/>
                <w14:textFill>
                  <w14:solidFill>
                    <w14:schemeClr w14:val="tx1"/>
                  </w14:solidFill>
                </w14:textFill>
              </w:rPr>
              <w:t>产品详细技术要求</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4</w:t>
            </w:r>
          </w:p>
        </w:tc>
        <w:tc>
          <w:tcPr>
            <w:tcW w:w="7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台</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8</w:t>
            </w:r>
          </w:p>
        </w:tc>
        <w:tc>
          <w:tcPr>
            <w:tcW w:w="16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0"/>
                <w:szCs w:val="20"/>
              </w:rPr>
            </w:pPr>
            <w:r>
              <w:rPr>
                <w:rFonts w:hint="eastAsia" w:hAnsi="宋体" w:cs="宋体"/>
                <w:color w:val="000000"/>
                <w:kern w:val="0"/>
                <w:sz w:val="20"/>
                <w:szCs w:val="20"/>
              </w:rPr>
              <w:t>服务器型号8</w:t>
            </w: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0"/>
                <w:szCs w:val="20"/>
              </w:rPr>
            </w:pPr>
            <w:r>
              <w:rPr>
                <w:rFonts w:hint="eastAsia" w:hAnsi="宋体" w:cs="宋体"/>
                <w:color w:val="000000"/>
                <w:kern w:val="0"/>
                <w:sz w:val="20"/>
                <w:szCs w:val="20"/>
                <w:lang w:val="en-US" w:eastAsia="zh-CN"/>
              </w:rPr>
              <w:t>见</w:t>
            </w:r>
            <w:r>
              <w:rPr>
                <w:rFonts w:hint="eastAsia"/>
                <w:color w:val="000000" w:themeColor="text1"/>
                <w14:textFill>
                  <w14:solidFill>
                    <w14:schemeClr w14:val="tx1"/>
                  </w14:solidFill>
                </w14:textFill>
              </w:rPr>
              <w:t>产品详细技术要求</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6</w:t>
            </w:r>
          </w:p>
        </w:tc>
        <w:tc>
          <w:tcPr>
            <w:tcW w:w="7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台</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9</w:t>
            </w:r>
          </w:p>
        </w:tc>
        <w:tc>
          <w:tcPr>
            <w:tcW w:w="16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0"/>
                <w:szCs w:val="20"/>
              </w:rPr>
            </w:pPr>
            <w:r>
              <w:rPr>
                <w:rFonts w:hint="eastAsia" w:hAnsi="宋体" w:cs="宋体"/>
                <w:color w:val="000000"/>
                <w:kern w:val="0"/>
                <w:sz w:val="20"/>
                <w:szCs w:val="20"/>
              </w:rPr>
              <w:t>服务器型号9</w:t>
            </w: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0"/>
                <w:szCs w:val="20"/>
              </w:rPr>
            </w:pPr>
            <w:r>
              <w:rPr>
                <w:rFonts w:hint="eastAsia" w:hAnsi="宋体" w:cs="宋体"/>
                <w:color w:val="000000"/>
                <w:kern w:val="0"/>
                <w:sz w:val="20"/>
                <w:szCs w:val="20"/>
                <w:lang w:val="en-US" w:eastAsia="zh-CN"/>
              </w:rPr>
              <w:t>见</w:t>
            </w:r>
            <w:r>
              <w:rPr>
                <w:rFonts w:hint="eastAsia"/>
                <w:color w:val="000000" w:themeColor="text1"/>
                <w14:textFill>
                  <w14:solidFill>
                    <w14:schemeClr w14:val="tx1"/>
                  </w14:solidFill>
                </w14:textFill>
              </w:rPr>
              <w:t>产品详细技术要求</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6</w:t>
            </w:r>
          </w:p>
        </w:tc>
        <w:tc>
          <w:tcPr>
            <w:tcW w:w="7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台</w:t>
            </w:r>
          </w:p>
        </w:tc>
      </w:tr>
      <w:tr>
        <w:tblPrEx>
          <w:tblCellMar>
            <w:top w:w="0" w:type="dxa"/>
            <w:left w:w="108" w:type="dxa"/>
            <w:bottom w:w="0" w:type="dxa"/>
            <w:right w:w="108" w:type="dxa"/>
          </w:tblCellMar>
        </w:tblPrEx>
        <w:trPr>
          <w:trHeight w:val="9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10</w:t>
            </w:r>
          </w:p>
        </w:tc>
        <w:tc>
          <w:tcPr>
            <w:tcW w:w="16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0"/>
                <w:szCs w:val="20"/>
              </w:rPr>
            </w:pPr>
            <w:r>
              <w:rPr>
                <w:rFonts w:hint="eastAsia" w:hAnsi="宋体" w:cs="宋体"/>
                <w:color w:val="000000"/>
                <w:kern w:val="0"/>
                <w:sz w:val="20"/>
                <w:szCs w:val="20"/>
              </w:rPr>
              <w:t>服务器型号10</w:t>
            </w: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0"/>
                <w:szCs w:val="20"/>
              </w:rPr>
            </w:pPr>
            <w:r>
              <w:rPr>
                <w:rFonts w:hint="eastAsia" w:hAnsi="宋体" w:cs="宋体"/>
                <w:color w:val="000000"/>
                <w:kern w:val="0"/>
                <w:sz w:val="20"/>
                <w:szCs w:val="20"/>
                <w:lang w:val="en-US" w:eastAsia="zh-CN"/>
              </w:rPr>
              <w:t>见</w:t>
            </w:r>
            <w:r>
              <w:rPr>
                <w:rFonts w:hint="eastAsia"/>
                <w:color w:val="000000" w:themeColor="text1"/>
                <w14:textFill>
                  <w14:solidFill>
                    <w14:schemeClr w14:val="tx1"/>
                  </w14:solidFill>
                </w14:textFill>
              </w:rPr>
              <w:t>产品详细技术要求</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8</w:t>
            </w:r>
          </w:p>
        </w:tc>
        <w:tc>
          <w:tcPr>
            <w:tcW w:w="7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台</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11</w:t>
            </w:r>
          </w:p>
        </w:tc>
        <w:tc>
          <w:tcPr>
            <w:tcW w:w="16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0"/>
                <w:szCs w:val="20"/>
              </w:rPr>
            </w:pPr>
            <w:r>
              <w:rPr>
                <w:rFonts w:hint="eastAsia" w:hAnsi="宋体" w:cs="宋体"/>
                <w:color w:val="000000"/>
                <w:kern w:val="0"/>
                <w:sz w:val="20"/>
                <w:szCs w:val="20"/>
              </w:rPr>
              <w:t>服务器型号11</w:t>
            </w: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0"/>
                <w:szCs w:val="20"/>
              </w:rPr>
            </w:pPr>
            <w:r>
              <w:rPr>
                <w:rFonts w:hint="eastAsia" w:hAnsi="宋体" w:cs="宋体"/>
                <w:color w:val="000000"/>
                <w:kern w:val="0"/>
                <w:sz w:val="20"/>
                <w:szCs w:val="20"/>
                <w:lang w:val="en-US" w:eastAsia="zh-CN"/>
              </w:rPr>
              <w:t>见</w:t>
            </w:r>
            <w:r>
              <w:rPr>
                <w:rFonts w:hint="eastAsia"/>
                <w:color w:val="000000" w:themeColor="text1"/>
                <w14:textFill>
                  <w14:solidFill>
                    <w14:schemeClr w14:val="tx1"/>
                  </w14:solidFill>
                </w14:textFill>
              </w:rPr>
              <w:t>产品详细技术要求</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10</w:t>
            </w:r>
          </w:p>
        </w:tc>
        <w:tc>
          <w:tcPr>
            <w:tcW w:w="7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台</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12</w:t>
            </w:r>
          </w:p>
        </w:tc>
        <w:tc>
          <w:tcPr>
            <w:tcW w:w="16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0"/>
                <w:szCs w:val="20"/>
              </w:rPr>
            </w:pPr>
            <w:r>
              <w:rPr>
                <w:rFonts w:hint="eastAsia" w:hAnsi="宋体" w:cs="宋体"/>
                <w:color w:val="000000"/>
                <w:kern w:val="0"/>
                <w:sz w:val="20"/>
                <w:szCs w:val="20"/>
              </w:rPr>
              <w:t>服务器型号12</w:t>
            </w: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0"/>
                <w:szCs w:val="20"/>
              </w:rPr>
            </w:pPr>
            <w:r>
              <w:rPr>
                <w:rFonts w:hint="eastAsia" w:hAnsi="宋体" w:cs="宋体"/>
                <w:color w:val="000000"/>
                <w:kern w:val="0"/>
                <w:sz w:val="20"/>
                <w:szCs w:val="20"/>
                <w:lang w:val="en-US" w:eastAsia="zh-CN"/>
              </w:rPr>
              <w:t>见</w:t>
            </w:r>
            <w:r>
              <w:rPr>
                <w:rFonts w:hint="eastAsia"/>
                <w:color w:val="000000" w:themeColor="text1"/>
                <w14:textFill>
                  <w14:solidFill>
                    <w14:schemeClr w14:val="tx1"/>
                  </w14:solidFill>
                </w14:textFill>
              </w:rPr>
              <w:t>产品详细技术要求</w:t>
            </w:r>
            <w:r>
              <w:rPr>
                <w:rFonts w:hint="eastAsia"/>
                <w:color w:val="000000" w:themeColor="text1"/>
                <w:lang w:val="en-US" w:eastAsia="zh-CN"/>
                <w14:textFill>
                  <w14:solidFill>
                    <w14:schemeClr w14:val="tx1"/>
                  </w14:solidFill>
                </w14:textFill>
              </w:rPr>
              <w:t>(</w:t>
            </w:r>
            <w:r>
              <w:rPr>
                <w:rFonts w:hint="eastAsia" w:hAnsi="宋体" w:cs="宋体"/>
                <w:b/>
                <w:bCs/>
                <w:color w:val="FF0000"/>
                <w:kern w:val="0"/>
                <w:sz w:val="20"/>
                <w:szCs w:val="20"/>
                <w:lang w:val="en-US" w:eastAsia="zh-CN"/>
              </w:rPr>
              <w:t>核心产品</w:t>
            </w:r>
            <w:r>
              <w:rPr>
                <w:rFonts w:hint="eastAsia"/>
                <w:color w:val="FF0000"/>
                <w:lang w:val="en-US" w:eastAsia="zh-CN"/>
              </w:rPr>
              <w:t>)</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12</w:t>
            </w:r>
          </w:p>
        </w:tc>
        <w:tc>
          <w:tcPr>
            <w:tcW w:w="7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台</w:t>
            </w:r>
          </w:p>
        </w:tc>
      </w:tr>
      <w:tr>
        <w:tblPrEx>
          <w:tblCellMar>
            <w:top w:w="0" w:type="dxa"/>
            <w:left w:w="108" w:type="dxa"/>
            <w:bottom w:w="0" w:type="dxa"/>
            <w:right w:w="108" w:type="dxa"/>
          </w:tblCellMar>
        </w:tblPrEx>
        <w:trPr>
          <w:trHeight w:val="270" w:hRule="atLeast"/>
        </w:trPr>
        <w:tc>
          <w:tcPr>
            <w:tcW w:w="830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二、云平台软件</w:t>
            </w:r>
          </w:p>
        </w:tc>
      </w:tr>
      <w:tr>
        <w:tblPrEx>
          <w:tblCellMar>
            <w:top w:w="0" w:type="dxa"/>
            <w:left w:w="108" w:type="dxa"/>
            <w:bottom w:w="0" w:type="dxa"/>
            <w:right w:w="108" w:type="dxa"/>
          </w:tblCellMar>
        </w:tblPrEx>
        <w:trPr>
          <w:trHeight w:val="270" w:hRule="atLeast"/>
        </w:trPr>
        <w:tc>
          <w:tcPr>
            <w:tcW w:w="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序号</w:t>
            </w:r>
          </w:p>
        </w:tc>
        <w:tc>
          <w:tcPr>
            <w:tcW w:w="165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名称</w:t>
            </w:r>
          </w:p>
        </w:tc>
        <w:tc>
          <w:tcPr>
            <w:tcW w:w="425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hAnsi="宋体" w:cs="宋体" w:eastAsiaTheme="minorEastAsia"/>
                <w:color w:val="000000"/>
                <w:kern w:val="0"/>
                <w:sz w:val="20"/>
                <w:szCs w:val="20"/>
                <w:lang w:eastAsia="zh-CN"/>
              </w:rPr>
            </w:pPr>
            <w:r>
              <w:rPr>
                <w:rFonts w:hint="eastAsia" w:hAnsi="宋体" w:cs="宋体"/>
                <w:color w:val="000000"/>
                <w:kern w:val="0"/>
                <w:sz w:val="20"/>
                <w:szCs w:val="20"/>
                <w:lang w:val="en-US" w:eastAsia="zh-CN"/>
              </w:rPr>
              <w:t>功能</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数量</w:t>
            </w:r>
          </w:p>
        </w:tc>
        <w:tc>
          <w:tcPr>
            <w:tcW w:w="78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单位</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1</w:t>
            </w:r>
          </w:p>
        </w:tc>
        <w:tc>
          <w:tcPr>
            <w:tcW w:w="1652" w:type="dxa"/>
            <w:vMerge w:val="restart"/>
            <w:tcBorders>
              <w:top w:val="nil"/>
              <w:left w:val="nil"/>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云服务器</w:t>
            </w:r>
          </w:p>
          <w:p>
            <w:pPr>
              <w:spacing w:line="240" w:lineRule="auto"/>
              <w:ind w:firstLine="400"/>
              <w:jc w:val="left"/>
              <w:rPr>
                <w:rFonts w:hAnsi="宋体" w:cs="宋体"/>
                <w:kern w:val="0"/>
                <w:sz w:val="20"/>
                <w:szCs w:val="20"/>
              </w:rPr>
            </w:pP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云服务器计算集群</w:t>
            </w:r>
          </w:p>
        </w:tc>
        <w:tc>
          <w:tcPr>
            <w:tcW w:w="99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512</w:t>
            </w:r>
          </w:p>
        </w:tc>
        <w:tc>
          <w:tcPr>
            <w:tcW w:w="78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core</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2</w:t>
            </w:r>
          </w:p>
        </w:tc>
        <w:tc>
          <w:tcPr>
            <w:tcW w:w="1652" w:type="dxa"/>
            <w:vMerge w:val="continue"/>
            <w:tcBorders>
              <w:left w:val="nil"/>
              <w:right w:val="single" w:color="auto" w:sz="4" w:space="0"/>
            </w:tcBorders>
            <w:shd w:val="clear" w:color="auto" w:fill="auto"/>
            <w:vAlign w:val="center"/>
          </w:tcPr>
          <w:p>
            <w:pPr>
              <w:spacing w:line="240" w:lineRule="auto"/>
              <w:ind w:firstLine="400"/>
              <w:jc w:val="left"/>
              <w:rPr>
                <w:rFonts w:hAnsi="宋体" w:cs="宋体"/>
                <w:kern w:val="0"/>
                <w:sz w:val="20"/>
                <w:szCs w:val="20"/>
              </w:rPr>
            </w:pP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弹性伸缩功能</w:t>
            </w:r>
          </w:p>
        </w:tc>
        <w:tc>
          <w:tcPr>
            <w:tcW w:w="99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512</w:t>
            </w:r>
          </w:p>
        </w:tc>
        <w:tc>
          <w:tcPr>
            <w:tcW w:w="78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core</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3</w:t>
            </w:r>
          </w:p>
        </w:tc>
        <w:tc>
          <w:tcPr>
            <w:tcW w:w="1652" w:type="dxa"/>
            <w:vMerge w:val="continue"/>
            <w:tcBorders>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资源编排</w:t>
            </w:r>
          </w:p>
        </w:tc>
        <w:tc>
          <w:tcPr>
            <w:tcW w:w="99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512</w:t>
            </w:r>
          </w:p>
        </w:tc>
        <w:tc>
          <w:tcPr>
            <w:tcW w:w="78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core</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4</w:t>
            </w:r>
          </w:p>
        </w:tc>
        <w:tc>
          <w:tcPr>
            <w:tcW w:w="1652" w:type="dxa"/>
            <w:vMerge w:val="restart"/>
            <w:tcBorders>
              <w:top w:val="nil"/>
              <w:left w:val="nil"/>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云存储</w:t>
            </w: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块存储</w:t>
            </w:r>
          </w:p>
        </w:tc>
        <w:tc>
          <w:tcPr>
            <w:tcW w:w="99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432</w:t>
            </w:r>
          </w:p>
        </w:tc>
        <w:tc>
          <w:tcPr>
            <w:tcW w:w="78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TB</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5</w:t>
            </w:r>
          </w:p>
        </w:tc>
        <w:tc>
          <w:tcPr>
            <w:tcW w:w="1652" w:type="dxa"/>
            <w:vMerge w:val="continue"/>
            <w:tcBorders>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对象存储</w:t>
            </w:r>
          </w:p>
        </w:tc>
        <w:tc>
          <w:tcPr>
            <w:tcW w:w="99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432</w:t>
            </w:r>
          </w:p>
        </w:tc>
        <w:tc>
          <w:tcPr>
            <w:tcW w:w="78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TB</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6</w:t>
            </w:r>
          </w:p>
        </w:tc>
        <w:tc>
          <w:tcPr>
            <w:tcW w:w="16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备份服务</w:t>
            </w: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专有云云服务器整机备份</w:t>
            </w:r>
          </w:p>
        </w:tc>
        <w:tc>
          <w:tcPr>
            <w:tcW w:w="99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1</w:t>
            </w:r>
          </w:p>
        </w:tc>
        <w:tc>
          <w:tcPr>
            <w:tcW w:w="78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套</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7</w:t>
            </w:r>
          </w:p>
        </w:tc>
        <w:tc>
          <w:tcPr>
            <w:tcW w:w="16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专有云DNS</w:t>
            </w: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DNS轻量化基础版</w:t>
            </w:r>
          </w:p>
        </w:tc>
        <w:tc>
          <w:tcPr>
            <w:tcW w:w="99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1</w:t>
            </w:r>
          </w:p>
        </w:tc>
        <w:tc>
          <w:tcPr>
            <w:tcW w:w="78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套</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8</w:t>
            </w:r>
          </w:p>
        </w:tc>
        <w:tc>
          <w:tcPr>
            <w:tcW w:w="16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负载均衡</w:t>
            </w: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负载均衡 (专有云)基础软件包-物理机版</w:t>
            </w:r>
          </w:p>
        </w:tc>
        <w:tc>
          <w:tcPr>
            <w:tcW w:w="99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1</w:t>
            </w:r>
          </w:p>
        </w:tc>
        <w:tc>
          <w:tcPr>
            <w:tcW w:w="78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套</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9</w:t>
            </w:r>
          </w:p>
        </w:tc>
        <w:tc>
          <w:tcPr>
            <w:tcW w:w="1652" w:type="dxa"/>
            <w:vMerge w:val="restart"/>
            <w:tcBorders>
              <w:top w:val="nil"/>
              <w:left w:val="nil"/>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虚拟专有网络</w:t>
            </w: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专有网络(专有云)基础网络服务包</w:t>
            </w:r>
          </w:p>
        </w:tc>
        <w:tc>
          <w:tcPr>
            <w:tcW w:w="99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1</w:t>
            </w:r>
          </w:p>
        </w:tc>
        <w:tc>
          <w:tcPr>
            <w:tcW w:w="78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套</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10</w:t>
            </w:r>
          </w:p>
        </w:tc>
        <w:tc>
          <w:tcPr>
            <w:tcW w:w="1652" w:type="dxa"/>
            <w:vMerge w:val="continue"/>
            <w:tcBorders>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专有网络(专有云)云服务器虚拟网络特性包</w:t>
            </w:r>
          </w:p>
        </w:tc>
        <w:tc>
          <w:tcPr>
            <w:tcW w:w="99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512</w:t>
            </w:r>
          </w:p>
        </w:tc>
        <w:tc>
          <w:tcPr>
            <w:tcW w:w="78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core</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11</w:t>
            </w:r>
          </w:p>
        </w:tc>
        <w:tc>
          <w:tcPr>
            <w:tcW w:w="16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大数据展示平台</w:t>
            </w: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大数据展示平台</w:t>
            </w:r>
          </w:p>
        </w:tc>
        <w:tc>
          <w:tcPr>
            <w:tcW w:w="99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1</w:t>
            </w:r>
          </w:p>
        </w:tc>
        <w:tc>
          <w:tcPr>
            <w:tcW w:w="78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套</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12</w:t>
            </w:r>
          </w:p>
        </w:tc>
        <w:tc>
          <w:tcPr>
            <w:tcW w:w="1652" w:type="dxa"/>
            <w:vMerge w:val="restart"/>
            <w:tcBorders>
              <w:top w:val="nil"/>
              <w:left w:val="nil"/>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大数据开发平台</w:t>
            </w: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迁移助手-标准版</w:t>
            </w:r>
          </w:p>
        </w:tc>
        <w:tc>
          <w:tcPr>
            <w:tcW w:w="99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1</w:t>
            </w:r>
          </w:p>
        </w:tc>
        <w:tc>
          <w:tcPr>
            <w:tcW w:w="78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套</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13</w:t>
            </w:r>
          </w:p>
        </w:tc>
        <w:tc>
          <w:tcPr>
            <w:tcW w:w="1652" w:type="dxa"/>
            <w:vMerge w:val="continue"/>
            <w:tcBorders>
              <w:left w:val="nil"/>
              <w:right w:val="single" w:color="auto" w:sz="4" w:space="0"/>
            </w:tcBorders>
            <w:shd w:val="clear" w:color="auto" w:fill="auto"/>
            <w:vAlign w:val="center"/>
          </w:tcPr>
          <w:p>
            <w:pPr>
              <w:spacing w:line="240" w:lineRule="auto"/>
              <w:ind w:firstLine="400"/>
              <w:jc w:val="left"/>
              <w:rPr>
                <w:rFonts w:hAnsi="宋体" w:cs="宋体"/>
                <w:kern w:val="0"/>
                <w:sz w:val="20"/>
                <w:szCs w:val="20"/>
              </w:rPr>
            </w:pP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调度/数据集成资源组</w:t>
            </w:r>
          </w:p>
        </w:tc>
        <w:tc>
          <w:tcPr>
            <w:tcW w:w="99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64</w:t>
            </w:r>
          </w:p>
        </w:tc>
        <w:tc>
          <w:tcPr>
            <w:tcW w:w="78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core</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14</w:t>
            </w:r>
          </w:p>
        </w:tc>
        <w:tc>
          <w:tcPr>
            <w:tcW w:w="1652" w:type="dxa"/>
            <w:vMerge w:val="continue"/>
            <w:tcBorders>
              <w:left w:val="nil"/>
              <w:right w:val="single" w:color="auto" w:sz="4" w:space="0"/>
            </w:tcBorders>
            <w:shd w:val="clear" w:color="auto" w:fill="auto"/>
            <w:vAlign w:val="center"/>
          </w:tcPr>
          <w:p>
            <w:pPr>
              <w:spacing w:line="240" w:lineRule="auto"/>
              <w:ind w:firstLine="400"/>
              <w:jc w:val="left"/>
              <w:rPr>
                <w:rFonts w:hAnsi="宋体" w:cs="宋体"/>
                <w:kern w:val="0"/>
                <w:sz w:val="20"/>
                <w:szCs w:val="20"/>
              </w:rPr>
            </w:pP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数据服务资源组</w:t>
            </w:r>
          </w:p>
        </w:tc>
        <w:tc>
          <w:tcPr>
            <w:tcW w:w="99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8</w:t>
            </w:r>
          </w:p>
        </w:tc>
        <w:tc>
          <w:tcPr>
            <w:tcW w:w="78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core</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15</w:t>
            </w:r>
          </w:p>
        </w:tc>
        <w:tc>
          <w:tcPr>
            <w:tcW w:w="1652" w:type="dxa"/>
            <w:vMerge w:val="continue"/>
            <w:tcBorders>
              <w:left w:val="nil"/>
              <w:right w:val="single" w:color="auto" w:sz="4" w:space="0"/>
            </w:tcBorders>
            <w:shd w:val="clear" w:color="auto" w:fill="auto"/>
            <w:vAlign w:val="center"/>
          </w:tcPr>
          <w:p>
            <w:pPr>
              <w:spacing w:line="240" w:lineRule="auto"/>
              <w:ind w:firstLine="400"/>
              <w:jc w:val="left"/>
              <w:rPr>
                <w:rFonts w:hAnsi="宋体" w:cs="宋体"/>
                <w:kern w:val="0"/>
                <w:sz w:val="20"/>
                <w:szCs w:val="20"/>
              </w:rPr>
            </w:pP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用户服务器</w:t>
            </w:r>
          </w:p>
        </w:tc>
        <w:tc>
          <w:tcPr>
            <w:tcW w:w="99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1</w:t>
            </w:r>
          </w:p>
        </w:tc>
        <w:tc>
          <w:tcPr>
            <w:tcW w:w="78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套</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16</w:t>
            </w:r>
          </w:p>
        </w:tc>
        <w:tc>
          <w:tcPr>
            <w:tcW w:w="1652" w:type="dxa"/>
            <w:vMerge w:val="continue"/>
            <w:tcBorders>
              <w:left w:val="nil"/>
              <w:right w:val="single" w:color="auto" w:sz="4" w:space="0"/>
            </w:tcBorders>
            <w:shd w:val="clear" w:color="auto" w:fill="auto"/>
            <w:vAlign w:val="center"/>
          </w:tcPr>
          <w:p>
            <w:pPr>
              <w:spacing w:line="240" w:lineRule="auto"/>
              <w:ind w:firstLine="400"/>
              <w:jc w:val="left"/>
              <w:rPr>
                <w:rFonts w:hAnsi="宋体" w:cs="宋体"/>
                <w:kern w:val="0"/>
                <w:sz w:val="20"/>
                <w:szCs w:val="20"/>
              </w:rPr>
            </w:pP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数据开发-调度引擎扩容包</w:t>
            </w:r>
          </w:p>
        </w:tc>
        <w:tc>
          <w:tcPr>
            <w:tcW w:w="99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1</w:t>
            </w:r>
          </w:p>
        </w:tc>
        <w:tc>
          <w:tcPr>
            <w:tcW w:w="78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套</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17</w:t>
            </w:r>
          </w:p>
        </w:tc>
        <w:tc>
          <w:tcPr>
            <w:tcW w:w="1652" w:type="dxa"/>
            <w:vMerge w:val="continue"/>
            <w:tcBorders>
              <w:left w:val="nil"/>
              <w:right w:val="single" w:color="auto" w:sz="4" w:space="0"/>
            </w:tcBorders>
            <w:shd w:val="clear" w:color="auto" w:fill="auto"/>
            <w:vAlign w:val="center"/>
          </w:tcPr>
          <w:p>
            <w:pPr>
              <w:spacing w:line="240" w:lineRule="auto"/>
              <w:ind w:firstLine="400"/>
              <w:jc w:val="left"/>
              <w:rPr>
                <w:rFonts w:hAnsi="宋体" w:cs="宋体"/>
                <w:kern w:val="0"/>
                <w:sz w:val="20"/>
                <w:szCs w:val="20"/>
              </w:rPr>
            </w:pP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数据开发-标准版</w:t>
            </w:r>
          </w:p>
        </w:tc>
        <w:tc>
          <w:tcPr>
            <w:tcW w:w="99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1</w:t>
            </w:r>
          </w:p>
        </w:tc>
        <w:tc>
          <w:tcPr>
            <w:tcW w:w="78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套</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18</w:t>
            </w:r>
          </w:p>
        </w:tc>
        <w:tc>
          <w:tcPr>
            <w:tcW w:w="1652" w:type="dxa"/>
            <w:vMerge w:val="continue"/>
            <w:tcBorders>
              <w:left w:val="nil"/>
              <w:right w:val="single" w:color="auto" w:sz="4" w:space="0"/>
            </w:tcBorders>
            <w:shd w:val="clear" w:color="auto" w:fill="auto"/>
            <w:vAlign w:val="center"/>
          </w:tcPr>
          <w:p>
            <w:pPr>
              <w:spacing w:line="240" w:lineRule="auto"/>
              <w:ind w:firstLine="400"/>
              <w:jc w:val="left"/>
              <w:rPr>
                <w:rFonts w:hAnsi="宋体" w:cs="宋体"/>
                <w:kern w:val="0"/>
                <w:sz w:val="20"/>
                <w:szCs w:val="20"/>
              </w:rPr>
            </w:pP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数据资产治理-标准版</w:t>
            </w:r>
          </w:p>
        </w:tc>
        <w:tc>
          <w:tcPr>
            <w:tcW w:w="99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1</w:t>
            </w:r>
          </w:p>
        </w:tc>
        <w:tc>
          <w:tcPr>
            <w:tcW w:w="78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套</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19</w:t>
            </w:r>
          </w:p>
        </w:tc>
        <w:tc>
          <w:tcPr>
            <w:tcW w:w="1652" w:type="dxa"/>
            <w:vMerge w:val="continue"/>
            <w:tcBorders>
              <w:left w:val="nil"/>
              <w:right w:val="single" w:color="auto" w:sz="4" w:space="0"/>
            </w:tcBorders>
            <w:shd w:val="clear" w:color="auto" w:fill="auto"/>
            <w:vAlign w:val="center"/>
          </w:tcPr>
          <w:p>
            <w:pPr>
              <w:spacing w:line="240" w:lineRule="auto"/>
              <w:ind w:firstLine="400"/>
              <w:jc w:val="left"/>
              <w:rPr>
                <w:rFonts w:hAnsi="宋体" w:cs="宋体"/>
                <w:kern w:val="0"/>
                <w:sz w:val="20"/>
                <w:szCs w:val="20"/>
              </w:rPr>
            </w:pP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数据集成-标准版</w:t>
            </w:r>
          </w:p>
        </w:tc>
        <w:tc>
          <w:tcPr>
            <w:tcW w:w="99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1</w:t>
            </w:r>
          </w:p>
        </w:tc>
        <w:tc>
          <w:tcPr>
            <w:tcW w:w="78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套</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20</w:t>
            </w:r>
          </w:p>
        </w:tc>
        <w:tc>
          <w:tcPr>
            <w:tcW w:w="1652" w:type="dxa"/>
            <w:vMerge w:val="continue"/>
            <w:tcBorders>
              <w:left w:val="nil"/>
              <w:right w:val="single" w:color="auto" w:sz="4" w:space="0"/>
            </w:tcBorders>
            <w:shd w:val="clear" w:color="auto" w:fill="auto"/>
            <w:vAlign w:val="center"/>
          </w:tcPr>
          <w:p>
            <w:pPr>
              <w:spacing w:line="240" w:lineRule="auto"/>
              <w:ind w:firstLine="400"/>
              <w:jc w:val="left"/>
              <w:rPr>
                <w:rFonts w:hAnsi="宋体" w:cs="宋体"/>
                <w:kern w:val="0"/>
                <w:sz w:val="20"/>
                <w:szCs w:val="20"/>
              </w:rPr>
            </w:pP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数据稳定性治理-标准版</w:t>
            </w:r>
          </w:p>
        </w:tc>
        <w:tc>
          <w:tcPr>
            <w:tcW w:w="99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1</w:t>
            </w:r>
          </w:p>
        </w:tc>
        <w:tc>
          <w:tcPr>
            <w:tcW w:w="78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套</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21</w:t>
            </w:r>
          </w:p>
        </w:tc>
        <w:tc>
          <w:tcPr>
            <w:tcW w:w="1652" w:type="dxa"/>
            <w:vMerge w:val="continue"/>
            <w:tcBorders>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数据服务-标准版</w:t>
            </w:r>
          </w:p>
        </w:tc>
        <w:tc>
          <w:tcPr>
            <w:tcW w:w="99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1</w:t>
            </w:r>
          </w:p>
        </w:tc>
        <w:tc>
          <w:tcPr>
            <w:tcW w:w="78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套</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22</w:t>
            </w:r>
          </w:p>
        </w:tc>
        <w:tc>
          <w:tcPr>
            <w:tcW w:w="1652" w:type="dxa"/>
            <w:vMerge w:val="restart"/>
            <w:tcBorders>
              <w:top w:val="nil"/>
              <w:left w:val="nil"/>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大数据计算服务</w:t>
            </w:r>
          </w:p>
          <w:p>
            <w:pPr>
              <w:spacing w:line="240" w:lineRule="auto"/>
              <w:ind w:firstLine="400"/>
              <w:jc w:val="left"/>
              <w:rPr>
                <w:rFonts w:hAnsi="宋体" w:cs="宋体"/>
                <w:kern w:val="0"/>
                <w:sz w:val="20"/>
                <w:szCs w:val="20"/>
              </w:rPr>
            </w:pP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大数据计算服务基础功能</w:t>
            </w:r>
          </w:p>
        </w:tc>
        <w:tc>
          <w:tcPr>
            <w:tcW w:w="99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520</w:t>
            </w:r>
          </w:p>
        </w:tc>
        <w:tc>
          <w:tcPr>
            <w:tcW w:w="78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core</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23</w:t>
            </w:r>
          </w:p>
        </w:tc>
        <w:tc>
          <w:tcPr>
            <w:tcW w:w="1652" w:type="dxa"/>
            <w:vMerge w:val="continue"/>
            <w:tcBorders>
              <w:left w:val="nil"/>
              <w:right w:val="single" w:color="auto" w:sz="4" w:space="0"/>
            </w:tcBorders>
            <w:shd w:val="clear" w:color="auto" w:fill="auto"/>
            <w:vAlign w:val="center"/>
          </w:tcPr>
          <w:p>
            <w:pPr>
              <w:spacing w:line="240" w:lineRule="auto"/>
              <w:ind w:firstLine="400"/>
              <w:jc w:val="left"/>
              <w:rPr>
                <w:rFonts w:hAnsi="宋体" w:cs="宋体"/>
                <w:kern w:val="0"/>
                <w:sz w:val="20"/>
                <w:szCs w:val="20"/>
              </w:rPr>
            </w:pP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大数据计算服务联合计算增强包</w:t>
            </w:r>
          </w:p>
        </w:tc>
        <w:tc>
          <w:tcPr>
            <w:tcW w:w="99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520</w:t>
            </w:r>
          </w:p>
        </w:tc>
        <w:tc>
          <w:tcPr>
            <w:tcW w:w="78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core</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24</w:t>
            </w:r>
          </w:p>
        </w:tc>
        <w:tc>
          <w:tcPr>
            <w:tcW w:w="1652" w:type="dxa"/>
            <w:vMerge w:val="continue"/>
            <w:tcBorders>
              <w:left w:val="nil"/>
              <w:right w:val="single" w:color="auto" w:sz="4" w:space="0"/>
            </w:tcBorders>
            <w:shd w:val="clear" w:color="auto" w:fill="auto"/>
            <w:vAlign w:val="center"/>
          </w:tcPr>
          <w:p>
            <w:pPr>
              <w:spacing w:line="240" w:lineRule="auto"/>
              <w:ind w:firstLine="400"/>
              <w:jc w:val="left"/>
              <w:rPr>
                <w:rFonts w:hAnsi="宋体" w:cs="宋体"/>
                <w:kern w:val="0"/>
                <w:sz w:val="20"/>
                <w:szCs w:val="20"/>
              </w:rPr>
            </w:pP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大数据计算服务高性能离线加速增强包</w:t>
            </w:r>
          </w:p>
        </w:tc>
        <w:tc>
          <w:tcPr>
            <w:tcW w:w="99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520</w:t>
            </w:r>
          </w:p>
        </w:tc>
        <w:tc>
          <w:tcPr>
            <w:tcW w:w="78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core</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25</w:t>
            </w:r>
          </w:p>
        </w:tc>
        <w:tc>
          <w:tcPr>
            <w:tcW w:w="1652" w:type="dxa"/>
            <w:vMerge w:val="continue"/>
            <w:tcBorders>
              <w:left w:val="nil"/>
              <w:right w:val="single" w:color="auto" w:sz="4" w:space="0"/>
            </w:tcBorders>
            <w:shd w:val="clear" w:color="auto" w:fill="auto"/>
            <w:vAlign w:val="center"/>
          </w:tcPr>
          <w:p>
            <w:pPr>
              <w:spacing w:line="240" w:lineRule="auto"/>
              <w:ind w:firstLine="400"/>
              <w:jc w:val="left"/>
              <w:rPr>
                <w:rFonts w:hAnsi="宋体" w:cs="宋体"/>
                <w:kern w:val="0"/>
                <w:sz w:val="20"/>
                <w:szCs w:val="20"/>
              </w:rPr>
            </w:pP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大数据计算服务 Mars科学计算增强包</w:t>
            </w:r>
          </w:p>
        </w:tc>
        <w:tc>
          <w:tcPr>
            <w:tcW w:w="99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520</w:t>
            </w:r>
          </w:p>
        </w:tc>
        <w:tc>
          <w:tcPr>
            <w:tcW w:w="78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core</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26</w:t>
            </w:r>
          </w:p>
        </w:tc>
        <w:tc>
          <w:tcPr>
            <w:tcW w:w="1652" w:type="dxa"/>
            <w:vMerge w:val="continue"/>
            <w:tcBorders>
              <w:left w:val="nil"/>
              <w:right w:val="single" w:color="auto" w:sz="4" w:space="0"/>
            </w:tcBorders>
            <w:shd w:val="clear" w:color="auto" w:fill="auto"/>
            <w:vAlign w:val="center"/>
          </w:tcPr>
          <w:p>
            <w:pPr>
              <w:spacing w:line="240" w:lineRule="auto"/>
              <w:ind w:firstLine="400"/>
              <w:jc w:val="left"/>
              <w:rPr>
                <w:rFonts w:hAnsi="宋体" w:cs="宋体"/>
                <w:kern w:val="0"/>
                <w:sz w:val="20"/>
                <w:szCs w:val="20"/>
              </w:rPr>
            </w:pP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大数据计算服务智能元数据软件增强包</w:t>
            </w:r>
          </w:p>
        </w:tc>
        <w:tc>
          <w:tcPr>
            <w:tcW w:w="99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520</w:t>
            </w:r>
          </w:p>
        </w:tc>
        <w:tc>
          <w:tcPr>
            <w:tcW w:w="78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core</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27</w:t>
            </w:r>
          </w:p>
        </w:tc>
        <w:tc>
          <w:tcPr>
            <w:tcW w:w="1652" w:type="dxa"/>
            <w:vMerge w:val="continue"/>
            <w:tcBorders>
              <w:left w:val="nil"/>
              <w:right w:val="single" w:color="auto" w:sz="4" w:space="0"/>
            </w:tcBorders>
            <w:shd w:val="clear" w:color="auto" w:fill="auto"/>
            <w:vAlign w:val="center"/>
          </w:tcPr>
          <w:p>
            <w:pPr>
              <w:spacing w:line="240" w:lineRule="auto"/>
              <w:ind w:firstLine="400"/>
              <w:jc w:val="left"/>
              <w:rPr>
                <w:rFonts w:hAnsi="宋体" w:cs="宋体"/>
                <w:kern w:val="0"/>
                <w:sz w:val="20"/>
                <w:szCs w:val="20"/>
              </w:rPr>
            </w:pP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大数据计算服务数据迁移备份工具</w:t>
            </w:r>
          </w:p>
        </w:tc>
        <w:tc>
          <w:tcPr>
            <w:tcW w:w="99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1</w:t>
            </w:r>
          </w:p>
        </w:tc>
        <w:tc>
          <w:tcPr>
            <w:tcW w:w="78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套</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28</w:t>
            </w:r>
          </w:p>
        </w:tc>
        <w:tc>
          <w:tcPr>
            <w:tcW w:w="1652" w:type="dxa"/>
            <w:vMerge w:val="continue"/>
            <w:tcBorders>
              <w:left w:val="nil"/>
              <w:right w:val="single" w:color="auto" w:sz="4" w:space="0"/>
            </w:tcBorders>
            <w:shd w:val="clear" w:color="auto" w:fill="auto"/>
            <w:vAlign w:val="center"/>
          </w:tcPr>
          <w:p>
            <w:pPr>
              <w:spacing w:line="240" w:lineRule="auto"/>
              <w:ind w:firstLine="400"/>
              <w:jc w:val="left"/>
              <w:rPr>
                <w:rFonts w:hAnsi="宋体" w:cs="宋体"/>
                <w:kern w:val="0"/>
                <w:sz w:val="20"/>
                <w:szCs w:val="20"/>
              </w:rPr>
            </w:pP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大数据计算服务智能存储增强包</w:t>
            </w:r>
          </w:p>
        </w:tc>
        <w:tc>
          <w:tcPr>
            <w:tcW w:w="99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520</w:t>
            </w:r>
          </w:p>
        </w:tc>
        <w:tc>
          <w:tcPr>
            <w:tcW w:w="78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core</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29</w:t>
            </w:r>
          </w:p>
        </w:tc>
        <w:tc>
          <w:tcPr>
            <w:tcW w:w="1652" w:type="dxa"/>
            <w:vMerge w:val="continue"/>
            <w:tcBorders>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大数据计算服务实时计算增强包</w:t>
            </w:r>
          </w:p>
        </w:tc>
        <w:tc>
          <w:tcPr>
            <w:tcW w:w="99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520</w:t>
            </w:r>
          </w:p>
        </w:tc>
        <w:tc>
          <w:tcPr>
            <w:tcW w:w="78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core</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30</w:t>
            </w:r>
          </w:p>
        </w:tc>
        <w:tc>
          <w:tcPr>
            <w:tcW w:w="1652" w:type="dxa"/>
            <w:vMerge w:val="restart"/>
            <w:tcBorders>
              <w:top w:val="nil"/>
              <w:left w:val="nil"/>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大数据管理平台</w:t>
            </w: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通用运维-轻量版</w:t>
            </w:r>
          </w:p>
        </w:tc>
        <w:tc>
          <w:tcPr>
            <w:tcW w:w="99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3</w:t>
            </w:r>
          </w:p>
        </w:tc>
        <w:tc>
          <w:tcPr>
            <w:tcW w:w="78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台</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31</w:t>
            </w:r>
          </w:p>
        </w:tc>
        <w:tc>
          <w:tcPr>
            <w:tcW w:w="1652" w:type="dxa"/>
            <w:vMerge w:val="continue"/>
            <w:tcBorders>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通用运维-标准版</w:t>
            </w:r>
          </w:p>
        </w:tc>
        <w:tc>
          <w:tcPr>
            <w:tcW w:w="99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12</w:t>
            </w:r>
          </w:p>
        </w:tc>
        <w:tc>
          <w:tcPr>
            <w:tcW w:w="78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台</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32</w:t>
            </w:r>
          </w:p>
        </w:tc>
        <w:tc>
          <w:tcPr>
            <w:tcW w:w="16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实时计算</w:t>
            </w: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实时计算企业版</w:t>
            </w:r>
          </w:p>
        </w:tc>
        <w:tc>
          <w:tcPr>
            <w:tcW w:w="99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72</w:t>
            </w:r>
          </w:p>
        </w:tc>
        <w:tc>
          <w:tcPr>
            <w:tcW w:w="78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core</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33</w:t>
            </w:r>
          </w:p>
        </w:tc>
        <w:tc>
          <w:tcPr>
            <w:tcW w:w="16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API网关软件</w:t>
            </w: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API网关专有云轻量版</w:t>
            </w:r>
          </w:p>
        </w:tc>
        <w:tc>
          <w:tcPr>
            <w:tcW w:w="99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1</w:t>
            </w:r>
          </w:p>
        </w:tc>
        <w:tc>
          <w:tcPr>
            <w:tcW w:w="78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套</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34</w:t>
            </w:r>
          </w:p>
        </w:tc>
        <w:tc>
          <w:tcPr>
            <w:tcW w:w="1652" w:type="dxa"/>
            <w:vMerge w:val="restart"/>
            <w:tcBorders>
              <w:top w:val="nil"/>
              <w:left w:val="nil"/>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容器服务</w:t>
            </w: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容器服务 基础版</w:t>
            </w:r>
          </w:p>
        </w:tc>
        <w:tc>
          <w:tcPr>
            <w:tcW w:w="99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1</w:t>
            </w:r>
          </w:p>
        </w:tc>
        <w:tc>
          <w:tcPr>
            <w:tcW w:w="78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套</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35</w:t>
            </w:r>
          </w:p>
        </w:tc>
        <w:tc>
          <w:tcPr>
            <w:tcW w:w="1652" w:type="dxa"/>
            <w:vMerge w:val="continue"/>
            <w:tcBorders>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容器镜像服务标准版</w:t>
            </w:r>
          </w:p>
        </w:tc>
        <w:tc>
          <w:tcPr>
            <w:tcW w:w="99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1</w:t>
            </w:r>
          </w:p>
        </w:tc>
        <w:tc>
          <w:tcPr>
            <w:tcW w:w="78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套</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36</w:t>
            </w:r>
          </w:p>
        </w:tc>
        <w:tc>
          <w:tcPr>
            <w:tcW w:w="16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灾备管理中心</w:t>
            </w: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ASR备份和恢复版</w:t>
            </w:r>
          </w:p>
        </w:tc>
        <w:tc>
          <w:tcPr>
            <w:tcW w:w="99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1</w:t>
            </w:r>
          </w:p>
        </w:tc>
        <w:tc>
          <w:tcPr>
            <w:tcW w:w="78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套</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37</w:t>
            </w:r>
          </w:p>
        </w:tc>
        <w:tc>
          <w:tcPr>
            <w:tcW w:w="1652" w:type="dxa"/>
            <w:tcBorders>
              <w:top w:val="nil"/>
              <w:left w:val="nil"/>
              <w:bottom w:val="single" w:color="auto" w:sz="4" w:space="0"/>
              <w:right w:val="single" w:color="auto" w:sz="4" w:space="0"/>
            </w:tcBorders>
            <w:shd w:val="clear" w:color="000000" w:fill="FFFFFF"/>
            <w:vAlign w:val="bottom"/>
          </w:tcPr>
          <w:p>
            <w:pPr>
              <w:widowControl/>
              <w:spacing w:line="240" w:lineRule="auto"/>
              <w:ind w:firstLine="0" w:firstLineChars="0"/>
              <w:jc w:val="left"/>
              <w:rPr>
                <w:rFonts w:hAnsi="宋体" w:cs="宋体"/>
                <w:color w:val="000000"/>
                <w:kern w:val="0"/>
                <w:sz w:val="20"/>
                <w:szCs w:val="20"/>
              </w:rPr>
            </w:pPr>
            <w:r>
              <w:rPr>
                <w:rFonts w:hint="eastAsia" w:hAnsi="宋体" w:cs="宋体"/>
                <w:color w:val="000000"/>
                <w:kern w:val="0"/>
                <w:sz w:val="20"/>
                <w:szCs w:val="20"/>
              </w:rPr>
              <w:t>混合云管平台</w:t>
            </w:r>
          </w:p>
        </w:tc>
        <w:tc>
          <w:tcPr>
            <w:tcW w:w="4253" w:type="dxa"/>
            <w:tcBorders>
              <w:top w:val="nil"/>
              <w:left w:val="nil"/>
              <w:bottom w:val="single" w:color="auto" w:sz="4" w:space="0"/>
              <w:right w:val="single" w:color="auto" w:sz="4" w:space="0"/>
            </w:tcBorders>
            <w:shd w:val="clear" w:color="000000" w:fill="FFFFFF"/>
            <w:vAlign w:val="bottom"/>
          </w:tcPr>
          <w:p>
            <w:pPr>
              <w:widowControl/>
              <w:spacing w:line="240" w:lineRule="auto"/>
              <w:ind w:firstLine="0" w:firstLineChars="0"/>
              <w:jc w:val="left"/>
              <w:rPr>
                <w:rFonts w:hAnsi="宋体" w:cs="宋体"/>
                <w:color w:val="000000"/>
                <w:kern w:val="0"/>
                <w:sz w:val="20"/>
                <w:szCs w:val="20"/>
              </w:rPr>
            </w:pPr>
            <w:r>
              <w:rPr>
                <w:rFonts w:hint="eastAsia" w:hAnsi="宋体" w:cs="宋体"/>
                <w:color w:val="000000"/>
                <w:kern w:val="0"/>
                <w:sz w:val="20"/>
                <w:szCs w:val="20"/>
              </w:rPr>
              <w:t>混合云运营管理</w:t>
            </w:r>
          </w:p>
        </w:tc>
        <w:tc>
          <w:tcPr>
            <w:tcW w:w="99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1</w:t>
            </w:r>
          </w:p>
        </w:tc>
        <w:tc>
          <w:tcPr>
            <w:tcW w:w="78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套</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38</w:t>
            </w:r>
          </w:p>
        </w:tc>
        <w:tc>
          <w:tcPr>
            <w:tcW w:w="1652" w:type="dxa"/>
            <w:vMerge w:val="restart"/>
            <w:tcBorders>
              <w:top w:val="nil"/>
              <w:left w:val="nil"/>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专有云管理平台</w:t>
            </w: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专有云管理平台标准版软件</w:t>
            </w:r>
          </w:p>
        </w:tc>
        <w:tc>
          <w:tcPr>
            <w:tcW w:w="99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1</w:t>
            </w:r>
          </w:p>
        </w:tc>
        <w:tc>
          <w:tcPr>
            <w:tcW w:w="78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套</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39</w:t>
            </w:r>
          </w:p>
        </w:tc>
        <w:tc>
          <w:tcPr>
            <w:tcW w:w="1652" w:type="dxa"/>
            <w:vMerge w:val="continue"/>
            <w:tcBorders>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专有云管理平台标准版软件扩容包</w:t>
            </w:r>
          </w:p>
        </w:tc>
        <w:tc>
          <w:tcPr>
            <w:tcW w:w="99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1</w:t>
            </w:r>
          </w:p>
        </w:tc>
        <w:tc>
          <w:tcPr>
            <w:tcW w:w="78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套</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40</w:t>
            </w:r>
          </w:p>
        </w:tc>
        <w:tc>
          <w:tcPr>
            <w:tcW w:w="1652" w:type="dxa"/>
            <w:vMerge w:val="restart"/>
            <w:tcBorders>
              <w:top w:val="nil"/>
              <w:left w:val="nil"/>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专有云运维平台</w:t>
            </w: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专有云统一运维软件（含50节点license授权）</w:t>
            </w:r>
          </w:p>
        </w:tc>
        <w:tc>
          <w:tcPr>
            <w:tcW w:w="99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1</w:t>
            </w:r>
          </w:p>
        </w:tc>
        <w:tc>
          <w:tcPr>
            <w:tcW w:w="78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套</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41</w:t>
            </w:r>
          </w:p>
        </w:tc>
        <w:tc>
          <w:tcPr>
            <w:tcW w:w="1652" w:type="dxa"/>
            <w:vMerge w:val="continue"/>
            <w:tcBorders>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专有云统一运维软件（增加50节点license授权）</w:t>
            </w:r>
          </w:p>
        </w:tc>
        <w:tc>
          <w:tcPr>
            <w:tcW w:w="99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1</w:t>
            </w:r>
          </w:p>
        </w:tc>
        <w:tc>
          <w:tcPr>
            <w:tcW w:w="78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套</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42</w:t>
            </w:r>
          </w:p>
        </w:tc>
        <w:tc>
          <w:tcPr>
            <w:tcW w:w="16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日志服务</w:t>
            </w:r>
          </w:p>
        </w:tc>
        <w:tc>
          <w:tcPr>
            <w:tcW w:w="425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kern w:val="0"/>
                <w:sz w:val="20"/>
                <w:szCs w:val="20"/>
              </w:rPr>
            </w:pPr>
            <w:r>
              <w:rPr>
                <w:rFonts w:hint="eastAsia" w:hAnsi="宋体" w:cs="宋体"/>
                <w:kern w:val="0"/>
                <w:sz w:val="20"/>
                <w:szCs w:val="20"/>
              </w:rPr>
              <w:t>底座用日志引擎</w:t>
            </w:r>
          </w:p>
        </w:tc>
        <w:tc>
          <w:tcPr>
            <w:tcW w:w="992"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1</w:t>
            </w:r>
          </w:p>
        </w:tc>
        <w:tc>
          <w:tcPr>
            <w:tcW w:w="788"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套</w:t>
            </w:r>
          </w:p>
        </w:tc>
      </w:tr>
      <w:tr>
        <w:tblPrEx>
          <w:tblCellMar>
            <w:top w:w="0" w:type="dxa"/>
            <w:left w:w="108" w:type="dxa"/>
            <w:bottom w:w="0" w:type="dxa"/>
            <w:right w:w="108" w:type="dxa"/>
          </w:tblCellMar>
        </w:tblPrEx>
        <w:trPr>
          <w:trHeight w:val="270" w:hRule="atLeast"/>
        </w:trPr>
        <w:tc>
          <w:tcPr>
            <w:tcW w:w="8301"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 xml:space="preserve">  三、运维部署服务</w:t>
            </w:r>
          </w:p>
        </w:tc>
      </w:tr>
      <w:tr>
        <w:tblPrEx>
          <w:tblCellMar>
            <w:top w:w="0" w:type="dxa"/>
            <w:left w:w="108" w:type="dxa"/>
            <w:bottom w:w="0" w:type="dxa"/>
            <w:right w:w="108" w:type="dxa"/>
          </w:tblCellMar>
        </w:tblPrEx>
        <w:trPr>
          <w:trHeight w:val="270" w:hRule="atLeast"/>
        </w:trPr>
        <w:tc>
          <w:tcPr>
            <w:tcW w:w="61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1</w:t>
            </w:r>
          </w:p>
        </w:tc>
        <w:tc>
          <w:tcPr>
            <w:tcW w:w="5905"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0"/>
                <w:szCs w:val="20"/>
              </w:rPr>
            </w:pPr>
            <w:r>
              <w:rPr>
                <w:rFonts w:hint="eastAsia" w:hAnsi="宋体" w:cs="宋体"/>
                <w:color w:val="000000"/>
                <w:kern w:val="0"/>
                <w:sz w:val="20"/>
                <w:szCs w:val="20"/>
              </w:rPr>
              <w:t>机房工勘、方案设计、平台部署，测试，项目管理等一系列集成服务内容。</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1</w:t>
            </w:r>
          </w:p>
        </w:tc>
        <w:tc>
          <w:tcPr>
            <w:tcW w:w="7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0"/>
                <w:szCs w:val="20"/>
              </w:rPr>
            </w:pPr>
            <w:r>
              <w:rPr>
                <w:rFonts w:hint="eastAsia" w:hAnsi="宋体" w:cs="宋体"/>
                <w:color w:val="000000"/>
                <w:kern w:val="0"/>
                <w:sz w:val="20"/>
                <w:szCs w:val="20"/>
              </w:rPr>
              <w:t>批</w:t>
            </w:r>
          </w:p>
        </w:tc>
      </w:tr>
    </w:tbl>
    <w:p>
      <w:pPr>
        <w:rPr>
          <w:color w:val="000000" w:themeColor="text1"/>
          <w14:textFill>
            <w14:solidFill>
              <w14:schemeClr w14:val="tx1"/>
            </w14:solidFill>
          </w14:textFill>
        </w:rPr>
      </w:pPr>
    </w:p>
    <w:p>
      <w:pPr>
        <w:pStyle w:val="5"/>
        <w:numPr>
          <w:ilvl w:val="1"/>
          <w:numId w:val="0"/>
        </w:numPr>
        <w:ind w:leftChars="0"/>
        <w:rPr>
          <w:color w:val="000000" w:themeColor="text1"/>
          <w:sz w:val="28"/>
          <w:szCs w:val="28"/>
          <w14:textFill>
            <w14:solidFill>
              <w14:schemeClr w14:val="tx1"/>
            </w14:solidFill>
          </w14:textFill>
        </w:rPr>
      </w:pPr>
      <w:bookmarkStart w:id="34" w:name="_Toc98434330"/>
      <w:r>
        <w:rPr>
          <w:rFonts w:hint="eastAsia"/>
          <w:color w:val="000000" w:themeColor="text1"/>
          <w:sz w:val="28"/>
          <w:szCs w:val="28"/>
          <w:lang w:val="en-US" w:eastAsia="zh-CN"/>
          <w14:textFill>
            <w14:solidFill>
              <w14:schemeClr w14:val="tx1"/>
            </w14:solidFill>
          </w14:textFill>
        </w:rPr>
        <w:t xml:space="preserve">2.1 </w:t>
      </w:r>
      <w:r>
        <w:rPr>
          <w:rFonts w:hint="eastAsia"/>
          <w:color w:val="000000" w:themeColor="text1"/>
          <w:sz w:val="28"/>
          <w:szCs w:val="28"/>
          <w14:textFill>
            <w14:solidFill>
              <w14:schemeClr w14:val="tx1"/>
            </w14:solidFill>
          </w14:textFill>
        </w:rPr>
        <w:t>主要服务能力要求</w:t>
      </w:r>
      <w:bookmarkEnd w:id="34"/>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为满足本次项目建设，主要服务能力需要满足以下要求：</w:t>
      </w:r>
    </w:p>
    <w:tbl>
      <w:tblPr>
        <w:tblStyle w:val="59"/>
        <w:tblW w:w="8359" w:type="dxa"/>
        <w:tblInd w:w="0" w:type="dxa"/>
        <w:tblLayout w:type="fixed"/>
        <w:tblCellMar>
          <w:top w:w="0" w:type="dxa"/>
          <w:left w:w="108" w:type="dxa"/>
          <w:bottom w:w="0" w:type="dxa"/>
          <w:right w:w="108" w:type="dxa"/>
        </w:tblCellMar>
      </w:tblPr>
      <w:tblGrid>
        <w:gridCol w:w="2263"/>
        <w:gridCol w:w="6096"/>
      </w:tblGrid>
      <w:tr>
        <w:tblPrEx>
          <w:tblCellMar>
            <w:top w:w="0" w:type="dxa"/>
            <w:left w:w="108" w:type="dxa"/>
            <w:bottom w:w="0" w:type="dxa"/>
            <w:right w:w="108" w:type="dxa"/>
          </w:tblCellMar>
        </w:tblPrEx>
        <w:trPr>
          <w:trHeight w:val="300" w:hRule="atLeast"/>
        </w:trPr>
        <w:tc>
          <w:tcPr>
            <w:tcW w:w="2263"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产品名称</w:t>
            </w:r>
          </w:p>
        </w:tc>
        <w:tc>
          <w:tcPr>
            <w:tcW w:w="6096" w:type="dxa"/>
            <w:tcBorders>
              <w:top w:val="single" w:color="auto" w:sz="4" w:space="0"/>
              <w:left w:val="nil"/>
              <w:bottom w:val="single" w:color="auto" w:sz="4" w:space="0"/>
              <w:right w:val="single" w:color="auto" w:sz="4" w:space="0"/>
            </w:tcBorders>
            <w:shd w:val="clear" w:color="FFFFFF" w:fill="FFFFFF"/>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服务能力要求</w:t>
            </w:r>
          </w:p>
        </w:tc>
      </w:tr>
      <w:tr>
        <w:tblPrEx>
          <w:tblCellMar>
            <w:top w:w="0" w:type="dxa"/>
            <w:left w:w="108" w:type="dxa"/>
            <w:bottom w:w="0" w:type="dxa"/>
            <w:right w:w="108" w:type="dxa"/>
          </w:tblCellMar>
        </w:tblPrEx>
        <w:trPr>
          <w:trHeight w:val="720" w:hRule="atLeast"/>
        </w:trPr>
        <w:tc>
          <w:tcPr>
            <w:tcW w:w="226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云服务器</w:t>
            </w:r>
          </w:p>
        </w:tc>
        <w:tc>
          <w:tcPr>
            <w:tcW w:w="609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snapToGrid w:val="0"/>
                <w:color w:val="000000" w:themeColor="text1"/>
                <w14:textFill>
                  <w14:solidFill>
                    <w14:schemeClr w14:val="tx1"/>
                  </w14:solidFill>
                </w14:textFill>
              </w:rPr>
              <w:t>★</w:t>
            </w:r>
            <w:r>
              <w:rPr>
                <w:rFonts w:hint="eastAsia" w:hAnsi="宋体" w:cs="宋体"/>
                <w:color w:val="000000" w:themeColor="text1"/>
                <w:kern w:val="0"/>
                <w:sz w:val="20"/>
                <w:szCs w:val="20"/>
                <w14:textFill>
                  <w14:solidFill>
                    <w14:schemeClr w14:val="tx1"/>
                  </w14:solidFill>
                </w14:textFill>
              </w:rPr>
              <w:t>共享模式可用核数≥3500核</w:t>
            </w:r>
            <w:r>
              <w:rPr>
                <w:rFonts w:hint="eastAsia" w:hAnsi="宋体" w:cs="宋体"/>
                <w:color w:val="000000" w:themeColor="text1"/>
                <w:kern w:val="0"/>
                <w:sz w:val="20"/>
                <w:szCs w:val="20"/>
                <w14:textFill>
                  <w14:solidFill>
                    <w14:schemeClr w14:val="tx1"/>
                  </w14:solidFill>
                </w14:textFill>
              </w:rPr>
              <w:br w:type="textWrapping"/>
            </w:r>
            <w:r>
              <w:rPr>
                <w:rFonts w:hint="eastAsia"/>
                <w:snapToGrid w:val="0"/>
                <w:color w:val="000000" w:themeColor="text1"/>
                <w14:textFill>
                  <w14:solidFill>
                    <w14:schemeClr w14:val="tx1"/>
                  </w14:solidFill>
                </w14:textFill>
              </w:rPr>
              <w:t>★</w:t>
            </w:r>
            <w:r>
              <w:rPr>
                <w:rFonts w:hint="eastAsia" w:hAnsi="宋体" w:cs="宋体"/>
                <w:color w:val="000000" w:themeColor="text1"/>
                <w:kern w:val="0"/>
                <w:sz w:val="20"/>
                <w:szCs w:val="20"/>
                <w14:textFill>
                  <w14:solidFill>
                    <w14:schemeClr w14:val="tx1"/>
                  </w14:solidFill>
                </w14:textFill>
              </w:rPr>
              <w:t>独享模式可用核数≥900核</w:t>
            </w:r>
            <w:r>
              <w:rPr>
                <w:rFonts w:hint="eastAsia" w:hAnsi="宋体" w:cs="宋体"/>
                <w:color w:val="000000" w:themeColor="text1"/>
                <w:kern w:val="0"/>
                <w:sz w:val="20"/>
                <w:szCs w:val="20"/>
                <w14:textFill>
                  <w14:solidFill>
                    <w14:schemeClr w14:val="tx1"/>
                  </w14:solidFill>
                </w14:textFill>
              </w:rPr>
              <w:br w:type="textWrapping"/>
            </w:r>
            <w:r>
              <w:rPr>
                <w:rFonts w:hint="eastAsia"/>
                <w:snapToGrid w:val="0"/>
                <w:color w:val="000000" w:themeColor="text1"/>
                <w14:textFill>
                  <w14:solidFill>
                    <w14:schemeClr w14:val="tx1"/>
                  </w14:solidFill>
                </w14:textFill>
              </w:rPr>
              <w:t>★</w:t>
            </w:r>
            <w:r>
              <w:rPr>
                <w:rFonts w:hint="eastAsia" w:hAnsi="宋体" w:cs="宋体"/>
                <w:color w:val="000000" w:themeColor="text1"/>
                <w:kern w:val="0"/>
                <w:sz w:val="20"/>
                <w:szCs w:val="20"/>
                <w14:textFill>
                  <w14:solidFill>
                    <w14:schemeClr w14:val="tx1"/>
                  </w14:solidFill>
                </w14:textFill>
              </w:rPr>
              <w:t>内存总量≥7500G</w:t>
            </w:r>
          </w:p>
        </w:tc>
      </w:tr>
      <w:tr>
        <w:tblPrEx>
          <w:tblCellMar>
            <w:top w:w="0" w:type="dxa"/>
            <w:left w:w="108" w:type="dxa"/>
            <w:bottom w:w="0" w:type="dxa"/>
            <w:right w:w="108" w:type="dxa"/>
          </w:tblCellMar>
        </w:tblPrEx>
        <w:trPr>
          <w:trHeight w:val="480" w:hRule="atLeast"/>
        </w:trPr>
        <w:tc>
          <w:tcPr>
            <w:tcW w:w="226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实时计算/流计算</w:t>
            </w:r>
          </w:p>
        </w:tc>
        <w:tc>
          <w:tcPr>
            <w:tcW w:w="609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处理能力≥</w:t>
            </w:r>
            <w:r>
              <w:rPr>
                <w:rFonts w:hAnsi="宋体" w:cs="宋体"/>
                <w:color w:val="000000" w:themeColor="text1"/>
                <w:kern w:val="0"/>
                <w:sz w:val="20"/>
                <w:szCs w:val="20"/>
                <w14:textFill>
                  <w14:solidFill>
                    <w14:schemeClr w14:val="tx1"/>
                  </w14:solidFill>
                </w14:textFill>
              </w:rPr>
              <w:t>140CU(1CU=1</w:t>
            </w:r>
            <w:r>
              <w:rPr>
                <w:rFonts w:hint="eastAsia" w:hAnsi="宋体" w:cs="宋体"/>
                <w:color w:val="000000" w:themeColor="text1"/>
                <w:kern w:val="0"/>
                <w:sz w:val="20"/>
                <w:szCs w:val="20"/>
                <w14:textFill>
                  <w14:solidFill>
                    <w14:schemeClr w14:val="tx1"/>
                  </w14:solidFill>
                </w14:textFill>
              </w:rPr>
              <w:t>核</w:t>
            </w:r>
            <w:r>
              <w:rPr>
                <w:rFonts w:hAnsi="宋体" w:cs="宋体"/>
                <w:color w:val="000000" w:themeColor="text1"/>
                <w:kern w:val="0"/>
                <w:sz w:val="20"/>
                <w:szCs w:val="20"/>
                <w14:textFill>
                  <w14:solidFill>
                    <w14:schemeClr w14:val="tx1"/>
                  </w14:solidFill>
                </w14:textFill>
              </w:rPr>
              <w:t>cpu 4G</w:t>
            </w:r>
            <w:r>
              <w:rPr>
                <w:rFonts w:hint="eastAsia" w:hAnsi="宋体" w:cs="宋体"/>
                <w:color w:val="000000" w:themeColor="text1"/>
                <w:kern w:val="0"/>
                <w:sz w:val="20"/>
                <w:szCs w:val="20"/>
                <w14:textFill>
                  <w14:solidFill>
                    <w14:schemeClr w14:val="tx1"/>
                  </w14:solidFill>
                </w14:textFill>
              </w:rPr>
              <w:t>内存</w:t>
            </w:r>
            <w:r>
              <w:rPr>
                <w:rFonts w:hAnsi="宋体" w:cs="宋体"/>
                <w:color w:val="000000" w:themeColor="text1"/>
                <w:kern w:val="0"/>
                <w:sz w:val="20"/>
                <w:szCs w:val="20"/>
                <w14:textFill>
                  <w14:solidFill>
                    <w14:schemeClr w14:val="tx1"/>
                  </w14:solidFill>
                </w14:textFill>
              </w:rPr>
              <w:t>)</w:t>
            </w:r>
          </w:p>
        </w:tc>
      </w:tr>
      <w:tr>
        <w:tblPrEx>
          <w:tblCellMar>
            <w:top w:w="0" w:type="dxa"/>
            <w:left w:w="108" w:type="dxa"/>
            <w:bottom w:w="0" w:type="dxa"/>
            <w:right w:w="108" w:type="dxa"/>
          </w:tblCellMar>
        </w:tblPrEx>
        <w:trPr>
          <w:trHeight w:val="720" w:hRule="atLeast"/>
        </w:trPr>
        <w:tc>
          <w:tcPr>
            <w:tcW w:w="226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负载均衡</w:t>
            </w:r>
          </w:p>
        </w:tc>
        <w:tc>
          <w:tcPr>
            <w:tcW w:w="609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Lvs节点的服务能力≥20.00Gbps</w:t>
            </w:r>
            <w:r>
              <w:rPr>
                <w:rFonts w:hint="eastAsia" w:hAnsi="宋体" w:cs="宋体"/>
                <w:color w:val="000000" w:themeColor="text1"/>
                <w:kern w:val="0"/>
                <w:sz w:val="20"/>
                <w:szCs w:val="20"/>
                <w14:textFill>
                  <w14:solidFill>
                    <w14:schemeClr w14:val="tx1"/>
                  </w14:solidFill>
                </w14:textFill>
              </w:rPr>
              <w:br w:type="textWrapping"/>
            </w:r>
            <w:r>
              <w:rPr>
                <w:rFonts w:hint="eastAsia" w:hAnsi="宋体" w:cs="宋体"/>
                <w:color w:val="000000" w:themeColor="text1"/>
                <w:kern w:val="0"/>
                <w:sz w:val="20"/>
                <w:szCs w:val="20"/>
                <w14:textFill>
                  <w14:solidFill>
                    <w14:schemeClr w14:val="tx1"/>
                  </w14:solidFill>
                </w14:textFill>
              </w:rPr>
              <w:t>HTTP QPS集群能力≥10K</w:t>
            </w:r>
            <w:r>
              <w:rPr>
                <w:rFonts w:hint="eastAsia" w:hAnsi="宋体" w:cs="宋体"/>
                <w:color w:val="000000" w:themeColor="text1"/>
                <w:kern w:val="0"/>
                <w:sz w:val="20"/>
                <w:szCs w:val="20"/>
                <w14:textFill>
                  <w14:solidFill>
                    <w14:schemeClr w14:val="tx1"/>
                  </w14:solidFill>
                </w14:textFill>
              </w:rPr>
              <w:br w:type="textWrapping"/>
            </w:r>
            <w:r>
              <w:rPr>
                <w:rFonts w:hint="eastAsia" w:hAnsi="宋体" w:cs="宋体"/>
                <w:color w:val="000000" w:themeColor="text1"/>
                <w:kern w:val="0"/>
                <w:sz w:val="20"/>
                <w:szCs w:val="20"/>
                <w14:textFill>
                  <w14:solidFill>
                    <w14:schemeClr w14:val="tx1"/>
                  </w14:solidFill>
                </w14:textFill>
              </w:rPr>
              <w:t>HTTPS</w:t>
            </w:r>
            <w:r>
              <w:rPr>
                <w:rFonts w:hAnsi="宋体" w:cs="宋体"/>
                <w:color w:val="000000" w:themeColor="text1"/>
                <w:kern w:val="0"/>
                <w:sz w:val="20"/>
                <w:szCs w:val="20"/>
                <w14:textFill>
                  <w14:solidFill>
                    <w14:schemeClr w14:val="tx1"/>
                  </w14:solidFill>
                </w14:textFill>
              </w:rPr>
              <w:t xml:space="preserve"> </w:t>
            </w:r>
            <w:r>
              <w:rPr>
                <w:rFonts w:hint="eastAsia" w:hAnsi="宋体" w:cs="宋体"/>
                <w:color w:val="000000" w:themeColor="text1"/>
                <w:kern w:val="0"/>
                <w:sz w:val="20"/>
                <w:szCs w:val="20"/>
                <w14:textFill>
                  <w14:solidFill>
                    <w14:schemeClr w14:val="tx1"/>
                  </w14:solidFill>
                </w14:textFill>
              </w:rPr>
              <w:t>QPS集群能力≥20K</w:t>
            </w:r>
          </w:p>
        </w:tc>
      </w:tr>
      <w:tr>
        <w:tblPrEx>
          <w:tblCellMar>
            <w:top w:w="0" w:type="dxa"/>
            <w:left w:w="108" w:type="dxa"/>
            <w:bottom w:w="0" w:type="dxa"/>
            <w:right w:w="108" w:type="dxa"/>
          </w:tblCellMar>
        </w:tblPrEx>
        <w:trPr>
          <w:trHeight w:val="480" w:hRule="atLeast"/>
        </w:trPr>
        <w:tc>
          <w:tcPr>
            <w:tcW w:w="226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专有网络</w:t>
            </w:r>
          </w:p>
        </w:tc>
        <w:tc>
          <w:tcPr>
            <w:tcW w:w="609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集群的带宽/吞吐量≥40Gbps</w:t>
            </w:r>
            <w:r>
              <w:rPr>
                <w:rFonts w:hint="eastAsia" w:hAnsi="宋体" w:cs="宋体"/>
                <w:color w:val="000000" w:themeColor="text1"/>
                <w:kern w:val="0"/>
                <w:sz w:val="20"/>
                <w:szCs w:val="20"/>
                <w14:textFill>
                  <w14:solidFill>
                    <w14:schemeClr w14:val="tx1"/>
                  </w14:solidFill>
                </w14:textFill>
              </w:rPr>
              <w:br w:type="textWrapping"/>
            </w:r>
            <w:r>
              <w:rPr>
                <w:rFonts w:hint="eastAsia" w:hAnsi="宋体" w:cs="宋体"/>
                <w:color w:val="000000" w:themeColor="text1"/>
                <w:kern w:val="0"/>
                <w:sz w:val="20"/>
                <w:szCs w:val="20"/>
                <w14:textFill>
                  <w14:solidFill>
                    <w14:schemeClr w14:val="tx1"/>
                  </w14:solidFill>
                </w14:textFill>
              </w:rPr>
              <w:t>集群的包转发率≥40Mpps（包/秒）</w:t>
            </w:r>
          </w:p>
        </w:tc>
      </w:tr>
      <w:tr>
        <w:tblPrEx>
          <w:tblCellMar>
            <w:top w:w="0" w:type="dxa"/>
            <w:left w:w="108" w:type="dxa"/>
            <w:bottom w:w="0" w:type="dxa"/>
            <w:right w:w="108" w:type="dxa"/>
          </w:tblCellMar>
        </w:tblPrEx>
        <w:trPr>
          <w:trHeight w:val="720" w:hRule="atLeast"/>
        </w:trPr>
        <w:tc>
          <w:tcPr>
            <w:tcW w:w="226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大数据计算</w:t>
            </w:r>
          </w:p>
        </w:tc>
        <w:tc>
          <w:tcPr>
            <w:tcW w:w="609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 xml:space="preserve">总的数据处理能力≥1000CU </w:t>
            </w:r>
            <w:r>
              <w:rPr>
                <w:rFonts w:hAnsi="宋体" w:cs="宋体"/>
                <w:color w:val="000000" w:themeColor="text1"/>
                <w:kern w:val="0"/>
                <w:sz w:val="20"/>
                <w:szCs w:val="20"/>
                <w14:textFill>
                  <w14:solidFill>
                    <w14:schemeClr w14:val="tx1"/>
                  </w14:solidFill>
                </w14:textFill>
              </w:rPr>
              <w:t>(1CU=1</w:t>
            </w:r>
            <w:r>
              <w:rPr>
                <w:rFonts w:hint="eastAsia" w:hAnsi="宋体" w:cs="宋体"/>
                <w:color w:val="000000" w:themeColor="text1"/>
                <w:kern w:val="0"/>
                <w:sz w:val="20"/>
                <w:szCs w:val="20"/>
                <w14:textFill>
                  <w14:solidFill>
                    <w14:schemeClr w14:val="tx1"/>
                  </w14:solidFill>
                </w14:textFill>
              </w:rPr>
              <w:t>核</w:t>
            </w:r>
            <w:r>
              <w:rPr>
                <w:rFonts w:hAnsi="宋体" w:cs="宋体"/>
                <w:color w:val="000000" w:themeColor="text1"/>
                <w:kern w:val="0"/>
                <w:sz w:val="20"/>
                <w:szCs w:val="20"/>
                <w14:textFill>
                  <w14:solidFill>
                    <w14:schemeClr w14:val="tx1"/>
                  </w14:solidFill>
                </w14:textFill>
              </w:rPr>
              <w:t>cpu 4G</w:t>
            </w:r>
            <w:r>
              <w:rPr>
                <w:rFonts w:hint="eastAsia" w:hAnsi="宋体" w:cs="宋体"/>
                <w:color w:val="000000" w:themeColor="text1"/>
                <w:kern w:val="0"/>
                <w:sz w:val="20"/>
                <w:szCs w:val="20"/>
                <w14:textFill>
                  <w14:solidFill>
                    <w14:schemeClr w14:val="tx1"/>
                  </w14:solidFill>
                </w14:textFill>
              </w:rPr>
              <w:t>内存</w:t>
            </w:r>
            <w:r>
              <w:rPr>
                <w:rFonts w:hAnsi="宋体" w:cs="宋体"/>
                <w:color w:val="000000" w:themeColor="text1"/>
                <w:kern w:val="0"/>
                <w:sz w:val="20"/>
                <w:szCs w:val="20"/>
                <w14:textFill>
                  <w14:solidFill>
                    <w14:schemeClr w14:val="tx1"/>
                  </w14:solidFill>
                </w14:textFill>
              </w:rPr>
              <w:t>)</w:t>
            </w:r>
            <w:r>
              <w:rPr>
                <w:rFonts w:hint="eastAsia" w:hAnsi="宋体" w:cs="宋体"/>
                <w:color w:val="000000" w:themeColor="text1"/>
                <w:kern w:val="0"/>
                <w:sz w:val="20"/>
                <w:szCs w:val="20"/>
                <w14:textFill>
                  <w14:solidFill>
                    <w14:schemeClr w14:val="tx1"/>
                  </w14:solidFill>
                </w14:textFill>
              </w:rPr>
              <w:br w:type="textWrapping"/>
            </w:r>
            <w:r>
              <w:rPr>
                <w:rFonts w:hint="eastAsia" w:hAnsi="宋体" w:cs="宋体"/>
                <w:color w:val="000000" w:themeColor="text1"/>
                <w:kern w:val="0"/>
                <w:sz w:val="20"/>
                <w:szCs w:val="20"/>
                <w14:textFill>
                  <w14:solidFill>
                    <w14:schemeClr w14:val="tx1"/>
                  </w14:solidFill>
                </w14:textFill>
              </w:rPr>
              <w:t>总的逻辑存储容量≥1100T</w:t>
            </w:r>
            <w:r>
              <w:rPr>
                <w:rFonts w:hint="eastAsia" w:hAnsi="宋体" w:cs="宋体"/>
                <w:color w:val="000000" w:themeColor="text1"/>
                <w:kern w:val="0"/>
                <w:sz w:val="20"/>
                <w:szCs w:val="20"/>
                <w14:textFill>
                  <w14:solidFill>
                    <w14:schemeClr w14:val="tx1"/>
                  </w14:solidFill>
                </w14:textFill>
              </w:rPr>
              <w:br w:type="textWrapping"/>
            </w:r>
            <w:r>
              <w:rPr>
                <w:rFonts w:hint="eastAsia" w:hAnsi="宋体" w:cs="宋体"/>
                <w:color w:val="000000" w:themeColor="text1"/>
                <w:kern w:val="0"/>
                <w:sz w:val="20"/>
                <w:szCs w:val="20"/>
                <w14:textFill>
                  <w14:solidFill>
                    <w14:schemeClr w14:val="tx1"/>
                  </w14:solidFill>
                </w14:textFill>
              </w:rPr>
              <w:t>总的业务吞吐量≥3000 M/s</w:t>
            </w:r>
          </w:p>
        </w:tc>
      </w:tr>
      <w:tr>
        <w:tblPrEx>
          <w:tblCellMar>
            <w:top w:w="0" w:type="dxa"/>
            <w:left w:w="108" w:type="dxa"/>
            <w:bottom w:w="0" w:type="dxa"/>
            <w:right w:w="108" w:type="dxa"/>
          </w:tblCellMar>
        </w:tblPrEx>
        <w:trPr>
          <w:trHeight w:val="480" w:hRule="atLeast"/>
        </w:trPr>
        <w:tc>
          <w:tcPr>
            <w:tcW w:w="2263"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存储</w:t>
            </w:r>
          </w:p>
        </w:tc>
        <w:tc>
          <w:tcPr>
            <w:tcW w:w="6096"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snapToGrid w:val="0"/>
                <w:color w:val="000000" w:themeColor="text1"/>
                <w14:textFill>
                  <w14:solidFill>
                    <w14:schemeClr w14:val="tx1"/>
                  </w14:solidFill>
                </w14:textFill>
              </w:rPr>
              <w:t>★</w:t>
            </w:r>
            <w:r>
              <w:rPr>
                <w:rFonts w:hint="eastAsia" w:hAnsi="宋体" w:cs="宋体"/>
                <w:color w:val="000000" w:themeColor="text1"/>
                <w:kern w:val="0"/>
                <w:sz w:val="20"/>
                <w:szCs w:val="20"/>
                <w14:textFill>
                  <w14:solidFill>
                    <w14:schemeClr w14:val="tx1"/>
                  </w14:solidFill>
                </w14:textFill>
              </w:rPr>
              <w:t>块存储: 总的逻辑存储容量≥130T</w:t>
            </w:r>
            <w:r>
              <w:rPr>
                <w:rFonts w:hint="eastAsia" w:hAnsi="宋体" w:cs="宋体"/>
                <w:color w:val="000000" w:themeColor="text1"/>
                <w:kern w:val="0"/>
                <w:sz w:val="20"/>
                <w:szCs w:val="20"/>
                <w14:textFill>
                  <w14:solidFill>
                    <w14:schemeClr w14:val="tx1"/>
                  </w14:solidFill>
                </w14:textFill>
              </w:rPr>
              <w:br w:type="textWrapping"/>
            </w:r>
            <w:r>
              <w:rPr>
                <w:rFonts w:hint="eastAsia"/>
                <w:snapToGrid w:val="0"/>
                <w:color w:val="000000" w:themeColor="text1"/>
                <w14:textFill>
                  <w14:solidFill>
                    <w14:schemeClr w14:val="tx1"/>
                  </w14:solidFill>
                </w14:textFill>
              </w:rPr>
              <w:t>★</w:t>
            </w:r>
            <w:r>
              <w:rPr>
                <w:rFonts w:hint="eastAsia" w:hAnsi="宋体" w:cs="宋体"/>
                <w:color w:val="000000" w:themeColor="text1"/>
                <w:kern w:val="0"/>
                <w:sz w:val="20"/>
                <w:szCs w:val="20"/>
                <w14:textFill>
                  <w14:solidFill>
                    <w14:schemeClr w14:val="tx1"/>
                  </w14:solidFill>
                </w14:textFill>
              </w:rPr>
              <w:t>OSS: 总的逻辑存储容量≥160T</w:t>
            </w:r>
          </w:p>
        </w:tc>
      </w:tr>
    </w:tbl>
    <w:p>
      <w:pPr>
        <w:pStyle w:val="5"/>
        <w:numPr>
          <w:ilvl w:val="1"/>
          <w:numId w:val="0"/>
        </w:numPr>
        <w:ind w:leftChars="0"/>
        <w:rPr>
          <w:rFonts w:hint="eastAsia"/>
          <w:color w:val="000000" w:themeColor="text1"/>
          <w:sz w:val="28"/>
          <w:szCs w:val="28"/>
          <w:lang w:val="en-US" w:eastAsia="zh-CN"/>
          <w14:textFill>
            <w14:solidFill>
              <w14:schemeClr w14:val="tx1"/>
            </w14:solidFill>
          </w14:textFill>
        </w:rPr>
      </w:pPr>
      <w:bookmarkStart w:id="35" w:name="_Toc98434331"/>
      <w:r>
        <w:rPr>
          <w:rFonts w:hint="eastAsia"/>
          <w:color w:val="000000" w:themeColor="text1"/>
          <w:sz w:val="28"/>
          <w:szCs w:val="28"/>
          <w:lang w:val="en-US" w:eastAsia="zh-CN"/>
          <w14:textFill>
            <w14:solidFill>
              <w14:schemeClr w14:val="tx1"/>
            </w14:solidFill>
          </w14:textFill>
        </w:rPr>
        <w:t>2.2产品详细技术要求</w:t>
      </w:r>
      <w:bookmarkEnd w:id="35"/>
    </w:p>
    <w:p>
      <w:pPr>
        <w:pStyle w:val="5"/>
        <w:numPr>
          <w:ilvl w:val="1"/>
          <w:numId w:val="0"/>
        </w:numPr>
        <w:ind w:leftChars="0"/>
        <w:rPr>
          <w:rFonts w:hint="eastAsia"/>
          <w:color w:val="000000" w:themeColor="text1"/>
          <w:sz w:val="28"/>
          <w:szCs w:val="28"/>
          <w:lang w:val="en-US" w:eastAsia="zh-CN"/>
          <w14:textFill>
            <w14:solidFill>
              <w14:schemeClr w14:val="tx1"/>
            </w14:solidFill>
          </w14:textFill>
        </w:rPr>
      </w:pPr>
      <w:bookmarkStart w:id="36" w:name="_Toc98434332"/>
      <w:r>
        <w:rPr>
          <w:rFonts w:hint="eastAsia"/>
          <w:color w:val="000000" w:themeColor="text1"/>
          <w:sz w:val="28"/>
          <w:szCs w:val="28"/>
          <w:lang w:val="en-US" w:eastAsia="zh-CN"/>
          <w14:textFill>
            <w14:solidFill>
              <w14:schemeClr w14:val="tx1"/>
            </w14:solidFill>
          </w14:textFill>
        </w:rPr>
        <w:t>2.2.1专有云平台服务器</w:t>
      </w:r>
      <w:bookmarkEnd w:id="36"/>
    </w:p>
    <w:tbl>
      <w:tblPr>
        <w:tblStyle w:val="59"/>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64" w:type="dxa"/>
            <w:gridSpan w:val="2"/>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服务器型号1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auto" w:fill="auto"/>
            <w:vAlign w:val="center"/>
          </w:tcPr>
          <w:p>
            <w:pPr>
              <w:widowControl/>
              <w:spacing w:line="240" w:lineRule="auto"/>
              <w:ind w:firstLine="0" w:firstLineChars="0"/>
              <w:jc w:val="left"/>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指标项</w:t>
            </w:r>
          </w:p>
        </w:tc>
        <w:tc>
          <w:tcPr>
            <w:tcW w:w="6379" w:type="dxa"/>
            <w:shd w:val="clear" w:color="auto" w:fill="auto"/>
            <w:vAlign w:val="bottom"/>
          </w:tcPr>
          <w:p>
            <w:pPr>
              <w:widowControl/>
              <w:spacing w:line="240" w:lineRule="auto"/>
              <w:ind w:firstLine="0" w:firstLineChars="0"/>
              <w:jc w:val="left"/>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服务器外观</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机架式，2路服务器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cpu规格</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[Intel_Xeon_Silver4214]*2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cpu核数</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cpu主频</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2.20GHz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内存(GB)</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内置硬盘</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240G[240G_sata_ssd]*1</w:t>
            </w:r>
            <w:r>
              <w:rPr>
                <w:rFonts w:hint="eastAsia" w:hAnsi="宋体" w:cs="宋体"/>
                <w:color w:val="000000" w:themeColor="text1"/>
                <w:kern w:val="0"/>
                <w:sz w:val="20"/>
                <w:szCs w:val="20"/>
                <w14:textFill>
                  <w14:solidFill>
                    <w14:schemeClr w14:val="tx1"/>
                  </w14:solidFill>
                </w14:textFill>
              </w:rPr>
              <w:br w:type="textWrapping"/>
            </w:r>
            <w:r>
              <w:rPr>
                <w:rFonts w:hint="eastAsia" w:hAnsi="宋体" w:cs="宋体"/>
                <w:color w:val="000000" w:themeColor="text1"/>
                <w:kern w:val="0"/>
                <w:sz w:val="20"/>
                <w:szCs w:val="20"/>
                <w14:textFill>
                  <w14:solidFill>
                    <w14:schemeClr w14:val="tx1"/>
                  </w14:solidFill>
                </w14:textFill>
              </w:rPr>
              <w:t>3840G[3840G_nvme_ssd]*1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网口数量</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10GE*2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电源</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220VAC/240HVDC交直流兼容电源，支持电源冗余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管理性</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提供基于Web的远程管理控制、配备硬件监控、远程管理功能；支持IPMI2.0标准。提供IKVM功能，实现远程KVM功能；独立管理口100%兼容千兆或百兆交换网络，通过管理口实现远程开关机、重启、网络安装操作系统等操作。</w:t>
            </w:r>
          </w:p>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w:t>
            </w:r>
            <w:r>
              <w:rPr>
                <w:rFonts w:hAnsi="宋体" w:cs="宋体"/>
                <w:color w:val="000000" w:themeColor="text1"/>
                <w:kern w:val="0"/>
                <w:sz w:val="20"/>
                <w:szCs w:val="20"/>
                <w14:textFill>
                  <w14:solidFill>
                    <w14:schemeClr w14:val="tx1"/>
                  </w14:solidFill>
                </w14:textFill>
              </w:rPr>
              <w:t>BMC管理软件联合管理周边伙伴设备的直接管理，简化小规模服务器的统一管理</w:t>
            </w:r>
            <w:r>
              <w:rPr>
                <w:rFonts w:hint="eastAsia"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安全性</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支持嵌入式管理模块支持防火墙功能，可基于MAC地址，IP定义访问规则。</w:t>
            </w:r>
          </w:p>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w:t>
            </w:r>
            <w:r>
              <w:rPr>
                <w:rFonts w:hAnsi="宋体" w:cs="宋体"/>
                <w:color w:val="000000" w:themeColor="text1"/>
                <w:kern w:val="0"/>
                <w:sz w:val="20"/>
                <w:szCs w:val="20"/>
                <w14:textFill>
                  <w14:solidFill>
                    <w14:schemeClr w14:val="tx1"/>
                  </w14:solidFill>
                </w14:textFill>
              </w:rPr>
              <w:t>OTP(One Time Password一次性密码)方案的双因素认证方案，提高系统安全性</w:t>
            </w:r>
            <w:r>
              <w:rPr>
                <w:rFonts w:hint="eastAsia"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64" w:type="dxa"/>
            <w:gridSpan w:val="2"/>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服务器型号2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auto" w:fill="auto"/>
            <w:vAlign w:val="center"/>
          </w:tcPr>
          <w:p>
            <w:pPr>
              <w:widowControl/>
              <w:spacing w:line="240" w:lineRule="auto"/>
              <w:ind w:firstLine="0" w:firstLineChars="0"/>
              <w:jc w:val="left"/>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指标项</w:t>
            </w:r>
          </w:p>
        </w:tc>
        <w:tc>
          <w:tcPr>
            <w:tcW w:w="6379" w:type="dxa"/>
            <w:shd w:val="clear" w:color="auto" w:fill="auto"/>
            <w:vAlign w:val="bottom"/>
          </w:tcPr>
          <w:p>
            <w:pPr>
              <w:widowControl/>
              <w:spacing w:line="240" w:lineRule="auto"/>
              <w:ind w:firstLine="0" w:firstLineChars="0"/>
              <w:jc w:val="left"/>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服务器外观</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机架式，2路服务器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cpu规格</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[Intel_Xeon_Gold5218]*2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cpu核数</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cpu主频</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2.30GHz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内存(GB)</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内置硬盘</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240G[240G_sata_ssd]*1</w:t>
            </w:r>
            <w:r>
              <w:rPr>
                <w:rFonts w:hint="eastAsia" w:hAnsi="宋体" w:cs="宋体"/>
                <w:color w:val="000000" w:themeColor="text1"/>
                <w:kern w:val="0"/>
                <w:sz w:val="20"/>
                <w:szCs w:val="20"/>
                <w14:textFill>
                  <w14:solidFill>
                    <w14:schemeClr w14:val="tx1"/>
                  </w14:solidFill>
                </w14:textFill>
              </w:rPr>
              <w:br w:type="textWrapping"/>
            </w:r>
            <w:r>
              <w:rPr>
                <w:rFonts w:hint="eastAsia" w:hAnsi="宋体" w:cs="宋体"/>
                <w:color w:val="000000" w:themeColor="text1"/>
                <w:kern w:val="0"/>
                <w:sz w:val="20"/>
                <w:szCs w:val="20"/>
                <w14:textFill>
                  <w14:solidFill>
                    <w14:schemeClr w14:val="tx1"/>
                  </w14:solidFill>
                </w14:textFill>
              </w:rPr>
              <w:t>960G[960G_nvme_ssd]*1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网口数量</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1GE*2|10GE*4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电源</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220VAC/240HVDC交直流兼容电源，支持电源冗余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管理性</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提供基于Web的远程管理控制、配备硬件监控、远程管理功能；支持IPMI2.0标准。提供IKVM功能，实现远程KVM功能；独立管理口100%兼容千兆或百兆交换网络，通过管理口实现远程开关机、重启、网络安装操作系统等操作。</w:t>
            </w:r>
          </w:p>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w:t>
            </w:r>
            <w:r>
              <w:rPr>
                <w:rFonts w:hAnsi="宋体" w:cs="宋体"/>
                <w:color w:val="000000" w:themeColor="text1"/>
                <w:kern w:val="0"/>
                <w:sz w:val="20"/>
                <w:szCs w:val="20"/>
                <w14:textFill>
                  <w14:solidFill>
                    <w14:schemeClr w14:val="tx1"/>
                  </w14:solidFill>
                </w14:textFill>
              </w:rPr>
              <w:t>BMC管理软件联合管理周边伙伴设备的直接管理，简化小规模服务器的统一管理</w:t>
            </w:r>
            <w:r>
              <w:rPr>
                <w:rFonts w:hint="eastAsia"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安全性</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支持嵌入式管理模块支持防火墙功能，可基于MAC地址，IP定义访问规则。</w:t>
            </w:r>
          </w:p>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w:t>
            </w:r>
            <w:r>
              <w:rPr>
                <w:rFonts w:hAnsi="宋体" w:cs="宋体"/>
                <w:color w:val="000000" w:themeColor="text1"/>
                <w:kern w:val="0"/>
                <w:sz w:val="20"/>
                <w:szCs w:val="20"/>
                <w14:textFill>
                  <w14:solidFill>
                    <w14:schemeClr w14:val="tx1"/>
                  </w14:solidFill>
                </w14:textFill>
              </w:rPr>
              <w:t>OTP(One Time Password一次性密码)方案的双因素认证方案，提高系统安全性</w:t>
            </w:r>
            <w:r>
              <w:rPr>
                <w:rFonts w:hint="eastAsia"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64" w:type="dxa"/>
            <w:gridSpan w:val="2"/>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服务器型号3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auto" w:fill="auto"/>
            <w:vAlign w:val="center"/>
          </w:tcPr>
          <w:p>
            <w:pPr>
              <w:widowControl/>
              <w:spacing w:line="240" w:lineRule="auto"/>
              <w:ind w:firstLine="0" w:firstLineChars="0"/>
              <w:jc w:val="left"/>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指标项</w:t>
            </w:r>
          </w:p>
        </w:tc>
        <w:tc>
          <w:tcPr>
            <w:tcW w:w="6379" w:type="dxa"/>
            <w:shd w:val="clear" w:color="auto" w:fill="auto"/>
            <w:vAlign w:val="bottom"/>
          </w:tcPr>
          <w:p>
            <w:pPr>
              <w:widowControl/>
              <w:spacing w:line="240" w:lineRule="auto"/>
              <w:ind w:firstLine="0" w:firstLineChars="0"/>
              <w:jc w:val="left"/>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服务器外观</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机架式，2路服务器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cpu规格</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[Intel_Xeon_Silver4214]*2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cpu核数</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cpu主频</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2.20GHz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内存(GB)</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内置硬盘</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240G[240G_sata_ssd]*2</w:t>
            </w:r>
            <w:r>
              <w:rPr>
                <w:rFonts w:hint="eastAsia" w:hAnsi="宋体" w:cs="宋体"/>
                <w:color w:val="000000" w:themeColor="text1"/>
                <w:kern w:val="0"/>
                <w:sz w:val="20"/>
                <w:szCs w:val="20"/>
                <w14:textFill>
                  <w14:solidFill>
                    <w14:schemeClr w14:val="tx1"/>
                  </w14:solidFill>
                </w14:textFill>
              </w:rPr>
              <w:br w:type="textWrapping"/>
            </w:r>
            <w:r>
              <w:rPr>
                <w:rFonts w:hint="eastAsia" w:hAnsi="宋体" w:cs="宋体"/>
                <w:color w:val="000000" w:themeColor="text1"/>
                <w:kern w:val="0"/>
                <w:sz w:val="20"/>
                <w:szCs w:val="20"/>
                <w14:textFill>
                  <w14:solidFill>
                    <w14:schemeClr w14:val="tx1"/>
                  </w14:solidFill>
                </w14:textFill>
              </w:rPr>
              <w:t>8000G[8T_sata_hdd]*9</w:t>
            </w:r>
            <w:r>
              <w:rPr>
                <w:rFonts w:hint="eastAsia" w:hAnsi="宋体" w:cs="宋体"/>
                <w:color w:val="000000" w:themeColor="text1"/>
                <w:kern w:val="0"/>
                <w:sz w:val="20"/>
                <w:szCs w:val="20"/>
                <w14:textFill>
                  <w14:solidFill>
                    <w14:schemeClr w14:val="tx1"/>
                  </w14:solidFill>
                </w14:textFill>
              </w:rPr>
              <w:br w:type="textWrapping"/>
            </w:r>
            <w:r>
              <w:rPr>
                <w:rFonts w:hint="eastAsia" w:hAnsi="宋体" w:cs="宋体"/>
                <w:color w:val="000000" w:themeColor="text1"/>
                <w:kern w:val="0"/>
                <w:sz w:val="20"/>
                <w:szCs w:val="20"/>
                <w14:textFill>
                  <w14:solidFill>
                    <w14:schemeClr w14:val="tx1"/>
                  </w14:solidFill>
                </w14:textFill>
              </w:rPr>
              <w:t>960G[960G_nvme_ssd]*2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网口数量</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10GE*2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电源</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220VAC/240HVDC交直流兼容电源，支持电源冗余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管理性</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提供基于Web的远程管理控制、配备硬件监控、远程管理功能；支持IPMI2.0标准。提供IKVM功能，实现远程KVM功能；独立管理口100%兼容千兆或百兆交换网络，通过管理口实现远程开关机、重启、网络安装操作系统等操作。</w:t>
            </w:r>
          </w:p>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w:t>
            </w:r>
            <w:r>
              <w:rPr>
                <w:rFonts w:hAnsi="宋体" w:cs="宋体"/>
                <w:color w:val="000000" w:themeColor="text1"/>
                <w:kern w:val="0"/>
                <w:sz w:val="20"/>
                <w:szCs w:val="20"/>
                <w14:textFill>
                  <w14:solidFill>
                    <w14:schemeClr w14:val="tx1"/>
                  </w14:solidFill>
                </w14:textFill>
              </w:rPr>
              <w:t>BMC管理软件联合管理周边伙伴设备的直接管理，简化小规模服务器的统一管理</w:t>
            </w:r>
            <w:r>
              <w:rPr>
                <w:rFonts w:hint="eastAsia"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安全性</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支持嵌入式管理模块支持防火墙功能，可基于MAC地址，IP定义访问规则。</w:t>
            </w:r>
          </w:p>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w:t>
            </w:r>
            <w:r>
              <w:rPr>
                <w:rFonts w:hAnsi="宋体" w:cs="宋体"/>
                <w:color w:val="000000" w:themeColor="text1"/>
                <w:kern w:val="0"/>
                <w:sz w:val="20"/>
                <w:szCs w:val="20"/>
                <w14:textFill>
                  <w14:solidFill>
                    <w14:schemeClr w14:val="tx1"/>
                  </w14:solidFill>
                </w14:textFill>
              </w:rPr>
              <w:t>OTP(One Time Password一次性密码)方案的双因素认证方案，提高系统安全性</w:t>
            </w:r>
            <w:r>
              <w:rPr>
                <w:rFonts w:hint="eastAsia"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64" w:type="dxa"/>
            <w:gridSpan w:val="2"/>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服务器型号4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auto" w:fill="auto"/>
            <w:vAlign w:val="center"/>
          </w:tcPr>
          <w:p>
            <w:pPr>
              <w:widowControl/>
              <w:spacing w:line="240" w:lineRule="auto"/>
              <w:ind w:firstLine="0" w:firstLineChars="0"/>
              <w:jc w:val="left"/>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指标项</w:t>
            </w:r>
          </w:p>
        </w:tc>
        <w:tc>
          <w:tcPr>
            <w:tcW w:w="6379" w:type="dxa"/>
            <w:shd w:val="clear" w:color="auto" w:fill="auto"/>
            <w:vAlign w:val="bottom"/>
          </w:tcPr>
          <w:p>
            <w:pPr>
              <w:widowControl/>
              <w:spacing w:line="240" w:lineRule="auto"/>
              <w:ind w:firstLine="0" w:firstLineChars="0"/>
              <w:jc w:val="left"/>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服务器外观</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机架式，2路服务器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cpu规格</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[Intel_Xeon_Gold5218]*2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cpu核数</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cpu主频</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2.30GHz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内存(GB)</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内置硬盘</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240G[240G_sata_ssd]*2</w:t>
            </w:r>
            <w:r>
              <w:rPr>
                <w:rFonts w:hint="eastAsia" w:hAnsi="宋体" w:cs="宋体"/>
                <w:color w:val="000000" w:themeColor="text1"/>
                <w:kern w:val="0"/>
                <w:sz w:val="20"/>
                <w:szCs w:val="20"/>
                <w14:textFill>
                  <w14:solidFill>
                    <w14:schemeClr w14:val="tx1"/>
                  </w14:solidFill>
                </w14:textFill>
              </w:rPr>
              <w:br w:type="textWrapping"/>
            </w:r>
            <w:r>
              <w:rPr>
                <w:rFonts w:hint="eastAsia" w:hAnsi="宋体" w:cs="宋体"/>
                <w:color w:val="000000" w:themeColor="text1"/>
                <w:kern w:val="0"/>
                <w:sz w:val="20"/>
                <w:szCs w:val="20"/>
                <w14:textFill>
                  <w14:solidFill>
                    <w14:schemeClr w14:val="tx1"/>
                  </w14:solidFill>
                </w14:textFill>
              </w:rPr>
              <w:t>8000G[8T_sata_hdd]*10</w:t>
            </w:r>
            <w:r>
              <w:rPr>
                <w:rFonts w:hint="eastAsia" w:hAnsi="宋体" w:cs="宋体"/>
                <w:color w:val="000000" w:themeColor="text1"/>
                <w:kern w:val="0"/>
                <w:sz w:val="20"/>
                <w:szCs w:val="20"/>
                <w14:textFill>
                  <w14:solidFill>
                    <w14:schemeClr w14:val="tx1"/>
                  </w14:solidFill>
                </w14:textFill>
              </w:rPr>
              <w:br w:type="textWrapping"/>
            </w:r>
            <w:r>
              <w:rPr>
                <w:rFonts w:hint="eastAsia" w:hAnsi="宋体" w:cs="宋体"/>
                <w:color w:val="000000" w:themeColor="text1"/>
                <w:kern w:val="0"/>
                <w:sz w:val="20"/>
                <w:szCs w:val="20"/>
                <w14:textFill>
                  <w14:solidFill>
                    <w14:schemeClr w14:val="tx1"/>
                  </w14:solidFill>
                </w14:textFill>
              </w:rPr>
              <w:t>1920G[1920G_nvme_ssd]*2</w:t>
            </w:r>
            <w:r>
              <w:rPr>
                <w:rFonts w:hint="eastAsia" w:hAnsi="宋体" w:cs="宋体"/>
                <w:color w:val="000000" w:themeColor="text1"/>
                <w:kern w:val="0"/>
                <w:sz w:val="20"/>
                <w:szCs w:val="20"/>
                <w14:textFill>
                  <w14:solidFill>
                    <w14:schemeClr w14:val="tx1"/>
                  </w14:solidFill>
                </w14:textFill>
              </w:rPr>
              <w:br w:type="textWrapping"/>
            </w:r>
            <w:r>
              <w:rPr>
                <w:rFonts w:hint="eastAsia" w:hAnsi="宋体" w:cs="宋体"/>
                <w:color w:val="000000" w:themeColor="text1"/>
                <w:kern w:val="0"/>
                <w:sz w:val="20"/>
                <w:szCs w:val="20"/>
                <w14:textFill>
                  <w14:solidFill>
                    <w14:schemeClr w14:val="tx1"/>
                  </w14:solidFill>
                </w14:textFill>
              </w:rPr>
              <w:t>3840G[3840G_sata_ssd]*2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网口数量</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1GE*2|10GE*4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电源</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220VAC/240HVDC交直流兼容电源，支持电源冗余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管理性</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提供基于Web的远程管理控制、配备硬件监控、远程管理功能；支持IPMI2.0标准。提供IKVM功能，实现远程KVM功能；独立管理口100%兼容千兆或百兆交换网络，通过管理口实现远程开关机、重启、网络安装操作系统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64" w:type="dxa"/>
            <w:gridSpan w:val="2"/>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服务器型号5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auto" w:fill="auto"/>
            <w:vAlign w:val="center"/>
          </w:tcPr>
          <w:p>
            <w:pPr>
              <w:widowControl/>
              <w:spacing w:line="240" w:lineRule="auto"/>
              <w:ind w:firstLine="0" w:firstLineChars="0"/>
              <w:jc w:val="left"/>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指标项</w:t>
            </w:r>
          </w:p>
        </w:tc>
        <w:tc>
          <w:tcPr>
            <w:tcW w:w="6379" w:type="dxa"/>
            <w:shd w:val="clear" w:color="auto" w:fill="auto"/>
            <w:vAlign w:val="bottom"/>
          </w:tcPr>
          <w:p>
            <w:pPr>
              <w:widowControl/>
              <w:spacing w:line="240" w:lineRule="auto"/>
              <w:ind w:firstLine="0" w:firstLineChars="0"/>
              <w:jc w:val="left"/>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服务器外观</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机架式，2路服务器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cpu规格</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[Intel_Xeon_Gold5218]*2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cpu核数</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cpu主频</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2.30GHz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内存(GB)</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内置硬盘</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240G[240G_sata_ssd]*1</w:t>
            </w:r>
            <w:r>
              <w:rPr>
                <w:rFonts w:hint="eastAsia" w:hAnsi="宋体" w:cs="宋体"/>
                <w:color w:val="000000" w:themeColor="text1"/>
                <w:kern w:val="0"/>
                <w:sz w:val="20"/>
                <w:szCs w:val="20"/>
                <w14:textFill>
                  <w14:solidFill>
                    <w14:schemeClr w14:val="tx1"/>
                  </w14:solidFill>
                </w14:textFill>
              </w:rPr>
              <w:br w:type="textWrapping"/>
            </w:r>
            <w:r>
              <w:rPr>
                <w:rFonts w:hint="eastAsia" w:hAnsi="宋体" w:cs="宋体"/>
                <w:color w:val="000000" w:themeColor="text1"/>
                <w:kern w:val="0"/>
                <w:sz w:val="20"/>
                <w:szCs w:val="20"/>
                <w14:textFill>
                  <w14:solidFill>
                    <w14:schemeClr w14:val="tx1"/>
                  </w14:solidFill>
                </w14:textFill>
              </w:rPr>
              <w:t>3840G[3840G_nvme_ssd]*2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网口数量</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10GE*2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电源</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220VAC/240HVDC交直流兼容电源，支持电源冗余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管理性</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提供基于Web的远程管理控制、配备硬件监控、远程管理功能；支持IPMI2.0标准。提供IKVM功能，实现远程KVM功能；独立管理口100%兼容千兆或百兆交换网络，通过管理口实现远程开关机、重启、网络安装操作系统等操作。</w:t>
            </w:r>
          </w:p>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w:t>
            </w:r>
            <w:r>
              <w:rPr>
                <w:rFonts w:hAnsi="宋体" w:cs="宋体"/>
                <w:color w:val="000000" w:themeColor="text1"/>
                <w:kern w:val="0"/>
                <w:sz w:val="20"/>
                <w:szCs w:val="20"/>
                <w14:textFill>
                  <w14:solidFill>
                    <w14:schemeClr w14:val="tx1"/>
                  </w14:solidFill>
                </w14:textFill>
              </w:rPr>
              <w:t>BMC管理软件联合管理周边伙伴设备的直接管理，简化小规模服务器的统一管理</w:t>
            </w:r>
            <w:r>
              <w:rPr>
                <w:rFonts w:hint="eastAsia"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安全性</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支持嵌入式管理模块支持防火墙功能，可基于MAC地址，IP定义访问规则。</w:t>
            </w:r>
          </w:p>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w:t>
            </w:r>
            <w:r>
              <w:rPr>
                <w:rFonts w:hAnsi="宋体" w:cs="宋体"/>
                <w:color w:val="000000" w:themeColor="text1"/>
                <w:kern w:val="0"/>
                <w:sz w:val="20"/>
                <w:szCs w:val="20"/>
                <w14:textFill>
                  <w14:solidFill>
                    <w14:schemeClr w14:val="tx1"/>
                  </w14:solidFill>
                </w14:textFill>
              </w:rPr>
              <w:t>OTP(One Time Password一次性密码)方案的双因素认证方案，提高系统安全性</w:t>
            </w:r>
            <w:r>
              <w:rPr>
                <w:rFonts w:hint="eastAsia"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64" w:type="dxa"/>
            <w:gridSpan w:val="2"/>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服务器型号6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auto" w:fill="auto"/>
            <w:vAlign w:val="center"/>
          </w:tcPr>
          <w:p>
            <w:pPr>
              <w:widowControl/>
              <w:spacing w:line="240" w:lineRule="auto"/>
              <w:ind w:firstLine="0" w:firstLineChars="0"/>
              <w:jc w:val="left"/>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指标项</w:t>
            </w:r>
          </w:p>
        </w:tc>
        <w:tc>
          <w:tcPr>
            <w:tcW w:w="6379" w:type="dxa"/>
            <w:shd w:val="clear" w:color="auto" w:fill="auto"/>
            <w:vAlign w:val="bottom"/>
          </w:tcPr>
          <w:p>
            <w:pPr>
              <w:widowControl/>
              <w:spacing w:line="240" w:lineRule="auto"/>
              <w:ind w:firstLine="0" w:firstLineChars="0"/>
              <w:jc w:val="left"/>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服务器外观</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机架式，2路服务器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cpu规格</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[Intel_Xeon_Gold5218]*2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cpu核数</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cpu主频</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2.30GHz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内存(GB)</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内置硬盘</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240G[240G_sata_ssd]*1</w:t>
            </w:r>
            <w:r>
              <w:rPr>
                <w:rFonts w:hint="eastAsia" w:hAnsi="宋体" w:cs="宋体"/>
                <w:color w:val="000000" w:themeColor="text1"/>
                <w:kern w:val="0"/>
                <w:sz w:val="20"/>
                <w:szCs w:val="20"/>
                <w14:textFill>
                  <w14:solidFill>
                    <w14:schemeClr w14:val="tx1"/>
                  </w14:solidFill>
                </w14:textFill>
              </w:rPr>
              <w:br w:type="textWrapping"/>
            </w:r>
            <w:r>
              <w:rPr>
                <w:rFonts w:hint="eastAsia" w:hAnsi="宋体" w:cs="宋体"/>
                <w:color w:val="000000" w:themeColor="text1"/>
                <w:kern w:val="0"/>
                <w:sz w:val="20"/>
                <w:szCs w:val="20"/>
                <w14:textFill>
                  <w14:solidFill>
                    <w14:schemeClr w14:val="tx1"/>
                  </w14:solidFill>
                </w14:textFill>
              </w:rPr>
              <w:t>960G[960G_nvme_ssd]*1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网口数量</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10GE*2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电源</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220VAC/240HVDC交直流兼容电源，支持电源冗余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管理性</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提供基于Web的远程管理控制、配备硬件监控、远程管理功能；支持IPMI2.0标准。提供IKVM功能，实现远程KVM功能；独立管理口100%兼容千兆或百兆交换网络，通过管理口实现远程开关机、重启、网络安装操作系统等操作。</w:t>
            </w:r>
          </w:p>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w:t>
            </w:r>
            <w:r>
              <w:rPr>
                <w:rFonts w:hAnsi="宋体" w:cs="宋体"/>
                <w:color w:val="000000" w:themeColor="text1"/>
                <w:kern w:val="0"/>
                <w:sz w:val="20"/>
                <w:szCs w:val="20"/>
                <w14:textFill>
                  <w14:solidFill>
                    <w14:schemeClr w14:val="tx1"/>
                  </w14:solidFill>
                </w14:textFill>
              </w:rPr>
              <w:t>BMC管理软件联合管理周边伙伴设备的直接管理，简化小规模服务器的统一管理</w:t>
            </w:r>
            <w:r>
              <w:rPr>
                <w:rFonts w:hint="eastAsia"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安全性</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支持嵌入式管理模块支持防火墙功能，可基于MAC地址，IP定义访问规则。</w:t>
            </w:r>
          </w:p>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w:t>
            </w:r>
            <w:r>
              <w:rPr>
                <w:rFonts w:hAnsi="宋体" w:cs="宋体"/>
                <w:color w:val="000000" w:themeColor="text1"/>
                <w:kern w:val="0"/>
                <w:sz w:val="20"/>
                <w:szCs w:val="20"/>
                <w14:textFill>
                  <w14:solidFill>
                    <w14:schemeClr w14:val="tx1"/>
                  </w14:solidFill>
                </w14:textFill>
              </w:rPr>
              <w:t>OTP(One Time Password一次性密码)方案的双因素认证方案，提高系统安全性</w:t>
            </w:r>
            <w:r>
              <w:rPr>
                <w:rFonts w:hint="eastAsia"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64" w:type="dxa"/>
            <w:gridSpan w:val="2"/>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服务器型号7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auto" w:fill="auto"/>
            <w:vAlign w:val="center"/>
          </w:tcPr>
          <w:p>
            <w:pPr>
              <w:widowControl/>
              <w:spacing w:line="240" w:lineRule="auto"/>
              <w:ind w:firstLine="0" w:firstLineChars="0"/>
              <w:jc w:val="left"/>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指标项</w:t>
            </w:r>
          </w:p>
        </w:tc>
        <w:tc>
          <w:tcPr>
            <w:tcW w:w="6379" w:type="dxa"/>
            <w:shd w:val="clear" w:color="auto" w:fill="auto"/>
            <w:vAlign w:val="bottom"/>
          </w:tcPr>
          <w:p>
            <w:pPr>
              <w:widowControl/>
              <w:spacing w:line="240" w:lineRule="auto"/>
              <w:ind w:firstLine="0" w:firstLineChars="0"/>
              <w:jc w:val="left"/>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服务器外观</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机架式，2路服务器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cpu规格</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[Intel_Xeon_Gold5218]*2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cpu核数</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cpu主频</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2.30GHz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内存(GB)</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内置硬盘</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240G[240G_sata_ssd]*1</w:t>
            </w:r>
            <w:r>
              <w:rPr>
                <w:rFonts w:hint="eastAsia" w:hAnsi="宋体" w:cs="宋体"/>
                <w:color w:val="000000" w:themeColor="text1"/>
                <w:kern w:val="0"/>
                <w:sz w:val="20"/>
                <w:szCs w:val="20"/>
                <w14:textFill>
                  <w14:solidFill>
                    <w14:schemeClr w14:val="tx1"/>
                  </w14:solidFill>
                </w14:textFill>
              </w:rPr>
              <w:br w:type="textWrapping"/>
            </w:r>
            <w:r>
              <w:rPr>
                <w:rFonts w:hint="eastAsia" w:hAnsi="宋体" w:cs="宋体"/>
                <w:color w:val="000000" w:themeColor="text1"/>
                <w:kern w:val="0"/>
                <w:sz w:val="20"/>
                <w:szCs w:val="20"/>
                <w14:textFill>
                  <w14:solidFill>
                    <w14:schemeClr w14:val="tx1"/>
                  </w14:solidFill>
                </w14:textFill>
              </w:rPr>
              <w:t>3840G[3840G_nvme_ssd]*3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网口数量</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10GE*2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电源</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220VAC/240HVDC交直流兼容电源，支持电源冗余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管理性</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提供基于Web的远程管理控制、配备硬件监控、远程管理功能；支持IPMI2.0标准。提供IKVM功能，实现远程KVM功能；独立管理口100%兼容千兆或百兆交换网络，通过管理口实现远程开关机、重启、网络安装操作系统等操作。</w:t>
            </w:r>
          </w:p>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w:t>
            </w:r>
            <w:r>
              <w:rPr>
                <w:rFonts w:hAnsi="宋体" w:cs="宋体"/>
                <w:color w:val="000000" w:themeColor="text1"/>
                <w:kern w:val="0"/>
                <w:sz w:val="20"/>
                <w:szCs w:val="20"/>
                <w14:textFill>
                  <w14:solidFill>
                    <w14:schemeClr w14:val="tx1"/>
                  </w14:solidFill>
                </w14:textFill>
              </w:rPr>
              <w:t>BMC管理软件联合管理周边伙伴设备的直接管理，简化小规模服务器的统一管理</w:t>
            </w:r>
            <w:r>
              <w:rPr>
                <w:rFonts w:hint="eastAsia"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安全性</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支持嵌入式管理模块支持防火墙功能，可基于MAC地址，IP定义访问规则。</w:t>
            </w:r>
          </w:p>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w:t>
            </w:r>
            <w:r>
              <w:rPr>
                <w:rFonts w:hAnsi="宋体" w:cs="宋体"/>
                <w:color w:val="000000" w:themeColor="text1"/>
                <w:kern w:val="0"/>
                <w:sz w:val="20"/>
                <w:szCs w:val="20"/>
                <w14:textFill>
                  <w14:solidFill>
                    <w14:schemeClr w14:val="tx1"/>
                  </w14:solidFill>
                </w14:textFill>
              </w:rPr>
              <w:t>OTP(One Time Password一次性密码)方案的双因素认证方案，提高系统安全性</w:t>
            </w:r>
            <w:r>
              <w:rPr>
                <w:rFonts w:hint="eastAsia"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64" w:type="dxa"/>
            <w:gridSpan w:val="2"/>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服务器型号8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auto" w:fill="auto"/>
            <w:vAlign w:val="center"/>
          </w:tcPr>
          <w:p>
            <w:pPr>
              <w:widowControl/>
              <w:spacing w:line="240" w:lineRule="auto"/>
              <w:ind w:firstLine="0" w:firstLineChars="0"/>
              <w:jc w:val="left"/>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指标项</w:t>
            </w:r>
          </w:p>
        </w:tc>
        <w:tc>
          <w:tcPr>
            <w:tcW w:w="6379" w:type="dxa"/>
            <w:shd w:val="clear" w:color="auto" w:fill="auto"/>
            <w:vAlign w:val="bottom"/>
          </w:tcPr>
          <w:p>
            <w:pPr>
              <w:widowControl/>
              <w:spacing w:line="240" w:lineRule="auto"/>
              <w:ind w:firstLine="0" w:firstLineChars="0"/>
              <w:jc w:val="left"/>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服务器外观</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机架式，2路服务器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cpu规格</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[Intel_Xeon_Gold5218]*2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cpu核数</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cpu主频</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2.30GHz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内存(GB)</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内置硬盘</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240G[240G_sata_ssd]*1</w:t>
            </w:r>
            <w:r>
              <w:rPr>
                <w:rFonts w:hint="eastAsia" w:hAnsi="宋体" w:cs="宋体"/>
                <w:color w:val="000000" w:themeColor="text1"/>
                <w:kern w:val="0"/>
                <w:sz w:val="20"/>
                <w:szCs w:val="20"/>
                <w14:textFill>
                  <w14:solidFill>
                    <w14:schemeClr w14:val="tx1"/>
                  </w14:solidFill>
                </w14:textFill>
              </w:rPr>
              <w:br w:type="textWrapping"/>
            </w:r>
            <w:r>
              <w:rPr>
                <w:rFonts w:hint="eastAsia" w:hAnsi="宋体" w:cs="宋体"/>
                <w:color w:val="000000" w:themeColor="text1"/>
                <w:kern w:val="0"/>
                <w:sz w:val="20"/>
                <w:szCs w:val="20"/>
                <w14:textFill>
                  <w14:solidFill>
                    <w14:schemeClr w14:val="tx1"/>
                  </w14:solidFill>
                </w14:textFill>
              </w:rPr>
              <w:t>960G[960G_nvme_ssd]*1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网口数量</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1GE*2|10GE*2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电源</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220VAC/240HVDC交直流兼容电源，支持电源冗余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管理性</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提供基于Web的远程管理控制、配备硬件监控、远程管理功能；支持IPMI2.0标准。提供IKVM功能，实现远程KVM功能；独立管理口100%兼容千兆或百兆交换网络，通过管理口实现远程开关机、重启、网络安装操作系统等操作。</w:t>
            </w:r>
          </w:p>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w:t>
            </w:r>
            <w:r>
              <w:rPr>
                <w:rFonts w:hAnsi="宋体" w:cs="宋体"/>
                <w:color w:val="000000" w:themeColor="text1"/>
                <w:kern w:val="0"/>
                <w:sz w:val="20"/>
                <w:szCs w:val="20"/>
                <w14:textFill>
                  <w14:solidFill>
                    <w14:schemeClr w14:val="tx1"/>
                  </w14:solidFill>
                </w14:textFill>
              </w:rPr>
              <w:t>BMC管理软件联合管理周边伙伴设备的直接管理，简化小规模服务器的统一管理</w:t>
            </w:r>
            <w:r>
              <w:rPr>
                <w:rFonts w:hint="eastAsia"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安全性</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支持嵌入式管理模块支持防火墙功能，可基于MAC地址，IP定义访问规则。</w:t>
            </w:r>
          </w:p>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w:t>
            </w:r>
            <w:r>
              <w:rPr>
                <w:rFonts w:hAnsi="宋体" w:cs="宋体"/>
                <w:color w:val="000000" w:themeColor="text1"/>
                <w:kern w:val="0"/>
                <w:sz w:val="20"/>
                <w:szCs w:val="20"/>
                <w14:textFill>
                  <w14:solidFill>
                    <w14:schemeClr w14:val="tx1"/>
                  </w14:solidFill>
                </w14:textFill>
              </w:rPr>
              <w:t>OTP(One Time Password一次性密码)方案的双因素认证方案，提高系统安全性</w:t>
            </w:r>
            <w:r>
              <w:rPr>
                <w:rFonts w:hint="eastAsia"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64" w:type="dxa"/>
            <w:gridSpan w:val="2"/>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服务器型号9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auto" w:fill="auto"/>
            <w:vAlign w:val="center"/>
          </w:tcPr>
          <w:p>
            <w:pPr>
              <w:widowControl/>
              <w:spacing w:line="240" w:lineRule="auto"/>
              <w:ind w:firstLine="0" w:firstLineChars="0"/>
              <w:jc w:val="left"/>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指标项</w:t>
            </w:r>
          </w:p>
        </w:tc>
        <w:tc>
          <w:tcPr>
            <w:tcW w:w="6379" w:type="dxa"/>
            <w:shd w:val="clear" w:color="auto" w:fill="auto"/>
            <w:vAlign w:val="bottom"/>
          </w:tcPr>
          <w:p>
            <w:pPr>
              <w:widowControl/>
              <w:spacing w:line="240" w:lineRule="auto"/>
              <w:ind w:firstLine="0" w:firstLineChars="0"/>
              <w:jc w:val="left"/>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服务器外观</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机架式，2路服务器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cpu规格</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[Intel_Xeon_Gold5218]*2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cpu核数</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cpu主频</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2.30GHz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内存(GB)</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内置硬盘</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480G[480G_sata_ssd]*2</w:t>
            </w:r>
            <w:r>
              <w:rPr>
                <w:rFonts w:hint="eastAsia" w:hAnsi="宋体" w:cs="宋体"/>
                <w:color w:val="000000" w:themeColor="text1"/>
                <w:kern w:val="0"/>
                <w:sz w:val="20"/>
                <w:szCs w:val="20"/>
                <w14:textFill>
                  <w14:solidFill>
                    <w14:schemeClr w14:val="tx1"/>
                  </w14:solidFill>
                </w14:textFill>
              </w:rPr>
              <w:br w:type="textWrapping"/>
            </w:r>
            <w:r>
              <w:rPr>
                <w:rFonts w:hint="eastAsia" w:hAnsi="宋体" w:cs="宋体"/>
                <w:color w:val="000000" w:themeColor="text1"/>
                <w:kern w:val="0"/>
                <w:sz w:val="20"/>
                <w:szCs w:val="20"/>
                <w14:textFill>
                  <w14:solidFill>
                    <w14:schemeClr w14:val="tx1"/>
                  </w14:solidFill>
                </w14:textFill>
              </w:rPr>
              <w:t>12000G[12T_sata_hdd]*12</w:t>
            </w:r>
            <w:r>
              <w:rPr>
                <w:rFonts w:hint="eastAsia" w:hAnsi="宋体" w:cs="宋体"/>
                <w:color w:val="000000" w:themeColor="text1"/>
                <w:kern w:val="0"/>
                <w:sz w:val="20"/>
                <w:szCs w:val="20"/>
                <w14:textFill>
                  <w14:solidFill>
                    <w14:schemeClr w14:val="tx1"/>
                  </w14:solidFill>
                </w14:textFill>
              </w:rPr>
              <w:br w:type="textWrapping"/>
            </w:r>
            <w:r>
              <w:rPr>
                <w:rFonts w:hint="eastAsia" w:hAnsi="宋体" w:cs="宋体"/>
                <w:color w:val="000000" w:themeColor="text1"/>
                <w:kern w:val="0"/>
                <w:sz w:val="20"/>
                <w:szCs w:val="20"/>
                <w14:textFill>
                  <w14:solidFill>
                    <w14:schemeClr w14:val="tx1"/>
                  </w14:solidFill>
                </w14:textFill>
              </w:rPr>
              <w:t>3840G[3840G_nvme_ssd]*2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网口数量</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10GE*2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电源</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220VAC/240HVDC交直流兼容电源，支持电源冗余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管理性</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提供基于Web的远程管理控制、配备硬件监控、远程管理功能；支持IPMI2.0标准。提供IKVM功能，实现远程KVM功能；独立管理口100%兼容千兆或百兆交换网络，通过管理口实现远程开关机、重启、网络安装操作系统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64" w:type="dxa"/>
            <w:gridSpan w:val="2"/>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服务器型号10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auto" w:fill="auto"/>
            <w:vAlign w:val="center"/>
          </w:tcPr>
          <w:p>
            <w:pPr>
              <w:widowControl/>
              <w:spacing w:line="240" w:lineRule="auto"/>
              <w:ind w:firstLine="0" w:firstLineChars="0"/>
              <w:jc w:val="left"/>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指标项</w:t>
            </w:r>
          </w:p>
        </w:tc>
        <w:tc>
          <w:tcPr>
            <w:tcW w:w="6379" w:type="dxa"/>
            <w:shd w:val="clear" w:color="auto" w:fill="auto"/>
            <w:vAlign w:val="bottom"/>
          </w:tcPr>
          <w:p>
            <w:pPr>
              <w:widowControl/>
              <w:spacing w:line="240" w:lineRule="auto"/>
              <w:ind w:firstLine="0" w:firstLineChars="0"/>
              <w:jc w:val="left"/>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服务器外观</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机架式，2路服务器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cpu规格</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[Intel_Xeon_Platinum]*2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cpu核数</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cpu主频</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2.90GHz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内存(GB)</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内置硬盘</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480G[480G_sata_ssd]*1</w:t>
            </w:r>
            <w:r>
              <w:rPr>
                <w:rFonts w:hint="eastAsia" w:hAnsi="宋体" w:cs="宋体"/>
                <w:color w:val="000000" w:themeColor="text1"/>
                <w:kern w:val="0"/>
                <w:sz w:val="20"/>
                <w:szCs w:val="20"/>
                <w14:textFill>
                  <w14:solidFill>
                    <w14:schemeClr w14:val="tx1"/>
                  </w14:solidFill>
                </w14:textFill>
              </w:rPr>
              <w:br w:type="textWrapping"/>
            </w:r>
            <w:r>
              <w:rPr>
                <w:rFonts w:hint="eastAsia" w:hAnsi="宋体" w:cs="宋体"/>
                <w:color w:val="000000" w:themeColor="text1"/>
                <w:kern w:val="0"/>
                <w:sz w:val="20"/>
                <w:szCs w:val="20"/>
                <w14:textFill>
                  <w14:solidFill>
                    <w14:schemeClr w14:val="tx1"/>
                  </w14:solidFill>
                </w14:textFill>
              </w:rPr>
              <w:t>960G[960G_nvme_ssd]*1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网口数量</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10GE*2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电源</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220VAC/240HVDC交直流兼容电源，支持电源冗余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管理性</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提供基于Web的远程管理控制、配备硬件监控、远程管理功能；支持IPMI2.0标准。提供IKVM功能，实现远程KVM功能；独立管理口100%兼容千兆或百兆交换网络，通过管理口实现远程开关机、重启、网络安装操作系统等操作。</w:t>
            </w:r>
          </w:p>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w:t>
            </w:r>
            <w:r>
              <w:rPr>
                <w:rFonts w:hAnsi="宋体" w:cs="宋体"/>
                <w:color w:val="000000" w:themeColor="text1"/>
                <w:kern w:val="0"/>
                <w:sz w:val="20"/>
                <w:szCs w:val="20"/>
                <w14:textFill>
                  <w14:solidFill>
                    <w14:schemeClr w14:val="tx1"/>
                  </w14:solidFill>
                </w14:textFill>
              </w:rPr>
              <w:t>BMC管理软件联合管理周边伙伴设备的直接管理，简化小规模服务器的统一管理</w:t>
            </w:r>
            <w:r>
              <w:rPr>
                <w:rFonts w:hint="eastAsia"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安全性</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支持嵌入式管理模块支持防火墙功能，可基于MAC地址，IP定义访问规则。</w:t>
            </w:r>
          </w:p>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w:t>
            </w:r>
            <w:r>
              <w:rPr>
                <w:rFonts w:hAnsi="宋体" w:cs="宋体"/>
                <w:color w:val="000000" w:themeColor="text1"/>
                <w:kern w:val="0"/>
                <w:sz w:val="20"/>
                <w:szCs w:val="20"/>
                <w14:textFill>
                  <w14:solidFill>
                    <w14:schemeClr w14:val="tx1"/>
                  </w14:solidFill>
                </w14:textFill>
              </w:rPr>
              <w:t>OTP(One Time Password一次性密码)方案的双因素认证方案，提高系统安全性</w:t>
            </w:r>
            <w:r>
              <w:rPr>
                <w:rFonts w:hint="eastAsia"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64" w:type="dxa"/>
            <w:gridSpan w:val="2"/>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服务器型号11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auto" w:fill="auto"/>
            <w:vAlign w:val="center"/>
          </w:tcPr>
          <w:p>
            <w:pPr>
              <w:widowControl/>
              <w:spacing w:line="240" w:lineRule="auto"/>
              <w:ind w:firstLine="0" w:firstLineChars="0"/>
              <w:jc w:val="left"/>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指标项</w:t>
            </w:r>
          </w:p>
        </w:tc>
        <w:tc>
          <w:tcPr>
            <w:tcW w:w="6379" w:type="dxa"/>
            <w:shd w:val="clear" w:color="auto" w:fill="auto"/>
            <w:vAlign w:val="bottom"/>
          </w:tcPr>
          <w:p>
            <w:pPr>
              <w:widowControl/>
              <w:spacing w:line="240" w:lineRule="auto"/>
              <w:ind w:firstLine="0" w:firstLineChars="0"/>
              <w:jc w:val="left"/>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服务器外观</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机架式，2路服务器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cpu规格</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[Intel_Xeon_Platinum]*2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cpu核数</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cpu主频</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2.50GHz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内存(GB)</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内置硬盘</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240G[240G_sata_ssd]*1</w:t>
            </w:r>
            <w:r>
              <w:rPr>
                <w:rFonts w:hint="eastAsia" w:hAnsi="宋体" w:cs="宋体"/>
                <w:color w:val="000000" w:themeColor="text1"/>
                <w:kern w:val="0"/>
                <w:sz w:val="20"/>
                <w:szCs w:val="20"/>
                <w14:textFill>
                  <w14:solidFill>
                    <w14:schemeClr w14:val="tx1"/>
                  </w14:solidFill>
                </w14:textFill>
              </w:rPr>
              <w:br w:type="textWrapping"/>
            </w:r>
            <w:r>
              <w:rPr>
                <w:rFonts w:hint="eastAsia" w:hAnsi="宋体" w:cs="宋体"/>
                <w:color w:val="000000" w:themeColor="text1"/>
                <w:kern w:val="0"/>
                <w:sz w:val="20"/>
                <w:szCs w:val="20"/>
                <w14:textFill>
                  <w14:solidFill>
                    <w14:schemeClr w14:val="tx1"/>
                  </w14:solidFill>
                </w14:textFill>
              </w:rPr>
              <w:t>12000G[12T_sata_hdd]*12</w:t>
            </w:r>
            <w:r>
              <w:rPr>
                <w:rFonts w:hint="eastAsia" w:hAnsi="宋体" w:cs="宋体"/>
                <w:color w:val="000000" w:themeColor="text1"/>
                <w:kern w:val="0"/>
                <w:sz w:val="20"/>
                <w:szCs w:val="20"/>
                <w14:textFill>
                  <w14:solidFill>
                    <w14:schemeClr w14:val="tx1"/>
                  </w14:solidFill>
                </w14:textFill>
              </w:rPr>
              <w:br w:type="textWrapping"/>
            </w:r>
            <w:r>
              <w:rPr>
                <w:rFonts w:hint="eastAsia" w:hAnsi="宋体" w:cs="宋体"/>
                <w:color w:val="000000" w:themeColor="text1"/>
                <w:kern w:val="0"/>
                <w:sz w:val="20"/>
                <w:szCs w:val="20"/>
                <w14:textFill>
                  <w14:solidFill>
                    <w14:schemeClr w14:val="tx1"/>
                  </w14:solidFill>
                </w14:textFill>
              </w:rPr>
              <w:t>3840G[3840G_nvme_ssd]*1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网口数量</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10GE*2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电源</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220VAC/240HVDC交直流兼容电源，支持电源冗余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管理性</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提供基于Web的远程管理控制、配备硬件监控、远程管理功能；支持IPMI2.0标准。提供IKVM功能，实现远程KVM功能；独立管理口100%兼容千兆或百兆交换网络，通过管理口实现远程开关机、重启、网络安装操作系统等操作。</w:t>
            </w:r>
          </w:p>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w:t>
            </w:r>
            <w:r>
              <w:rPr>
                <w:rFonts w:hAnsi="宋体" w:cs="宋体"/>
                <w:color w:val="000000" w:themeColor="text1"/>
                <w:kern w:val="0"/>
                <w:sz w:val="20"/>
                <w:szCs w:val="20"/>
                <w14:textFill>
                  <w14:solidFill>
                    <w14:schemeClr w14:val="tx1"/>
                  </w14:solidFill>
                </w14:textFill>
              </w:rPr>
              <w:t>BMC管理软件联合管理周边伙伴设备的直接管理，简化小规模服务器的统一管理</w:t>
            </w:r>
            <w:r>
              <w:rPr>
                <w:rFonts w:hint="eastAsia"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安全性</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支持嵌入式管理模块支持防火墙功能，可基于MAC地址，IP定义访问规则。</w:t>
            </w:r>
          </w:p>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w:t>
            </w:r>
            <w:r>
              <w:rPr>
                <w:rFonts w:hAnsi="宋体" w:cs="宋体"/>
                <w:color w:val="000000" w:themeColor="text1"/>
                <w:kern w:val="0"/>
                <w:sz w:val="20"/>
                <w:szCs w:val="20"/>
                <w14:textFill>
                  <w14:solidFill>
                    <w14:schemeClr w14:val="tx1"/>
                  </w14:solidFill>
                </w14:textFill>
              </w:rPr>
              <w:t>OTP(One Time Password一次性密码)方案的双因素认证方案，提高系统安全性</w:t>
            </w:r>
            <w:r>
              <w:rPr>
                <w:rFonts w:hint="eastAsia"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64" w:type="dxa"/>
            <w:gridSpan w:val="2"/>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服务器型号12</w:t>
            </w:r>
            <w:r>
              <w:rPr>
                <w:rFonts w:hint="eastAsia" w:hAnsi="宋体" w:cs="宋体"/>
                <w:b/>
                <w:bCs/>
                <w:color w:val="000000" w:themeColor="text1"/>
                <w:kern w:val="0"/>
                <w:sz w:val="20"/>
                <w:szCs w:val="20"/>
                <w:lang w:val="en-US" w:eastAsia="zh-CN"/>
                <w14:textFill>
                  <w14:solidFill>
                    <w14:schemeClr w14:val="tx1"/>
                  </w14:solidFill>
                </w14:textFill>
              </w:rPr>
              <w:t xml:space="preserve">  </w:t>
            </w:r>
            <w:r>
              <w:rPr>
                <w:rFonts w:hint="eastAsia" w:hAnsi="宋体" w:cs="宋体"/>
                <w:b/>
                <w:bCs/>
                <w:color w:val="FF0000"/>
                <w:kern w:val="0"/>
                <w:sz w:val="20"/>
                <w:szCs w:val="20"/>
                <w:lang w:val="en-US" w:eastAsia="zh-CN"/>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auto" w:fill="auto"/>
            <w:vAlign w:val="center"/>
          </w:tcPr>
          <w:p>
            <w:pPr>
              <w:widowControl/>
              <w:spacing w:line="240" w:lineRule="auto"/>
              <w:ind w:firstLine="0" w:firstLineChars="0"/>
              <w:jc w:val="left"/>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指标项</w:t>
            </w:r>
          </w:p>
        </w:tc>
        <w:tc>
          <w:tcPr>
            <w:tcW w:w="6379" w:type="dxa"/>
            <w:shd w:val="clear" w:color="auto" w:fill="auto"/>
            <w:vAlign w:val="bottom"/>
          </w:tcPr>
          <w:p>
            <w:pPr>
              <w:widowControl/>
              <w:spacing w:line="240" w:lineRule="auto"/>
              <w:ind w:firstLine="0" w:firstLineChars="0"/>
              <w:jc w:val="left"/>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服务器外观</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机架式，2路服务器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cpu规格</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[Intel_Xeon_Gold5218]*2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cpu核数</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cpu主频</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2.30GHz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内存(GB)</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内置硬盘</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240G[240G_sata_ssd]*1</w:t>
            </w:r>
            <w:r>
              <w:rPr>
                <w:rFonts w:hint="eastAsia" w:hAnsi="宋体" w:cs="宋体"/>
                <w:color w:val="000000" w:themeColor="text1"/>
                <w:kern w:val="0"/>
                <w:sz w:val="20"/>
                <w:szCs w:val="20"/>
                <w14:textFill>
                  <w14:solidFill>
                    <w14:schemeClr w14:val="tx1"/>
                  </w14:solidFill>
                </w14:textFill>
              </w:rPr>
              <w:br w:type="textWrapping"/>
            </w:r>
            <w:r>
              <w:rPr>
                <w:rFonts w:hint="eastAsia" w:hAnsi="宋体" w:cs="宋体"/>
                <w:color w:val="000000" w:themeColor="text1"/>
                <w:kern w:val="0"/>
                <w:sz w:val="20"/>
                <w:szCs w:val="20"/>
                <w14:textFill>
                  <w14:solidFill>
                    <w14:schemeClr w14:val="tx1"/>
                  </w14:solidFill>
                </w14:textFill>
              </w:rPr>
              <w:t>3840G[3840G_nvme_ssd]*2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网口数量</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10GE*2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电源</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220VAC/240HVDC交直流兼容电源，支持电源冗余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管理性</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提供基于Web的远程管理控制、配备硬件监控、远程管理功能；支持IPMI2.0标准。提供IKVM功能，实现远程KVM功能；独立管理口100%兼容千兆或百兆交换网络，通过管理口实现远程开关机、重启、网络安装操作系统等操作。</w:t>
            </w:r>
          </w:p>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w:t>
            </w:r>
            <w:r>
              <w:rPr>
                <w:rFonts w:hAnsi="宋体" w:cs="宋体"/>
                <w:color w:val="000000" w:themeColor="text1"/>
                <w:kern w:val="0"/>
                <w:sz w:val="20"/>
                <w:szCs w:val="20"/>
                <w14:textFill>
                  <w14:solidFill>
                    <w14:schemeClr w14:val="tx1"/>
                  </w14:solidFill>
                </w14:textFill>
              </w:rPr>
              <w:t>BMC管理软件联合管理周边伙伴设备的直接管理，简化小规模服务器的统一管理</w:t>
            </w:r>
            <w:r>
              <w:rPr>
                <w:rFonts w:hint="eastAsia"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安全性</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支持嵌入式管理模块支持防火墙功能，可基于MAC地址，IP定义访问规则。</w:t>
            </w:r>
          </w:p>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w:t>
            </w:r>
            <w:r>
              <w:rPr>
                <w:rFonts w:hAnsi="宋体" w:cs="宋体"/>
                <w:color w:val="000000" w:themeColor="text1"/>
                <w:kern w:val="0"/>
                <w:sz w:val="20"/>
                <w:szCs w:val="20"/>
                <w14:textFill>
                  <w14:solidFill>
                    <w14:schemeClr w14:val="tx1"/>
                  </w14:solidFill>
                </w14:textFill>
              </w:rPr>
              <w:t>OTP(One Time Password一次性密码)方案的双因素认证方案，提高系统安全性</w:t>
            </w:r>
            <w:r>
              <w:rPr>
                <w:rFonts w:hint="eastAsia" w:hAnsi="宋体" w:cs="宋体"/>
                <w:color w:val="000000" w:themeColor="text1"/>
                <w:kern w:val="0"/>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64" w:type="dxa"/>
            <w:gridSpan w:val="2"/>
            <w:shd w:val="clear" w:color="FFFFFF" w:fill="FFFFFF"/>
            <w:vAlign w:val="center"/>
          </w:tcPr>
          <w:p>
            <w:pPr>
              <w:widowControl/>
              <w:spacing w:line="240" w:lineRule="auto"/>
              <w:ind w:firstLine="0" w:firstLineChars="0"/>
              <w:jc w:val="center"/>
              <w:rPr>
                <w:rFonts w:hAnsi="宋体" w:cs="宋体"/>
                <w:b/>
                <w:color w:val="000000" w:themeColor="text1"/>
                <w:kern w:val="0"/>
                <w:sz w:val="20"/>
                <w:szCs w:val="20"/>
                <w14:textFill>
                  <w14:solidFill>
                    <w14:schemeClr w14:val="tx1"/>
                  </w14:solidFill>
                </w14:textFill>
              </w:rPr>
            </w:pPr>
            <w:r>
              <w:rPr>
                <w:rFonts w:hint="eastAsia" w:hAnsi="宋体" w:cs="宋体"/>
                <w:b/>
                <w:color w:val="000000" w:themeColor="text1"/>
                <w:kern w:val="0"/>
                <w:sz w:val="20"/>
                <w:szCs w:val="20"/>
                <w14:textFill>
                  <w14:solidFill>
                    <w14:schemeClr w14:val="tx1"/>
                  </w14:solidFill>
                </w14:textFill>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shd w:val="clear" w:color="FFFFFF" w:fill="FFFFFF"/>
            <w:vAlign w:val="center"/>
          </w:tcPr>
          <w:p>
            <w:pPr>
              <w:widowControl/>
              <w:spacing w:line="240" w:lineRule="auto"/>
              <w:ind w:firstLine="0" w:firstLineChars="0"/>
              <w:jc w:val="left"/>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指标项</w:t>
            </w:r>
          </w:p>
        </w:tc>
        <w:tc>
          <w:tcPr>
            <w:tcW w:w="6379" w:type="dxa"/>
            <w:shd w:val="clear" w:color="auto" w:fill="auto"/>
            <w:vAlign w:val="bottom"/>
          </w:tcPr>
          <w:p>
            <w:pPr>
              <w:widowControl/>
              <w:spacing w:line="240" w:lineRule="auto"/>
              <w:ind w:firstLine="0" w:firstLineChars="0"/>
              <w:jc w:val="left"/>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上门服务</w:t>
            </w:r>
          </w:p>
        </w:tc>
        <w:tc>
          <w:tcPr>
            <w:tcW w:w="6379"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snapToGrid w:val="0"/>
                <w:color w:val="000000" w:themeColor="text1"/>
                <w14:textFill>
                  <w14:solidFill>
                    <w14:schemeClr w14:val="tx1"/>
                  </w14:solidFill>
                </w14:textFill>
              </w:rPr>
              <w:t>★</w:t>
            </w:r>
            <w:r>
              <w:rPr>
                <w:rFonts w:hint="eastAsia"/>
                <w:color w:val="000000" w:themeColor="text1"/>
                <w:sz w:val="20"/>
                <w:szCs w:val="20"/>
                <w14:textFill>
                  <w14:solidFill>
                    <w14:schemeClr w14:val="tx1"/>
                  </w14:solidFill>
                </w14:textFill>
              </w:rPr>
              <w:t>3年7*24*小时工程师带备件上门服务，8小时内恢复服务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985" w:type="dxa"/>
            <w:shd w:val="clear" w:color="FFFFFF" w:fill="FFFFFF"/>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安装部署</w:t>
            </w:r>
          </w:p>
        </w:tc>
        <w:tc>
          <w:tcPr>
            <w:tcW w:w="6379" w:type="dxa"/>
            <w:shd w:val="clear" w:color="auto" w:fill="auto"/>
            <w:vAlign w:val="center"/>
          </w:tcPr>
          <w:p>
            <w:pPr>
              <w:pStyle w:val="981"/>
              <w:numPr>
                <w:ilvl w:val="0"/>
                <w:numId w:val="0"/>
              </w:numPr>
              <w:spacing w:line="240" w:lineRule="auto"/>
              <w:rPr>
                <w:color w:val="000000" w:themeColor="text1"/>
                <w:sz w:val="20"/>
                <w14:textFill>
                  <w14:solidFill>
                    <w14:schemeClr w14:val="tx1"/>
                  </w14:solidFill>
                </w14:textFill>
              </w:rPr>
            </w:pPr>
            <w:r>
              <w:rPr>
                <w:rFonts w:hint="eastAsia"/>
                <w:snapToGrid w:val="0"/>
                <w:color w:val="000000" w:themeColor="text1"/>
                <w14:textFill>
                  <w14:solidFill>
                    <w14:schemeClr w14:val="tx1"/>
                  </w14:solidFill>
                </w14:textFill>
              </w:rPr>
              <w:t>★</w:t>
            </w:r>
            <w:r>
              <w:rPr>
                <w:rFonts w:hint="eastAsia"/>
                <w:color w:val="000000" w:themeColor="text1"/>
                <w:sz w:val="20"/>
                <w14:textFill>
                  <w14:solidFill>
                    <w14:schemeClr w14:val="tx1"/>
                  </w14:solidFill>
                </w14:textFill>
              </w:rPr>
              <w:t>提供系统安装部署服务</w:t>
            </w:r>
          </w:p>
        </w:tc>
      </w:tr>
    </w:tbl>
    <w:p>
      <w:pPr>
        <w:rPr>
          <w:color w:val="000000" w:themeColor="text1"/>
          <w14:textFill>
            <w14:solidFill>
              <w14:schemeClr w14:val="tx1"/>
            </w14:solidFill>
          </w14:textFill>
        </w:rPr>
      </w:pPr>
    </w:p>
    <w:p>
      <w:pPr>
        <w:pStyle w:val="5"/>
        <w:numPr>
          <w:ilvl w:val="1"/>
          <w:numId w:val="0"/>
        </w:numPr>
        <w:ind w:leftChars="0"/>
        <w:rPr>
          <w:rFonts w:hint="eastAsia"/>
          <w:color w:val="000000" w:themeColor="text1"/>
          <w:sz w:val="28"/>
          <w:szCs w:val="28"/>
          <w:lang w:val="en-US" w:eastAsia="zh-CN"/>
          <w14:textFill>
            <w14:solidFill>
              <w14:schemeClr w14:val="tx1"/>
            </w14:solidFill>
          </w14:textFill>
        </w:rPr>
      </w:pPr>
      <w:bookmarkStart w:id="37" w:name="_Toc98434333"/>
      <w:r>
        <w:rPr>
          <w:rFonts w:hint="eastAsia"/>
          <w:color w:val="000000" w:themeColor="text1"/>
          <w:sz w:val="28"/>
          <w:szCs w:val="28"/>
          <w:lang w:val="en-US" w:eastAsia="zh-CN"/>
          <w14:textFill>
            <w14:solidFill>
              <w14:schemeClr w14:val="tx1"/>
            </w14:solidFill>
          </w14:textFill>
        </w:rPr>
        <w:t>2.2.2专有云平台软件</w:t>
      </w:r>
      <w:bookmarkEnd w:id="37"/>
    </w:p>
    <w:p>
      <w:pPr>
        <w:ind w:firstLine="0" w:firstLineChars="0"/>
        <w:rPr>
          <w:color w:val="FF0000"/>
        </w:rPr>
      </w:pPr>
      <w:r>
        <w:rPr>
          <w:rFonts w:hint="eastAsia"/>
          <w:color w:val="FF0000"/>
        </w:rPr>
        <w:t>以下软件提供永久授权，三年维保，期间提供免费质保和免费升级服务。</w:t>
      </w:r>
    </w:p>
    <w:tbl>
      <w:tblPr>
        <w:tblStyle w:val="59"/>
        <w:tblW w:w="822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34"/>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22" w:type="dxa"/>
            <w:gridSpan w:val="3"/>
            <w:shd w:val="clear" w:color="auto" w:fill="auto"/>
            <w:vAlign w:val="bottom"/>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整体技术架构要求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gridSpan w:val="2"/>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指标项</w:t>
            </w:r>
          </w:p>
        </w:tc>
        <w:tc>
          <w:tcPr>
            <w:tcW w:w="6237" w:type="dxa"/>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详细要求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985" w:type="dxa"/>
            <w:gridSpan w:val="2"/>
            <w:shd w:val="clear" w:color="auto" w:fill="auto"/>
            <w:vAlign w:val="center"/>
          </w:tcPr>
          <w:p>
            <w:pPr>
              <w:widowControl/>
              <w:spacing w:line="240" w:lineRule="auto"/>
              <w:ind w:firstLine="0" w:firstLineChars="0"/>
              <w:jc w:val="center"/>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采用分布式技术架构</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要求平台所有产品（组件）采用分布式技术架构。例如：计算虚拟化引擎、存储系统、SDN网络系统、通讯消息系统、调度系统、数据库系统、大数据处理处理系统、大数据调度引擎系统等；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gridSpan w:val="2"/>
            <w:shd w:val="clear" w:color="auto" w:fill="auto"/>
            <w:vAlign w:val="center"/>
          </w:tcPr>
          <w:p>
            <w:pPr>
              <w:widowControl/>
              <w:spacing w:line="240" w:lineRule="auto"/>
              <w:ind w:firstLine="0" w:firstLineChars="0"/>
              <w:jc w:val="center"/>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网络架构要求</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SDN网络至少兼容国内三家主流网络设备厂商的主流网络网络设备；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85" w:type="dxa"/>
            <w:gridSpan w:val="2"/>
            <w:shd w:val="clear" w:color="auto" w:fill="auto"/>
            <w:vAlign w:val="center"/>
          </w:tcPr>
          <w:p>
            <w:pPr>
              <w:widowControl/>
              <w:spacing w:line="240" w:lineRule="auto"/>
              <w:ind w:firstLine="0" w:firstLineChars="0"/>
              <w:jc w:val="center"/>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一云多芯</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全面兼容x86、ARM多种芯片架构，兼容intel，海光，鲲鹏，飞腾等芯片服务器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22" w:type="dxa"/>
            <w:gridSpan w:val="3"/>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85" w:type="dxa"/>
            <w:gridSpan w:val="2"/>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指标项</w:t>
            </w:r>
          </w:p>
        </w:tc>
        <w:tc>
          <w:tcPr>
            <w:tcW w:w="6237" w:type="dxa"/>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85" w:type="dxa"/>
            <w:gridSpan w:val="2"/>
            <w:shd w:val="clear" w:color="auto" w:fill="auto"/>
            <w:vAlign w:val="center"/>
          </w:tcPr>
          <w:p>
            <w:pPr>
              <w:widowControl/>
              <w:spacing w:line="240" w:lineRule="auto"/>
              <w:ind w:firstLine="0" w:firstLineChars="0"/>
              <w:jc w:val="center"/>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架构要求</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云平台安全防护系统应采用X86或ARM通用服务器架构，软件化部署，并且具有良好的高可用设计和弹性扩展能力。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985" w:type="dxa"/>
            <w:gridSpan w:val="2"/>
            <w:vMerge w:val="restart"/>
            <w:shd w:val="clear" w:color="auto" w:fill="auto"/>
            <w:vAlign w:val="center"/>
          </w:tcPr>
          <w:p>
            <w:pPr>
              <w:widowControl/>
              <w:spacing w:line="240" w:lineRule="auto"/>
              <w:ind w:firstLine="0" w:firstLineChars="0"/>
              <w:jc w:val="center"/>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功能要求</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投标人应提供成熟的云安全管理平台，在云安全管理平台中提供的态势感知、DDoS防护、云防火墙、Web应用防火墙、主机安全防护、流量安全监控等功能模块要实现自动化交付安装、统一管理、统一监控、统一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5" w:type="dxa"/>
            <w:gridSpan w:val="2"/>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6237"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主机安全产品获得公安部颁发的销售许可证（增强级），提供第三方证明材料。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5" w:type="dxa"/>
            <w:gridSpan w:val="2"/>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6237"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投标人应具备ISO 27001、ISO 22301、ISO 9001、ISO 20000国际认证资质。提供第三方证明材料。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5" w:type="dxa"/>
            <w:gridSpan w:val="2"/>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6237"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投标的云平台产品应具备可信云-云服务用户数据保护能力（私有云）认证。提供第三方证明材料。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22" w:type="dxa"/>
            <w:gridSpan w:val="3"/>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云服务器计算集群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85" w:type="dxa"/>
            <w:gridSpan w:val="2"/>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指标项</w:t>
            </w:r>
          </w:p>
        </w:tc>
        <w:tc>
          <w:tcPr>
            <w:tcW w:w="6237" w:type="dxa"/>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985" w:type="dxa"/>
            <w:gridSpan w:val="2"/>
            <w:vMerge w:val="restart"/>
            <w:shd w:val="clear" w:color="auto" w:fill="auto"/>
            <w:vAlign w:val="center"/>
          </w:tcPr>
          <w:p>
            <w:pPr>
              <w:widowControl/>
              <w:spacing w:line="240" w:lineRule="auto"/>
              <w:ind w:firstLine="0" w:firstLineChars="0"/>
              <w:jc w:val="center"/>
              <w:rPr>
                <w:rFonts w:hint="eastAsia"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功能要求</w:t>
            </w:r>
          </w:p>
          <w:p>
            <w:pPr>
              <w:widowControl/>
              <w:spacing w:line="240" w:lineRule="auto"/>
              <w:ind w:firstLine="0" w:firstLineChars="0"/>
              <w:jc w:val="center"/>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　</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支持为云服务器指定IP地址创建云主机，方便运维人员进行IP的统筹管理,支持配置IPv6/IPv4双栈网络,云主机实例可自动获取IPv6地址进行内网通信。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985" w:type="dxa"/>
            <w:gridSpan w:val="2"/>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6237"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支持云主机生命周期管理和维护，包括但不限于创建、启动、关闭、重启、更换操作系统，其中创建、启动、关闭、重启应支持批量操作，提升管理员操作效率。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985" w:type="dxa"/>
            <w:gridSpan w:val="2"/>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6237"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支持对云主机CPU、内存、硬盘等基础指标进行监控，同时支持对云主机系统中的各进程CPU、内存、打开文件数进行监控，为用户提供系统级、主动式、细粒度监控服务。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985" w:type="dxa"/>
            <w:gridSpan w:val="2"/>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6237"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支持对云主机的系统盘和数据盘创建整机镜像模板，创建的镜像包含用户的业务数据，可用于快速发放包含用户业务数据的新弹性云主机。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85" w:type="dxa"/>
            <w:gridSpan w:val="2"/>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单个云主机能够挂载不低于16块数据盘，单个数据盘的存储容量不小于32TB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85" w:type="dxa"/>
            <w:gridSpan w:val="2"/>
            <w:vMerge w:val="continue"/>
            <w:shd w:val="clear" w:color="auto" w:fill="auto"/>
            <w:vAlign w:val="center"/>
          </w:tcPr>
          <w:p>
            <w:pPr>
              <w:widowControl/>
              <w:spacing w:line="240" w:lineRule="auto"/>
              <w:ind w:firstLine="0" w:firstLineChars="0"/>
              <w:jc w:val="center"/>
              <w:rPr>
                <w:rFonts w:hAnsi="宋体" w:cs="宋体"/>
                <w:color w:val="000000" w:themeColor="text1"/>
                <w:kern w:val="0"/>
                <w:sz w:val="20"/>
                <w:szCs w:val="20"/>
                <w14:textFill>
                  <w14:solidFill>
                    <w14:schemeClr w14:val="tx1"/>
                  </w14:solidFill>
                </w14:textFill>
              </w:rPr>
            </w:pPr>
          </w:p>
        </w:tc>
        <w:tc>
          <w:tcPr>
            <w:tcW w:w="6237"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支持云主机热迁移，运维人员可以手工指定迁移任务的带宽限制，降低迁移流量对正常业务的干扰。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985" w:type="dxa"/>
            <w:gridSpan w:val="2"/>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6237"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支持云主机高可用（宕机迁移），当某台物理节点发生意外故障，在其上运行的云主机能够在其他正常的物理节点上重新启动，保障业务的连续性。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985" w:type="dxa"/>
            <w:gridSpan w:val="2"/>
            <w:vMerge w:val="restart"/>
            <w:shd w:val="clear" w:color="auto" w:fill="auto"/>
            <w:vAlign w:val="center"/>
          </w:tcPr>
          <w:p>
            <w:pPr>
              <w:widowControl/>
              <w:spacing w:line="240" w:lineRule="auto"/>
              <w:ind w:firstLine="0" w:firstLineChars="0"/>
              <w:jc w:val="center"/>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安全性</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支持云主机磁盘国密算法加密，能够对云盘中的数据、云盘和实例间传输的数据、云盘创建的所有快照进行加密处理，保障数据的安全性。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985" w:type="dxa"/>
            <w:gridSpan w:val="2"/>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6237"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支持用户通过VNC方式远程访问云主机，同时支持用户设置云主机VNC密码（非系统密码），并能在用户VNC访问时进行VNC密码认证，保证终端用户对云主机的安全访问。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85" w:type="dxa"/>
            <w:gridSpan w:val="2"/>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6237"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支持设置自动快照策略，可自定义快照时间点、重复日期以及保留时长。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22" w:type="dxa"/>
            <w:gridSpan w:val="3"/>
            <w:shd w:val="clear" w:color="auto" w:fill="auto"/>
            <w:vAlign w:val="bottom"/>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弹性伸缩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85" w:type="dxa"/>
            <w:gridSpan w:val="2"/>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指标项</w:t>
            </w:r>
          </w:p>
        </w:tc>
        <w:tc>
          <w:tcPr>
            <w:tcW w:w="6237" w:type="dxa"/>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985" w:type="dxa"/>
            <w:gridSpan w:val="2"/>
            <w:shd w:val="clear" w:color="auto" w:fill="auto"/>
            <w:vAlign w:val="center"/>
          </w:tcPr>
          <w:p>
            <w:pPr>
              <w:widowControl/>
              <w:spacing w:line="240" w:lineRule="auto"/>
              <w:ind w:firstLine="0" w:firstLineChars="0"/>
              <w:jc w:val="center"/>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总体要求</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支持弹性伸缩功能，根据业务的需求和策略，自动调整计算资源大小，在业务需求增长时，自动增加云主机实例，在业务需求下降时自动减少云主机实例。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985" w:type="dxa"/>
            <w:gridSpan w:val="2"/>
            <w:vMerge w:val="restart"/>
            <w:shd w:val="clear" w:color="auto" w:fill="auto"/>
            <w:vAlign w:val="center"/>
          </w:tcPr>
          <w:p>
            <w:pPr>
              <w:widowControl/>
              <w:spacing w:line="240" w:lineRule="auto"/>
              <w:ind w:firstLine="0" w:firstLineChars="0"/>
              <w:jc w:val="center"/>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功能要求</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支持实时统计伸缩组内指标数据，并在统计值满足告警条件时触发告警，自动执行伸缩规则，动态调整伸缩组内的云主机的实例数量，监控指标包括但不限于CPU使用率、内存使用率、内网出流量、内网入流量等。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85" w:type="dxa"/>
            <w:gridSpan w:val="2"/>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6237"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支持指定待伸缩云主机实例的配置信息，包括但不限于实例规格、镜像类型、系统盘、数据盘、自定义数据等。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985" w:type="dxa"/>
            <w:gridSpan w:val="2"/>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6237"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支持根据配置的伸缩规则弹性扩张云主机实例，能够自动将云主机实例添加到负载均衡实例的后端服务器组和数据库实例的访问白名单中。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22" w:type="dxa"/>
            <w:gridSpan w:val="3"/>
            <w:shd w:val="clear" w:color="auto" w:fill="auto"/>
            <w:vAlign w:val="bottom"/>
          </w:tcPr>
          <w:p>
            <w:pPr>
              <w:widowControl/>
              <w:spacing w:line="240" w:lineRule="auto"/>
              <w:ind w:firstLine="0" w:firstLineChars="0"/>
              <w:jc w:val="center"/>
              <w:rPr>
                <w:rFonts w:hint="eastAsia"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资源编排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85" w:type="dxa"/>
            <w:gridSpan w:val="2"/>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指标项</w:t>
            </w:r>
          </w:p>
        </w:tc>
        <w:tc>
          <w:tcPr>
            <w:tcW w:w="6237" w:type="dxa"/>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85" w:type="dxa"/>
            <w:gridSpan w:val="2"/>
            <w:vMerge w:val="restart"/>
            <w:shd w:val="clear" w:color="auto" w:fill="auto"/>
            <w:vAlign w:val="center"/>
          </w:tcPr>
          <w:p>
            <w:pPr>
              <w:widowControl/>
              <w:spacing w:line="240" w:lineRule="auto"/>
              <w:ind w:firstLine="0" w:firstLineChars="0"/>
              <w:jc w:val="center"/>
              <w:rPr>
                <w:rFonts w:hint="eastAsia" w:hAnsi="宋体" w:cs="宋体"/>
                <w:bCs/>
                <w:color w:val="000000" w:themeColor="text1"/>
                <w:kern w:val="0"/>
                <w:sz w:val="20"/>
                <w:szCs w:val="20"/>
                <w14:textFill>
                  <w14:solidFill>
                    <w14:schemeClr w14:val="tx1"/>
                  </w14:solidFill>
                </w14:textFill>
              </w:rPr>
            </w:pPr>
            <w:r>
              <w:rPr>
                <w:rFonts w:hint="eastAsia" w:hAnsi="宋体" w:cs="宋体"/>
                <w:bCs/>
                <w:color w:val="000000" w:themeColor="text1"/>
                <w:kern w:val="0"/>
                <w:sz w:val="20"/>
                <w:szCs w:val="20"/>
                <w14:textFill>
                  <w14:solidFill>
                    <w14:schemeClr w14:val="tx1"/>
                  </w14:solidFill>
                </w14:textFill>
              </w:rPr>
              <w:t>功能要求</w:t>
            </w:r>
          </w:p>
        </w:tc>
        <w:tc>
          <w:tcPr>
            <w:tcW w:w="6237" w:type="dxa"/>
            <w:shd w:val="clear" w:color="auto" w:fill="auto"/>
            <w:vAlign w:val="bottom"/>
          </w:tcPr>
          <w:p>
            <w:pPr>
              <w:widowControl/>
              <w:spacing w:line="240" w:lineRule="auto"/>
              <w:ind w:firstLine="0" w:firstLineChars="0"/>
              <w:jc w:val="left"/>
              <w:rPr>
                <w:rFonts w:hint="eastAsia"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w:t>
            </w:r>
            <w:r>
              <w:rPr>
                <w:rFonts w:hAnsi="宋体" w:cs="宋体"/>
                <w:color w:val="000000" w:themeColor="text1"/>
                <w:kern w:val="0"/>
                <w:sz w:val="20"/>
                <w:szCs w:val="20"/>
                <w14:textFill>
                  <w14:solidFill>
                    <w14:schemeClr w14:val="tx1"/>
                  </w14:solidFill>
                </w14:textFill>
              </w:rPr>
              <w:t>使用同一个</w:t>
            </w:r>
            <w:r>
              <w:rPr>
                <w:rFonts w:hint="eastAsia" w:hAnsi="宋体" w:cs="宋体"/>
                <w:color w:val="000000" w:themeColor="text1"/>
                <w:kern w:val="0"/>
                <w:sz w:val="20"/>
                <w:szCs w:val="20"/>
                <w14:textFill>
                  <w14:solidFill>
                    <w14:schemeClr w14:val="tx1"/>
                  </w14:solidFill>
                </w14:textFill>
              </w:rPr>
              <w:t>资源编排</w:t>
            </w:r>
            <w:r>
              <w:rPr>
                <w:rFonts w:hAnsi="宋体" w:cs="宋体"/>
                <w:color w:val="000000" w:themeColor="text1"/>
                <w:kern w:val="0"/>
                <w:sz w:val="20"/>
                <w:szCs w:val="20"/>
                <w14:textFill>
                  <w14:solidFill>
                    <w14:schemeClr w14:val="tx1"/>
                  </w14:solidFill>
                </w14:textFill>
              </w:rPr>
              <w:t>模板，在多个账号中进行自动化部署。也</w:t>
            </w:r>
            <w:r>
              <w:rPr>
                <w:rFonts w:hint="eastAsia" w:hAnsi="宋体" w:cs="宋体"/>
                <w:color w:val="000000" w:themeColor="text1"/>
                <w:kern w:val="0"/>
                <w:sz w:val="20"/>
                <w:szCs w:val="20"/>
                <w14:textFill>
                  <w14:solidFill>
                    <w14:schemeClr w14:val="tx1"/>
                  </w14:solidFill>
                </w14:textFill>
              </w:rPr>
              <w:t>支持</w:t>
            </w:r>
            <w:r>
              <w:rPr>
                <w:rFonts w:hAnsi="宋体" w:cs="宋体"/>
                <w:color w:val="000000" w:themeColor="text1"/>
                <w:kern w:val="0"/>
                <w:sz w:val="20"/>
                <w:szCs w:val="20"/>
                <w14:textFill>
                  <w14:solidFill>
                    <w14:schemeClr w14:val="tx1"/>
                  </w14:solidFill>
                </w14:textFill>
              </w:rPr>
              <w:t>使用同一个</w:t>
            </w:r>
            <w:r>
              <w:rPr>
                <w:rFonts w:hint="eastAsia" w:hAnsi="宋体" w:cs="宋体"/>
                <w:color w:val="000000" w:themeColor="text1"/>
                <w:kern w:val="0"/>
                <w:sz w:val="20"/>
                <w:szCs w:val="20"/>
                <w14:textFill>
                  <w14:solidFill>
                    <w14:schemeClr w14:val="tx1"/>
                  </w14:solidFill>
                </w14:textFill>
              </w:rPr>
              <w:t>资源编排</w:t>
            </w:r>
            <w:r>
              <w:rPr>
                <w:rFonts w:hAnsi="宋体" w:cs="宋体"/>
                <w:color w:val="000000" w:themeColor="text1"/>
                <w:kern w:val="0"/>
                <w:sz w:val="20"/>
                <w:szCs w:val="20"/>
                <w14:textFill>
                  <w14:solidFill>
                    <w14:schemeClr w14:val="tx1"/>
                  </w14:solidFill>
                </w14:textFill>
              </w:rPr>
              <w:t>模板，部署开发、测试和生产环境，通过指定不同的参数满足各环境的差异性。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85" w:type="dxa"/>
            <w:gridSpan w:val="2"/>
            <w:vMerge w:val="continue"/>
            <w:shd w:val="clear" w:color="auto" w:fill="auto"/>
            <w:vAlign w:val="bottom"/>
          </w:tcPr>
          <w:p>
            <w:pPr>
              <w:widowControl/>
              <w:spacing w:line="240" w:lineRule="auto"/>
              <w:ind w:firstLine="0" w:firstLineChars="0"/>
              <w:jc w:val="center"/>
              <w:rPr>
                <w:rFonts w:hint="eastAsia" w:hAnsi="宋体" w:cs="宋体"/>
                <w:b/>
                <w:bCs/>
                <w:color w:val="000000" w:themeColor="text1"/>
                <w:kern w:val="0"/>
                <w:sz w:val="20"/>
                <w:szCs w:val="20"/>
                <w14:textFill>
                  <w14:solidFill>
                    <w14:schemeClr w14:val="tx1"/>
                  </w14:solidFill>
                </w14:textFill>
              </w:rPr>
            </w:pPr>
          </w:p>
        </w:tc>
        <w:tc>
          <w:tcPr>
            <w:tcW w:w="6237" w:type="dxa"/>
            <w:shd w:val="clear" w:color="auto" w:fill="auto"/>
            <w:vAlign w:val="bottom"/>
          </w:tcPr>
          <w:p>
            <w:pPr>
              <w:widowControl/>
              <w:spacing w:line="240" w:lineRule="auto"/>
              <w:ind w:firstLine="0" w:firstLineChars="0"/>
              <w:jc w:val="left"/>
              <w:rPr>
                <w:rFonts w:hint="eastAsia"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w:t>
            </w:r>
            <w:r>
              <w:rPr>
                <w:rFonts w:hAnsi="宋体" w:cs="宋体"/>
                <w:color w:val="000000" w:themeColor="text1"/>
                <w:kern w:val="0"/>
                <w:sz w:val="20"/>
                <w:szCs w:val="20"/>
                <w14:textFill>
                  <w14:solidFill>
                    <w14:schemeClr w14:val="tx1"/>
                  </w14:solidFill>
                </w14:textFill>
              </w:rPr>
              <w:t>使用</w:t>
            </w:r>
            <w:r>
              <w:rPr>
                <w:rFonts w:hint="eastAsia" w:hAnsi="宋体" w:cs="宋体"/>
                <w:color w:val="000000" w:themeColor="text1"/>
                <w:kern w:val="0"/>
                <w:sz w:val="20"/>
                <w:szCs w:val="20"/>
                <w14:textFill>
                  <w14:solidFill>
                    <w14:schemeClr w14:val="tx1"/>
                  </w14:solidFill>
                </w14:textFill>
              </w:rPr>
              <w:t>资源编排</w:t>
            </w:r>
            <w:r>
              <w:rPr>
                <w:rFonts w:hAnsi="宋体" w:cs="宋体"/>
                <w:color w:val="000000" w:themeColor="text1"/>
                <w:kern w:val="0"/>
                <w:sz w:val="20"/>
                <w:szCs w:val="20"/>
                <w14:textFill>
                  <w14:solidFill>
                    <w14:schemeClr w14:val="tx1"/>
                  </w14:solidFill>
                </w14:textFill>
              </w:rPr>
              <w:t>重复部署，将部署环境标准化，减少不同环境的差异，节省部署成本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85" w:type="dxa"/>
            <w:gridSpan w:val="2"/>
            <w:vMerge w:val="continue"/>
            <w:shd w:val="clear" w:color="auto" w:fill="auto"/>
            <w:vAlign w:val="bottom"/>
          </w:tcPr>
          <w:p>
            <w:pPr>
              <w:widowControl/>
              <w:spacing w:line="240" w:lineRule="auto"/>
              <w:ind w:firstLine="0" w:firstLineChars="0"/>
              <w:jc w:val="center"/>
              <w:rPr>
                <w:rFonts w:hint="eastAsia" w:hAnsi="宋体" w:cs="宋体"/>
                <w:b/>
                <w:bCs/>
                <w:color w:val="000000" w:themeColor="text1"/>
                <w:kern w:val="0"/>
                <w:sz w:val="20"/>
                <w:szCs w:val="20"/>
                <w14:textFill>
                  <w14:solidFill>
                    <w14:schemeClr w14:val="tx1"/>
                  </w14:solidFill>
                </w14:textFill>
              </w:rPr>
            </w:pPr>
          </w:p>
        </w:tc>
        <w:tc>
          <w:tcPr>
            <w:tcW w:w="6237" w:type="dxa"/>
            <w:shd w:val="clear" w:color="auto" w:fill="auto"/>
            <w:vAlign w:val="bottom"/>
          </w:tcPr>
          <w:p>
            <w:pPr>
              <w:widowControl/>
              <w:spacing w:line="240" w:lineRule="auto"/>
              <w:ind w:firstLine="0" w:firstLineChars="0"/>
              <w:jc w:val="left"/>
              <w:rPr>
                <w:rFonts w:hint="eastAsia"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支持资源编排</w:t>
            </w:r>
            <w:r>
              <w:rPr>
                <w:rFonts w:hAnsi="宋体" w:cs="宋体"/>
                <w:color w:val="000000" w:themeColor="text1"/>
                <w:kern w:val="0"/>
                <w:sz w:val="20"/>
                <w:szCs w:val="20"/>
                <w14:textFill>
                  <w14:solidFill>
                    <w14:schemeClr w14:val="tx1"/>
                  </w14:solidFill>
                </w14:textFill>
              </w:rPr>
              <w:t xml:space="preserve">通过自动化部署，通过控制台或API清晰地查看部署结果， </w:t>
            </w:r>
            <w:r>
              <w:rPr>
                <w:rFonts w:hint="eastAsia" w:hAnsi="宋体" w:cs="宋体"/>
                <w:color w:val="000000" w:themeColor="text1"/>
                <w:kern w:val="0"/>
                <w:sz w:val="20"/>
                <w:szCs w:val="20"/>
                <w14:textFill>
                  <w14:solidFill>
                    <w14:schemeClr w14:val="tx1"/>
                  </w14:solidFill>
                </w14:textFill>
              </w:rPr>
              <w:t>不需要</w:t>
            </w:r>
            <w:r>
              <w:rPr>
                <w:rFonts w:hAnsi="宋体" w:cs="宋体"/>
                <w:color w:val="000000" w:themeColor="text1"/>
                <w:kern w:val="0"/>
                <w:sz w:val="20"/>
                <w:szCs w:val="20"/>
                <w14:textFill>
                  <w14:solidFill>
                    <w14:schemeClr w14:val="tx1"/>
                  </w14:solidFill>
                </w14:textFill>
              </w:rPr>
              <w:t>人工逐个检查部署进程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85" w:type="dxa"/>
            <w:gridSpan w:val="2"/>
            <w:vMerge w:val="continue"/>
            <w:shd w:val="clear" w:color="auto" w:fill="auto"/>
            <w:vAlign w:val="bottom"/>
          </w:tcPr>
          <w:p>
            <w:pPr>
              <w:widowControl/>
              <w:spacing w:line="240" w:lineRule="auto"/>
              <w:ind w:firstLine="0" w:firstLineChars="0"/>
              <w:jc w:val="center"/>
              <w:rPr>
                <w:rFonts w:hint="eastAsia" w:hAnsi="宋体" w:cs="宋体"/>
                <w:b/>
                <w:bCs/>
                <w:color w:val="000000" w:themeColor="text1"/>
                <w:kern w:val="0"/>
                <w:sz w:val="20"/>
                <w:szCs w:val="20"/>
                <w14:textFill>
                  <w14:solidFill>
                    <w14:schemeClr w14:val="tx1"/>
                  </w14:solidFill>
                </w14:textFill>
              </w:rPr>
            </w:pPr>
          </w:p>
        </w:tc>
        <w:tc>
          <w:tcPr>
            <w:tcW w:w="6237" w:type="dxa"/>
            <w:shd w:val="clear" w:color="auto" w:fill="auto"/>
            <w:vAlign w:val="bottom"/>
          </w:tcPr>
          <w:p>
            <w:pPr>
              <w:widowControl/>
              <w:spacing w:line="240" w:lineRule="auto"/>
              <w:ind w:firstLine="0" w:firstLineChars="0"/>
              <w:jc w:val="left"/>
              <w:rPr>
                <w:rFonts w:hint="eastAsia"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w:t>
            </w:r>
            <w:r>
              <w:rPr>
                <w:rFonts w:hAnsi="宋体" w:cs="宋体"/>
                <w:color w:val="000000" w:themeColor="text1"/>
                <w:kern w:val="0"/>
                <w:sz w:val="20"/>
                <w:szCs w:val="20"/>
                <w14:textFill>
                  <w14:solidFill>
                    <w14:schemeClr w14:val="tx1"/>
                  </w14:solidFill>
                </w14:textFill>
              </w:rPr>
              <w:t>使用偏差检测来识别在</w:t>
            </w:r>
            <w:r>
              <w:rPr>
                <w:rFonts w:hint="eastAsia" w:hAnsi="宋体" w:cs="宋体"/>
                <w:color w:val="000000" w:themeColor="text1"/>
                <w:kern w:val="0"/>
                <w:sz w:val="20"/>
                <w:szCs w:val="20"/>
                <w14:textFill>
                  <w14:solidFill>
                    <w14:schemeClr w14:val="tx1"/>
                  </w14:solidFill>
                </w14:textFill>
              </w:rPr>
              <w:t>资源编排</w:t>
            </w:r>
            <w:r>
              <w:rPr>
                <w:rFonts w:hAnsi="宋体" w:cs="宋体"/>
                <w:color w:val="000000" w:themeColor="text1"/>
                <w:kern w:val="0"/>
                <w:sz w:val="20"/>
                <w:szCs w:val="20"/>
                <w14:textFill>
                  <w14:solidFill>
                    <w14:schemeClr w14:val="tx1"/>
                  </w14:solidFill>
                </w14:textFill>
              </w:rPr>
              <w:t>之外的资源变更，并采取纠正措施，使资源再次与模板定义同步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22" w:type="dxa"/>
            <w:gridSpan w:val="3"/>
            <w:shd w:val="clear" w:color="auto" w:fill="auto"/>
            <w:vAlign w:val="bottom"/>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块存储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85" w:type="dxa"/>
            <w:gridSpan w:val="2"/>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指标项</w:t>
            </w:r>
          </w:p>
        </w:tc>
        <w:tc>
          <w:tcPr>
            <w:tcW w:w="6237" w:type="dxa"/>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85" w:type="dxa"/>
            <w:gridSpan w:val="2"/>
            <w:shd w:val="clear" w:color="auto" w:fill="auto"/>
            <w:vAlign w:val="center"/>
          </w:tcPr>
          <w:p>
            <w:pPr>
              <w:widowControl/>
              <w:spacing w:line="240" w:lineRule="auto"/>
              <w:ind w:firstLine="0" w:firstLineChars="0"/>
              <w:jc w:val="center"/>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总体要求</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为云主机提供的低时延、持久性、高可靠性的数据块级存储设备。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85" w:type="dxa"/>
            <w:gridSpan w:val="2"/>
            <w:vMerge w:val="restart"/>
            <w:shd w:val="clear" w:color="auto" w:fill="auto"/>
            <w:vAlign w:val="center"/>
          </w:tcPr>
          <w:p>
            <w:pPr>
              <w:widowControl/>
              <w:spacing w:line="240" w:lineRule="auto"/>
              <w:ind w:firstLine="0" w:firstLineChars="0"/>
              <w:jc w:val="center"/>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功能要求</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支持在线扩展容量，扩容期间无需关闭虚拟机，无需卸载云盘；系统盘在线扩容不停业务。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85" w:type="dxa"/>
            <w:gridSpan w:val="2"/>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6237"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支持磁盘的创建、删除、卸载、扩容、挂载、查询、初始化等功能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985" w:type="dxa"/>
            <w:gridSpan w:val="2"/>
            <w:vMerge w:val="restart"/>
            <w:shd w:val="clear" w:color="auto" w:fill="auto"/>
            <w:vAlign w:val="center"/>
          </w:tcPr>
          <w:p>
            <w:pPr>
              <w:widowControl/>
              <w:spacing w:line="240" w:lineRule="auto"/>
              <w:ind w:firstLine="0" w:firstLineChars="0"/>
              <w:jc w:val="center"/>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安全性</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支持使用用户指定的KMS密钥进行加密，支持国密算法。 加密功能简单易用，无需用户构建、维护或更改程序、流程，磁盘加密功能对于业务没有任何影响。 磁盘加密功能支持对以下类型的数据进行加密：云盘中的数据/云盘和实例间传输的数据/加密云盘的所有快照（加密快照）。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85" w:type="dxa"/>
            <w:gridSpan w:val="2"/>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6237"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支持分布式EC和三副本数据冗余保护， 三副本模式下，数据三副本支持分布在3个机柜或3对接入交换机上。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5" w:type="dxa"/>
            <w:gridSpan w:val="2"/>
            <w:shd w:val="clear" w:color="auto" w:fill="auto"/>
            <w:vAlign w:val="center"/>
          </w:tcPr>
          <w:p>
            <w:pPr>
              <w:widowControl/>
              <w:spacing w:line="240" w:lineRule="auto"/>
              <w:ind w:firstLine="0" w:firstLineChars="0"/>
              <w:jc w:val="center"/>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产品资质</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通过GB/T 37737-2019《信息技术云计算分布式块存储系统总体技术要求》国标测试，需提供测试报告证明。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22" w:type="dxa"/>
            <w:gridSpan w:val="3"/>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对象存储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85" w:type="dxa"/>
            <w:gridSpan w:val="2"/>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指标项</w:t>
            </w:r>
          </w:p>
        </w:tc>
        <w:tc>
          <w:tcPr>
            <w:tcW w:w="6237" w:type="dxa"/>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985" w:type="dxa"/>
            <w:gridSpan w:val="2"/>
            <w:shd w:val="clear" w:color="auto" w:fill="auto"/>
            <w:vAlign w:val="center"/>
          </w:tcPr>
          <w:p>
            <w:pPr>
              <w:widowControl/>
              <w:spacing w:line="240" w:lineRule="auto"/>
              <w:ind w:firstLine="0" w:firstLineChars="0"/>
              <w:jc w:val="center"/>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总体要求</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对象存储服务支持RESTful API接口、兼容Amazon S3接口，通过开发工具包SDK或直接通过RESTful API进行基础和高级对象存储操作，提供key-value键值对形式的对象存储服务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85" w:type="dxa"/>
            <w:gridSpan w:val="2"/>
            <w:vMerge w:val="restart"/>
            <w:shd w:val="clear" w:color="auto" w:fill="auto"/>
            <w:vAlign w:val="center"/>
          </w:tcPr>
          <w:p>
            <w:pPr>
              <w:widowControl/>
              <w:spacing w:line="240" w:lineRule="auto"/>
              <w:ind w:firstLine="0" w:firstLineChars="0"/>
              <w:jc w:val="center"/>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功能要求</w:t>
            </w:r>
          </w:p>
        </w:tc>
        <w:tc>
          <w:tcPr>
            <w:tcW w:w="6237"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支持对视频文件进行视频截帧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985" w:type="dxa"/>
            <w:gridSpan w:val="2"/>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6237" w:type="dxa"/>
            <w:shd w:val="clear" w:color="auto" w:fill="auto"/>
            <w:vAlign w:val="center"/>
          </w:tcPr>
          <w:p>
            <w:pPr>
              <w:widowControl/>
              <w:spacing w:line="240" w:lineRule="auto"/>
              <w:ind w:firstLine="0" w:firstLineChars="0"/>
              <w:jc w:val="left"/>
              <w:rPr>
                <w:rFonts w:hint="eastAsia" w:hAnsi="宋体" w:cs="宋体" w:eastAsiaTheme="minorEastAsia"/>
                <w:color w:val="000000" w:themeColor="text1"/>
                <w:kern w:val="0"/>
                <w:sz w:val="20"/>
                <w:szCs w:val="20"/>
                <w:lang w:eastAsia="zh-CN"/>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支持对象的简单上传、追加上传、下载、删除、列举、复制，获取对象的元数据、创建多段上传任务。 支持列举存储空间、创建存储空间、删除存储空间、列举存储空间内对象、获取存储空间的元数据。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85" w:type="dxa"/>
            <w:gridSpan w:val="2"/>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6237"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支持生命周期管理、定义和管理存储空间内所有对象或对象的某个子集的生命周期、变更容量和变更归属。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85" w:type="dxa"/>
            <w:gridSpan w:val="2"/>
            <w:shd w:val="clear" w:color="auto" w:fill="auto"/>
            <w:vAlign w:val="center"/>
          </w:tcPr>
          <w:p>
            <w:pPr>
              <w:widowControl/>
              <w:spacing w:line="240" w:lineRule="auto"/>
              <w:ind w:firstLine="0" w:firstLineChars="0"/>
              <w:jc w:val="center"/>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可靠性</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支持基于三副本和EC校验模式的数据多重冗余备份。 三副本模式下，数据三副本支持分布在3个机柜或3对接入交换机上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1985" w:type="dxa"/>
            <w:gridSpan w:val="2"/>
            <w:shd w:val="clear" w:color="auto" w:fill="auto"/>
            <w:vAlign w:val="center"/>
          </w:tcPr>
          <w:p>
            <w:pPr>
              <w:widowControl/>
              <w:spacing w:line="240" w:lineRule="auto"/>
              <w:ind w:firstLine="0" w:firstLineChars="0"/>
              <w:jc w:val="center"/>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安全性</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支持客户端加密功能，可以使用客户端加密SDK，在本地进行数据加密，并将加密后的数据上传到对象存储，既支持云平台密钥管理系统托管的用户主密钥，也支持用户自主管理的密钥。 支持服务器端的加密功能，用户能够使用密钥管理系统上创建的密钥进行加密。可以使用国密算法对bucket内保存的数据以及单独object进行加密存储。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22" w:type="dxa"/>
            <w:gridSpan w:val="3"/>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备份服务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指标项</w:t>
            </w:r>
          </w:p>
        </w:tc>
        <w:tc>
          <w:tcPr>
            <w:tcW w:w="1134" w:type="dxa"/>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指标子项</w:t>
            </w:r>
          </w:p>
        </w:tc>
        <w:tc>
          <w:tcPr>
            <w:tcW w:w="6237" w:type="dxa"/>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Merge w:val="restart"/>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总体要求</w:t>
            </w:r>
          </w:p>
        </w:tc>
        <w:tc>
          <w:tcPr>
            <w:tcW w:w="1134"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可视化管理平台</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具备独立的可视化异地备份管理平台。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基础架构</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支持本地备份； 支持备份到另一朵云或独立的对象存储设备：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restart"/>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技术要求</w:t>
            </w:r>
          </w:p>
        </w:tc>
        <w:tc>
          <w:tcPr>
            <w:tcW w:w="1134"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一致性备份</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支持对分布式关系数据库提供一致性备份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产品能力</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异地备份支持对云服务器、对象存储、文件存储、关系型数据库进行备份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物理备份</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支持对关系型数据库提供物理热备份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1"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性能指标</w:t>
            </w:r>
          </w:p>
        </w:tc>
        <w:tc>
          <w:tcPr>
            <w:tcW w:w="1134"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备份策略</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存储备份支持重删、压缩技术，用以减少I/O传输量和云备份存储量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安全性</w:t>
            </w:r>
          </w:p>
        </w:tc>
        <w:tc>
          <w:tcPr>
            <w:tcW w:w="1134"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备份恢复</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支持常规恢复和云重建恢复，云重建恢复用于应对生产云发生灾难性故障导致重建场景的数据恢复。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51" w:type="dxa"/>
            <w:vMerge w:val="restart"/>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易用性</w:t>
            </w:r>
          </w:p>
        </w:tc>
        <w:tc>
          <w:tcPr>
            <w:tcW w:w="1134"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备份计划</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支持自定义备份计划；支持创建、启动、停止备份计划；支持备份日志、备份记录查看。按备份策略执行备份，按以天为单位的时间间隔进行周期性备份，可设置备份时间和保存时长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恢复任务管理</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支持按备份记录或按时间节点进行恢复；支持创建、启动、停止、和查看恢复任务；支持查看恢复实例的日志信息。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22" w:type="dxa"/>
            <w:gridSpan w:val="3"/>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专有云DNS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85" w:type="dxa"/>
            <w:gridSpan w:val="2"/>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指标项</w:t>
            </w:r>
          </w:p>
        </w:tc>
        <w:tc>
          <w:tcPr>
            <w:tcW w:w="6237" w:type="dxa"/>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985" w:type="dxa"/>
            <w:gridSpan w:val="2"/>
            <w:shd w:val="clear" w:color="auto" w:fill="auto"/>
            <w:vAlign w:val="center"/>
          </w:tcPr>
          <w:p>
            <w:pPr>
              <w:widowControl/>
              <w:spacing w:line="240" w:lineRule="auto"/>
              <w:ind w:firstLine="0" w:firstLineChars="0"/>
              <w:jc w:val="center"/>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总体要求</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VPC私有域名转发配置管理和解析：支持域名级别的转发操作，将特定域名的解析操作转发到其他DNS服务器上进行解析；支持默认转发功能的配置，将本地不存在的所有域名的解析操作全部转发到其他DNS服务器上进行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985" w:type="dxa"/>
            <w:gridSpan w:val="2"/>
            <w:vMerge w:val="restart"/>
            <w:shd w:val="clear" w:color="auto" w:fill="auto"/>
            <w:vAlign w:val="center"/>
          </w:tcPr>
          <w:p>
            <w:pPr>
              <w:widowControl/>
              <w:spacing w:line="240" w:lineRule="auto"/>
              <w:ind w:firstLine="0" w:firstLineChars="0"/>
              <w:jc w:val="center"/>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功能要求</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VPC私有域名和全局域名转发配置管理和解析：支持两种转发操作模式，强制转发模式和优先转发模式。在强制转发模式下，设置只使用转发目的DNS服务器做域名解析，如果解析不到（解析超时）则返回DNS客户端查询失败。在优先转发模式下，设置优先使用转发目的DNS服务器做域名解析，如果查询不到再使用本地DNS服务器做域名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985" w:type="dxa"/>
            <w:gridSpan w:val="2"/>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6237"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VPC私有域名解析支持租户隔离的功能特性，支持权威域名的添加、修改、备注、删除、批量删除操作的功能，同时也支持根据关键字进行模糊查询，针对每个VPC都可以提供定制化的私有网络DNS解析服务配置，实现VPC粒度的租户隔离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85" w:type="dxa"/>
            <w:gridSpan w:val="2"/>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6237"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内网权威域名管理和解析：支持IPV6域名解析服务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85" w:type="dxa"/>
            <w:gridSpan w:val="2"/>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6237"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支持全局域名的配置管理，满足所有VPC解析同样的域名数据的基础性需求，减少管理员的配置工作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985" w:type="dxa"/>
            <w:gridSpan w:val="2"/>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6237"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基于地理位置的全局域名调度和VPC私有域名调度，地域基于内网IP地址段的分配来标注，租户侧DNS云服务可以根据客户端访问的源IP判断地域，并把相同域名解析到不同的后端指定vip上，来实现基于地理位置的流量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85" w:type="dxa"/>
            <w:gridSpan w:val="2"/>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6237"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支持对地址池内的地址值进行TCP/UDP/HTTP/HTTPS/ICMP等协议的健康检查。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22" w:type="dxa"/>
            <w:gridSpan w:val="3"/>
            <w:shd w:val="clear" w:color="auto" w:fill="auto"/>
            <w:vAlign w:val="bottom"/>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负载均衡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85" w:type="dxa"/>
            <w:gridSpan w:val="2"/>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指标项</w:t>
            </w:r>
          </w:p>
        </w:tc>
        <w:tc>
          <w:tcPr>
            <w:tcW w:w="6237" w:type="dxa"/>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85" w:type="dxa"/>
            <w:gridSpan w:val="2"/>
            <w:shd w:val="clear" w:color="auto" w:fill="auto"/>
            <w:vAlign w:val="center"/>
          </w:tcPr>
          <w:p>
            <w:pPr>
              <w:widowControl/>
              <w:spacing w:line="240" w:lineRule="auto"/>
              <w:ind w:firstLine="0" w:firstLineChars="0"/>
              <w:jc w:val="center"/>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总体要求</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负载均衡服务采用通用服务器架构实现。提供4层TCP/UDP和7层HTTP/HTTPS协议类型的服务。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85" w:type="dxa"/>
            <w:gridSpan w:val="2"/>
            <w:shd w:val="clear" w:color="auto" w:fill="auto"/>
            <w:vAlign w:val="center"/>
          </w:tcPr>
          <w:p>
            <w:pPr>
              <w:widowControl/>
              <w:spacing w:line="240" w:lineRule="auto"/>
              <w:ind w:firstLine="0" w:firstLineChars="0"/>
              <w:jc w:val="center"/>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架构要求</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负载均衡支持IPv6，支持挂载IPv4或IPv6的后端应用服务器。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85" w:type="dxa"/>
            <w:gridSpan w:val="2"/>
            <w:vMerge w:val="restart"/>
            <w:shd w:val="clear" w:color="auto" w:fill="auto"/>
            <w:vAlign w:val="center"/>
          </w:tcPr>
          <w:p>
            <w:pPr>
              <w:widowControl/>
              <w:spacing w:line="240" w:lineRule="auto"/>
              <w:ind w:firstLine="0" w:firstLineChars="0"/>
              <w:jc w:val="center"/>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功能要求</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七层负载均衡模式下支持配置域名或者URL转发策略，将来自不同域名或者URL的请求转发给不同的云服务器处理。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985" w:type="dxa"/>
            <w:gridSpan w:val="2"/>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6237"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负载均衡支持4层一致性hash、轮询(RR)，加权轮询(WRR)和最小连接数(WLC)等调度算法，在上述每种调度算法4层支持TCP源地址会话保持，7层支持HTTP Cookie会话保持(包括植入Cookie和重写Cookie)。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85" w:type="dxa"/>
            <w:gridSpan w:val="2"/>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6237"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负载均衡支持HTTP重定向到HTTPS。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985" w:type="dxa"/>
            <w:gridSpan w:val="2"/>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6237"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负载均衡支持TCP/UDP/HTTP健康检查方式。 支持健康检查，自动隔离异常状态的后端应用服务器。支持健康检查端口与应用服务端口不相同。UDP健康检查支持用户自定义请求和应答字段。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85" w:type="dxa"/>
            <w:gridSpan w:val="2"/>
            <w:shd w:val="clear" w:color="auto" w:fill="auto"/>
            <w:vAlign w:val="center"/>
          </w:tcPr>
          <w:p>
            <w:pPr>
              <w:widowControl/>
              <w:spacing w:line="240" w:lineRule="auto"/>
              <w:ind w:firstLine="0" w:firstLineChars="0"/>
              <w:jc w:val="center"/>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安全性</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负载均衡提供监听级别的访问控制，基于监听配置IP地址段白名单，只有在白名单中的IP地址才允许访问负载均衡。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22" w:type="dxa"/>
            <w:gridSpan w:val="3"/>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虚拟专有网络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85" w:type="dxa"/>
            <w:gridSpan w:val="2"/>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指标项</w:t>
            </w:r>
          </w:p>
        </w:tc>
        <w:tc>
          <w:tcPr>
            <w:tcW w:w="6237" w:type="dxa"/>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85" w:type="dxa"/>
            <w:gridSpan w:val="2"/>
            <w:shd w:val="clear" w:color="auto" w:fill="auto"/>
            <w:vAlign w:val="center"/>
          </w:tcPr>
          <w:p>
            <w:pPr>
              <w:widowControl/>
              <w:spacing w:line="240" w:lineRule="auto"/>
              <w:ind w:firstLine="0" w:firstLineChars="0"/>
              <w:jc w:val="center"/>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总体要求</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支持用户创建自己的专有网络，同时支持自定义配置IP地址、子网、路由表 。支持不同VPC之间的安全隔离。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985" w:type="dxa"/>
            <w:gridSpan w:val="2"/>
            <w:vMerge w:val="restart"/>
            <w:shd w:val="clear" w:color="auto" w:fill="auto"/>
            <w:vAlign w:val="center"/>
          </w:tcPr>
          <w:p>
            <w:pPr>
              <w:widowControl/>
              <w:spacing w:line="240" w:lineRule="auto"/>
              <w:ind w:firstLine="0" w:firstLineChars="0"/>
              <w:jc w:val="center"/>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功能要求</w:t>
            </w:r>
          </w:p>
        </w:tc>
        <w:tc>
          <w:tcPr>
            <w:tcW w:w="6237"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VPC支持IPV6地址,，支持云服务器可通过IPV6地址访问互联网的IPV6服务，支持云服务器作为服务端IPv6地址提供给互联网IPv6客户端访问，同时支持云服务器设置IPv6公网仅主动出规则，即经IPv6地址可主动访问IPv6网络，外部IPv6终端主动发起的访问不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985" w:type="dxa"/>
            <w:gridSpan w:val="2"/>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6237"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支持IPSEC VPN服务，支持IPsec-VPN建立专有网络（VPC）到本地数据中心的VPN连接，IPsec-VPN支持IKEv1和IKEv2协议，同时支持API方式配置。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985" w:type="dxa"/>
            <w:gridSpan w:val="2"/>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6237"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支持SSL VPN服务，支持通过SSL-VPN功能远程接入VPC，修改SSL服务端的名称、本端网段、客户端网段信息，支持创建SSL客户端证书，支持AES128、ASE192、AES256加密算法。支持API方式配置。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85" w:type="dxa"/>
            <w:gridSpan w:val="2"/>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6237"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支持不同VPC间互通，支持VPC内的云服务器通过专线与线下IDC的服务器互通要求。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85" w:type="dxa"/>
            <w:gridSpan w:val="2"/>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6237"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支持共享VPC，支持按租户和资源集的VPC资源共享。VPC的所有者可以将VPC共享给同一组织的租户。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85" w:type="dxa"/>
            <w:gridSpan w:val="2"/>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6237"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支持创建IPv4 NAT网关 ,支持SNAT和DNAT配置，用于支持NAT网关绑定多个地址。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85" w:type="dxa"/>
            <w:gridSpan w:val="2"/>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6237"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支持在控制台上针对VPC配置多个CIDR地址段；支持新CIDR地址段的扩容。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85" w:type="dxa"/>
            <w:gridSpan w:val="2"/>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6237"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支持用户可以创建网络ACL配置入向/出向规则，进行网络访问控制功能，从而实现对一个或多个子网流量的访问控制。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22" w:type="dxa"/>
            <w:gridSpan w:val="3"/>
            <w:shd w:val="clear" w:color="auto" w:fill="auto"/>
            <w:vAlign w:val="bottom"/>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大数据展示平台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指标项</w:t>
            </w:r>
          </w:p>
        </w:tc>
        <w:tc>
          <w:tcPr>
            <w:tcW w:w="1134" w:type="dxa"/>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指标子项</w:t>
            </w:r>
          </w:p>
        </w:tc>
        <w:tc>
          <w:tcPr>
            <w:tcW w:w="6237" w:type="dxa"/>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可视化应用</w:t>
            </w:r>
          </w:p>
        </w:tc>
        <w:tc>
          <w:tcPr>
            <w:tcW w:w="1134"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可视化应用管理</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支持使用模板方式或者新建的方式创建可视化应用；支持对可视化应用重命名、拷贝分享、复制、删除、预览和发布。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Merge w:val="restart"/>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控制台管理</w:t>
            </w:r>
          </w:p>
        </w:tc>
        <w:tc>
          <w:tcPr>
            <w:tcW w:w="1134"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大屏排序管理</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可以按照名称、创建时间、修改时间这三种方式对已有的大屏进行排序，使大屏能够有序地排列展示，便于管理。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项目分组管理</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通过该功能，可以将已经创建的大屏进行分组归类，使得大屏变得有序且功能性一目了然。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51"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数据源管理</w:t>
            </w:r>
          </w:p>
        </w:tc>
        <w:tc>
          <w:tcPr>
            <w:tcW w:w="1134"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添加数据源</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支持以下数据源：CSV文件、API、静态JSON、MySQL数据库、PostgreSQL、SQLServer、SQLServer、Oracle、Elasticsearch等数据源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组件管理</w:t>
            </w:r>
          </w:p>
        </w:tc>
        <w:tc>
          <w:tcPr>
            <w:tcW w:w="1134"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组件管理</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支持搜索、添加、收藏、成组、锁定、隐藏、复制等组件功能，支持组件的组内轮播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851" w:type="dxa"/>
            <w:vMerge w:val="restart"/>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蓝图编辑器管理</w:t>
            </w:r>
          </w:p>
        </w:tc>
        <w:tc>
          <w:tcPr>
            <w:tcW w:w="1134"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数据处理节点</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蓝图编辑器内可配置数据处理类节点。数据处理内的逻辑节点包括并行数据处理、串行数据处理、序列执行和WebSocket。并行数据处理节点，是使用并行方式来处理多个事件，各事件之间互不影响。串行数据处理节点，是使用串行方式来处理一个事件。使用序列执行节点，保证动作从上到下依次执行。WebSocket节点用于多端之间的命令和数据传输。例如大屏与移动端、大屏与触摸屏端的数据传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流程控制节点</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蓝图编辑器内可配置流程控制类节点。流程控制内的逻辑节点包括定时器、分支判断和多路判断。定时器适用于需要定时的场景需求，支持延迟定时、定点定时、循环延时定时和循环周期定时。分支判断节点属于If-Else判断条件节点，可使用在根据开关状态触发两个图层的显隐效果等场景。多路判断节点属于Case-When节点，通过对上游节点的输出结果进行判断，触发第一个满足条件的下游节点执行对应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蓝图编辑器详细功能</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蓝图编辑器可通过导出和取消到蓝图编辑器、在蓝图编辑器内定位、显示或隐藏配置栏面板和蓝图编辑器画布上的一些基本操作，帮助快速使用蓝图编辑器并实现预期的组件交互功能。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逻辑节点</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蓝图编辑器内可配置多种逻辑节点。逻辑节点可以帮助设置组件和组件之间的交互逻辑，实现大屏内各个组件的交互。蓝图编辑器中包括全局节点、流程控制、数据处理和输入设备几种逻辑节点。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配置蓝图编辑器</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蓝图编辑器可通过可视化连线的方式，定义图层与图层之间的交互行为。通过配置蓝图编辑器的使用方法，帮助自由管理大屏中多个组件之间的交互关系。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22" w:type="dxa"/>
            <w:gridSpan w:val="3"/>
            <w:shd w:val="clear" w:color="auto" w:fill="auto"/>
            <w:vAlign w:val="bottom"/>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大数据开发平台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指标项</w:t>
            </w:r>
          </w:p>
        </w:tc>
        <w:tc>
          <w:tcPr>
            <w:tcW w:w="1134" w:type="dxa"/>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指标子项</w:t>
            </w:r>
          </w:p>
        </w:tc>
        <w:tc>
          <w:tcPr>
            <w:tcW w:w="6237" w:type="dxa"/>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Merge w:val="restart"/>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功能要求</w:t>
            </w: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数据地图</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对表的基础元数据信息、变更信息、产出任务信息、数据预览等丰富元数据信息的集中展现，便于开发人员快速理解数据。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数据地图</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数据预览支持对敏感数据的脱敏能力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数据开发</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SQL编辑器智能提示：代码输入智能提示，包含关键字、函数、表、字段等信息；支持错误语法实时提示；SQL算子结构化展示；代码折叠；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数据开发</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具备复杂调度能力，支持：分支、循环、赋值等调度能力。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数据开发</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提供节点插件化能力，支持用户创建自定义节点，自行指定节点运行的引擎及节点处理逻辑。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数据开发</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支持20+的节点类型，丰富数据开发、处理能力。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数据服务</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API访问及流量控制：支持对API服务灵活配置多种限流策略，包含API、APP、用户等不同粒度的流量控制能力。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数据服务</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API调用及鉴权：支持两种API调用时的鉴权方式，其一是通过AppCode进行简单身份认证，其二是通过AppKey和AppSecret进行加密签名身份认证，极大地保障了用户数据共享的安全性。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数据服务</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丰富的数据源类型：支持常见关系型数据库：MySQL、SQL Server、PostgreSQL、Oracle。支持NoSQL数据库。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22" w:type="dxa"/>
            <w:gridSpan w:val="3"/>
            <w:shd w:val="clear" w:color="auto" w:fill="auto"/>
            <w:vAlign w:val="bottom"/>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大数据计算服务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指标项</w:t>
            </w:r>
          </w:p>
        </w:tc>
        <w:tc>
          <w:tcPr>
            <w:tcW w:w="1134" w:type="dxa"/>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指标子项</w:t>
            </w:r>
          </w:p>
        </w:tc>
        <w:tc>
          <w:tcPr>
            <w:tcW w:w="6237" w:type="dxa"/>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51" w:type="dxa"/>
            <w:vMerge w:val="restart"/>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功能要求</w:t>
            </w:r>
          </w:p>
        </w:tc>
        <w:tc>
          <w:tcPr>
            <w:tcW w:w="1134"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功能特性</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提供完整RESTful API的方式提供离线数据处理服务，提供JAVA SDK， Python SDK，等编程接口，支持JDBC接口等系列用户开发工具和接口。。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功能特性</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支持MapReduce类型的分布式计算任务，支持DAG模式的作业处理方式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功能特性</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支持作业优先级设置功能，可支持9级优先级设置，在作业任务资源分配优先级上进行细粒度控制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功能特性</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支持原生Apache Spark编程接口，用户可以使用Spark接口进行编程处理存储在大数据计算服务中的数据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功能特性</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支持多种计算框架如SQL， MapReduce， Spark ，Graph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1" w:type="dxa"/>
            <w:vMerge w:val="restart"/>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规模要求</w:t>
            </w: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承载规模</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用户服务实例和资源管理基于项目空间隔离，可支持不少于10000个用户项目空间。需提供权威机构测评报告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节点调度</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超大规模节点调度能力，具备30000节点以上调度能力。为保证大数据集群具有高可扩展性。需提供权威机构测评报告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22" w:type="dxa"/>
            <w:gridSpan w:val="3"/>
            <w:shd w:val="clear" w:color="auto" w:fill="auto"/>
            <w:vAlign w:val="bottom"/>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大数据管理平台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85" w:type="dxa"/>
            <w:gridSpan w:val="2"/>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指标项</w:t>
            </w:r>
          </w:p>
        </w:tc>
        <w:tc>
          <w:tcPr>
            <w:tcW w:w="6237" w:type="dxa"/>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985" w:type="dxa"/>
            <w:gridSpan w:val="2"/>
            <w:vMerge w:val="restart"/>
            <w:shd w:val="clear" w:color="auto" w:fill="auto"/>
            <w:vAlign w:val="center"/>
          </w:tcPr>
          <w:p>
            <w:pPr>
              <w:widowControl/>
              <w:spacing w:line="240" w:lineRule="auto"/>
              <w:ind w:firstLine="0" w:firstLineChars="0"/>
              <w:jc w:val="center"/>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功能要求</w:t>
            </w:r>
          </w:p>
          <w:p>
            <w:pPr>
              <w:spacing w:line="240" w:lineRule="auto"/>
              <w:ind w:firstLine="0" w:firstLineChars="0"/>
              <w:jc w:val="center"/>
              <w:rPr>
                <w:rFonts w:hAnsi="宋体" w:cs="宋体"/>
                <w:color w:val="000000" w:themeColor="text1"/>
                <w:kern w:val="0"/>
                <w:sz w:val="20"/>
                <w:szCs w:val="20"/>
                <w14:textFill>
                  <w14:solidFill>
                    <w14:schemeClr w14:val="tx1"/>
                  </w14:solidFill>
                </w14:textFill>
              </w:rPr>
            </w:pPr>
          </w:p>
        </w:tc>
        <w:tc>
          <w:tcPr>
            <w:tcW w:w="6237" w:type="dxa"/>
            <w:shd w:val="clear" w:color="auto" w:fill="auto"/>
            <w:vAlign w:val="center"/>
          </w:tcPr>
          <w:p>
            <w:pPr>
              <w:spacing w:line="240" w:lineRule="auto"/>
              <w:ind w:firstLine="0" w:firstLineChars="0"/>
            </w:pPr>
            <w:r>
              <w:rPr>
                <w:sz w:val="20"/>
              </w:rPr>
              <w:t>能够基于元数据构建数据图谱，实现数据表及数据简单且快速的智能检索。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85" w:type="dxa"/>
            <w:gridSpan w:val="2"/>
            <w:vMerge w:val="continue"/>
            <w:vAlign w:val="center"/>
          </w:tcPr>
          <w:p>
            <w:pPr>
              <w:spacing w:line="240" w:lineRule="auto"/>
              <w:ind w:firstLine="0" w:firstLineChars="0"/>
              <w:jc w:val="center"/>
              <w:rPr>
                <w:rFonts w:hAnsi="宋体" w:cs="宋体"/>
                <w:color w:val="000000" w:themeColor="text1"/>
                <w:kern w:val="0"/>
                <w:sz w:val="20"/>
                <w:szCs w:val="20"/>
                <w14:textFill>
                  <w14:solidFill>
                    <w14:schemeClr w14:val="tx1"/>
                  </w14:solidFill>
                </w14:textFill>
              </w:rPr>
            </w:pPr>
          </w:p>
        </w:tc>
        <w:tc>
          <w:tcPr>
            <w:tcW w:w="6237" w:type="dxa"/>
            <w:shd w:val="clear" w:color="auto" w:fill="auto"/>
            <w:vAlign w:val="center"/>
          </w:tcPr>
          <w:p>
            <w:pPr>
              <w:spacing w:line="240" w:lineRule="auto"/>
              <w:ind w:firstLine="0" w:firstLineChars="0"/>
            </w:pPr>
            <w:r>
              <w:rPr>
                <w:sz w:val="20"/>
              </w:rPr>
              <w:t>能够系统化构建业务数据资产大图，数据视角还原业务系统、提取业务数据知识，并快速提炼业务关键环节及数据，让数据资产以全景图的方式清晰易读地呈现。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85" w:type="dxa"/>
            <w:gridSpan w:val="2"/>
            <w:vMerge w:val="continue"/>
            <w:vAlign w:val="center"/>
          </w:tcPr>
          <w:p>
            <w:pPr>
              <w:spacing w:line="240" w:lineRule="auto"/>
              <w:ind w:firstLine="0" w:firstLineChars="0"/>
              <w:jc w:val="center"/>
              <w:rPr>
                <w:rFonts w:hAnsi="宋体" w:cs="宋体"/>
                <w:color w:val="000000" w:themeColor="text1"/>
                <w:kern w:val="0"/>
                <w:sz w:val="20"/>
                <w:szCs w:val="20"/>
                <w14:textFill>
                  <w14:solidFill>
                    <w14:schemeClr w14:val="tx1"/>
                  </w14:solidFill>
                </w14:textFill>
              </w:rPr>
            </w:pPr>
          </w:p>
        </w:tc>
        <w:tc>
          <w:tcPr>
            <w:tcW w:w="6237" w:type="dxa"/>
            <w:shd w:val="clear" w:color="auto" w:fill="auto"/>
            <w:vAlign w:val="center"/>
          </w:tcPr>
          <w:p>
            <w:pPr>
              <w:spacing w:line="240" w:lineRule="auto"/>
              <w:ind w:firstLine="0" w:firstLineChars="0"/>
            </w:pPr>
            <w:r>
              <w:rPr>
                <w:sz w:val="20"/>
              </w:rPr>
              <w:t>能够高效且自动化实现元数据抽取，结合规范定义与数据建模的前置研发动作，自动化、标准化、系统地构建规范可读的业务化数据目录，形成详细的数据地图，方便业务查找及应用。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5" w:type="dxa"/>
            <w:gridSpan w:val="2"/>
            <w:vMerge w:val="restart"/>
            <w:shd w:val="clear" w:color="auto" w:fill="auto"/>
            <w:vAlign w:val="center"/>
          </w:tcPr>
          <w:p>
            <w:pPr>
              <w:widowControl/>
              <w:spacing w:line="240" w:lineRule="auto"/>
              <w:ind w:firstLine="0" w:firstLineChars="0"/>
              <w:jc w:val="center"/>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管理中心</w:t>
            </w:r>
          </w:p>
        </w:tc>
        <w:tc>
          <w:tcPr>
            <w:tcW w:w="6237" w:type="dxa"/>
            <w:shd w:val="clear" w:color="auto" w:fill="auto"/>
            <w:vAlign w:val="center"/>
          </w:tcPr>
          <w:p>
            <w:pPr>
              <w:spacing w:line="240" w:lineRule="auto"/>
              <w:ind w:firstLine="0" w:firstLineChars="0"/>
            </w:pPr>
            <w:r>
              <w:rPr>
                <w:sz w:val="20"/>
              </w:rPr>
              <w:t>自动语义优化：支持针对可以复用的语义进行生产代码自动优化；如某字段类目变化，语义优化功能会将数据自动统计到对应类目中。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5" w:type="dxa"/>
            <w:gridSpan w:val="2"/>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6237" w:type="dxa"/>
            <w:shd w:val="clear" w:color="auto" w:fill="auto"/>
            <w:vAlign w:val="center"/>
          </w:tcPr>
          <w:p>
            <w:pPr>
              <w:spacing w:line="240" w:lineRule="auto"/>
              <w:ind w:firstLine="0" w:firstLineChars="0"/>
            </w:pPr>
            <w:r>
              <w:rPr>
                <w:sz w:val="20"/>
              </w:rPr>
              <w:t>自动进行数据倾斜优化：支持自动数据倾斜优化功能，在任务执行中支持触发异常判定功能、同步调度数据探查，可定位到出现问题的数据。支持自动对执行中的任务代码进行重构、规避数据倾斜且平台会完成记录为后续发生数据倾斜提供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22" w:type="dxa"/>
            <w:gridSpan w:val="3"/>
            <w:shd w:val="clear" w:color="auto" w:fill="auto"/>
            <w:vAlign w:val="bottom"/>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实时计算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指标项</w:t>
            </w:r>
          </w:p>
        </w:tc>
        <w:tc>
          <w:tcPr>
            <w:tcW w:w="1134" w:type="dxa"/>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指标子项</w:t>
            </w:r>
          </w:p>
        </w:tc>
        <w:tc>
          <w:tcPr>
            <w:tcW w:w="6237" w:type="dxa"/>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Merge w:val="restart"/>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功能要求</w:t>
            </w:r>
          </w:p>
        </w:tc>
        <w:tc>
          <w:tcPr>
            <w:tcW w:w="1134"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开发套件</w:t>
            </w:r>
          </w:p>
        </w:tc>
        <w:tc>
          <w:tcPr>
            <w:tcW w:w="6237" w:type="dxa"/>
            <w:shd w:val="clear" w:color="auto" w:fill="auto"/>
            <w:vAlign w:val="center"/>
          </w:tcPr>
          <w:p>
            <w:pPr>
              <w:spacing w:line="240" w:lineRule="auto"/>
              <w:ind w:firstLine="0" w:firstLineChars="0"/>
              <w:rPr>
                <w:sz w:val="20"/>
              </w:rPr>
            </w:pPr>
            <w:r>
              <w:rPr>
                <w:rFonts w:hint="eastAsia"/>
                <w:sz w:val="20"/>
              </w:rPr>
              <w:t>提供在线流计算作业调试，调试容器保证调试过程不</w:t>
            </w:r>
            <w:r>
              <w:rPr>
                <w:rFonts w:hint="eastAsia" w:ascii="微软雅黑" w:hAnsi="微软雅黑" w:eastAsia="微软雅黑" w:cs="微软雅黑"/>
                <w:sz w:val="20"/>
              </w:rPr>
              <w:t>⼲</w:t>
            </w:r>
            <w:r>
              <w:rPr>
                <w:rFonts w:hint="eastAsia"/>
                <w:sz w:val="20"/>
              </w:rPr>
              <w:t>扰线上环境。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开发套件</w:t>
            </w:r>
          </w:p>
        </w:tc>
        <w:tc>
          <w:tcPr>
            <w:tcW w:w="6237" w:type="dxa"/>
            <w:shd w:val="clear" w:color="auto" w:fill="auto"/>
            <w:vAlign w:val="center"/>
          </w:tcPr>
          <w:p>
            <w:pPr>
              <w:spacing w:line="240" w:lineRule="auto"/>
              <w:ind w:firstLine="0" w:firstLineChars="0"/>
              <w:rPr>
                <w:sz w:val="20"/>
              </w:rPr>
            </w:pPr>
            <w:r>
              <w:rPr>
                <w:rFonts w:hint="eastAsia"/>
                <w:sz w:val="20"/>
              </w:rPr>
              <w:t>提供完善的StreamSQL 开发套件，</w:t>
            </w:r>
            <w:r>
              <w:rPr>
                <w:rFonts w:hint="eastAsia" w:ascii="微软雅黑" w:hAnsi="微软雅黑" w:eastAsia="微软雅黑" w:cs="微软雅黑"/>
                <w:sz w:val="20"/>
              </w:rPr>
              <w:t>⽀</w:t>
            </w:r>
            <w:r>
              <w:rPr>
                <w:rFonts w:hint="eastAsia"/>
                <w:sz w:val="20"/>
              </w:rPr>
              <w:t>持</w:t>
            </w:r>
            <w:r>
              <w:rPr>
                <w:rFonts w:hint="eastAsia" w:ascii="微软雅黑" w:hAnsi="微软雅黑" w:eastAsia="微软雅黑" w:cs="微软雅黑"/>
                <w:sz w:val="20"/>
              </w:rPr>
              <w:t>⾃</w:t>
            </w:r>
            <w:r>
              <w:rPr>
                <w:rFonts w:hint="eastAsia"/>
                <w:sz w:val="20"/>
              </w:rPr>
              <w:t>动提</w:t>
            </w:r>
            <w:r>
              <w:rPr>
                <w:rFonts w:hint="eastAsia" w:ascii="微软雅黑" w:hAnsi="微软雅黑" w:eastAsia="微软雅黑" w:cs="微软雅黑"/>
                <w:sz w:val="20"/>
              </w:rPr>
              <w:t>⽰</w:t>
            </w:r>
            <w:r>
              <w:rPr>
                <w:rFonts w:hint="eastAsia"/>
                <w:sz w:val="20"/>
              </w:rPr>
              <w:t>、语法</w:t>
            </w:r>
            <w:r>
              <w:rPr>
                <w:rFonts w:hint="eastAsia" w:ascii="微软雅黑" w:hAnsi="微软雅黑" w:eastAsia="微软雅黑" w:cs="微软雅黑"/>
                <w:sz w:val="20"/>
              </w:rPr>
              <w:t>⾼</w:t>
            </w:r>
            <w:r>
              <w:rPr>
                <w:rFonts w:hint="eastAsia"/>
                <w:sz w:val="20"/>
              </w:rPr>
              <w:t>亮、语法检测。 提供各类外部存储管理</w:t>
            </w:r>
            <w:r>
              <w:rPr>
                <w:rFonts w:hint="eastAsia" w:ascii="微软雅黑" w:hAnsi="微软雅黑" w:eastAsia="微软雅黑" w:cs="微软雅黑"/>
                <w:sz w:val="20"/>
              </w:rPr>
              <w:t>⼯</w:t>
            </w:r>
            <w:r>
              <w:rPr>
                <w:rFonts w:hint="eastAsia"/>
                <w:sz w:val="20"/>
              </w:rPr>
              <w:t>具，</w:t>
            </w:r>
            <w:r>
              <w:rPr>
                <w:rFonts w:hint="eastAsia" w:ascii="微软雅黑" w:hAnsi="微软雅黑" w:eastAsia="微软雅黑" w:cs="微软雅黑"/>
                <w:sz w:val="20"/>
              </w:rPr>
              <w:t>⽀</w:t>
            </w:r>
            <w:r>
              <w:rPr>
                <w:rFonts w:hint="eastAsia"/>
                <w:sz w:val="20"/>
              </w:rPr>
              <w:t>持流计算周边存储系统，提供DDL</w:t>
            </w:r>
            <w:r>
              <w:rPr>
                <w:rFonts w:hint="eastAsia" w:ascii="微软雅黑" w:hAnsi="微软雅黑" w:eastAsia="微软雅黑" w:cs="微软雅黑"/>
                <w:sz w:val="20"/>
              </w:rPr>
              <w:t>⾃</w:t>
            </w:r>
            <w:r>
              <w:rPr>
                <w:rFonts w:hint="eastAsia"/>
                <w:sz w:val="20"/>
              </w:rPr>
              <w:t>动</w:t>
            </w:r>
            <w:r>
              <w:rPr>
                <w:rFonts w:hint="eastAsia" w:ascii="微软雅黑" w:hAnsi="微软雅黑" w:eastAsia="微软雅黑" w:cs="微软雅黑"/>
                <w:sz w:val="20"/>
              </w:rPr>
              <w:t>⽣</w:t>
            </w:r>
            <w:r>
              <w:rPr>
                <w:rFonts w:hint="eastAsia"/>
                <w:sz w:val="20"/>
              </w:rPr>
              <w:t>成、数据预览功能。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资源使</w:t>
            </w:r>
            <w:r>
              <w:rPr>
                <w:rFonts w:hint="eastAsia" w:ascii="微软雅黑" w:hAnsi="微软雅黑" w:eastAsia="微软雅黑" w:cs="微软雅黑"/>
                <w:color w:val="000000" w:themeColor="text1"/>
                <w:kern w:val="0"/>
                <w:sz w:val="20"/>
                <w:szCs w:val="20"/>
                <w14:textFill>
                  <w14:solidFill>
                    <w14:schemeClr w14:val="tx1"/>
                  </w14:solidFill>
                </w14:textFill>
              </w:rPr>
              <w:t>⽤</w:t>
            </w:r>
            <w:r>
              <w:rPr>
                <w:rFonts w:hint="eastAsia" w:hAnsi="宋体" w:cs="宋体"/>
                <w:color w:val="000000" w:themeColor="text1"/>
                <w:kern w:val="0"/>
                <w:sz w:val="20"/>
                <w:szCs w:val="20"/>
                <w14:textFill>
                  <w14:solidFill>
                    <w14:schemeClr w14:val="tx1"/>
                  </w14:solidFill>
                </w14:textFill>
              </w:rPr>
              <w:t>和调度</w:t>
            </w:r>
          </w:p>
        </w:tc>
        <w:tc>
          <w:tcPr>
            <w:tcW w:w="6237" w:type="dxa"/>
            <w:shd w:val="clear" w:color="auto" w:fill="auto"/>
            <w:vAlign w:val="center"/>
          </w:tcPr>
          <w:p>
            <w:pPr>
              <w:spacing w:line="240" w:lineRule="auto"/>
              <w:ind w:firstLine="0" w:firstLineChars="0"/>
              <w:rPr>
                <w:sz w:val="20"/>
              </w:rPr>
            </w:pPr>
            <w:r>
              <w:rPr>
                <w:rFonts w:hint="eastAsia" w:ascii="微软雅黑" w:hAnsi="微软雅黑" w:eastAsia="微软雅黑" w:cs="微软雅黑"/>
                <w:sz w:val="20"/>
              </w:rPr>
              <w:t>⽀</w:t>
            </w:r>
            <w:r>
              <w:rPr>
                <w:rFonts w:hint="eastAsia"/>
                <w:sz w:val="20"/>
              </w:rPr>
              <w:t>持两类作业资源、并发调整模型，包括</w:t>
            </w:r>
            <w:r>
              <w:rPr>
                <w:rFonts w:hint="eastAsia" w:ascii="微软雅黑" w:hAnsi="微软雅黑" w:eastAsia="微软雅黑" w:cs="微软雅黑"/>
                <w:sz w:val="20"/>
              </w:rPr>
              <w:t>⼿⼯</w:t>
            </w:r>
            <w:r>
              <w:rPr>
                <w:rFonts w:hint="eastAsia"/>
                <w:sz w:val="20"/>
              </w:rPr>
              <w:t>调优模型、智能调优模型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资源使</w:t>
            </w:r>
            <w:r>
              <w:rPr>
                <w:rFonts w:hint="eastAsia" w:ascii="微软雅黑" w:hAnsi="微软雅黑" w:eastAsia="微软雅黑" w:cs="微软雅黑"/>
                <w:color w:val="000000" w:themeColor="text1"/>
                <w:kern w:val="0"/>
                <w:sz w:val="20"/>
                <w:szCs w:val="20"/>
                <w14:textFill>
                  <w14:solidFill>
                    <w14:schemeClr w14:val="tx1"/>
                  </w14:solidFill>
                </w14:textFill>
              </w:rPr>
              <w:t>⽤</w:t>
            </w:r>
            <w:r>
              <w:rPr>
                <w:rFonts w:hint="eastAsia" w:hAnsi="宋体" w:cs="宋体"/>
                <w:color w:val="000000" w:themeColor="text1"/>
                <w:kern w:val="0"/>
                <w:sz w:val="20"/>
                <w:szCs w:val="20"/>
                <w14:textFill>
                  <w14:solidFill>
                    <w14:schemeClr w14:val="tx1"/>
                  </w14:solidFill>
                </w14:textFill>
              </w:rPr>
              <w:t>和调度</w:t>
            </w:r>
          </w:p>
        </w:tc>
        <w:tc>
          <w:tcPr>
            <w:tcW w:w="6237" w:type="dxa"/>
            <w:shd w:val="clear" w:color="auto" w:fill="auto"/>
            <w:vAlign w:val="center"/>
          </w:tcPr>
          <w:p>
            <w:pPr>
              <w:spacing w:line="240" w:lineRule="auto"/>
              <w:ind w:firstLine="0" w:firstLineChars="0"/>
              <w:rPr>
                <w:sz w:val="20"/>
              </w:rPr>
            </w:pPr>
            <w:r>
              <w:rPr>
                <w:rFonts w:hint="eastAsia"/>
                <w:sz w:val="20"/>
              </w:rPr>
              <w:t>支持资源图形化配置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运维套件</w:t>
            </w:r>
          </w:p>
        </w:tc>
        <w:tc>
          <w:tcPr>
            <w:tcW w:w="6237" w:type="dxa"/>
            <w:shd w:val="clear" w:color="auto" w:fill="auto"/>
            <w:vAlign w:val="center"/>
          </w:tcPr>
          <w:p>
            <w:pPr>
              <w:spacing w:line="240" w:lineRule="auto"/>
              <w:ind w:firstLine="0" w:firstLineChars="0"/>
              <w:rPr>
                <w:sz w:val="20"/>
              </w:rPr>
            </w:pPr>
            <w:r>
              <w:rPr>
                <w:rFonts w:hint="eastAsia"/>
                <w:sz w:val="20"/>
              </w:rPr>
              <w:t>提供作业运维</w:t>
            </w:r>
            <w:r>
              <w:rPr>
                <w:rFonts w:hint="eastAsia" w:ascii="微软雅黑" w:hAnsi="微软雅黑" w:eastAsia="微软雅黑" w:cs="微软雅黑"/>
                <w:sz w:val="20"/>
              </w:rPr>
              <w:t>⼤</w:t>
            </w:r>
            <w:r>
              <w:rPr>
                <w:rFonts w:hint="eastAsia"/>
                <w:sz w:val="20"/>
              </w:rPr>
              <w:t>盘，提供各类底层信息展</w:t>
            </w:r>
            <w:r>
              <w:rPr>
                <w:rFonts w:hint="eastAsia" w:ascii="微软雅黑" w:hAnsi="微软雅黑" w:eastAsia="微软雅黑" w:cs="微软雅黑"/>
                <w:sz w:val="20"/>
              </w:rPr>
              <w:t>⽰</w:t>
            </w:r>
            <w:r>
              <w:rPr>
                <w:rFonts w:hint="eastAsia"/>
                <w:sz w:val="20"/>
              </w:rPr>
              <w:t>，包括流量、资源、性能等指标，</w:t>
            </w:r>
            <w:r>
              <w:rPr>
                <w:rFonts w:hint="eastAsia" w:ascii="微软雅黑" w:hAnsi="微软雅黑" w:eastAsia="微软雅黑" w:cs="微软雅黑"/>
                <w:sz w:val="20"/>
              </w:rPr>
              <w:t>⽅</w:t>
            </w:r>
            <w:r>
              <w:rPr>
                <w:rFonts w:hint="eastAsia"/>
                <w:sz w:val="20"/>
              </w:rPr>
              <w:t>便</w:t>
            </w:r>
            <w:r>
              <w:rPr>
                <w:rFonts w:hint="eastAsia" w:ascii="微软雅黑" w:hAnsi="微软雅黑" w:eastAsia="微软雅黑" w:cs="微软雅黑"/>
                <w:sz w:val="20"/>
              </w:rPr>
              <w:t>⽤</w:t>
            </w:r>
            <w:r>
              <w:rPr>
                <w:rFonts w:hint="eastAsia"/>
                <w:sz w:val="20"/>
              </w:rPr>
              <w:t>户查看作业运</w:t>
            </w:r>
            <w:r>
              <w:rPr>
                <w:rFonts w:hint="eastAsia" w:ascii="微软雅黑" w:hAnsi="微软雅黑" w:eastAsia="微软雅黑" w:cs="微软雅黑"/>
                <w:sz w:val="20"/>
              </w:rPr>
              <w:t>⾏</w:t>
            </w:r>
            <w:r>
              <w:rPr>
                <w:rFonts w:hint="eastAsia"/>
                <w:sz w:val="20"/>
              </w:rPr>
              <w:t>健康程度。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运维套件</w:t>
            </w:r>
          </w:p>
        </w:tc>
        <w:tc>
          <w:tcPr>
            <w:tcW w:w="6237" w:type="dxa"/>
            <w:shd w:val="clear" w:color="auto" w:fill="auto"/>
            <w:vAlign w:val="center"/>
          </w:tcPr>
          <w:p>
            <w:pPr>
              <w:spacing w:line="240" w:lineRule="auto"/>
              <w:ind w:firstLine="0" w:firstLineChars="0"/>
              <w:rPr>
                <w:sz w:val="20"/>
              </w:rPr>
            </w:pPr>
            <w:r>
              <w:rPr>
                <w:rFonts w:hint="eastAsia"/>
                <w:sz w:val="20"/>
              </w:rPr>
              <w:t>支持作业级别的血缘关系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1" w:type="dxa"/>
            <w:vMerge w:val="restart"/>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功能指标</w:t>
            </w:r>
          </w:p>
        </w:tc>
        <w:tc>
          <w:tcPr>
            <w:tcW w:w="1134"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承载规模</w:t>
            </w:r>
          </w:p>
        </w:tc>
        <w:tc>
          <w:tcPr>
            <w:tcW w:w="6237" w:type="dxa"/>
            <w:shd w:val="clear" w:color="auto" w:fill="auto"/>
            <w:vAlign w:val="center"/>
          </w:tcPr>
          <w:p>
            <w:pPr>
              <w:spacing w:line="240" w:lineRule="auto"/>
              <w:ind w:firstLine="0" w:firstLineChars="0"/>
              <w:rPr>
                <w:sz w:val="20"/>
              </w:rPr>
            </w:pPr>
            <w:r>
              <w:rPr>
                <w:rFonts w:hint="eastAsia"/>
                <w:sz w:val="20"/>
              </w:rPr>
              <w:t>生产环境单集群支持不少于2400个运行作业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计算性能</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生产环境单作业吞吐量可达每秒800万条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计算性能</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生产环境单集群吞吐峰值可达亿级别规模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22" w:type="dxa"/>
            <w:gridSpan w:val="3"/>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API 网关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指标项</w:t>
            </w:r>
          </w:p>
        </w:tc>
        <w:tc>
          <w:tcPr>
            <w:tcW w:w="1134" w:type="dxa"/>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指标子项</w:t>
            </w:r>
          </w:p>
        </w:tc>
        <w:tc>
          <w:tcPr>
            <w:tcW w:w="6237" w:type="dxa"/>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总体要求</w:t>
            </w:r>
          </w:p>
        </w:tc>
        <w:tc>
          <w:tcPr>
            <w:tcW w:w="1134"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API全生命周期管理</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覆盖API全生命周期管理，包括API设计、开发、测试、发布、运维监测、安全管控、下线等API各个生命周期阶段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restart"/>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功能要求</w:t>
            </w:r>
          </w:p>
        </w:tc>
        <w:tc>
          <w:tcPr>
            <w:tcW w:w="1134"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协议支持</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支持HTTP2.0协议、websocket、双向通信等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安全管控</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支持全链路签名验证，特别是后端签名，提供网关和后端服务之间的认证。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安全管控</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支持多种认证方式，包括匿名访问、简单身份认证、摘要签名认证、JWT认证方式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安全管控</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支持多种访问控制方式，包括IP访问控制、参数访问控制。支持从当前的请求或系统上下文中获取参数，并使用自定义的条件表达式对API进行访问控制，参数位置至少包括HTTP Request中的：Method、Path、StatusCode、Header、Query、Form、Host、Parameter等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请求转发</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支持从JWT的TOKEN中提取出CONTEXT添加到请求中发送给后端服务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请求转发</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参数映射，可以从HTTP请求的各种位置上读取参数，并支持映射到后端不同的参数名、参数位置上；错误码映射，支持将后端应答中返回的非正常请求，映射为客户端期望的错误应答的场景，如根据后端返回的json内容，提炼出错误信息，并修改HTTP StatusCode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运维监控</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灰度发布。支持灰度发布功能，支持的灰度条件包括：版本号判断、IP地址、随机比例等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集成能力</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支持大数据平台做为后端服务，以API形式对外提供数据服务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22" w:type="dxa"/>
            <w:gridSpan w:val="3"/>
            <w:shd w:val="clear" w:color="auto" w:fill="auto"/>
            <w:vAlign w:val="bottom"/>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容器服务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指标项</w:t>
            </w:r>
          </w:p>
        </w:tc>
        <w:tc>
          <w:tcPr>
            <w:tcW w:w="1134" w:type="dxa"/>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指标子项</w:t>
            </w:r>
          </w:p>
        </w:tc>
        <w:tc>
          <w:tcPr>
            <w:tcW w:w="6237" w:type="dxa"/>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Merge w:val="restart"/>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功能要求</w:t>
            </w:r>
          </w:p>
        </w:tc>
        <w:tc>
          <w:tcPr>
            <w:tcW w:w="1134"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监控</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支持集群、节点、应用、容器实例层面的监控，支持集成Prometheus服务的能力，为集群提供全方位监控大盘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集群操作审计</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查看Kubernetes集群中的事件整体概览以及重要事件（访问、命令执行、删除资源、访问保密字典等）的详细信息。支持查看Kubernetes集群中常见的计算资源、网络资源以及存储资源的操作统计信息。操作包括创建、更新、删除、访问。支持查看Kubernetes集群中某类资源的详细操作列表；支持自定义时间维度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边缘集群支持</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支持创建边缘集群，支持用将地理位置分布的已有节点作为边缘工作节点接入集群，支持将边缘节点设置断网自治状态，避免节点断网情况下的Workload驱逐，支持边缘节点池以及边缘单元部署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日志管理</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支持容器实例日志查看和应用日志采集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容器伸缩</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支持手动伸缩和弹性伸缩，支持手工调整Pod的副本数量进行横向伸缩，支持配置容器资源阈值进行容器实例的自动伸缩。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组件生命周期管理</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支持k8s组件安装、卸载、升级等生命周期管理能力。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节点伸缩</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支持从Web页面一键式手工自助添加和删除节点，伸缩过程中无需人工干预。支持通过弹性伸缩组自动创建工作节点并加入集群。支持设定缩容规则触发后自动下线工作节点。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集群创建/删除</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容器服务与云平台无缝对接，能够通过控制台实现集群的一键式自助创建和删除集群。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集群概览</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提供平台看台功能，能够快速查看资源的总体运行状态，包括节点、组件、应用的运行状态，集群的事件记录以及集群的当前的资源使用情况。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22" w:type="dxa"/>
            <w:gridSpan w:val="3"/>
            <w:shd w:val="clear" w:color="auto" w:fill="auto"/>
            <w:vAlign w:val="bottom"/>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灾备管理中心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指标项</w:t>
            </w:r>
          </w:p>
        </w:tc>
        <w:tc>
          <w:tcPr>
            <w:tcW w:w="1134" w:type="dxa"/>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指标子项</w:t>
            </w:r>
          </w:p>
        </w:tc>
        <w:tc>
          <w:tcPr>
            <w:tcW w:w="6237" w:type="dxa"/>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Merge w:val="restart"/>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总体要求</w:t>
            </w:r>
          </w:p>
        </w:tc>
        <w:tc>
          <w:tcPr>
            <w:tcW w:w="1134"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可视化管理平台</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具备独立的可视化同城容灾业务连续性管理平台。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容灾账号管理</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同城容灾提供统一的账号体系，统一的管理平台；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Merge w:val="restart"/>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技术要求</w:t>
            </w:r>
          </w:p>
        </w:tc>
        <w:tc>
          <w:tcPr>
            <w:tcW w:w="1134"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支持容灾产品</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中间件容灾支持分布式微服务框架、消息队列、应用实时监控、云服务总线等PaaS产品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支持容灾产品</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大数据容灾支持离线计算和实时计算引擎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支持容灾产品</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平台支持全业务的容灾能力，包含云平台底座组件管控、虚拟网络、对象存储、数据库、大数据、中间件等产品的容灾和切换能力。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51" w:type="dxa"/>
            <w:vMerge w:val="restart"/>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功能要求</w:t>
            </w:r>
          </w:p>
        </w:tc>
        <w:tc>
          <w:tcPr>
            <w:tcW w:w="1134"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平台监控</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支持RPO监控，包括对象存储和关系型数据库的监控数据； 支持产品监控，包括产品在主备机房的状态、主机房位置、更新时间； 支持大屏监控，包括RPO数据、演练和恢复记录、演练用时、历史成功率和事件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应用侧透明</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当主机房故障发生云产品实例级别或云产品集群级别故障时对应用暴露的服务域名不变，故障切换过程对应用侧透明。整个容灾切换和切回过程无需应用系统在开发过程中做代码编码或故障切换时做运维脚本操作即可在云平台层面自动完成，以帮助大幅降低应用系统容灾化改造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按需容灾</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支持对象存储、数据库、大数据等产品按需容灾，备机房建设规模可小于主机房，其中对象存储产品可按照bucket粒度设置是否需要开启同城容灾、关系型数据库可选是否需要跨可用区部署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网络架构</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同城容灾的网络容灾方案具备套高可靠、全方位冗余、自动化恢复的完整的体系化的解决方案。机房级故障时，网络云产品服务自动切换到备机房，应用挂载负载均衡实例时，双机房对外暴露的一个VIP，机房级容灾切换无需更换IP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51" w:type="dxa"/>
            <w:vMerge w:val="restart"/>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易用性</w:t>
            </w:r>
          </w:p>
        </w:tc>
        <w:tc>
          <w:tcPr>
            <w:tcW w:w="1134"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在线演练</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自定义演练，创建演练计划，可在一个演练计划中包含多个云产品级；支持演练切换和回切一键式操作，支持演练详情查看，包括演练计划、切换用时和历史记录；支持演练记录查看，包括操作用户、类型、执行结果和切换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故障恢复</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场景化的故障恢复，包括掉电故障恢复、孤岛故障恢复、脑裂故障恢复、单产品故障恢复，支持一键式操作。支持服务切回，包括掉电故障后服务切回、孤岛故障后服务切回、单产品故障后服务切回，支持一键式操作。支持恢复记录查看，包括操作用户、类型、执行结果和R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真实演练</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用于真实故障的真实演练场景，如机房断电和断网。包括操作审批、双机房服务器和交换机环境检查、故障注入、机房复原。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8222" w:type="dxa"/>
            <w:gridSpan w:val="3"/>
            <w:vAlign w:val="center"/>
          </w:tcPr>
          <w:p>
            <w:pPr>
              <w:widowControl/>
              <w:spacing w:line="240" w:lineRule="auto"/>
              <w:ind w:firstLine="0" w:firstLineChars="0"/>
              <w:jc w:val="center"/>
              <w:rPr>
                <w:rFonts w:hAnsi="宋体" w:cs="宋体"/>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混合云管平台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Align w:val="center"/>
          </w:tcPr>
          <w:p>
            <w:pPr>
              <w:widowControl/>
              <w:spacing w:line="240" w:lineRule="auto"/>
              <w:ind w:firstLine="0" w:firstLineChars="0"/>
              <w:jc w:val="center"/>
              <w:rPr>
                <w:rFonts w:hint="eastAsia" w:hAnsi="宋体" w:cs="宋体"/>
                <w:b/>
                <w:color w:val="000000" w:themeColor="text1"/>
                <w:kern w:val="0"/>
                <w:sz w:val="20"/>
                <w:szCs w:val="20"/>
                <w14:textFill>
                  <w14:solidFill>
                    <w14:schemeClr w14:val="tx1"/>
                  </w14:solidFill>
                </w14:textFill>
              </w:rPr>
            </w:pPr>
            <w:r>
              <w:rPr>
                <w:rFonts w:hint="eastAsia" w:hAnsi="宋体" w:cs="宋体"/>
                <w:b/>
                <w:color w:val="000000" w:themeColor="text1"/>
                <w:kern w:val="0"/>
                <w:sz w:val="20"/>
                <w:szCs w:val="20"/>
                <w14:textFill>
                  <w14:solidFill>
                    <w14:schemeClr w14:val="tx1"/>
                  </w14:solidFill>
                </w14:textFill>
              </w:rPr>
              <w:t>指标项</w:t>
            </w:r>
          </w:p>
        </w:tc>
        <w:tc>
          <w:tcPr>
            <w:tcW w:w="1134" w:type="dxa"/>
            <w:shd w:val="clear" w:color="auto" w:fill="auto"/>
            <w:vAlign w:val="center"/>
          </w:tcPr>
          <w:p>
            <w:pPr>
              <w:spacing w:line="240" w:lineRule="auto"/>
              <w:ind w:firstLine="0" w:firstLineChars="0"/>
              <w:jc w:val="center"/>
              <w:rPr>
                <w:rFonts w:hint="eastAsia" w:hAnsi="宋体" w:cs="宋体"/>
                <w:b/>
                <w:color w:val="000000" w:themeColor="text1"/>
                <w:kern w:val="0"/>
                <w:sz w:val="20"/>
                <w:szCs w:val="20"/>
                <w14:textFill>
                  <w14:solidFill>
                    <w14:schemeClr w14:val="tx1"/>
                  </w14:solidFill>
                </w14:textFill>
              </w:rPr>
            </w:pPr>
            <w:r>
              <w:rPr>
                <w:rFonts w:hint="eastAsia" w:hAnsi="宋体" w:cs="宋体"/>
                <w:b/>
                <w:color w:val="000000" w:themeColor="text1"/>
                <w:kern w:val="0"/>
                <w:sz w:val="20"/>
                <w:szCs w:val="20"/>
                <w14:textFill>
                  <w14:solidFill>
                    <w14:schemeClr w14:val="tx1"/>
                  </w14:solidFill>
                </w14:textFill>
              </w:rPr>
              <w:t>指标子项</w:t>
            </w:r>
          </w:p>
        </w:tc>
        <w:tc>
          <w:tcPr>
            <w:tcW w:w="6237" w:type="dxa"/>
            <w:shd w:val="clear" w:color="auto" w:fill="auto"/>
            <w:vAlign w:val="center"/>
          </w:tcPr>
          <w:p>
            <w:pPr>
              <w:widowControl/>
              <w:spacing w:line="240" w:lineRule="auto"/>
              <w:ind w:firstLine="0" w:firstLineChars="0"/>
              <w:jc w:val="center"/>
              <w:rPr>
                <w:rFonts w:hint="eastAsia" w:hAnsi="宋体" w:cs="宋体"/>
                <w:b/>
                <w:color w:val="000000" w:themeColor="text1"/>
                <w:kern w:val="0"/>
                <w:sz w:val="20"/>
                <w:szCs w:val="20"/>
                <w14:textFill>
                  <w14:solidFill>
                    <w14:schemeClr w14:val="tx1"/>
                  </w14:solidFill>
                </w14:textFill>
              </w:rPr>
            </w:pPr>
            <w:r>
              <w:rPr>
                <w:rFonts w:hint="eastAsia" w:hAnsi="宋体" w:cs="宋体"/>
                <w:b/>
                <w:color w:val="000000" w:themeColor="text1"/>
                <w:kern w:val="0"/>
                <w:sz w:val="20"/>
                <w:szCs w:val="20"/>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Merge w:val="restart"/>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功能要求</w:t>
            </w:r>
          </w:p>
        </w:tc>
        <w:tc>
          <w:tcPr>
            <w:tcW w:w="1134" w:type="dxa"/>
            <w:vMerge w:val="restart"/>
            <w:shd w:val="clear" w:color="auto" w:fill="auto"/>
            <w:vAlign w:val="center"/>
          </w:tcPr>
          <w:p>
            <w:pPr>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资源管理</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能够管理本地的VMWARE环境资源。管理者能够一站式的创建和管理私有环境资源。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vMerge w:val="continue"/>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接入并管理公有云资源，一致性的深度接入不少于1家主流公有云供应商提供的多线公有云资源和服务产品，资源包括但不限于云主机（包含CPU、GPU、超算集群等）、云存储、云镜像、云安全服务（包含主流安全能力如：网络安全、主机安全、WAF等）、弹性公网IP、云数据库（包含主流的数据库，如MySQL、SQLServer、PostgreSQL）、中间件（如消息中间件、分布式缓存等）、公有云VPN等</w:t>
            </w:r>
            <w:r>
              <w:rPr>
                <w:rFonts w:hAnsi="宋体" w:cs="宋体"/>
                <w:color w:val="000000" w:themeColor="text1"/>
                <w:kern w:val="0"/>
                <w:sz w:val="20"/>
                <w:szCs w:val="20"/>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资源统一运营</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将投标单位所属云中用户已采购的公有云资源及今后需要采购的公有云资源包括云存储，云服务器等内容统一管控。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资源自助服务</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1.混合云门户对接学校统一身份认证平台，实行实名和单点登录。</w:t>
            </w:r>
          </w:p>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2.用户可依项目，查看和申请项目可用额度。</w:t>
            </w:r>
            <w:r>
              <w:rPr>
                <w:rFonts w:hint="eastAsia" w:hAnsi="宋体" w:cs="宋体"/>
                <w:color w:val="000000" w:themeColor="text1"/>
                <w:kern w:val="0"/>
                <w:sz w:val="20"/>
                <w:szCs w:val="20"/>
                <w14:textFill>
                  <w14:solidFill>
                    <w14:schemeClr w14:val="tx1"/>
                  </w14:solidFill>
                </w14:textFill>
              </w:rPr>
              <w:br w:type="textWrapping"/>
            </w:r>
            <w:r>
              <w:rPr>
                <w:rFonts w:hint="eastAsia" w:hAnsi="宋体" w:cs="宋体"/>
                <w:color w:val="000000" w:themeColor="text1"/>
                <w:kern w:val="0"/>
                <w:sz w:val="20"/>
                <w:szCs w:val="20"/>
                <w14:textFill>
                  <w14:solidFill>
                    <w14:schemeClr w14:val="tx1"/>
                  </w14:solidFill>
                </w14:textFill>
              </w:rPr>
              <w:t>3.用户能够集中查看和查询上架的私有云资源、公有云资源和服务产品。（须包含不限于资源名称、资源配置、规格参数、技术指标、价格等信息）</w:t>
            </w:r>
            <w:r>
              <w:rPr>
                <w:rFonts w:hint="eastAsia" w:hAnsi="宋体" w:cs="宋体"/>
                <w:color w:val="000000" w:themeColor="text1"/>
                <w:kern w:val="0"/>
                <w:sz w:val="20"/>
                <w:szCs w:val="20"/>
                <w14:textFill>
                  <w14:solidFill>
                    <w14:schemeClr w14:val="tx1"/>
                  </w14:solidFill>
                </w14:textFill>
              </w:rPr>
              <w:br w:type="textWrapping"/>
            </w:r>
            <w:r>
              <w:rPr>
                <w:rFonts w:hint="eastAsia" w:hAnsi="宋体" w:cs="宋体"/>
                <w:color w:val="000000" w:themeColor="text1"/>
                <w:kern w:val="0"/>
                <w:sz w:val="20"/>
                <w:szCs w:val="20"/>
                <w14:textFill>
                  <w14:solidFill>
                    <w14:schemeClr w14:val="tx1"/>
                  </w14:solidFill>
                </w14:textFill>
              </w:rPr>
              <w:t>4.用户可依托项目，一致性的申请、使用、操作和退租混合云纳管下的所有私有云和公有云资源及服务产品。</w:t>
            </w:r>
            <w:r>
              <w:rPr>
                <w:rFonts w:hint="eastAsia" w:hAnsi="宋体" w:cs="宋体"/>
                <w:color w:val="000000" w:themeColor="text1"/>
                <w:kern w:val="0"/>
                <w:sz w:val="20"/>
                <w:szCs w:val="20"/>
                <w14:textFill>
                  <w14:solidFill>
                    <w14:schemeClr w14:val="tx1"/>
                  </w14:solidFill>
                </w14:textFill>
              </w:rPr>
              <w:br w:type="textWrapping"/>
            </w:r>
            <w:r>
              <w:rPr>
                <w:rFonts w:hint="eastAsia" w:hAnsi="宋体" w:cs="宋体"/>
                <w:color w:val="000000" w:themeColor="text1"/>
                <w:kern w:val="0"/>
                <w:sz w:val="20"/>
                <w:szCs w:val="20"/>
                <w14:textFill>
                  <w14:solidFill>
                    <w14:schemeClr w14:val="tx1"/>
                  </w14:solidFill>
                </w14:textFill>
              </w:rPr>
              <w:t>5.从资源组织维度管理申请资源的资源池。用户能实时地管理所拥有的云资源的全程生命周期。</w:t>
            </w:r>
            <w:r>
              <w:rPr>
                <w:rFonts w:hint="eastAsia" w:hAnsi="宋体" w:cs="宋体"/>
                <w:color w:val="000000" w:themeColor="text1"/>
                <w:kern w:val="0"/>
                <w:sz w:val="20"/>
                <w:szCs w:val="20"/>
                <w14:textFill>
                  <w14:solidFill>
                    <w14:schemeClr w14:val="tx1"/>
                  </w14:solidFill>
                </w14:textFill>
              </w:rPr>
              <w:br w:type="textWrapping"/>
            </w:r>
            <w:r>
              <w:rPr>
                <w:rFonts w:hint="eastAsia" w:hAnsi="宋体" w:cs="宋体"/>
                <w:color w:val="000000" w:themeColor="text1"/>
                <w:kern w:val="0"/>
                <w:sz w:val="20"/>
                <w:szCs w:val="20"/>
                <w14:textFill>
                  <w14:solidFill>
                    <w14:schemeClr w14:val="tx1"/>
                  </w14:solidFill>
                </w14:textFill>
              </w:rPr>
              <w:t>6.用户可设置实例开关机、快照、备份、宽带变更、指令等计划任务并下发，并设定触发器，触发条件包括开始与结束时间、执行周期。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22" w:type="dxa"/>
            <w:gridSpan w:val="3"/>
            <w:shd w:val="clear" w:color="auto" w:fill="auto"/>
            <w:vAlign w:val="bottom"/>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专有云管理平台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指标项</w:t>
            </w:r>
          </w:p>
        </w:tc>
        <w:tc>
          <w:tcPr>
            <w:tcW w:w="1134" w:type="dxa"/>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指标子项</w:t>
            </w:r>
          </w:p>
        </w:tc>
        <w:tc>
          <w:tcPr>
            <w:tcW w:w="6237" w:type="dxa"/>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Merge w:val="restart"/>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功能要求</w:t>
            </w: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资源监控与告警</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提供云环境中的云产品资源实例提供租户级的资源监控能力；提供云产品资源实例提供租户级的告警通知能力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资源运营分析</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支持以组织和资源维度统计统计资源报表、配额报表和云监控报表；支持异步导出的各类统计分析报表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资源集管理</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支持创建/修改/删除/查询资源集；支持查看/跳转到 资源集所有的资源实例；通过资源集管理用户、用户组；支持对于不同的region区域，设置每个云产品可以使用的资源量，支持对于region和集群，设置不同的名称，便于管理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配额管理</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支持对于不同的地域区域，不同组织可以使用的云产品的配额总量；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云产品资源管控</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提供IaaS/PaaS/SaaS类云产品及服务的资源操作控制台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工作台功能</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提供用户登陆后的工作台，显示角色相关的关键运营数据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组织和资源池配置</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支持将云环境的地域和集群等信息，映射到具体的组织，从而只有映射配置了的组织，才能看到并使用该地域的资源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规格管理</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支持云环境中云产品的可用规格的录入/禁用/启用/查看管理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角色管理</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提供角色创建、修改、删除、禁用功能，支持自定义业务角色，设置角色所具有的操作权限，并将角色管理给相关用户；支持复制/查询角色，支持设置角色所能查看的首页仪表盘布局，以及相应的可视化控件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计量管理</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按时间/按组织维度计量、计量报表查询、计量报表导出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资源分析</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提供资源分析仪表盘，支持按类型、地区、性能、告警、利用率等多种维度的资源实力数据图形化展示以及关键数据的报表导出功能。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Merge w:val="restart"/>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　</w:t>
            </w: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日志管理</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提供日志审计功能，保留所有用户的操作日志，并支持日志的过滤和导出功能。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登录策略管理</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创建/修改/删除/禁用/激活登录策略、支持白名单、支持黑名单、关联用户、关联组织；支持按照登陆时间和IP地址的白名单/黑名单策略； 支持设置能看见并使用这个登陆策略的组织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51"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兼容性/开放性（接口、引擎等）</w:t>
            </w:r>
          </w:p>
        </w:tc>
        <w:tc>
          <w:tcPr>
            <w:tcW w:w="1134"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兼容性/开放性（接口、引擎等）</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支持与企业已有的用户系统对接如AD等，支持组织和用户信息的同步和导入，并支持统一登录认证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222" w:type="dxa"/>
            <w:gridSpan w:val="3"/>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专有云运维平台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指标项</w:t>
            </w:r>
          </w:p>
        </w:tc>
        <w:tc>
          <w:tcPr>
            <w:tcW w:w="1134" w:type="dxa"/>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指标子项</w:t>
            </w:r>
          </w:p>
        </w:tc>
        <w:tc>
          <w:tcPr>
            <w:tcW w:w="6237" w:type="dxa"/>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Merge w:val="restart"/>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功能要求</w:t>
            </w:r>
          </w:p>
        </w:tc>
        <w:tc>
          <w:tcPr>
            <w:tcW w:w="1134"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云产品运维管理</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支持第三方ISV的接入配置更改，增加，删除。 支持通过跳转的方式便捷地访问第三方ISV界面。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产品资源管理</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（1）支持展示云平台部署产品概览，包括部署云产品总数，集群总数。图形化展示产品软件部署状态。 （2）支持看出每个集群的详细信息，包括集群名称，所属产品，集群状态，机器数量，告警数量。支持按产品名称、集群名称，集群状态查询集群。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任务管理</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支持任务管理，支持展示系统中任务的整体运行情况。 1、在运行面板区域，查看当前系统中等待介入、运行中、失败和已完成任务数量的统计信息。单击各统计数值，会跳转到对应的任务页面。 2、在运行中的任务 区域，查看最近24小时内正在运行中的任务。 3、在脚本创建 区域，支持可以通过单击或拖拽方式快速创建脚本。支持上传shell以及python脚本。 4、在最近7天运行情况 区域，查看最近7天任务的运行趋势。" 5、支持修改任务的灰度策略即调整机器的执行批次。 6、支持删除不再使用的任务 7、支持手动执行方式，在任务创建成功后，按照手动启动该任务。 8、支持当任务中存在断点并运行到断点时，任务将暂停等待人工确认，只有人工确认后任务才能继续执行。 9、支持查看任务的执行情况。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分布式存储运维</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（1）分布式存储总览：支持显示存储集群服务器数量，总容量，使用空间百分比，文件数量，以及异常服务器/异常磁盘数量。 （2）分布式存储集群管理：显示存储集群服务器节点详细信息，应包括服务器状态，磁盘数量，坏盘数量，总容量，已使用量。 （3）数据重分布：在存储集群扩容、缩容、服务器故障等场景下，支持系统自动进行数据在服务器间的平均分布。支持手动进行数据重新分布。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告警管理</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支持导出历史告警列表。 支持查看告警源详情。如告警说明、参考信息、影响范围及处理步骤等 支持根据监控项类型、产品、服务、等级、状态、开始日期、结束日期及过滤内容来进行过滤查询 支持告警处理（如 处理、处理完成、事件跟踪、上报ITIL等） 导出告警列表里的告警信息 支持告警屏蔽，在告警屏蔽的添加页面，配置需要屏蔽的告警筛选项。支持为已屏蔽的告警解除屏蔽。 支持搜索关键字查询，如集群、产品、服务、等级、状态、监控项名称等，单击查询，可查询到相应的告警事件。单击各色块可跳转至对应的告警事件页面 可以根据业务需要，查询、添加、修改以及删除告警联系人和联系人组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对象存储运维</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可以统计对象存储Bucket数量，Object数量，可以查看最新数量和按时间段显示增长趋势。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库存管理</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支持云主机库存情况查看，云主机库存详情中主要提供按区域、实例类型和日期分页查询某类实例在某个日期的库存情况。 支持块存储、NAS、对象存储、表格存储库存情况查看，历史可用库存（TB）显示近五天存储的库存可用情况；当前已用库存（TB）显示当前存储已用库存和百分比；存储库存详情中可按日期分页查询存储库存详情。 支出RDS数据库实例库存，近期库存显示不同类型的RDS近五天内库存情况。其中，不同的颜色代表不同RDS类型；库存详情中可按引擎、日期分页查询RDS的库存详情。 支持负载均衡服务库存情况查看；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服务器资源管理</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1）支持以IDC机房、机柜维度查看服务器列表和详细信息，展示每个机柜内服务器数量和服务器告警状态，可查看每台服务器的状态、详细信息、报警信息和监控信息，监控信息包括CPU使用率，磁盘使用率，内存使用率，主机流量，磁盘IO等。 （2）支持以软件部署角度查看各个产品所在的物理服务器进行监控查看，可以按地域，产品，集群查看服务器列表和服务器详细信息。支持把服务器信息导出。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服务器运维</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支持对服务器进行操作系统层面针对，包括内存使用率，时间同步，kernel故障，磁盘IO负载，删除文件异常，异常网络数据包，TCP链接状态异常，网卡异常，网络丢标等常见异常。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物理平台管理</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支持按照区域、产品、集群等逐层展开左侧的导航树，查看某个产品某个服务所在的机器列表。 支持将所有物理机相关的信息导出至本地，用于线下查看。 支持按照主机名、IP地址、设备功能角色或SN号搜索并查看某个物理机。 支持按产品维度查看该物理机的基本信息及监控与报警情况。 有严重告警的服务器机柜为红色，一般告警为黄色，无告警的为蓝色。 支持导出所选结构树中的服务器信息 支持新增物理机并显示在机柜图中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系统管理</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支持用户管理、用户组管理、双因素认证、角色管理、部门管理、菜单管理、Region授权管理、云操作系统日志、操作日志、授权信息、多云管理。 统一账号管理&amp;角色权限管理，只需要登录到云平台运维系统中，就能实现对云平台所有的组件进行运维或者免登录跳转运维。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网络资源管理</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（1）支持显示云平台物理网络拓扑，支持显示网络设备网元和互联链路，网络设备和互联链路应支持按颜色区分链路状态。点击网元和互联链路可以查看详细信息。 （2）可以动态拓扑和基准拓扑，动态拓扑可以动态刷新拓扑状态，基准拓扑表示网络的目标状态，不进行动态刷新，支持把拓扑更新到基准拓扑。显示展示网络状态与基准拓扑的拓扑偏移量，帮助运维人员快速进行网络状态的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自动化运维</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支持云平台运维工作自动化，可向批量资源完成运维操作，提供基础设施，云环境，操作系统，应用层的自动化运维能力。 （1）脚本管理，提供脚本库存放运维脚本，支持系统内置脚本，并支持运维人员自定义和导入脚本。 （2）软件包管理：提供软件仓库能力，可以上传和下载软件包，支持压缩包，JAR包等格式。 （3）运维作业：支持运维作业定义，运维作业可以手动触发和定时触发。支持在作业中中定义执行的脚本或软件包，以及执行主机列表，任务支持灰度设置。     （4）运维流程编排：支持图形化方式编排运维流程，可以运维人员把一系列运维操作定义为“流程”，流程中可以定义触发方式，包括手动触发和定时触发， 支持在流程中添加操作任务节点，节点可以包括执行任务节点，可以执行脚本或软件包，可以设置执行任务的节点资源，包括服务器主机或容器资源，任务支持灰度设置。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运维大盘</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支持统计每个Region的告警汇总，按严重等级展示。 支持显示多Region的相关告警、库存和资源信息 支持图形化展示云主机服务、对象存储服务等产品的库存百分比。 支持统计每个Region的物理资源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851"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安全性</w:t>
            </w:r>
          </w:p>
        </w:tc>
        <w:tc>
          <w:tcPr>
            <w:tcW w:w="1134"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运维安全</w:t>
            </w:r>
          </w:p>
        </w:tc>
        <w:tc>
          <w:tcPr>
            <w:tcW w:w="6237"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（1）支持运维角色管理，可以按产品进行角色授权 支持设置运维IP白名单配置。 （2）支持Linux命令拦截规则，可以设置拦截命令，拦截风险提示，拦截规则，拦截规则可以为通过，禁止，二次确认，校验码校验等 （3）支持运维命令审计，审计应包括登录，登出，执行命令等。记录操作人，操作时间，操作机器，执行结果信息。 （4）支持对操作视频回放。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8222" w:type="dxa"/>
            <w:gridSpan w:val="3"/>
            <w:vAlign w:val="center"/>
          </w:tcPr>
          <w:p>
            <w:pPr>
              <w:widowControl/>
              <w:spacing w:line="240" w:lineRule="auto"/>
              <w:ind w:firstLine="0" w:firstLineChars="0"/>
              <w:jc w:val="center"/>
              <w:rPr>
                <w:rFonts w:hAnsi="宋体" w:cs="宋体"/>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日志服务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指标项</w:t>
            </w:r>
          </w:p>
        </w:tc>
        <w:tc>
          <w:tcPr>
            <w:tcW w:w="1134" w:type="dxa"/>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指标子项</w:t>
            </w:r>
          </w:p>
        </w:tc>
        <w:tc>
          <w:tcPr>
            <w:tcW w:w="6237" w:type="dxa"/>
            <w:shd w:val="clear" w:color="auto" w:fill="auto"/>
            <w:vAlign w:val="center"/>
          </w:tcPr>
          <w:p>
            <w:pPr>
              <w:widowControl/>
              <w:spacing w:line="240" w:lineRule="auto"/>
              <w:ind w:firstLine="0" w:firstLineChars="0"/>
              <w:jc w:val="center"/>
              <w:rPr>
                <w:rFonts w:hAnsi="宋体" w:cs="宋体"/>
                <w:b/>
                <w:bCs/>
                <w:color w:val="000000" w:themeColor="text1"/>
                <w:kern w:val="0"/>
                <w:sz w:val="20"/>
                <w:szCs w:val="20"/>
                <w14:textFill>
                  <w14:solidFill>
                    <w14:schemeClr w14:val="tx1"/>
                  </w14:solidFill>
                </w14:textFill>
              </w:rPr>
            </w:pPr>
            <w:r>
              <w:rPr>
                <w:rFonts w:hint="eastAsia" w:hAnsi="宋体" w:cs="宋体"/>
                <w:b/>
                <w:bCs/>
                <w:color w:val="000000" w:themeColor="text1"/>
                <w:kern w:val="0"/>
                <w:sz w:val="20"/>
                <w:szCs w:val="20"/>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Align w:val="center"/>
          </w:tcPr>
          <w:p>
            <w:pPr>
              <w:spacing w:line="240" w:lineRule="auto"/>
              <w:ind w:firstLine="0" w:firstLineChars="0"/>
            </w:pPr>
            <w:r>
              <w:rPr>
                <w:sz w:val="20"/>
              </w:rPr>
              <w:t>总体要求</w:t>
            </w:r>
          </w:p>
        </w:tc>
        <w:tc>
          <w:tcPr>
            <w:tcW w:w="1134" w:type="dxa"/>
            <w:shd w:val="clear" w:color="auto" w:fill="auto"/>
            <w:vAlign w:val="center"/>
          </w:tcPr>
          <w:p>
            <w:pPr>
              <w:spacing w:line="240" w:lineRule="auto"/>
              <w:ind w:firstLine="0" w:firstLineChars="0"/>
            </w:pPr>
          </w:p>
        </w:tc>
        <w:tc>
          <w:tcPr>
            <w:tcW w:w="6237" w:type="dxa"/>
            <w:shd w:val="clear" w:color="auto" w:fill="auto"/>
            <w:vAlign w:val="center"/>
          </w:tcPr>
          <w:p>
            <w:pPr>
              <w:spacing w:line="240" w:lineRule="auto"/>
              <w:ind w:firstLine="0" w:firstLineChars="0"/>
            </w:pPr>
            <w:r>
              <w:rPr>
                <w:sz w:val="20"/>
              </w:rPr>
              <w:t>针对实时日志类数据一站式服务，无需开发就能快捷完成日志数据采集、消费、投递以及实时查询分析等功能，提升运维、运营效率，建立海量日志处理能力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Merge w:val="restart"/>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功能要求</w:t>
            </w:r>
          </w:p>
        </w:tc>
        <w:tc>
          <w:tcPr>
            <w:tcW w:w="1134" w:type="dxa"/>
            <w:shd w:val="clear" w:color="auto" w:fill="auto"/>
            <w:vAlign w:val="center"/>
          </w:tcPr>
          <w:p>
            <w:pPr>
              <w:spacing w:line="240" w:lineRule="auto"/>
              <w:ind w:firstLine="0" w:firstLineChars="0"/>
            </w:pPr>
            <w:r>
              <w:rPr>
                <w:sz w:val="20"/>
              </w:rPr>
              <w:t>可视化</w:t>
            </w:r>
          </w:p>
        </w:tc>
        <w:tc>
          <w:tcPr>
            <w:tcW w:w="6237" w:type="dxa"/>
            <w:shd w:val="clear" w:color="auto" w:fill="auto"/>
            <w:vAlign w:val="center"/>
          </w:tcPr>
          <w:p>
            <w:pPr>
              <w:spacing w:line="240" w:lineRule="auto"/>
              <w:ind w:firstLine="0" w:firstLineChars="0"/>
            </w:pPr>
            <w:r>
              <w:rPr>
                <w:sz w:val="20"/>
              </w:rPr>
              <w:t>可视化分析支持线图、柱状图、环图、地图、词云、TreeMap常见图表，支持构建图层，支持拓扑图构建，支持外部矢量图导入，支持markdown，图表自适应分辨率显示，支持全屏模式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spacing w:line="240" w:lineRule="auto"/>
              <w:ind w:firstLine="0" w:firstLineChars="0"/>
            </w:pPr>
            <w:r>
              <w:rPr>
                <w:sz w:val="20"/>
              </w:rPr>
              <w:t>数据消费</w:t>
            </w:r>
          </w:p>
        </w:tc>
        <w:tc>
          <w:tcPr>
            <w:tcW w:w="6237" w:type="dxa"/>
            <w:shd w:val="clear" w:color="auto" w:fill="auto"/>
            <w:vAlign w:val="center"/>
          </w:tcPr>
          <w:p>
            <w:pPr>
              <w:spacing w:line="240" w:lineRule="auto"/>
              <w:ind w:firstLine="0" w:firstLineChars="0"/>
            </w:pPr>
            <w:r>
              <w:rPr>
                <w:sz w:val="20"/>
              </w:rPr>
              <w:t>支持Storm/Flink/SparkStreaming方式消费数据；支持Java/Python/Go程序流式消费数据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spacing w:line="240" w:lineRule="auto"/>
              <w:ind w:firstLine="0" w:firstLineChars="0"/>
            </w:pPr>
            <w:r>
              <w:rPr>
                <w:sz w:val="20"/>
              </w:rPr>
              <w:t>数据采集</w:t>
            </w:r>
          </w:p>
        </w:tc>
        <w:tc>
          <w:tcPr>
            <w:tcW w:w="6237" w:type="dxa"/>
            <w:shd w:val="clear" w:color="auto" w:fill="auto"/>
            <w:vAlign w:val="center"/>
          </w:tcPr>
          <w:p>
            <w:pPr>
              <w:spacing w:line="240" w:lineRule="auto"/>
              <w:ind w:firstLine="0" w:firstLineChars="0"/>
            </w:pPr>
            <w:r>
              <w:rPr>
                <w:sz w:val="20"/>
              </w:rPr>
              <w:t>支持多种SDK采集服务端日志数据，包括Log4J、LogBack、PHP、C++、Java、Go、.net、ios/android、Python/Logging Handler 9种SDK。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Merge w:val="continue"/>
            <w:vAlign w:val="center"/>
          </w:tcPr>
          <w:p>
            <w:pPr>
              <w:widowControl/>
              <w:spacing w:line="240" w:lineRule="auto"/>
              <w:ind w:firstLine="0" w:firstLineChars="0"/>
              <w:jc w:val="left"/>
              <w:rPr>
                <w:rFonts w:hAnsi="宋体" w:cs="宋体"/>
                <w:color w:val="000000" w:themeColor="text1"/>
                <w:kern w:val="0"/>
                <w:sz w:val="20"/>
                <w:szCs w:val="20"/>
                <w14:textFill>
                  <w14:solidFill>
                    <w14:schemeClr w14:val="tx1"/>
                  </w14:solidFill>
                </w14:textFill>
              </w:rPr>
            </w:pPr>
          </w:p>
        </w:tc>
        <w:tc>
          <w:tcPr>
            <w:tcW w:w="1134" w:type="dxa"/>
            <w:shd w:val="clear" w:color="auto" w:fill="auto"/>
            <w:vAlign w:val="center"/>
          </w:tcPr>
          <w:p>
            <w:pPr>
              <w:spacing w:line="240" w:lineRule="auto"/>
              <w:ind w:firstLine="0" w:firstLineChars="0"/>
            </w:pPr>
            <w:r>
              <w:rPr>
                <w:sz w:val="20"/>
              </w:rPr>
              <w:t>数据采集</w:t>
            </w:r>
          </w:p>
        </w:tc>
        <w:tc>
          <w:tcPr>
            <w:tcW w:w="6237" w:type="dxa"/>
            <w:shd w:val="clear" w:color="auto" w:fill="auto"/>
            <w:vAlign w:val="center"/>
          </w:tcPr>
          <w:p>
            <w:pPr>
              <w:spacing w:line="240" w:lineRule="auto"/>
              <w:ind w:firstLine="0" w:firstLineChars="0"/>
            </w:pPr>
            <w:r>
              <w:rPr>
                <w:sz w:val="20"/>
              </w:rPr>
              <w:t>日志采集工具支持使用分隔符、正则表达式对文本文件内的日志采集、支持syslog协议、Kubernetes日志采集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1" w:type="dxa"/>
            <w:vAlign w:val="center"/>
          </w:tcPr>
          <w:p>
            <w:pPr>
              <w:spacing w:line="240" w:lineRule="auto"/>
              <w:ind w:firstLine="0" w:firstLineChars="0"/>
            </w:pPr>
            <w:r>
              <w:rPr>
                <w:sz w:val="20"/>
              </w:rPr>
              <w:t>安全性</w:t>
            </w:r>
          </w:p>
        </w:tc>
        <w:tc>
          <w:tcPr>
            <w:tcW w:w="1134" w:type="dxa"/>
            <w:shd w:val="clear" w:color="auto" w:fill="auto"/>
            <w:vAlign w:val="center"/>
          </w:tcPr>
          <w:p>
            <w:pPr>
              <w:spacing w:line="240" w:lineRule="auto"/>
              <w:ind w:firstLine="0" w:firstLineChars="0"/>
            </w:pPr>
          </w:p>
        </w:tc>
        <w:tc>
          <w:tcPr>
            <w:tcW w:w="6237" w:type="dxa"/>
            <w:shd w:val="clear" w:color="auto" w:fill="auto"/>
            <w:vAlign w:val="center"/>
          </w:tcPr>
          <w:p>
            <w:pPr>
              <w:spacing w:line="240" w:lineRule="auto"/>
              <w:ind w:firstLine="0" w:firstLineChars="0"/>
            </w:pPr>
            <w:r>
              <w:rPr>
                <w:sz w:val="20"/>
              </w:rPr>
              <w:t>日志服务支持通过密钥管理服务对数据进行加密存储，提供数据静态保护能力。支持使用 托管密钥进行加密。支持通过用户自带密钥（BYOK）加密。</w:t>
            </w:r>
          </w:p>
        </w:tc>
      </w:tr>
    </w:tbl>
    <w:p/>
    <w:p>
      <w:pPr>
        <w:pStyle w:val="5"/>
        <w:numPr>
          <w:ilvl w:val="1"/>
          <w:numId w:val="0"/>
        </w:numPr>
        <w:ind w:leftChars="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2.2.3 运维部署服务</w:t>
      </w:r>
    </w:p>
    <w:tbl>
      <w:tblPr>
        <w:tblStyle w:val="59"/>
        <w:tblW w:w="822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34" w:type="dxa"/>
            <w:shd w:val="clear" w:color="auto" w:fill="auto"/>
            <w:vAlign w:val="bottom"/>
          </w:tcPr>
          <w:p>
            <w:pPr>
              <w:widowControl/>
              <w:spacing w:line="240" w:lineRule="auto"/>
              <w:ind w:firstLine="0" w:firstLineChars="0"/>
              <w:jc w:val="center"/>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指标项</w:t>
            </w:r>
          </w:p>
        </w:tc>
        <w:tc>
          <w:tcPr>
            <w:tcW w:w="7088" w:type="dxa"/>
            <w:shd w:val="clear" w:color="auto" w:fill="auto"/>
            <w:vAlign w:val="center"/>
          </w:tcPr>
          <w:p>
            <w:pPr>
              <w:widowControl/>
              <w:spacing w:line="240" w:lineRule="auto"/>
              <w:ind w:firstLine="0" w:firstLineChars="0"/>
              <w:jc w:val="center"/>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34"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运维部署</w:t>
            </w:r>
          </w:p>
        </w:tc>
        <w:tc>
          <w:tcPr>
            <w:tcW w:w="7088" w:type="dxa"/>
            <w:shd w:val="clear" w:color="auto" w:fill="auto"/>
            <w:vAlign w:val="center"/>
          </w:tcPr>
          <w:p>
            <w:pPr>
              <w:widowControl/>
              <w:spacing w:line="240" w:lineRule="auto"/>
              <w:ind w:firstLine="0" w:firstLineChars="0"/>
              <w:rPr>
                <w:rFonts w:hAnsi="宋体" w:cs="宋体"/>
                <w:color w:val="000000" w:themeColor="text1"/>
                <w:kern w:val="0"/>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机房工勘、方案设计、平台部署，测试，项目管理等一系列集成服务内容。</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numPr>
          <w:ilvl w:val="1"/>
          <w:numId w:val="0"/>
        </w:numPr>
        <w:ind w:leftChars="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2.3网络安全事件应急预案</w:t>
      </w:r>
    </w:p>
    <w:p>
      <w:pPr>
        <w:widowControl/>
        <w:spacing w:line="240" w:lineRule="auto"/>
        <w:ind w:firstLine="0" w:firstLineChars="0"/>
        <w:rPr>
          <w:rFonts w:hint="eastAsia" w:hAnsi="宋体" w:cs="宋体"/>
          <w:color w:val="000000" w:themeColor="text1"/>
          <w:kern w:val="0"/>
          <w:sz w:val="20"/>
          <w:szCs w:val="20"/>
          <w:lang w:val="en-US" w:eastAsia="zh-CN"/>
          <w14:textFill>
            <w14:solidFill>
              <w14:schemeClr w14:val="tx1"/>
            </w14:solidFill>
          </w14:textFill>
        </w:rPr>
      </w:pPr>
      <w:r>
        <w:rPr>
          <w:rFonts w:hint="eastAsia" w:hAnsi="宋体" w:cs="宋体"/>
          <w:color w:val="000000" w:themeColor="text1"/>
          <w:kern w:val="0"/>
          <w:sz w:val="20"/>
          <w:szCs w:val="20"/>
          <w:lang w:val="en-US" w:eastAsia="zh-CN"/>
          <w14:textFill>
            <w14:solidFill>
              <w14:schemeClr w14:val="tx1"/>
            </w14:solidFill>
          </w14:textFill>
        </w:rPr>
        <w:t>1、设置网络安全事件等级</w:t>
      </w:r>
    </w:p>
    <w:p>
      <w:pPr>
        <w:widowControl/>
        <w:spacing w:line="240" w:lineRule="auto"/>
        <w:ind w:firstLine="400" w:firstLineChars="200"/>
        <w:rPr>
          <w:rFonts w:hint="eastAsia" w:hAnsi="宋体" w:cs="宋体"/>
          <w:color w:val="000000" w:themeColor="text1"/>
          <w:kern w:val="0"/>
          <w:sz w:val="20"/>
          <w:szCs w:val="20"/>
          <w:lang w:val="en-US" w:eastAsia="zh-CN"/>
          <w14:textFill>
            <w14:solidFill>
              <w14:schemeClr w14:val="tx1"/>
            </w14:solidFill>
          </w14:textFill>
        </w:rPr>
      </w:pPr>
      <w:r>
        <w:rPr>
          <w:rFonts w:hint="eastAsia" w:hAnsi="宋体" w:cs="宋体"/>
          <w:color w:val="000000" w:themeColor="text1"/>
          <w:kern w:val="0"/>
          <w:sz w:val="20"/>
          <w:szCs w:val="20"/>
          <w:lang w:val="en-US" w:eastAsia="zh-CN"/>
          <w14:textFill>
            <w14:solidFill>
              <w14:schemeClr w14:val="tx1"/>
            </w14:solidFill>
          </w14:textFill>
        </w:rPr>
        <w:t>网络和信息系统损失是指由于网络安全事件对系统的软硬件、功能及数据的破坏，导致系统业务中断，从而给事发组织所造成的损失，其大小主要考虑恢复系统正常运行和消除安全事件负面影响所需付出的代价，划分为特别严重的系统损失、严重的系统损失、较大的系统损失和较小的系统损失，说明如下：</w:t>
      </w:r>
    </w:p>
    <w:p>
      <w:pPr>
        <w:widowControl/>
        <w:spacing w:line="240" w:lineRule="auto"/>
        <w:ind w:firstLine="400" w:firstLineChars="200"/>
        <w:rPr>
          <w:rFonts w:hint="eastAsia" w:hAnsi="宋体" w:cs="宋体"/>
          <w:color w:val="000000" w:themeColor="text1"/>
          <w:kern w:val="0"/>
          <w:sz w:val="20"/>
          <w:szCs w:val="20"/>
          <w:lang w:val="en-US" w:eastAsia="zh-CN"/>
          <w14:textFill>
            <w14:solidFill>
              <w14:schemeClr w14:val="tx1"/>
            </w14:solidFill>
          </w14:textFill>
        </w:rPr>
      </w:pPr>
      <w:r>
        <w:rPr>
          <w:rFonts w:hint="eastAsia" w:hAnsi="宋体" w:cs="宋体"/>
          <w:color w:val="000000" w:themeColor="text1"/>
          <w:kern w:val="0"/>
          <w:sz w:val="20"/>
          <w:szCs w:val="20"/>
          <w:lang w:val="en-US" w:eastAsia="zh-CN"/>
          <w14:textFill>
            <w14:solidFill>
              <w14:schemeClr w14:val="tx1"/>
            </w14:solidFill>
          </w14:textFill>
        </w:rPr>
        <w:t>a) 特别严重的系统损失：造成系统大面积瘫痪，使其丧失业务处理能力，或系统关键数据的保密性、完整性、可用性遭到严重破坏，恢复系统正常运行和消除安全事件负面影响所需付出的代价十分巨大，对于事发组织是不可承受的；</w:t>
      </w:r>
    </w:p>
    <w:p>
      <w:pPr>
        <w:widowControl/>
        <w:spacing w:line="240" w:lineRule="auto"/>
        <w:ind w:firstLine="400" w:firstLineChars="200"/>
        <w:rPr>
          <w:rFonts w:hint="eastAsia" w:hAnsi="宋体" w:cs="宋体"/>
          <w:color w:val="000000" w:themeColor="text1"/>
          <w:kern w:val="0"/>
          <w:sz w:val="20"/>
          <w:szCs w:val="20"/>
          <w:lang w:val="en-US" w:eastAsia="zh-CN"/>
          <w14:textFill>
            <w14:solidFill>
              <w14:schemeClr w14:val="tx1"/>
            </w14:solidFill>
          </w14:textFill>
        </w:rPr>
      </w:pPr>
      <w:r>
        <w:rPr>
          <w:rFonts w:hint="eastAsia" w:hAnsi="宋体" w:cs="宋体"/>
          <w:color w:val="000000" w:themeColor="text1"/>
          <w:kern w:val="0"/>
          <w:sz w:val="20"/>
          <w:szCs w:val="20"/>
          <w:lang w:val="en-US" w:eastAsia="zh-CN"/>
          <w14:textFill>
            <w14:solidFill>
              <w14:schemeClr w14:val="tx1"/>
            </w14:solidFill>
          </w14:textFill>
        </w:rPr>
        <w:t>b) 严重的系统损失：造成系统长时间中断或局部瘫痪，使其业务处理能力受到极大影响，或系统关键数据的保密性、完整性、可用性遭到破坏，恢复系统正常运行和消除安全事件负面影响所需付出的代价巨大，但对于事发组织是可承受的；</w:t>
      </w:r>
    </w:p>
    <w:p>
      <w:pPr>
        <w:widowControl/>
        <w:spacing w:line="240" w:lineRule="auto"/>
        <w:ind w:firstLine="400" w:firstLineChars="200"/>
        <w:rPr>
          <w:rFonts w:hint="eastAsia" w:hAnsi="宋体" w:cs="宋体"/>
          <w:color w:val="000000" w:themeColor="text1"/>
          <w:kern w:val="0"/>
          <w:sz w:val="20"/>
          <w:szCs w:val="20"/>
          <w:lang w:val="en-US" w:eastAsia="zh-CN"/>
          <w14:textFill>
            <w14:solidFill>
              <w14:schemeClr w14:val="tx1"/>
            </w14:solidFill>
          </w14:textFill>
        </w:rPr>
      </w:pPr>
      <w:r>
        <w:rPr>
          <w:rFonts w:hint="eastAsia" w:hAnsi="宋体" w:cs="宋体"/>
          <w:color w:val="000000" w:themeColor="text1"/>
          <w:kern w:val="0"/>
          <w:sz w:val="20"/>
          <w:szCs w:val="20"/>
          <w:lang w:val="en-US" w:eastAsia="zh-CN"/>
          <w14:textFill>
            <w14:solidFill>
              <w14:schemeClr w14:val="tx1"/>
            </w14:solidFill>
          </w14:textFill>
        </w:rPr>
        <w:t>c) 较大的系统损失：造成系统中断，明显影响系统效率，使重要信息系统或一般信息系统业务处理能力受到影响，或系统重要数据的保密性、完整性、可用性遭到破坏，恢复系统正常运行和消除安全事件负面影响所需付出的代价较大，但对于事发组织是完全可以承受的；</w:t>
      </w:r>
    </w:p>
    <w:p>
      <w:pPr>
        <w:widowControl/>
        <w:spacing w:line="240" w:lineRule="auto"/>
        <w:ind w:firstLine="400" w:firstLineChars="200"/>
        <w:rPr>
          <w:rFonts w:hint="eastAsia" w:hAnsi="宋体" w:cs="宋体"/>
          <w:color w:val="000000" w:themeColor="text1"/>
          <w:kern w:val="0"/>
          <w:sz w:val="20"/>
          <w:szCs w:val="20"/>
          <w:lang w:val="en-US" w:eastAsia="zh-CN"/>
          <w14:textFill>
            <w14:solidFill>
              <w14:schemeClr w14:val="tx1"/>
            </w14:solidFill>
          </w14:textFill>
        </w:rPr>
      </w:pPr>
      <w:r>
        <w:rPr>
          <w:rFonts w:hint="eastAsia" w:hAnsi="宋体" w:cs="宋体"/>
          <w:color w:val="000000" w:themeColor="text1"/>
          <w:kern w:val="0"/>
          <w:sz w:val="20"/>
          <w:szCs w:val="20"/>
          <w:lang w:val="en-US" w:eastAsia="zh-CN"/>
          <w14:textFill>
            <w14:solidFill>
              <w14:schemeClr w14:val="tx1"/>
            </w14:solidFill>
          </w14:textFill>
        </w:rPr>
        <w:t>d) 较小的系统损失：造成系统短暂中断，影响系统效率，使系统业务处理能力受到影响，或系统重要数据的保密性、完整性、可用性遭到影响，恢复系统正常运行和消除安全事件负面影响所需付出的代价较小。</w:t>
      </w:r>
    </w:p>
    <w:p>
      <w:pPr>
        <w:widowControl/>
        <w:spacing w:line="240" w:lineRule="auto"/>
        <w:ind w:firstLine="0" w:firstLineChars="0"/>
        <w:rPr>
          <w:rFonts w:hint="eastAsia" w:hAnsi="宋体" w:cs="宋体"/>
          <w:color w:val="000000" w:themeColor="text1"/>
          <w:kern w:val="0"/>
          <w:sz w:val="20"/>
          <w:szCs w:val="20"/>
          <w:lang w:val="en-US" w:eastAsia="zh-CN"/>
          <w14:textFill>
            <w14:solidFill>
              <w14:schemeClr w14:val="tx1"/>
            </w14:solidFill>
          </w14:textFill>
        </w:rPr>
      </w:pPr>
      <w:r>
        <w:rPr>
          <w:rFonts w:hint="eastAsia" w:hAnsi="宋体" w:cs="宋体"/>
          <w:color w:val="000000" w:themeColor="text1"/>
          <w:kern w:val="0"/>
          <w:sz w:val="20"/>
          <w:szCs w:val="20"/>
          <w:lang w:val="en-US" w:eastAsia="zh-CN"/>
          <w14:textFill>
            <w14:solidFill>
              <w14:schemeClr w14:val="tx1"/>
            </w14:solidFill>
          </w14:textFill>
        </w:rPr>
        <w:t>2、要有监测与预警机制</w:t>
      </w:r>
    </w:p>
    <w:p>
      <w:pPr>
        <w:widowControl/>
        <w:spacing w:line="240" w:lineRule="auto"/>
        <w:ind w:firstLine="400" w:firstLineChars="200"/>
        <w:rPr>
          <w:rFonts w:hint="eastAsia" w:hAnsi="宋体" w:cs="宋体"/>
          <w:color w:val="000000" w:themeColor="text1"/>
          <w:kern w:val="0"/>
          <w:sz w:val="20"/>
          <w:szCs w:val="20"/>
          <w:lang w:val="en-US" w:eastAsia="zh-CN"/>
          <w14:textFill>
            <w14:solidFill>
              <w14:schemeClr w14:val="tx1"/>
            </w14:solidFill>
          </w14:textFill>
        </w:rPr>
      </w:pPr>
      <w:r>
        <w:rPr>
          <w:rFonts w:hint="eastAsia" w:hAnsi="宋体" w:cs="宋体"/>
          <w:color w:val="000000" w:themeColor="text1"/>
          <w:kern w:val="0"/>
          <w:sz w:val="20"/>
          <w:szCs w:val="20"/>
          <w:lang w:val="en-US" w:eastAsia="zh-CN"/>
          <w14:textFill>
            <w14:solidFill>
              <w14:schemeClr w14:val="tx1"/>
            </w14:solidFill>
          </w14:textFill>
        </w:rPr>
        <w:t>需要有配套的网络安全监测和预警软件，具备恶意文件攻击、远程控制监测、web后门访问检测、web行为分析检测、非法数据传输、DAG域名请求、暴力破解、隐蔽信道通讯等功能，能检测出网络安全事件，做到网络安全事件的监测和预警。</w:t>
      </w:r>
    </w:p>
    <w:p>
      <w:pPr>
        <w:widowControl/>
        <w:spacing w:line="240" w:lineRule="auto"/>
        <w:ind w:firstLine="0" w:firstLineChars="0"/>
        <w:rPr>
          <w:rFonts w:hint="eastAsia" w:hAnsi="宋体" w:cs="宋体"/>
          <w:color w:val="000000" w:themeColor="text1"/>
          <w:kern w:val="0"/>
          <w:sz w:val="20"/>
          <w:szCs w:val="20"/>
          <w:lang w:val="en-US" w:eastAsia="zh-CN"/>
          <w14:textFill>
            <w14:solidFill>
              <w14:schemeClr w14:val="tx1"/>
            </w14:solidFill>
          </w14:textFill>
        </w:rPr>
      </w:pPr>
      <w:r>
        <w:rPr>
          <w:rFonts w:hint="eastAsia" w:hAnsi="宋体" w:cs="宋体"/>
          <w:color w:val="000000" w:themeColor="text1"/>
          <w:kern w:val="0"/>
          <w:sz w:val="20"/>
          <w:szCs w:val="20"/>
          <w:lang w:val="en-US" w:eastAsia="zh-CN"/>
          <w14:textFill>
            <w14:solidFill>
              <w14:schemeClr w14:val="tx1"/>
            </w14:solidFill>
          </w14:textFill>
        </w:rPr>
        <w:t>3、要求提供应急处置方案。</w:t>
      </w:r>
    </w:p>
    <w:p>
      <w:pPr>
        <w:widowControl/>
        <w:spacing w:line="240" w:lineRule="auto"/>
        <w:ind w:firstLine="400" w:firstLineChars="200"/>
        <w:rPr>
          <w:rFonts w:hint="eastAsia" w:hAnsi="宋体" w:cs="宋体"/>
          <w:color w:val="000000" w:themeColor="text1"/>
          <w:kern w:val="0"/>
          <w:sz w:val="20"/>
          <w:szCs w:val="20"/>
          <w:lang w:val="en-US" w:eastAsia="zh-CN"/>
          <w14:textFill>
            <w14:solidFill>
              <w14:schemeClr w14:val="tx1"/>
            </w14:solidFill>
          </w14:textFill>
        </w:rPr>
      </w:pPr>
      <w:r>
        <w:rPr>
          <w:rFonts w:hint="eastAsia" w:hAnsi="宋体" w:cs="宋体"/>
          <w:color w:val="000000" w:themeColor="text1"/>
          <w:kern w:val="0"/>
          <w:sz w:val="20"/>
          <w:szCs w:val="20"/>
          <w:lang w:val="en-US" w:eastAsia="zh-CN"/>
          <w14:textFill>
            <w14:solidFill>
              <w14:schemeClr w14:val="tx1"/>
            </w14:solidFill>
          </w14:textFill>
        </w:rPr>
        <w:t>按中央网信办要求，网络安全事件预警等级分为四级：由高到低依次用红色、橙色、黄色和蓝色表示，分别对应发生或可能发生特别重大、重大、较大和一般网络安全事件，需要根据不同的安全事件制定相应的处置方案。</w:t>
      </w:r>
    </w:p>
    <w:p>
      <w:pPr>
        <w:pStyle w:val="2"/>
        <w:ind w:left="0" w:leftChars="0" w:firstLine="0" w:firstLineChars="0"/>
        <w:rPr>
          <w:rFonts w:hint="eastAsia" w:hAnsi="宋体" w:cs="宋体"/>
          <w:color w:val="000000" w:themeColor="text1"/>
          <w:kern w:val="0"/>
          <w:sz w:val="20"/>
          <w:szCs w:val="20"/>
          <w:lang w:val="en-US" w:eastAsia="zh-CN"/>
          <w14:textFill>
            <w14:solidFill>
              <w14:schemeClr w14:val="tx1"/>
            </w14:solidFill>
          </w14:textFill>
        </w:rPr>
      </w:pPr>
    </w:p>
    <w:p>
      <w:pPr>
        <w:pStyle w:val="2"/>
        <w:ind w:left="0" w:leftChars="0" w:firstLine="0" w:firstLineChars="0"/>
        <w:rPr>
          <w:rFonts w:hint="eastAsia" w:hAnsi="宋体" w:cs="宋体"/>
          <w:color w:val="auto"/>
          <w:kern w:val="0"/>
          <w:sz w:val="20"/>
          <w:szCs w:val="20"/>
          <w:lang w:val="en-US" w:eastAsia="zh-CN"/>
        </w:rPr>
      </w:pPr>
      <w:r>
        <w:rPr>
          <w:rFonts w:hint="eastAsia" w:hAnsi="宋体" w:cs="宋体"/>
          <w:color w:val="auto"/>
          <w:kern w:val="0"/>
          <w:sz w:val="20"/>
          <w:szCs w:val="20"/>
          <w:lang w:val="en-US" w:eastAsia="zh-CN"/>
        </w:rPr>
        <w:t>2.4 实施人员能力要求</w:t>
      </w:r>
    </w:p>
    <w:p>
      <w:pPr>
        <w:pStyle w:val="2"/>
        <w:ind w:left="0" w:leftChars="0" w:firstLine="420" w:firstLineChars="0"/>
        <w:rPr>
          <w:rFonts w:hint="eastAsia" w:hAnsi="宋体" w:cs="宋体"/>
          <w:color w:val="auto"/>
          <w:kern w:val="0"/>
          <w:sz w:val="20"/>
          <w:szCs w:val="20"/>
          <w:lang w:val="en-US" w:eastAsia="zh-CN"/>
        </w:rPr>
      </w:pPr>
      <w:r>
        <w:rPr>
          <w:rFonts w:hint="eastAsia" w:hAnsi="宋体" w:cs="宋体"/>
          <w:color w:val="auto"/>
          <w:kern w:val="0"/>
          <w:sz w:val="20"/>
          <w:szCs w:val="20"/>
          <w:lang w:val="en-US" w:eastAsia="zh-CN"/>
        </w:rPr>
        <w:t>投标人拟派项目负责人具备:</w:t>
      </w:r>
    </w:p>
    <w:p>
      <w:pPr>
        <w:pStyle w:val="2"/>
        <w:ind w:left="0" w:leftChars="0" w:firstLine="0" w:firstLineChars="0"/>
        <w:rPr>
          <w:rFonts w:hint="eastAsia" w:hAnsi="宋体" w:cs="宋体"/>
          <w:color w:val="auto"/>
          <w:kern w:val="0"/>
          <w:sz w:val="20"/>
          <w:szCs w:val="20"/>
          <w:lang w:val="en-US" w:eastAsia="zh-CN"/>
        </w:rPr>
      </w:pPr>
      <w:r>
        <w:rPr>
          <w:rFonts w:hint="eastAsia" w:hAnsi="宋体" w:cs="宋体"/>
          <w:color w:val="auto"/>
          <w:kern w:val="0"/>
          <w:sz w:val="20"/>
          <w:szCs w:val="20"/>
          <w:lang w:val="en-US" w:eastAsia="zh-CN"/>
        </w:rPr>
        <w:t>1、人力资源和社会保障部门颁发的信息系统项目管理师（高级）；（1分）</w:t>
      </w:r>
    </w:p>
    <w:p>
      <w:pPr>
        <w:pStyle w:val="2"/>
        <w:ind w:left="0" w:leftChars="0" w:firstLine="0" w:firstLineChars="0"/>
        <w:rPr>
          <w:rFonts w:hint="eastAsia" w:hAnsi="宋体" w:cs="宋体"/>
          <w:color w:val="auto"/>
          <w:kern w:val="0"/>
          <w:sz w:val="20"/>
          <w:szCs w:val="20"/>
          <w:lang w:val="en-US" w:eastAsia="zh-CN"/>
        </w:rPr>
      </w:pPr>
      <w:r>
        <w:rPr>
          <w:rFonts w:hint="eastAsia" w:hAnsi="宋体" w:cs="宋体"/>
          <w:color w:val="auto"/>
          <w:kern w:val="0"/>
          <w:sz w:val="20"/>
          <w:szCs w:val="20"/>
          <w:lang w:val="en-US" w:eastAsia="zh-CN"/>
        </w:rPr>
        <w:t>2、人力资源和社会保障部门颁发的系统分析师（高级）；（1分）</w:t>
      </w:r>
    </w:p>
    <w:p>
      <w:pPr>
        <w:pStyle w:val="2"/>
        <w:ind w:left="0" w:leftChars="0" w:firstLine="0" w:firstLineChars="0"/>
        <w:rPr>
          <w:rFonts w:hint="eastAsia" w:ascii="Calibri" w:hAnsi="宋体" w:eastAsia="宋体" w:cs="宋体"/>
          <w:color w:val="000000" w:themeColor="text1"/>
          <w:spacing w:val="0"/>
          <w:kern w:val="0"/>
          <w:sz w:val="20"/>
          <w:szCs w:val="20"/>
          <w:lang w:val="en-US" w:eastAsia="zh-CN" w:bidi="ar-SA"/>
          <w14:textFill>
            <w14:solidFill>
              <w14:schemeClr w14:val="tx1"/>
            </w14:solidFill>
          </w14:textFill>
        </w:rPr>
      </w:pPr>
      <w:r>
        <w:rPr>
          <w:rFonts w:hint="eastAsia" w:hAnsi="宋体" w:cs="宋体"/>
          <w:color w:val="auto"/>
          <w:kern w:val="0"/>
          <w:sz w:val="20"/>
          <w:szCs w:val="20"/>
          <w:lang w:val="en-US" w:eastAsia="zh-CN"/>
        </w:rPr>
        <w:t>3、</w:t>
      </w:r>
      <w:r>
        <w:rPr>
          <w:rFonts w:hint="eastAsia" w:ascii="Calibri" w:hAnsi="宋体" w:eastAsia="宋体" w:cs="宋体"/>
          <w:color w:val="000000" w:themeColor="text1"/>
          <w:spacing w:val="0"/>
          <w:kern w:val="0"/>
          <w:sz w:val="20"/>
          <w:szCs w:val="20"/>
          <w:lang w:val="en-US" w:eastAsia="zh-CN" w:bidi="ar-SA"/>
          <w14:textFill>
            <w14:solidFill>
              <w14:schemeClr w14:val="tx1"/>
            </w14:solidFill>
          </w14:textFill>
        </w:rPr>
        <w:t>中国网络安全审查技术与认证中心颁发的信息安全保障人员认证证书（CISAW）专业级。</w:t>
      </w:r>
      <w:r>
        <w:rPr>
          <w:rFonts w:hint="eastAsia" w:hAnsi="宋体" w:cs="宋体"/>
          <w:color w:val="auto"/>
          <w:kern w:val="0"/>
          <w:sz w:val="20"/>
          <w:szCs w:val="20"/>
          <w:lang w:val="en-US" w:eastAsia="zh-CN"/>
        </w:rPr>
        <w:t>（1分）</w:t>
      </w:r>
    </w:p>
    <w:p>
      <w:pPr>
        <w:pStyle w:val="2"/>
        <w:ind w:left="0" w:leftChars="0" w:firstLine="0" w:firstLineChars="0"/>
        <w:rPr>
          <w:rFonts w:hint="eastAsia" w:hAnsi="宋体" w:cs="宋体"/>
          <w:color w:val="auto"/>
          <w:kern w:val="0"/>
          <w:sz w:val="20"/>
          <w:szCs w:val="20"/>
          <w:lang w:val="en-US" w:eastAsia="zh-CN"/>
        </w:rPr>
      </w:pPr>
      <w:r>
        <w:rPr>
          <w:rFonts w:hint="eastAsia" w:ascii="Calibri" w:hAnsi="宋体" w:eastAsia="宋体" w:cs="宋体"/>
          <w:color w:val="000000" w:themeColor="text1"/>
          <w:spacing w:val="0"/>
          <w:kern w:val="0"/>
          <w:sz w:val="20"/>
          <w:szCs w:val="20"/>
          <w:lang w:val="en-US" w:eastAsia="zh-CN" w:bidi="ar-SA"/>
          <w14:textFill>
            <w14:solidFill>
              <w14:schemeClr w14:val="tx1"/>
            </w14:solidFill>
          </w14:textFill>
        </w:rPr>
        <w:t>提供相关证书证明材料复印件，以及截至开标前6个月内投标人为该项目投入人员缴纳社会保障资金证明（缴纳凭证扫描件或人社部门出具的证明扫描件，至少提供一个月）并加盖公章，否则不得分。</w:t>
      </w:r>
    </w:p>
    <w:p>
      <w:pPr>
        <w:pStyle w:val="2"/>
        <w:ind w:left="0" w:leftChars="0" w:firstLine="0" w:firstLineChars="0"/>
        <w:rPr>
          <w:rFonts w:hint="eastAsia" w:ascii="Calibri" w:hAnsi="宋体" w:eastAsia="宋体" w:cs="宋体"/>
          <w:color w:val="000000" w:themeColor="text1"/>
          <w:spacing w:val="0"/>
          <w:kern w:val="0"/>
          <w:sz w:val="20"/>
          <w:szCs w:val="20"/>
          <w:lang w:val="en-US" w:eastAsia="zh-CN" w:bidi="ar-SA"/>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bookmarkEnd w:id="32"/>
    <w:p>
      <w:pPr>
        <w:spacing w:line="360" w:lineRule="auto"/>
        <w:rPr>
          <w:rFonts w:ascii="仿宋" w:hAnsi="仿宋" w:eastAsia="仿宋"/>
          <w:b/>
          <w:bCs/>
          <w:sz w:val="28"/>
          <w:szCs w:val="28"/>
        </w:rPr>
      </w:pPr>
      <w:bookmarkStart w:id="38" w:name="PO_TDCUS_ITEM_PB_REQ_TABLE_1_1"/>
      <w:bookmarkEnd w:id="38"/>
      <w:bookmarkStart w:id="39" w:name="PO_TDCUS_ITEM_PB_REQ_TITLE_2"/>
      <w:r>
        <w:rPr>
          <w:rFonts w:hint="eastAsia" w:ascii="仿宋" w:hAnsi="仿宋" w:eastAsia="仿宋"/>
          <w:b/>
          <w:bCs/>
          <w:sz w:val="28"/>
          <w:szCs w:val="28"/>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▲项目工期（交货期）及地点</w:t>
            </w:r>
          </w:p>
        </w:tc>
        <w:tc>
          <w:tcPr>
            <w:tcW w:w="6775" w:type="dxa"/>
            <w:vAlign w:val="center"/>
          </w:tcPr>
          <w:p>
            <w:pPr>
              <w:rPr>
                <w:rFonts w:hint="eastAsia"/>
                <w:color w:val="auto"/>
                <w:lang w:val="en-US" w:eastAsia="zh-CN"/>
              </w:rPr>
            </w:pPr>
            <w:r>
              <w:rPr>
                <w:rFonts w:hint="eastAsia" w:ascii="仿宋" w:hAnsi="仿宋" w:eastAsia="仿宋"/>
                <w:color w:val="auto"/>
                <w:sz w:val="28"/>
                <w:szCs w:val="28"/>
                <w:lang w:val="en-US" w:eastAsia="zh-CN"/>
              </w:rPr>
              <w:t>交货期：合同生效后60个工作日内</w:t>
            </w:r>
          </w:p>
          <w:p>
            <w:pPr>
              <w:rPr>
                <w:rFonts w:ascii="仿宋" w:hAnsi="仿宋" w:eastAsia="仿宋"/>
                <w:sz w:val="28"/>
                <w:szCs w:val="28"/>
              </w:rPr>
            </w:pPr>
            <w:r>
              <w:rPr>
                <w:rFonts w:hint="eastAsia" w:ascii="仿宋" w:hAnsi="仿宋" w:eastAsia="仿宋"/>
                <w:color w:val="auto"/>
                <w:sz w:val="28"/>
                <w:szCs w:val="28"/>
                <w:lang w:val="en-US" w:eastAsia="zh-CN"/>
              </w:rPr>
              <w:t>地点：浙江警察学院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▲付款条件（明确是否需要履约保证金）</w:t>
            </w:r>
          </w:p>
        </w:tc>
        <w:tc>
          <w:tcPr>
            <w:tcW w:w="6775" w:type="dxa"/>
            <w:vAlign w:val="center"/>
          </w:tcPr>
          <w:p>
            <w:pP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中标人向采购人缴纳合同金额1%的履约保证金</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br w:type="textWrapping"/>
            </w:r>
            <w:r>
              <w:rPr>
                <w:rFonts w:hint="eastAsia" w:ascii="仿宋" w:hAnsi="仿宋" w:eastAsia="仿宋"/>
                <w:color w:val="auto"/>
                <w:sz w:val="28"/>
                <w:szCs w:val="28"/>
                <w:highlight w:val="none"/>
              </w:rPr>
              <w:t>付款方式：</w:t>
            </w:r>
            <w:r>
              <w:rPr>
                <w:rFonts w:hint="eastAsia" w:ascii="仿宋" w:hAnsi="仿宋" w:eastAsia="仿宋"/>
                <w:color w:val="auto"/>
                <w:sz w:val="28"/>
                <w:szCs w:val="28"/>
                <w:highlight w:val="none"/>
              </w:rPr>
              <w:br w:type="textWrapping"/>
            </w:r>
            <w:r>
              <w:rPr>
                <w:rFonts w:hint="eastAsia" w:ascii="仿宋" w:hAnsi="仿宋" w:eastAsia="仿宋"/>
                <w:color w:val="auto"/>
                <w:sz w:val="28"/>
                <w:szCs w:val="28"/>
                <w:highlight w:val="none"/>
              </w:rPr>
              <w:t>政府采购预付款应在合同生效以及具备实施条件后7个工作日内支付。</w:t>
            </w:r>
            <w:r>
              <w:rPr>
                <w:rFonts w:hint="eastAsia" w:ascii="仿宋" w:hAnsi="仿宋" w:eastAsia="仿宋"/>
                <w:color w:val="auto"/>
                <w:sz w:val="28"/>
                <w:szCs w:val="28"/>
                <w:highlight w:val="none"/>
              </w:rPr>
              <w:br w:type="textWrapping"/>
            </w:r>
            <w:r>
              <w:rPr>
                <w:rFonts w:hint="eastAsia" w:ascii="仿宋" w:hAnsi="仿宋" w:eastAsia="仿宋"/>
                <w:color w:val="auto"/>
                <w:sz w:val="28"/>
                <w:szCs w:val="28"/>
                <w:highlight w:val="none"/>
              </w:rPr>
              <w:t>合同签订后支付合同价的30%</w:t>
            </w:r>
            <w:r>
              <w:rPr>
                <w:rFonts w:hint="eastAsia" w:ascii="仿宋" w:hAnsi="仿宋" w:eastAsia="仿宋"/>
                <w:color w:val="auto"/>
                <w:sz w:val="28"/>
                <w:szCs w:val="28"/>
                <w:highlight w:val="none"/>
                <w:lang w:val="en-US" w:eastAsia="zh-CN"/>
              </w:rPr>
              <w:t>的预付款</w:t>
            </w:r>
            <w:r>
              <w:rPr>
                <w:rFonts w:hint="eastAsia" w:ascii="仿宋" w:hAnsi="仿宋" w:eastAsia="仿宋"/>
                <w:color w:val="auto"/>
                <w:sz w:val="28"/>
                <w:szCs w:val="28"/>
                <w:highlight w:val="none"/>
              </w:rPr>
              <w:t>，验收完成后支付剩余部分。</w:t>
            </w:r>
          </w:p>
          <w:p>
            <w:pPr>
              <w:rPr>
                <w:rFonts w:ascii="仿宋" w:hAnsi="仿宋" w:eastAsia="仿宋"/>
                <w:b/>
                <w:sz w:val="28"/>
                <w:szCs w:val="28"/>
              </w:rPr>
            </w:pPr>
            <w:r>
              <w:rPr>
                <w:rFonts w:hint="eastAsia" w:ascii="仿宋" w:hAnsi="仿宋" w:eastAsia="仿宋" w:cs="Times New Roman"/>
                <w:b/>
                <w:bCs/>
                <w:kern w:val="2"/>
                <w:sz w:val="28"/>
                <w:szCs w:val="28"/>
                <w:lang w:val="en-US" w:eastAsia="zh-CN" w:bidi="ar-SA"/>
              </w:rPr>
              <w:t>备注：在签订合同时，供应商明确表示无需预付款或者主动要求降低预付款比例的，采购单位可不适用前述预付款比例的规定。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违约责任及争议解决方式</w:t>
            </w:r>
          </w:p>
        </w:tc>
        <w:tc>
          <w:tcPr>
            <w:tcW w:w="6775" w:type="dxa"/>
            <w:vAlign w:val="center"/>
          </w:tcPr>
          <w:p>
            <w:pPr>
              <w:rPr>
                <w:rFonts w:hint="eastAsia" w:ascii="仿宋" w:hAnsi="仿宋" w:eastAsia="仿宋" w:cs="仿宋_GB2312"/>
                <w:sz w:val="28"/>
                <w:szCs w:val="28"/>
              </w:rPr>
            </w:pPr>
            <w:r>
              <w:rPr>
                <w:rFonts w:hint="eastAsia" w:ascii="仿宋" w:hAnsi="仿宋" w:eastAsia="仿宋" w:cs="仿宋_GB2312"/>
                <w:sz w:val="28"/>
                <w:szCs w:val="28"/>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售</w:t>
            </w:r>
          </w:p>
          <w:p>
            <w:pPr>
              <w:snapToGrid w:val="0"/>
              <w:jc w:val="left"/>
              <w:rPr>
                <w:rFonts w:ascii="仿宋" w:hAnsi="仿宋" w:eastAsia="仿宋" w:cs="仿宋_GB2312"/>
                <w:b/>
                <w:sz w:val="28"/>
                <w:szCs w:val="28"/>
              </w:rPr>
            </w:pPr>
            <w:r>
              <w:rPr>
                <w:rFonts w:hint="eastAsia" w:ascii="仿宋" w:hAnsi="仿宋" w:eastAsia="仿宋" w:cs="仿宋_GB2312"/>
                <w:b/>
                <w:sz w:val="28"/>
                <w:szCs w:val="28"/>
              </w:rPr>
              <w:t>后</w:t>
            </w:r>
          </w:p>
          <w:p>
            <w:pPr>
              <w:snapToGrid w:val="0"/>
              <w:jc w:val="left"/>
              <w:rPr>
                <w:rFonts w:ascii="仿宋" w:hAnsi="仿宋" w:eastAsia="仿宋" w:cs="仿宋_GB2312"/>
                <w:b/>
                <w:sz w:val="28"/>
                <w:szCs w:val="28"/>
              </w:rPr>
            </w:pPr>
            <w:r>
              <w:rPr>
                <w:rFonts w:hint="eastAsia" w:ascii="仿宋" w:hAnsi="仿宋" w:eastAsia="仿宋" w:cs="仿宋_GB2312"/>
                <w:b/>
                <w:sz w:val="28"/>
                <w:szCs w:val="28"/>
              </w:rPr>
              <w:t>服务</w:t>
            </w: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项目维护计划</w:t>
            </w:r>
          </w:p>
        </w:tc>
        <w:tc>
          <w:tcPr>
            <w:tcW w:w="6775" w:type="dxa"/>
            <w:vAlign w:val="center"/>
          </w:tcPr>
          <w:p>
            <w:pPr>
              <w:rPr>
                <w:rFonts w:hint="eastAsia" w:ascii="仿宋" w:hAnsi="仿宋" w:eastAsia="仿宋" w:cs="仿宋_GB2312"/>
                <w:color w:val="auto"/>
                <w:sz w:val="28"/>
                <w:szCs w:val="28"/>
                <w:lang w:eastAsia="zh-CN"/>
              </w:rPr>
            </w:pPr>
            <w:r>
              <w:rPr>
                <w:rFonts w:hint="eastAsia" w:ascii="仿宋" w:hAnsi="仿宋" w:eastAsia="仿宋" w:cs="仿宋_GB2312"/>
                <w:color w:val="auto"/>
                <w:sz w:val="28"/>
                <w:szCs w:val="28"/>
              </w:rPr>
              <w:t>软件产品提供3年原厂技术支持和售后服务，硬件产品提供3年原厂技术支持和售后服务，质保期自验收合格签字之日起计算。质保期内，成交供应商负责为采购人的设备提供免费维护、保养和免费更换损坏的和有缺陷的零部件，设备质保期后成交供应商对设备提供终身优惠的技术支持</w:t>
            </w:r>
            <w:r>
              <w:rPr>
                <w:rFonts w:hint="eastAsia" w:ascii="仿宋" w:hAnsi="仿宋" w:eastAsia="仿宋" w:cs="仿宋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vAlign w:val="center"/>
          </w:tcPr>
          <w:p>
            <w:pPr>
              <w:snapToGrid w:val="0"/>
              <w:jc w:val="left"/>
              <w:rPr>
                <w:rFonts w:ascii="仿宋" w:hAnsi="仿宋" w:eastAsia="仿宋" w:cs="仿宋_GB2312"/>
                <w:b/>
                <w:sz w:val="28"/>
                <w:szCs w:val="28"/>
              </w:rPr>
            </w:pP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响应情况</w:t>
            </w:r>
          </w:p>
        </w:tc>
        <w:tc>
          <w:tcPr>
            <w:tcW w:w="6775" w:type="dxa"/>
            <w:vAlign w:val="center"/>
          </w:tcPr>
          <w:p>
            <w:pPr>
              <w:rPr>
                <w:rFonts w:hint="eastAsia" w:ascii="仿宋" w:hAnsi="仿宋" w:eastAsia="仿宋" w:cs="仿宋_GB2312"/>
                <w:color w:val="auto"/>
                <w:sz w:val="28"/>
                <w:szCs w:val="28"/>
                <w:lang w:eastAsia="zh-CN"/>
              </w:rPr>
            </w:pPr>
            <w:r>
              <w:rPr>
                <w:rFonts w:hint="eastAsia" w:ascii="仿宋" w:hAnsi="仿宋" w:eastAsia="仿宋" w:cs="仿宋_GB2312"/>
                <w:color w:val="auto"/>
                <w:sz w:val="28"/>
                <w:szCs w:val="28"/>
              </w:rPr>
              <w:t>招标文件中技术指标章节，需要按点对点应答进行逐条响应</w:t>
            </w:r>
            <w:r>
              <w:rPr>
                <w:rFonts w:hint="eastAsia" w:ascii="仿宋" w:hAnsi="仿宋" w:eastAsia="仿宋" w:cs="仿宋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vAlign w:val="center"/>
          </w:tcPr>
          <w:p>
            <w:pPr>
              <w:snapToGrid w:val="0"/>
              <w:ind w:firstLine="560"/>
              <w:jc w:val="left"/>
              <w:rPr>
                <w:rFonts w:ascii="仿宋" w:hAnsi="仿宋" w:eastAsia="仿宋" w:cs="仿宋_GB2312"/>
                <w:b/>
                <w:sz w:val="28"/>
                <w:szCs w:val="28"/>
              </w:rPr>
            </w:pP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技术培训</w:t>
            </w:r>
          </w:p>
        </w:tc>
        <w:tc>
          <w:tcPr>
            <w:tcW w:w="6775" w:type="dxa"/>
            <w:vAlign w:val="center"/>
          </w:tcPr>
          <w:p>
            <w:pPr>
              <w:rPr>
                <w:rFonts w:hint="eastAsia" w:ascii="仿宋" w:hAnsi="仿宋" w:eastAsia="仿宋" w:cs="仿宋_GB2312"/>
                <w:color w:val="auto"/>
                <w:sz w:val="28"/>
                <w:szCs w:val="28"/>
              </w:rPr>
            </w:pPr>
            <w:r>
              <w:rPr>
                <w:rFonts w:hint="eastAsia" w:ascii="仿宋" w:hAnsi="仿宋" w:eastAsia="仿宋" w:cs="仿宋_GB2312"/>
                <w:color w:val="auto"/>
                <w:sz w:val="28"/>
                <w:szCs w:val="28"/>
              </w:rPr>
              <w:t>仪器安装调试合格后，由供应商工程师在采购人现场进行免费技术培训；培训内容及要求：</w:t>
            </w:r>
          </w:p>
          <w:p>
            <w:pPr>
              <w:rPr>
                <w:rFonts w:hint="eastAsia" w:ascii="仿宋" w:hAnsi="仿宋" w:eastAsia="仿宋" w:cs="仿宋_GB2312"/>
                <w:color w:val="auto"/>
                <w:sz w:val="28"/>
                <w:szCs w:val="28"/>
              </w:rPr>
            </w:pPr>
            <w:r>
              <w:rPr>
                <w:rFonts w:hint="eastAsia" w:ascii="仿宋" w:hAnsi="仿宋" w:eastAsia="仿宋" w:cs="仿宋_GB2312"/>
                <w:color w:val="auto"/>
                <w:sz w:val="28"/>
                <w:szCs w:val="28"/>
                <w:lang w:val="en-US" w:eastAsia="zh-CN"/>
              </w:rPr>
              <w:t>1、</w:t>
            </w:r>
            <w:r>
              <w:rPr>
                <w:rFonts w:hint="eastAsia" w:ascii="仿宋" w:hAnsi="仿宋" w:eastAsia="仿宋" w:cs="仿宋_GB2312"/>
                <w:color w:val="auto"/>
                <w:sz w:val="28"/>
                <w:szCs w:val="28"/>
              </w:rPr>
              <w:t>了解设备的工作原理、组成及各部组件、控制系统的工作原理和使用方法；</w:t>
            </w:r>
          </w:p>
          <w:p>
            <w:pPr>
              <w:rPr>
                <w:rFonts w:hint="eastAsia" w:ascii="仿宋" w:hAnsi="仿宋" w:eastAsia="仿宋" w:cs="仿宋_GB2312"/>
                <w:color w:val="auto"/>
                <w:sz w:val="28"/>
                <w:szCs w:val="28"/>
              </w:rPr>
            </w:pPr>
            <w:r>
              <w:rPr>
                <w:rFonts w:hint="eastAsia" w:ascii="仿宋" w:hAnsi="仿宋" w:eastAsia="仿宋" w:cs="仿宋_GB2312"/>
                <w:color w:val="auto"/>
                <w:sz w:val="28"/>
                <w:szCs w:val="28"/>
                <w:lang w:val="en-US" w:eastAsia="zh-CN"/>
              </w:rPr>
              <w:t>2、</w:t>
            </w:r>
            <w:r>
              <w:rPr>
                <w:rFonts w:hint="eastAsia" w:ascii="仿宋" w:hAnsi="仿宋" w:eastAsia="仿宋" w:cs="仿宋_GB2312"/>
                <w:color w:val="auto"/>
                <w:sz w:val="28"/>
                <w:szCs w:val="28"/>
              </w:rPr>
              <w:t>熟练掌握整套系统的操作规程</w:t>
            </w:r>
          </w:p>
          <w:p>
            <w:pPr>
              <w:rPr>
                <w:rFonts w:hint="eastAsia" w:ascii="仿宋" w:hAnsi="仿宋" w:eastAsia="仿宋" w:cs="仿宋_GB2312"/>
                <w:color w:val="auto"/>
                <w:sz w:val="28"/>
                <w:szCs w:val="28"/>
              </w:rPr>
            </w:pPr>
            <w:r>
              <w:rPr>
                <w:rFonts w:hint="eastAsia" w:ascii="仿宋" w:hAnsi="仿宋" w:eastAsia="仿宋" w:cs="仿宋_GB2312"/>
                <w:color w:val="auto"/>
                <w:sz w:val="28"/>
                <w:szCs w:val="28"/>
                <w:lang w:val="en-US" w:eastAsia="zh-CN"/>
              </w:rPr>
              <w:t>3、</w:t>
            </w:r>
            <w:r>
              <w:rPr>
                <w:rFonts w:hint="eastAsia" w:ascii="仿宋" w:hAnsi="仿宋" w:eastAsia="仿宋" w:cs="仿宋_GB2312"/>
                <w:color w:val="auto"/>
                <w:sz w:val="28"/>
                <w:szCs w:val="28"/>
              </w:rPr>
              <w:t>能够对设备的一般故障进行诊断和简单维修，进行易损件的更换；</w:t>
            </w:r>
          </w:p>
          <w:p>
            <w:pPr>
              <w:rPr>
                <w:rFonts w:ascii="仿宋" w:hAnsi="仿宋" w:eastAsia="仿宋"/>
                <w:color w:val="auto"/>
                <w:sz w:val="28"/>
                <w:szCs w:val="28"/>
              </w:rPr>
            </w:pPr>
            <w:r>
              <w:rPr>
                <w:rFonts w:hint="eastAsia" w:ascii="仿宋" w:hAnsi="仿宋" w:eastAsia="仿宋" w:cs="仿宋_GB2312"/>
                <w:color w:val="auto"/>
                <w:sz w:val="28"/>
                <w:szCs w:val="28"/>
                <w:lang w:val="en-US" w:eastAsia="zh-CN"/>
              </w:rPr>
              <w:t>4、</w:t>
            </w:r>
            <w:r>
              <w:rPr>
                <w:rFonts w:hint="eastAsia" w:ascii="仿宋" w:hAnsi="仿宋" w:eastAsia="仿宋" w:cs="仿宋_GB2312"/>
                <w:color w:val="auto"/>
                <w:sz w:val="28"/>
                <w:szCs w:val="28"/>
              </w:rPr>
              <w:t>对设备能够进行日常的维护和保养。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履约能力</w:t>
            </w: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投标人技术力量情况</w:t>
            </w:r>
          </w:p>
        </w:tc>
        <w:tc>
          <w:tcPr>
            <w:tcW w:w="6775" w:type="dxa"/>
            <w:vAlign w:val="center"/>
          </w:tcPr>
          <w:p>
            <w:pPr>
              <w:rPr>
                <w:rFonts w:hint="eastAsia" w:ascii="仿宋" w:hAnsi="仿宋" w:eastAsia="仿宋" w:cs="仿宋_GB2312"/>
                <w:color w:val="auto"/>
                <w:sz w:val="28"/>
                <w:szCs w:val="28"/>
              </w:rPr>
            </w:pPr>
            <w:r>
              <w:rPr>
                <w:rFonts w:hint="eastAsia" w:ascii="仿宋" w:hAnsi="仿宋" w:eastAsia="仿宋" w:cs="仿宋_GB2312"/>
                <w:color w:val="auto"/>
                <w:sz w:val="28"/>
                <w:szCs w:val="28"/>
                <w:lang w:val="en-US" w:eastAsia="zh-CN"/>
              </w:rPr>
              <w:t>1、</w:t>
            </w:r>
            <w:r>
              <w:rPr>
                <w:rFonts w:hint="eastAsia" w:ascii="仿宋" w:hAnsi="仿宋" w:eastAsia="仿宋" w:cs="仿宋_GB2312"/>
                <w:color w:val="auto"/>
                <w:sz w:val="28"/>
                <w:szCs w:val="28"/>
              </w:rPr>
              <w:t>投标人通过以下管理体系认证：</w:t>
            </w:r>
          </w:p>
          <w:p>
            <w:pPr>
              <w:rPr>
                <w:rFonts w:hint="eastAsia" w:ascii="仿宋" w:hAnsi="仿宋" w:eastAsia="仿宋" w:cs="仿宋_GB2312"/>
                <w:color w:val="auto"/>
                <w:sz w:val="28"/>
                <w:szCs w:val="28"/>
                <w:lang w:eastAsia="zh-CN"/>
              </w:rPr>
            </w:pPr>
            <w:r>
              <w:rPr>
                <w:rFonts w:hint="eastAsia" w:ascii="仿宋" w:hAnsi="仿宋" w:eastAsia="仿宋" w:cs="仿宋_GB2312"/>
                <w:color w:val="auto"/>
                <w:sz w:val="28"/>
                <w:szCs w:val="28"/>
              </w:rPr>
              <w:t>质量管理体系认证（GB/T 19001或ISO 9001）</w:t>
            </w:r>
            <w:r>
              <w:rPr>
                <w:rFonts w:hint="eastAsia" w:ascii="仿宋" w:hAnsi="仿宋" w:eastAsia="仿宋" w:cs="仿宋_GB2312"/>
                <w:color w:val="auto"/>
                <w:sz w:val="28"/>
                <w:szCs w:val="28"/>
                <w:lang w:eastAsia="zh-CN"/>
              </w:rPr>
              <w:t>；</w:t>
            </w:r>
          </w:p>
          <w:p>
            <w:pPr>
              <w:rPr>
                <w:rFonts w:hint="eastAsia" w:ascii="仿宋" w:hAnsi="仿宋" w:eastAsia="仿宋" w:cs="仿宋_GB2312"/>
                <w:color w:val="auto"/>
                <w:sz w:val="28"/>
                <w:szCs w:val="28"/>
                <w:lang w:eastAsia="zh-CN"/>
              </w:rPr>
            </w:pPr>
            <w:r>
              <w:rPr>
                <w:rFonts w:hint="eastAsia" w:ascii="仿宋" w:hAnsi="仿宋" w:eastAsia="仿宋" w:cs="仿宋_GB2312"/>
                <w:color w:val="auto"/>
                <w:sz w:val="28"/>
                <w:szCs w:val="28"/>
              </w:rPr>
              <w:t>通用个人信息保护管理体系认证(ISO/IEC 29151)</w:t>
            </w:r>
            <w:r>
              <w:rPr>
                <w:rFonts w:hint="eastAsia" w:ascii="仿宋" w:hAnsi="仿宋" w:eastAsia="仿宋" w:cs="仿宋_GB2312"/>
                <w:color w:val="auto"/>
                <w:sz w:val="28"/>
                <w:szCs w:val="28"/>
                <w:lang w:eastAsia="zh-CN"/>
              </w:rPr>
              <w:t>；</w:t>
            </w:r>
          </w:p>
          <w:p>
            <w:pPr>
              <w:rPr>
                <w:rFonts w:hint="eastAsia" w:ascii="仿宋" w:hAnsi="仿宋" w:eastAsia="仿宋" w:cs="仿宋_GB2312"/>
                <w:color w:val="auto"/>
                <w:sz w:val="28"/>
                <w:szCs w:val="28"/>
                <w:lang w:eastAsia="zh-CN"/>
              </w:rPr>
            </w:pPr>
            <w:r>
              <w:rPr>
                <w:rFonts w:hint="eastAsia" w:ascii="仿宋" w:hAnsi="仿宋" w:eastAsia="仿宋" w:cs="仿宋_GB2312"/>
                <w:color w:val="auto"/>
                <w:sz w:val="28"/>
                <w:szCs w:val="28"/>
              </w:rPr>
              <w:t>信息安全管理体系认证(GB/T 22080或ISO/IEC 27001)</w:t>
            </w:r>
            <w:r>
              <w:rPr>
                <w:rFonts w:hint="eastAsia" w:ascii="仿宋" w:hAnsi="仿宋" w:eastAsia="仿宋" w:cs="仿宋_GB2312"/>
                <w:color w:val="auto"/>
                <w:sz w:val="28"/>
                <w:szCs w:val="28"/>
                <w:lang w:eastAsia="zh-CN"/>
              </w:rPr>
              <w:t>；</w:t>
            </w:r>
          </w:p>
          <w:p>
            <w:pPr>
              <w:rPr>
                <w:rFonts w:hint="eastAsia" w:ascii="仿宋" w:hAnsi="仿宋" w:eastAsia="仿宋" w:cs="仿宋_GB2312"/>
                <w:color w:val="auto"/>
                <w:sz w:val="28"/>
                <w:szCs w:val="28"/>
                <w:lang w:eastAsia="zh-CN"/>
              </w:rPr>
            </w:pPr>
            <w:r>
              <w:rPr>
                <w:rFonts w:hint="eastAsia" w:ascii="仿宋" w:hAnsi="仿宋" w:eastAsia="仿宋" w:cs="仿宋_GB2312"/>
                <w:color w:val="auto"/>
                <w:sz w:val="28"/>
                <w:szCs w:val="28"/>
              </w:rPr>
              <w:t>云安全管理体系认证（ISO 27017）</w:t>
            </w:r>
            <w:r>
              <w:rPr>
                <w:rFonts w:hint="eastAsia" w:ascii="仿宋" w:hAnsi="仿宋" w:eastAsia="仿宋" w:cs="仿宋_GB2312"/>
                <w:color w:val="auto"/>
                <w:sz w:val="28"/>
                <w:szCs w:val="28"/>
                <w:lang w:eastAsia="zh-CN"/>
              </w:rPr>
              <w:t>；</w:t>
            </w:r>
          </w:p>
          <w:p>
            <w:pPr>
              <w:rPr>
                <w:rFonts w:hint="default" w:ascii="仿宋" w:hAnsi="仿宋" w:eastAsia="仿宋" w:cs="仿宋_GB2312"/>
                <w:color w:val="auto"/>
                <w:sz w:val="28"/>
                <w:szCs w:val="28"/>
                <w:lang w:val="en-US" w:eastAsia="zh-CN"/>
              </w:rPr>
            </w:pPr>
            <w:r>
              <w:rPr>
                <w:rFonts w:hint="eastAsia" w:ascii="仿宋" w:hAnsi="仿宋" w:eastAsia="仿宋" w:cs="仿宋_GB2312"/>
                <w:color w:val="auto"/>
                <w:sz w:val="28"/>
                <w:szCs w:val="28"/>
                <w:lang w:val="en-US" w:eastAsia="zh-CN"/>
              </w:rPr>
              <w:t>每个证书0.5分，最高得2分。</w:t>
            </w:r>
          </w:p>
          <w:p>
            <w:pPr>
              <w:rPr>
                <w:rFonts w:hint="eastAsia" w:ascii="仿宋" w:hAnsi="仿宋" w:eastAsia="仿宋" w:cs="仿宋_GB2312"/>
                <w:color w:val="auto"/>
                <w:sz w:val="28"/>
                <w:szCs w:val="28"/>
              </w:rPr>
            </w:pPr>
            <w:r>
              <w:rPr>
                <w:rFonts w:hint="eastAsia" w:ascii="仿宋" w:hAnsi="仿宋" w:eastAsia="仿宋" w:cs="仿宋_GB2312"/>
                <w:color w:val="auto"/>
                <w:sz w:val="28"/>
                <w:szCs w:val="28"/>
                <w:lang w:val="en-US" w:eastAsia="zh-CN"/>
              </w:rPr>
              <w:t>2、</w:t>
            </w:r>
            <w:r>
              <w:rPr>
                <w:rFonts w:hint="eastAsia" w:ascii="仿宋" w:hAnsi="仿宋" w:eastAsia="仿宋" w:cs="仿宋_GB2312"/>
                <w:color w:val="auto"/>
                <w:sz w:val="28"/>
                <w:szCs w:val="28"/>
              </w:rPr>
              <w:t>认证证书需获得由中国国家认证认可监督管理委员会(CNCA)认可。</w:t>
            </w:r>
            <w:r>
              <w:rPr>
                <w:rFonts w:hint="eastAsia" w:ascii="仿宋" w:hAnsi="仿宋" w:eastAsia="仿宋" w:cs="仿宋_GB2312"/>
                <w:color w:val="auto"/>
                <w:sz w:val="28"/>
                <w:szCs w:val="28"/>
                <w:lang w:eastAsia="zh-CN"/>
              </w:rPr>
              <w:t>（</w:t>
            </w:r>
            <w:r>
              <w:rPr>
                <w:rFonts w:hint="eastAsia" w:ascii="仿宋" w:hAnsi="仿宋" w:eastAsia="仿宋" w:cs="仿宋_GB2312"/>
                <w:color w:val="auto"/>
                <w:sz w:val="28"/>
                <w:szCs w:val="28"/>
                <w:lang w:val="en-US" w:eastAsia="zh-CN"/>
              </w:rPr>
              <w:t>1分</w:t>
            </w:r>
            <w:r>
              <w:rPr>
                <w:rFonts w:hint="eastAsia" w:ascii="仿宋" w:hAnsi="仿宋" w:eastAsia="仿宋" w:cs="仿宋_GB2312"/>
                <w:color w:val="auto"/>
                <w:sz w:val="28"/>
                <w:szCs w:val="28"/>
                <w:lang w:eastAsia="zh-CN"/>
              </w:rPr>
              <w:t>）</w:t>
            </w:r>
          </w:p>
          <w:p>
            <w:pPr>
              <w:rPr>
                <w:rFonts w:hint="eastAsia" w:ascii="仿宋" w:hAnsi="仿宋" w:eastAsia="仿宋" w:cs="仿宋_GB2312"/>
                <w:color w:val="auto"/>
                <w:sz w:val="28"/>
                <w:szCs w:val="28"/>
              </w:rPr>
            </w:pPr>
            <w:r>
              <w:rPr>
                <w:rFonts w:hint="eastAsia" w:ascii="仿宋" w:hAnsi="仿宋" w:eastAsia="仿宋" w:cs="仿宋_GB2312"/>
                <w:color w:val="auto"/>
                <w:sz w:val="28"/>
                <w:szCs w:val="28"/>
                <w:lang w:val="en-US" w:eastAsia="zh-CN"/>
              </w:rPr>
              <w:t>3、</w:t>
            </w:r>
            <w:r>
              <w:rPr>
                <w:rFonts w:hint="eastAsia" w:ascii="仿宋" w:hAnsi="仿宋" w:eastAsia="仿宋" w:cs="仿宋_GB2312"/>
                <w:color w:val="auto"/>
                <w:sz w:val="28"/>
                <w:szCs w:val="28"/>
              </w:rPr>
              <w:t>投标人具备国家认可的安全能力，获得由国家计算机网络应急技术处理协调中心颁发的国家信息安全漏洞共享平台（CNVD）技术组支撑单位证书。</w:t>
            </w:r>
            <w:r>
              <w:rPr>
                <w:rFonts w:hint="eastAsia" w:ascii="仿宋" w:hAnsi="仿宋" w:eastAsia="仿宋" w:cs="仿宋_GB2312"/>
                <w:color w:val="auto"/>
                <w:sz w:val="28"/>
                <w:szCs w:val="28"/>
                <w:lang w:eastAsia="zh-CN"/>
              </w:rPr>
              <w:t>（</w:t>
            </w:r>
            <w:r>
              <w:rPr>
                <w:rFonts w:hint="eastAsia" w:ascii="仿宋" w:hAnsi="仿宋" w:eastAsia="仿宋" w:cs="仿宋_GB2312"/>
                <w:color w:val="auto"/>
                <w:sz w:val="28"/>
                <w:szCs w:val="28"/>
                <w:lang w:val="en-US" w:eastAsia="zh-CN"/>
              </w:rPr>
              <w:t>1分</w:t>
            </w:r>
            <w:r>
              <w:rPr>
                <w:rFonts w:hint="eastAsia" w:ascii="仿宋" w:hAnsi="仿宋" w:eastAsia="仿宋" w:cs="仿宋_GB2312"/>
                <w:color w:val="auto"/>
                <w:sz w:val="28"/>
                <w:szCs w:val="28"/>
                <w:lang w:eastAsia="zh-CN"/>
              </w:rPr>
              <w:t>）</w:t>
            </w:r>
          </w:p>
          <w:p>
            <w:pPr>
              <w:rPr>
                <w:rFonts w:hint="eastAsia" w:ascii="仿宋" w:hAnsi="仿宋" w:eastAsia="仿宋" w:cs="仿宋_GB2312"/>
                <w:color w:val="auto"/>
                <w:sz w:val="28"/>
                <w:szCs w:val="28"/>
              </w:rPr>
            </w:pPr>
            <w:r>
              <w:rPr>
                <w:rFonts w:hint="eastAsia" w:ascii="仿宋" w:hAnsi="仿宋" w:eastAsia="仿宋" w:cs="仿宋_GB2312"/>
                <w:color w:val="auto"/>
                <w:sz w:val="28"/>
                <w:szCs w:val="28"/>
                <w:lang w:val="en-US" w:eastAsia="zh-CN"/>
              </w:rPr>
              <w:t>4、</w:t>
            </w:r>
            <w:r>
              <w:rPr>
                <w:rFonts w:hint="eastAsia" w:ascii="仿宋" w:hAnsi="仿宋" w:eastAsia="仿宋" w:cs="仿宋_GB2312"/>
                <w:color w:val="auto"/>
                <w:sz w:val="28"/>
                <w:szCs w:val="28"/>
              </w:rPr>
              <w:t>投标人应具备较强的网络安全应急服务支撑能力，获得由国家计算机网络应急技术处理协调中心（CNCERT/CC）颁发的网络安全应急服务支撑单位证书。</w:t>
            </w:r>
            <w:r>
              <w:rPr>
                <w:rFonts w:hint="eastAsia" w:ascii="仿宋" w:hAnsi="仿宋" w:eastAsia="仿宋" w:cs="仿宋_GB2312"/>
                <w:color w:val="auto"/>
                <w:sz w:val="28"/>
                <w:szCs w:val="28"/>
                <w:lang w:eastAsia="zh-CN"/>
              </w:rPr>
              <w:t>（</w:t>
            </w:r>
            <w:r>
              <w:rPr>
                <w:rFonts w:hint="eastAsia" w:ascii="仿宋" w:hAnsi="仿宋" w:eastAsia="仿宋" w:cs="仿宋_GB2312"/>
                <w:color w:val="auto"/>
                <w:sz w:val="28"/>
                <w:szCs w:val="28"/>
                <w:lang w:val="en-US" w:eastAsia="zh-CN"/>
              </w:rPr>
              <w:t>1分</w:t>
            </w:r>
            <w:r>
              <w:rPr>
                <w:rFonts w:hint="eastAsia" w:ascii="仿宋" w:hAnsi="仿宋" w:eastAsia="仿宋" w:cs="仿宋_GB2312"/>
                <w:color w:val="auto"/>
                <w:sz w:val="28"/>
                <w:szCs w:val="28"/>
                <w:lang w:eastAsia="zh-CN"/>
              </w:rPr>
              <w:t>）</w:t>
            </w:r>
          </w:p>
          <w:p>
            <w:pPr>
              <w:rPr>
                <w:rFonts w:hint="eastAsia" w:ascii="仿宋" w:hAnsi="仿宋" w:eastAsia="仿宋" w:cs="仿宋_GB2312"/>
                <w:color w:val="auto"/>
                <w:sz w:val="28"/>
                <w:szCs w:val="28"/>
              </w:rPr>
            </w:pPr>
            <w:r>
              <w:rPr>
                <w:rFonts w:hint="eastAsia" w:ascii="仿宋" w:hAnsi="仿宋" w:eastAsia="仿宋" w:cs="仿宋_GB2312"/>
                <w:color w:val="auto"/>
                <w:sz w:val="28"/>
                <w:szCs w:val="28"/>
                <w:lang w:val="en-US" w:eastAsia="zh-CN"/>
              </w:rPr>
              <w:t>5、</w:t>
            </w:r>
            <w:r>
              <w:rPr>
                <w:rFonts w:hint="eastAsia" w:ascii="仿宋" w:hAnsi="仿宋" w:eastAsia="仿宋" w:cs="仿宋_GB2312"/>
                <w:color w:val="auto"/>
                <w:sz w:val="28"/>
                <w:szCs w:val="28"/>
              </w:rPr>
              <w:t>投标人应具有数据及开发服务能力，获得由公安部颁发的三级及以上信息系统安全等级保护备案证明，证明材料须包含“数据及开发服务”内容。</w:t>
            </w:r>
            <w:r>
              <w:rPr>
                <w:rFonts w:hint="eastAsia" w:ascii="仿宋" w:hAnsi="仿宋" w:eastAsia="仿宋" w:cs="仿宋_GB2312"/>
                <w:color w:val="auto"/>
                <w:sz w:val="28"/>
                <w:szCs w:val="28"/>
                <w:lang w:eastAsia="zh-CN"/>
              </w:rPr>
              <w:t>（</w:t>
            </w:r>
            <w:r>
              <w:rPr>
                <w:rFonts w:hint="eastAsia" w:ascii="仿宋" w:hAnsi="仿宋" w:eastAsia="仿宋" w:cs="仿宋_GB2312"/>
                <w:color w:val="auto"/>
                <w:sz w:val="28"/>
                <w:szCs w:val="28"/>
                <w:lang w:val="en-US" w:eastAsia="zh-CN"/>
              </w:rPr>
              <w:t>1分</w:t>
            </w:r>
            <w:r>
              <w:rPr>
                <w:rFonts w:hint="eastAsia" w:ascii="仿宋" w:hAnsi="仿宋" w:eastAsia="仿宋" w:cs="仿宋_GB2312"/>
                <w:color w:val="auto"/>
                <w:sz w:val="28"/>
                <w:szCs w:val="28"/>
                <w:lang w:eastAsia="zh-CN"/>
              </w:rPr>
              <w:t>）</w:t>
            </w:r>
          </w:p>
          <w:p>
            <w:pPr>
              <w:rPr>
                <w:rFonts w:hint="eastAsia" w:ascii="仿宋" w:hAnsi="仿宋" w:eastAsia="仿宋" w:cs="仿宋_GB2312"/>
                <w:color w:val="auto"/>
                <w:sz w:val="28"/>
                <w:szCs w:val="28"/>
              </w:rPr>
            </w:pPr>
            <w:r>
              <w:rPr>
                <w:rFonts w:hint="eastAsia" w:ascii="仿宋" w:hAnsi="仿宋" w:eastAsia="仿宋" w:cs="仿宋_GB2312"/>
                <w:color w:val="auto"/>
                <w:sz w:val="28"/>
                <w:szCs w:val="28"/>
                <w:lang w:val="en-US" w:eastAsia="zh-CN"/>
              </w:rPr>
              <w:t>6、</w:t>
            </w:r>
            <w:r>
              <w:rPr>
                <w:rFonts w:hint="eastAsia" w:ascii="仿宋" w:hAnsi="仿宋" w:eastAsia="仿宋" w:cs="仿宋_GB2312"/>
                <w:color w:val="auto"/>
                <w:sz w:val="28"/>
                <w:szCs w:val="28"/>
              </w:rPr>
              <w:t>投标人的大数据产品通过中国信通院测评的数据集成工具基础能力专项评测证书。</w:t>
            </w:r>
            <w:r>
              <w:rPr>
                <w:rFonts w:hint="eastAsia" w:ascii="仿宋" w:hAnsi="仿宋" w:eastAsia="仿宋" w:cs="仿宋_GB2312"/>
                <w:color w:val="auto"/>
                <w:sz w:val="28"/>
                <w:szCs w:val="28"/>
                <w:lang w:eastAsia="zh-CN"/>
              </w:rPr>
              <w:t>（</w:t>
            </w:r>
            <w:r>
              <w:rPr>
                <w:rFonts w:hint="eastAsia" w:ascii="仿宋" w:hAnsi="仿宋" w:eastAsia="仿宋" w:cs="仿宋_GB2312"/>
                <w:color w:val="auto"/>
                <w:sz w:val="28"/>
                <w:szCs w:val="28"/>
                <w:lang w:val="en-US" w:eastAsia="zh-CN"/>
              </w:rPr>
              <w:t>1分</w:t>
            </w:r>
            <w:r>
              <w:rPr>
                <w:rFonts w:hint="eastAsia" w:ascii="仿宋" w:hAnsi="仿宋" w:eastAsia="仿宋" w:cs="仿宋_GB2312"/>
                <w:color w:val="auto"/>
                <w:sz w:val="28"/>
                <w:szCs w:val="28"/>
                <w:lang w:eastAsia="zh-CN"/>
              </w:rPr>
              <w:t>）</w:t>
            </w:r>
          </w:p>
          <w:p>
            <w:pPr>
              <w:rPr>
                <w:rFonts w:ascii="仿宋" w:hAnsi="仿宋" w:eastAsia="仿宋" w:cs="仿宋_GB2312"/>
                <w:color w:val="auto"/>
                <w:sz w:val="28"/>
                <w:szCs w:val="28"/>
              </w:rPr>
            </w:pPr>
            <w:r>
              <w:rPr>
                <w:rFonts w:hint="eastAsia" w:ascii="仿宋" w:hAnsi="仿宋" w:eastAsia="仿宋" w:cs="仿宋_GB2312"/>
                <w:color w:val="auto"/>
                <w:sz w:val="28"/>
                <w:szCs w:val="28"/>
                <w:lang w:val="en-US" w:eastAsia="zh-CN"/>
              </w:rPr>
              <w:t>7、</w:t>
            </w:r>
            <w:r>
              <w:rPr>
                <w:rFonts w:hint="eastAsia" w:ascii="仿宋" w:hAnsi="仿宋" w:eastAsia="仿宋" w:cs="仿宋_GB2312"/>
                <w:color w:val="auto"/>
                <w:sz w:val="28"/>
                <w:szCs w:val="28"/>
              </w:rPr>
              <w:t>投标人应符合工信部ITSS信息技术服务标准并获得符合性证书，投标人的SaaS云能力达到等级</w:t>
            </w:r>
            <w:r>
              <w:rPr>
                <w:rFonts w:hint="eastAsia" w:ascii="仿宋" w:hAnsi="仿宋" w:eastAsia="仿宋" w:cs="仿宋_GB2312"/>
                <w:color w:val="auto"/>
                <w:sz w:val="28"/>
                <w:szCs w:val="28"/>
                <w:lang w:val="en-US" w:eastAsia="zh-CN"/>
              </w:rPr>
              <w:t>二</w:t>
            </w:r>
            <w:r>
              <w:rPr>
                <w:rFonts w:hint="eastAsia" w:ascii="仿宋" w:hAnsi="仿宋" w:eastAsia="仿宋" w:cs="仿宋_GB2312"/>
                <w:color w:val="auto"/>
                <w:sz w:val="28"/>
                <w:szCs w:val="28"/>
              </w:rPr>
              <w:t>级。</w:t>
            </w:r>
            <w:r>
              <w:rPr>
                <w:rFonts w:hint="eastAsia" w:ascii="仿宋" w:hAnsi="仿宋" w:eastAsia="仿宋" w:cs="仿宋_GB2312"/>
                <w:color w:val="auto"/>
                <w:sz w:val="28"/>
                <w:szCs w:val="28"/>
                <w:lang w:eastAsia="zh-CN"/>
              </w:rPr>
              <w:t>（</w:t>
            </w:r>
            <w:r>
              <w:rPr>
                <w:rFonts w:hint="eastAsia" w:ascii="仿宋" w:hAnsi="仿宋" w:eastAsia="仿宋" w:cs="仿宋_GB2312"/>
                <w:color w:val="auto"/>
                <w:sz w:val="28"/>
                <w:szCs w:val="28"/>
                <w:lang w:val="en-US" w:eastAsia="zh-CN"/>
              </w:rPr>
              <w:t>1分</w:t>
            </w:r>
            <w:r>
              <w:rPr>
                <w:rFonts w:hint="eastAsia" w:ascii="仿宋" w:hAnsi="仿宋" w:eastAsia="仿宋" w:cs="仿宋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vAlign w:val="center"/>
          </w:tcPr>
          <w:p>
            <w:pPr>
              <w:snapToGrid w:val="0"/>
              <w:jc w:val="left"/>
              <w:rPr>
                <w:rFonts w:ascii="仿宋" w:hAnsi="仿宋" w:eastAsia="仿宋" w:cs="仿宋_GB2312"/>
                <w:b/>
                <w:sz w:val="28"/>
                <w:szCs w:val="28"/>
              </w:rPr>
            </w:pP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经验或业绩要求</w:t>
            </w:r>
          </w:p>
        </w:tc>
        <w:tc>
          <w:tcPr>
            <w:tcW w:w="6775" w:type="dxa"/>
            <w:vAlign w:val="center"/>
          </w:tcPr>
          <w:p>
            <w:pPr>
              <w:snapToGrid w:val="0"/>
              <w:rPr>
                <w:rFonts w:ascii="仿宋" w:hAnsi="仿宋" w:eastAsia="仿宋" w:cs="仿宋_GB2312"/>
                <w:color w:val="auto"/>
                <w:sz w:val="28"/>
                <w:szCs w:val="28"/>
              </w:rPr>
            </w:pPr>
            <w:r>
              <w:rPr>
                <w:rFonts w:hint="eastAsia" w:ascii="仿宋" w:hAnsi="仿宋" w:eastAsia="仿宋" w:cs="仿宋_GB2312"/>
                <w:color w:val="auto"/>
                <w:sz w:val="28"/>
                <w:szCs w:val="28"/>
              </w:rPr>
              <w:t>自2019年1月1日以来类似项目业绩，提供合同复印件需加盖公章（每提供一个得1分，最高3分）</w:t>
            </w:r>
            <w:r>
              <w:rPr>
                <w:rFonts w:hint="eastAsia" w:ascii="仿宋" w:hAnsi="仿宋" w:eastAsia="仿宋" w:cs="仿宋_GB2312"/>
                <w:color w:val="auto"/>
                <w:sz w:val="28"/>
                <w:szCs w:val="28"/>
                <w:lang w:eastAsia="zh-CN"/>
              </w:rPr>
              <w:t>。</w:t>
            </w:r>
          </w:p>
        </w:tc>
      </w:tr>
    </w:tbl>
    <w:p>
      <w:pPr>
        <w:pStyle w:val="32"/>
        <w:pageBreakBefore w:val="0"/>
        <w:widowControl w:val="0"/>
        <w:kinsoku/>
        <w:wordWrap/>
        <w:overflowPunct/>
        <w:topLinePunct w:val="0"/>
        <w:autoSpaceDE/>
        <w:autoSpaceDN/>
        <w:bidi w:val="0"/>
        <w:adjustRightInd/>
        <w:snapToGrid/>
        <w:spacing w:before="0" w:beforeLines="0" w:after="0" w:afterLines="0" w:line="579" w:lineRule="exact"/>
        <w:jc w:val="center"/>
        <w:textAlignment w:val="auto"/>
        <w:outlineLvl w:val="0"/>
        <w:rPr>
          <w:rFonts w:hint="eastAsia" w:hAnsi="宋体"/>
          <w:b/>
          <w:sz w:val="36"/>
          <w:szCs w:val="36"/>
          <w:lang w:eastAsia="zh-CN"/>
        </w:rPr>
      </w:pPr>
    </w:p>
    <w:p>
      <w:pPr>
        <w:pStyle w:val="32"/>
        <w:pageBreakBefore w:val="0"/>
        <w:widowControl w:val="0"/>
        <w:kinsoku/>
        <w:wordWrap/>
        <w:overflowPunct/>
        <w:topLinePunct w:val="0"/>
        <w:autoSpaceDE/>
        <w:autoSpaceDN/>
        <w:bidi w:val="0"/>
        <w:adjustRightInd/>
        <w:snapToGrid/>
        <w:spacing w:before="0" w:beforeLines="0" w:after="0" w:afterLines="0" w:line="579" w:lineRule="exact"/>
        <w:jc w:val="center"/>
        <w:textAlignment w:val="auto"/>
        <w:outlineLvl w:val="0"/>
        <w:rPr>
          <w:rFonts w:hint="eastAsia" w:hAnsi="宋体"/>
          <w:b/>
          <w:sz w:val="36"/>
          <w:szCs w:val="36"/>
          <w:lang w:eastAsia="zh-CN"/>
        </w:rPr>
      </w:pPr>
    </w:p>
    <w:p>
      <w:pPr>
        <w:pStyle w:val="32"/>
        <w:pageBreakBefore w:val="0"/>
        <w:widowControl w:val="0"/>
        <w:kinsoku/>
        <w:wordWrap/>
        <w:overflowPunct/>
        <w:topLinePunct w:val="0"/>
        <w:autoSpaceDE/>
        <w:autoSpaceDN/>
        <w:bidi w:val="0"/>
        <w:adjustRightInd/>
        <w:snapToGrid/>
        <w:spacing w:before="0" w:beforeLines="0" w:after="0" w:afterLines="0" w:line="579" w:lineRule="exact"/>
        <w:jc w:val="center"/>
        <w:textAlignment w:val="auto"/>
        <w:outlineLvl w:val="0"/>
        <w:rPr>
          <w:rFonts w:hint="eastAsia" w:hAnsi="宋体"/>
          <w:b/>
          <w:sz w:val="36"/>
          <w:szCs w:val="36"/>
          <w:lang w:eastAsia="zh-CN"/>
        </w:rPr>
      </w:pPr>
    </w:p>
    <w:p>
      <w:pPr>
        <w:pStyle w:val="32"/>
        <w:pageBreakBefore w:val="0"/>
        <w:widowControl w:val="0"/>
        <w:kinsoku/>
        <w:wordWrap/>
        <w:overflowPunct/>
        <w:topLinePunct w:val="0"/>
        <w:autoSpaceDE/>
        <w:autoSpaceDN/>
        <w:bidi w:val="0"/>
        <w:adjustRightInd/>
        <w:snapToGrid/>
        <w:spacing w:before="0" w:beforeLines="0" w:after="0" w:afterLines="0" w:line="579" w:lineRule="exact"/>
        <w:jc w:val="center"/>
        <w:textAlignment w:val="auto"/>
        <w:outlineLvl w:val="0"/>
        <w:rPr>
          <w:rFonts w:hint="eastAsia" w:hAnsi="宋体"/>
          <w:b/>
          <w:sz w:val="36"/>
          <w:szCs w:val="36"/>
          <w:lang w:eastAsia="zh-CN"/>
        </w:rPr>
      </w:pPr>
    </w:p>
    <w:p>
      <w:pPr>
        <w:pStyle w:val="32"/>
        <w:pageBreakBefore w:val="0"/>
        <w:widowControl w:val="0"/>
        <w:kinsoku/>
        <w:wordWrap/>
        <w:overflowPunct/>
        <w:topLinePunct w:val="0"/>
        <w:autoSpaceDE/>
        <w:autoSpaceDN/>
        <w:bidi w:val="0"/>
        <w:adjustRightInd/>
        <w:snapToGrid/>
        <w:spacing w:before="0" w:beforeLines="0" w:after="0" w:afterLines="0" w:line="579" w:lineRule="exact"/>
        <w:jc w:val="center"/>
        <w:textAlignment w:val="auto"/>
        <w:outlineLvl w:val="0"/>
        <w:rPr>
          <w:rFonts w:hint="eastAsia" w:hAnsi="宋体"/>
          <w:b/>
          <w:sz w:val="36"/>
          <w:szCs w:val="36"/>
          <w:lang w:eastAsia="zh-CN"/>
        </w:rPr>
      </w:pPr>
    </w:p>
    <w:p>
      <w:pPr>
        <w:pStyle w:val="32"/>
        <w:pageBreakBefore w:val="0"/>
        <w:widowControl w:val="0"/>
        <w:kinsoku/>
        <w:wordWrap/>
        <w:overflowPunct/>
        <w:topLinePunct w:val="0"/>
        <w:autoSpaceDE/>
        <w:autoSpaceDN/>
        <w:bidi w:val="0"/>
        <w:adjustRightInd/>
        <w:snapToGrid/>
        <w:spacing w:before="0" w:beforeLines="0" w:after="0" w:afterLines="0" w:line="579" w:lineRule="exact"/>
        <w:jc w:val="center"/>
        <w:textAlignment w:val="auto"/>
        <w:outlineLvl w:val="0"/>
        <w:rPr>
          <w:rFonts w:hint="eastAsia" w:hAnsi="宋体"/>
          <w:b/>
          <w:sz w:val="36"/>
          <w:szCs w:val="36"/>
          <w:lang w:eastAsia="zh-CN"/>
        </w:rPr>
      </w:pPr>
    </w:p>
    <w:p>
      <w:pPr>
        <w:pStyle w:val="32"/>
        <w:pageBreakBefore w:val="0"/>
        <w:widowControl w:val="0"/>
        <w:kinsoku/>
        <w:wordWrap/>
        <w:overflowPunct/>
        <w:topLinePunct w:val="0"/>
        <w:autoSpaceDE/>
        <w:autoSpaceDN/>
        <w:bidi w:val="0"/>
        <w:adjustRightInd/>
        <w:snapToGrid/>
        <w:spacing w:before="0" w:beforeLines="0" w:after="0" w:afterLines="0" w:line="579" w:lineRule="exact"/>
        <w:jc w:val="center"/>
        <w:textAlignment w:val="auto"/>
        <w:outlineLvl w:val="0"/>
        <w:rPr>
          <w:rFonts w:hint="eastAsia" w:hAnsi="宋体"/>
          <w:b/>
          <w:sz w:val="36"/>
          <w:szCs w:val="36"/>
          <w:lang w:eastAsia="zh-CN"/>
        </w:rPr>
      </w:pPr>
    </w:p>
    <w:p>
      <w:pPr>
        <w:pStyle w:val="32"/>
        <w:pageBreakBefore w:val="0"/>
        <w:widowControl w:val="0"/>
        <w:kinsoku/>
        <w:wordWrap/>
        <w:overflowPunct/>
        <w:topLinePunct w:val="0"/>
        <w:autoSpaceDE/>
        <w:autoSpaceDN/>
        <w:bidi w:val="0"/>
        <w:adjustRightInd/>
        <w:snapToGrid/>
        <w:spacing w:before="0" w:beforeLines="0" w:after="0" w:afterLines="0" w:line="579" w:lineRule="exact"/>
        <w:jc w:val="center"/>
        <w:textAlignment w:val="auto"/>
        <w:outlineLvl w:val="0"/>
        <w:rPr>
          <w:rFonts w:hint="eastAsia" w:hAnsi="宋体"/>
          <w:b/>
          <w:sz w:val="36"/>
          <w:szCs w:val="36"/>
          <w:lang w:eastAsia="zh-CN"/>
        </w:rPr>
      </w:pPr>
    </w:p>
    <w:p>
      <w:pPr>
        <w:pStyle w:val="32"/>
        <w:pageBreakBefore w:val="0"/>
        <w:widowControl w:val="0"/>
        <w:kinsoku/>
        <w:wordWrap/>
        <w:overflowPunct/>
        <w:topLinePunct w:val="0"/>
        <w:autoSpaceDE/>
        <w:autoSpaceDN/>
        <w:bidi w:val="0"/>
        <w:adjustRightInd/>
        <w:snapToGrid/>
        <w:spacing w:before="0" w:beforeLines="0" w:after="0" w:afterLines="0" w:line="579" w:lineRule="exact"/>
        <w:jc w:val="center"/>
        <w:textAlignment w:val="auto"/>
        <w:outlineLvl w:val="0"/>
        <w:rPr>
          <w:rFonts w:hint="eastAsia" w:hAnsi="宋体"/>
          <w:b/>
          <w:sz w:val="36"/>
          <w:szCs w:val="36"/>
          <w:lang w:eastAsia="zh-CN"/>
        </w:rPr>
      </w:pPr>
    </w:p>
    <w:p>
      <w:pPr>
        <w:pStyle w:val="32"/>
        <w:pageBreakBefore w:val="0"/>
        <w:widowControl w:val="0"/>
        <w:kinsoku/>
        <w:wordWrap/>
        <w:overflowPunct/>
        <w:topLinePunct w:val="0"/>
        <w:autoSpaceDE/>
        <w:autoSpaceDN/>
        <w:bidi w:val="0"/>
        <w:adjustRightInd/>
        <w:snapToGrid/>
        <w:spacing w:before="0" w:beforeLines="0" w:after="0" w:afterLines="0" w:line="579" w:lineRule="exact"/>
        <w:jc w:val="center"/>
        <w:textAlignment w:val="auto"/>
        <w:outlineLvl w:val="0"/>
        <w:rPr>
          <w:rFonts w:hint="eastAsia" w:hAnsi="宋体"/>
          <w:b/>
          <w:sz w:val="36"/>
          <w:szCs w:val="36"/>
          <w:lang w:eastAsia="zh-CN"/>
        </w:rPr>
      </w:pPr>
    </w:p>
    <w:p>
      <w:pPr>
        <w:pStyle w:val="32"/>
        <w:pageBreakBefore w:val="0"/>
        <w:widowControl w:val="0"/>
        <w:kinsoku/>
        <w:wordWrap/>
        <w:overflowPunct/>
        <w:topLinePunct w:val="0"/>
        <w:autoSpaceDE/>
        <w:autoSpaceDN/>
        <w:bidi w:val="0"/>
        <w:adjustRightInd/>
        <w:snapToGrid/>
        <w:spacing w:before="0" w:beforeLines="0" w:after="0" w:afterLines="0" w:line="579" w:lineRule="exact"/>
        <w:jc w:val="both"/>
        <w:textAlignment w:val="auto"/>
        <w:outlineLvl w:val="0"/>
        <w:rPr>
          <w:rFonts w:hint="eastAsia" w:hAnsi="宋体"/>
          <w:b/>
          <w:sz w:val="36"/>
          <w:szCs w:val="36"/>
          <w:lang w:eastAsia="zh-CN"/>
        </w:rPr>
      </w:pPr>
    </w:p>
    <w:p>
      <w:pPr>
        <w:pStyle w:val="32"/>
        <w:pageBreakBefore w:val="0"/>
        <w:widowControl w:val="0"/>
        <w:kinsoku/>
        <w:wordWrap/>
        <w:overflowPunct/>
        <w:topLinePunct w:val="0"/>
        <w:autoSpaceDE/>
        <w:autoSpaceDN/>
        <w:bidi w:val="0"/>
        <w:adjustRightInd/>
        <w:snapToGrid/>
        <w:spacing w:before="0" w:beforeLines="0" w:after="0" w:afterLines="0" w:line="579" w:lineRule="exact"/>
        <w:jc w:val="center"/>
        <w:textAlignment w:val="auto"/>
        <w:outlineLvl w:val="0"/>
        <w:rPr>
          <w:rFonts w:hint="eastAsia" w:ascii="仿宋" w:hAnsi="仿宋" w:eastAsia="仿宋" w:cs="Times New Roman"/>
          <w:b/>
          <w:kern w:val="2"/>
          <w:sz w:val="28"/>
          <w:szCs w:val="28"/>
          <w:lang w:val="en-US" w:eastAsia="zh-CN" w:bidi="ar-SA"/>
        </w:rPr>
      </w:pPr>
      <w:r>
        <w:rPr>
          <w:rFonts w:hint="eastAsia" w:ascii="仿宋" w:hAnsi="仿宋" w:eastAsia="仿宋" w:cs="Times New Roman"/>
          <w:b/>
          <w:kern w:val="2"/>
          <w:sz w:val="28"/>
          <w:szCs w:val="28"/>
          <w:lang w:val="en-US" w:eastAsia="zh-CN" w:bidi="ar-SA"/>
        </w:rPr>
        <w:t>标项2:</w:t>
      </w:r>
      <w:bookmarkEnd w:id="39"/>
      <w:bookmarkStart w:id="40" w:name="PO_TDCUS_ITEM_PB_REQ_FILE_2_1"/>
      <w:r>
        <w:rPr>
          <w:rFonts w:hint="eastAsia" w:ascii="仿宋" w:hAnsi="仿宋" w:eastAsia="仿宋" w:cs="Times New Roman"/>
          <w:b/>
          <w:kern w:val="2"/>
          <w:sz w:val="28"/>
          <w:szCs w:val="28"/>
          <w:lang w:val="en-US" w:eastAsia="zh-CN" w:bidi="ar-SA"/>
        </w:rPr>
        <w:t>数据中心机房设备采购及网络运维管理平台建设项目</w:t>
      </w:r>
    </w:p>
    <w:p>
      <w:pPr>
        <w:pStyle w:val="32"/>
        <w:pageBreakBefore w:val="0"/>
        <w:widowControl w:val="0"/>
        <w:kinsoku/>
        <w:wordWrap/>
        <w:overflowPunct/>
        <w:topLinePunct w:val="0"/>
        <w:autoSpaceDE/>
        <w:autoSpaceDN/>
        <w:bidi w:val="0"/>
        <w:adjustRightInd/>
        <w:snapToGrid/>
        <w:spacing w:before="0" w:beforeLines="0" w:after="0" w:afterLines="0" w:line="579" w:lineRule="exact"/>
        <w:ind w:firstLine="720" w:firstLineChars="200"/>
        <w:jc w:val="center"/>
        <w:textAlignment w:val="auto"/>
        <w:outlineLvl w:val="0"/>
        <w:rPr>
          <w:rStyle w:val="72"/>
          <w:rFonts w:hint="eastAsia" w:ascii="方正小标宋简体" w:hAnsi="方正小标宋简体" w:eastAsia="方正小标宋简体" w:cs="方正小标宋简体"/>
          <w:b w:val="0"/>
          <w:bCs w:val="0"/>
          <w:lang w:val="en-US"/>
        </w:rPr>
      </w:pPr>
    </w:p>
    <w:p>
      <w:pPr>
        <w:pStyle w:val="4"/>
        <w:pageBreakBefore w:val="0"/>
        <w:widowControl w:val="0"/>
        <w:numPr>
          <w:ilvl w:val="0"/>
          <w:numId w:val="0"/>
        </w:numPr>
        <w:kinsoku/>
        <w:wordWrap/>
        <w:overflowPunct/>
        <w:topLinePunct w:val="0"/>
        <w:autoSpaceDE/>
        <w:autoSpaceDN/>
        <w:bidi w:val="0"/>
        <w:adjustRightInd/>
        <w:snapToGrid/>
        <w:spacing w:before="0" w:after="0" w:line="579" w:lineRule="exact"/>
        <w:ind w:firstLine="640" w:firstLineChars="200"/>
        <w:textAlignment w:val="auto"/>
        <w:rPr>
          <w:rFonts w:hint="eastAsia" w:ascii="黑体" w:hAnsi="黑体" w:eastAsia="黑体" w:cs="黑体"/>
          <w:b w:val="0"/>
          <w:bCs w:val="0"/>
          <w:sz w:val="32"/>
          <w:szCs w:val="32"/>
        </w:rPr>
      </w:pPr>
      <w:bookmarkStart w:id="41" w:name="_Toc13439_WPSOffice_Level1"/>
      <w:bookmarkStart w:id="42" w:name="_Toc14792828"/>
      <w:bookmarkStart w:id="43" w:name="_Toc10854"/>
      <w:r>
        <w:rPr>
          <w:rFonts w:hint="eastAsia" w:ascii="黑体" w:hAnsi="黑体" w:eastAsia="黑体" w:cs="黑体"/>
          <w:b w:val="0"/>
          <w:bCs w:val="0"/>
          <w:sz w:val="32"/>
          <w:szCs w:val="32"/>
        </w:rPr>
        <w:t>一、</w:t>
      </w:r>
      <w:bookmarkEnd w:id="41"/>
      <w:bookmarkEnd w:id="42"/>
      <w:bookmarkEnd w:id="43"/>
      <w:r>
        <w:rPr>
          <w:rFonts w:hint="eastAsia" w:ascii="黑体" w:hAnsi="黑体" w:eastAsia="黑体" w:cs="黑体"/>
          <w:b w:val="0"/>
          <w:bCs w:val="0"/>
          <w:sz w:val="32"/>
          <w:szCs w:val="32"/>
        </w:rPr>
        <w:t>项目概述</w:t>
      </w:r>
    </w:p>
    <w:p>
      <w:pPr>
        <w:pStyle w:val="982"/>
        <w:keepNext w:val="0"/>
        <w:keepLines w:val="0"/>
        <w:pageBreakBefore w:val="0"/>
        <w:widowControl w:val="0"/>
        <w:numPr>
          <w:ilvl w:val="0"/>
          <w:numId w:val="0"/>
        </w:numPr>
        <w:kinsoku/>
        <w:wordWrap/>
        <w:overflowPunct/>
        <w:topLinePunct w:val="0"/>
        <w:autoSpaceDE/>
        <w:autoSpaceDN/>
        <w:bidi w:val="0"/>
        <w:spacing w:after="0" w:line="579" w:lineRule="exact"/>
        <w:ind w:left="0" w:leftChars="0" w:firstLine="640" w:firstLineChars="200"/>
        <w:textAlignment w:val="auto"/>
        <w:rPr>
          <w:rFonts w:ascii="仿宋_GB2312" w:eastAsia="仿宋_GB2312" w:cs="仿宋_GB2312"/>
          <w:sz w:val="32"/>
          <w:szCs w:val="32"/>
        </w:rPr>
      </w:pPr>
      <w:bookmarkStart w:id="44" w:name="_Toc6203"/>
      <w:bookmarkStart w:id="45" w:name="_Toc24976_WPSOffice_Level1"/>
      <w:r>
        <w:rPr>
          <w:rFonts w:hint="eastAsia" w:ascii="仿宋_GB2312" w:hAnsi="仿宋_GB2312" w:eastAsia="仿宋_GB2312" w:cs="仿宋_GB2312"/>
          <w:i w:val="0"/>
          <w:caps w:val="0"/>
          <w:color w:val="222222"/>
          <w:spacing w:val="0"/>
          <w:sz w:val="32"/>
          <w:szCs w:val="32"/>
          <w:highlight w:val="none"/>
          <w:shd w:val="clear" w:color="auto" w:fill="auto"/>
        </w:rPr>
        <w:t>随着</w:t>
      </w:r>
      <w:r>
        <w:rPr>
          <w:rFonts w:hint="eastAsia" w:ascii="仿宋_GB2312" w:hAnsi="仿宋_GB2312" w:eastAsia="仿宋_GB2312" w:cs="仿宋_GB2312"/>
          <w:i w:val="0"/>
          <w:caps w:val="0"/>
          <w:color w:val="222222"/>
          <w:spacing w:val="0"/>
          <w:sz w:val="32"/>
          <w:szCs w:val="32"/>
          <w:highlight w:val="none"/>
          <w:shd w:val="clear" w:color="auto" w:fill="auto"/>
          <w:lang w:val="en-US" w:eastAsia="zh-CN"/>
        </w:rPr>
        <w:t>学校</w:t>
      </w:r>
      <w:r>
        <w:rPr>
          <w:rFonts w:hint="eastAsia" w:ascii="仿宋_GB2312" w:hAnsi="仿宋_GB2312" w:eastAsia="仿宋_GB2312" w:cs="仿宋_GB2312"/>
          <w:i w:val="0"/>
          <w:caps w:val="0"/>
          <w:color w:val="222222"/>
          <w:spacing w:val="0"/>
          <w:sz w:val="32"/>
          <w:szCs w:val="32"/>
          <w:highlight w:val="none"/>
          <w:shd w:val="clear" w:color="auto" w:fill="auto"/>
        </w:rPr>
        <w:t>信息化建设的不断深入以及云计算、大数据、虚拟化的快速应用，对IT基础设施提出了更高的要求，尤其在数据的安全性、可靠性方面，因此建设一个安全、绿色、智能、高效的数据中心成为了</w:t>
      </w:r>
      <w:r>
        <w:rPr>
          <w:rFonts w:hint="eastAsia" w:ascii="仿宋_GB2312" w:hAnsi="仿宋_GB2312" w:eastAsia="仿宋_GB2312" w:cs="仿宋_GB2312"/>
          <w:i w:val="0"/>
          <w:caps w:val="0"/>
          <w:color w:val="222222"/>
          <w:spacing w:val="0"/>
          <w:sz w:val="32"/>
          <w:szCs w:val="32"/>
          <w:highlight w:val="none"/>
          <w:shd w:val="clear" w:color="auto" w:fill="auto"/>
          <w:lang w:val="en-US" w:eastAsia="zh-CN"/>
        </w:rPr>
        <w:t>学校</w:t>
      </w:r>
      <w:r>
        <w:rPr>
          <w:rFonts w:hint="eastAsia" w:ascii="仿宋_GB2312" w:hAnsi="仿宋_GB2312" w:eastAsia="仿宋_GB2312" w:cs="仿宋_GB2312"/>
          <w:i w:val="0"/>
          <w:caps w:val="0"/>
          <w:color w:val="222222"/>
          <w:spacing w:val="0"/>
          <w:sz w:val="32"/>
          <w:szCs w:val="32"/>
          <w:highlight w:val="none"/>
          <w:shd w:val="clear" w:color="auto" w:fill="auto"/>
        </w:rPr>
        <w:t>信息化发展的重中之重。由于信息化需求和技术的多变性，各种业务需求的不断发展与变化，</w:t>
      </w:r>
      <w:r>
        <w:rPr>
          <w:rFonts w:hint="eastAsia" w:ascii="仿宋_GB2312" w:hAnsi="仿宋_GB2312" w:eastAsia="仿宋_GB2312" w:cs="仿宋_GB2312"/>
          <w:i w:val="0"/>
          <w:caps w:val="0"/>
          <w:color w:val="222222"/>
          <w:spacing w:val="0"/>
          <w:sz w:val="32"/>
          <w:szCs w:val="32"/>
          <w:highlight w:val="none"/>
          <w:shd w:val="clear" w:color="auto" w:fill="auto"/>
          <w:lang w:val="en-US" w:eastAsia="zh-CN"/>
        </w:rPr>
        <w:t>我校</w:t>
      </w:r>
      <w:r>
        <w:rPr>
          <w:rFonts w:hint="eastAsia" w:ascii="仿宋_GB2312" w:hAnsi="仿宋_GB2312" w:eastAsia="仿宋_GB2312" w:cs="仿宋_GB2312"/>
          <w:color w:val="auto"/>
          <w:sz w:val="32"/>
          <w:szCs w:val="32"/>
          <w:highlight w:val="none"/>
          <w:lang w:val="en-US" w:eastAsia="zh-CN"/>
        </w:rPr>
        <w:t>数据中心机房存在</w:t>
      </w:r>
      <w:r>
        <w:rPr>
          <w:rFonts w:hint="eastAsia" w:ascii="仿宋_GB2312" w:hAnsi="仿宋_GB2312" w:eastAsia="仿宋_GB2312" w:cs="仿宋_GB2312"/>
          <w:sz w:val="32"/>
          <w:szCs w:val="32"/>
          <w:lang w:eastAsia="zh-CN"/>
        </w:rPr>
        <w:t>数据安全管理手段不够</w:t>
      </w:r>
      <w:r>
        <w:rPr>
          <w:rFonts w:hint="default" w:ascii="仿宋_GB2312" w:hAnsi="仿宋_GB2312" w:eastAsia="仿宋_GB2312" w:cs="仿宋_GB2312"/>
          <w:sz w:val="32"/>
          <w:szCs w:val="32"/>
          <w:lang w:eastAsia="zh-CN"/>
        </w:rPr>
        <w:t>健全</w:t>
      </w:r>
      <w:r>
        <w:rPr>
          <w:rFonts w:hint="eastAsia" w:ascii="仿宋_GB2312" w:hAnsi="仿宋_GB2312" w:eastAsia="仿宋_GB2312" w:cs="仿宋_GB2312"/>
          <w:sz w:val="32"/>
          <w:szCs w:val="32"/>
          <w:lang w:eastAsia="zh-CN"/>
        </w:rPr>
        <w:t>、动环</w:t>
      </w:r>
      <w:r>
        <w:rPr>
          <w:rFonts w:hint="eastAsia" w:ascii="仿宋_GB2312" w:hAnsi="仿宋_GB2312" w:eastAsia="仿宋_GB2312" w:cs="仿宋_GB2312"/>
          <w:sz w:val="32"/>
          <w:szCs w:val="32"/>
          <w:lang w:val="en-US" w:eastAsia="zh-CN"/>
        </w:rPr>
        <w:t>监测</w:t>
      </w:r>
      <w:r>
        <w:rPr>
          <w:rFonts w:hint="eastAsia" w:ascii="仿宋_GB2312" w:hAnsi="仿宋_GB2312" w:eastAsia="仿宋_GB2312" w:cs="仿宋_GB2312"/>
          <w:sz w:val="32"/>
          <w:szCs w:val="32"/>
          <w:lang w:eastAsia="zh-CN"/>
        </w:rPr>
        <w:t>设备</w:t>
      </w:r>
      <w:r>
        <w:rPr>
          <w:rFonts w:hint="default" w:ascii="仿宋_GB2312" w:hAnsi="仿宋_GB2312" w:eastAsia="仿宋_GB2312" w:cs="仿宋_GB2312"/>
          <w:sz w:val="32"/>
          <w:szCs w:val="32"/>
          <w:lang w:eastAsia="zh-CN"/>
        </w:rPr>
        <w:t>缺失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部分设备老旧、</w:t>
      </w:r>
      <w:r>
        <w:rPr>
          <w:rFonts w:hint="eastAsia" w:ascii="仿宋_GB2312" w:hAnsi="仿宋_GB2312" w:eastAsia="仿宋_GB2312" w:cs="仿宋_GB2312"/>
          <w:sz w:val="32"/>
          <w:szCs w:val="32"/>
          <w:lang w:eastAsia="zh-CN"/>
        </w:rPr>
        <w:t>网络运维能力不够等问题。</w:t>
      </w:r>
      <w:r>
        <w:rPr>
          <w:rFonts w:hint="default" w:ascii="仿宋_GB2312" w:hAnsi="仿宋_GB2312" w:eastAsia="仿宋_GB2312" w:cs="仿宋_GB2312"/>
          <w:i w:val="0"/>
          <w:caps w:val="0"/>
          <w:color w:val="222222"/>
          <w:spacing w:val="0"/>
          <w:sz w:val="32"/>
          <w:szCs w:val="32"/>
          <w:highlight w:val="none"/>
          <w:shd w:val="clear" w:color="auto" w:fill="auto"/>
          <w:lang w:val="en-US" w:eastAsia="zh-CN"/>
        </w:rPr>
        <w:t>本项目拟</w:t>
      </w:r>
      <w:r>
        <w:rPr>
          <w:rFonts w:ascii="仿宋_GB2312" w:hAnsi="仿宋_GB2312" w:eastAsia="仿宋_GB2312" w:cs="仿宋_GB2312"/>
          <w:i w:val="0"/>
          <w:caps w:val="0"/>
          <w:color w:val="222222"/>
          <w:spacing w:val="0"/>
          <w:sz w:val="32"/>
          <w:szCs w:val="32"/>
          <w:highlight w:val="none"/>
          <w:shd w:val="clear" w:color="auto" w:fill="auto"/>
        </w:rPr>
        <w:t>以绿色、安全、智能、高效为</w:t>
      </w:r>
      <w:r>
        <w:rPr>
          <w:rFonts w:hint="default" w:ascii="仿宋_GB2312" w:hAnsi="仿宋_GB2312" w:eastAsia="仿宋_GB2312" w:cs="仿宋_GB2312"/>
          <w:i w:val="0"/>
          <w:caps w:val="0"/>
          <w:color w:val="222222"/>
          <w:spacing w:val="0"/>
          <w:sz w:val="32"/>
          <w:szCs w:val="32"/>
          <w:highlight w:val="none"/>
          <w:shd w:val="clear" w:color="auto" w:fill="auto"/>
          <w:lang w:val="en-US" w:eastAsia="zh-CN"/>
        </w:rPr>
        <w:t>建设</w:t>
      </w:r>
      <w:r>
        <w:rPr>
          <w:rFonts w:ascii="仿宋_GB2312" w:hAnsi="仿宋_GB2312" w:eastAsia="仿宋_GB2312" w:cs="仿宋_GB2312"/>
          <w:i w:val="0"/>
          <w:caps w:val="0"/>
          <w:color w:val="222222"/>
          <w:spacing w:val="0"/>
          <w:sz w:val="32"/>
          <w:szCs w:val="32"/>
          <w:highlight w:val="none"/>
          <w:shd w:val="clear" w:color="auto" w:fill="auto"/>
        </w:rPr>
        <w:t>理念，</w:t>
      </w:r>
      <w:r>
        <w:rPr>
          <w:rFonts w:hint="default" w:ascii="仿宋_GB2312" w:hAnsi="仿宋_GB2312" w:eastAsia="仿宋_GB2312" w:cs="仿宋_GB2312"/>
          <w:color w:val="auto"/>
          <w:sz w:val="32"/>
          <w:szCs w:val="32"/>
          <w:highlight w:val="none"/>
          <w:lang w:eastAsia="zh-CN"/>
        </w:rPr>
        <w:t>通过对数据安全、机房弱电间安全、设备升级改造三个方面的提升改造，进一步</w:t>
      </w:r>
      <w:r>
        <w:rPr>
          <w:rFonts w:hint="eastAsia" w:ascii="仿宋_GB2312" w:hAnsi="仿宋_GB2312" w:eastAsia="仿宋_GB2312" w:cs="仿宋_GB2312"/>
          <w:color w:val="auto"/>
          <w:sz w:val="32"/>
          <w:szCs w:val="32"/>
          <w:highlight w:val="none"/>
          <w:lang w:eastAsia="zh-CN"/>
        </w:rPr>
        <w:t>夯实“数字浙警”建设的发展基础，</w:t>
      </w:r>
      <w:r>
        <w:rPr>
          <w:rFonts w:ascii="仿宋_GB2312" w:hAnsi="仿宋_GB2312" w:eastAsia="仿宋_GB2312" w:cs="仿宋_GB2312"/>
          <w:color w:val="auto"/>
          <w:sz w:val="32"/>
          <w:szCs w:val="32"/>
          <w:highlight w:val="none"/>
        </w:rPr>
        <w:t>为数字化改革提供良好的支撑环境。</w:t>
      </w:r>
    </w:p>
    <w:bookmarkEnd w:id="44"/>
    <w:bookmarkEnd w:id="45"/>
    <w:p>
      <w:pPr>
        <w:pStyle w:val="4"/>
        <w:pageBreakBefore w:val="0"/>
        <w:widowControl w:val="0"/>
        <w:numPr>
          <w:ilvl w:val="0"/>
          <w:numId w:val="0"/>
        </w:numPr>
        <w:kinsoku/>
        <w:wordWrap/>
        <w:overflowPunct/>
        <w:topLinePunct w:val="0"/>
        <w:autoSpaceDE/>
        <w:autoSpaceDN/>
        <w:bidi w:val="0"/>
        <w:adjustRightInd/>
        <w:snapToGrid/>
        <w:spacing w:before="0" w:after="0" w:line="579" w:lineRule="exact"/>
        <w:ind w:firstLine="640" w:firstLineChars="200"/>
        <w:textAlignment w:val="auto"/>
        <w:rPr>
          <w:rFonts w:hint="eastAsia" w:ascii="黑体" w:hAnsi="黑体" w:eastAsia="黑体" w:cs="黑体"/>
          <w:b w:val="0"/>
          <w:bCs w:val="0"/>
          <w:sz w:val="32"/>
          <w:szCs w:val="32"/>
        </w:rPr>
      </w:pPr>
      <w:bookmarkStart w:id="46" w:name="_Toc14792830"/>
      <w:bookmarkStart w:id="47" w:name="_Toc6310_WPSOffice_Level1"/>
      <w:bookmarkStart w:id="48" w:name="_Toc24059"/>
      <w:r>
        <w:rPr>
          <w:rFonts w:hint="eastAsia" w:ascii="黑体" w:hAnsi="黑体" w:eastAsia="黑体" w:cs="黑体"/>
          <w:b w:val="0"/>
          <w:bCs w:val="0"/>
          <w:sz w:val="32"/>
          <w:szCs w:val="32"/>
        </w:rPr>
        <w:t>二、</w:t>
      </w:r>
      <w:bookmarkEnd w:id="46"/>
      <w:bookmarkEnd w:id="47"/>
      <w:bookmarkEnd w:id="48"/>
      <w:r>
        <w:rPr>
          <w:rFonts w:hint="eastAsia" w:ascii="黑体" w:hAnsi="黑体" w:eastAsia="黑体" w:cs="黑体"/>
          <w:b w:val="0"/>
          <w:bCs w:val="0"/>
          <w:sz w:val="32"/>
          <w:szCs w:val="32"/>
        </w:rPr>
        <w:t>需求描述</w:t>
      </w:r>
    </w:p>
    <w:p>
      <w:pPr>
        <w:pStyle w:val="6"/>
        <w:pageBreakBefore w:val="0"/>
        <w:widowControl w:val="0"/>
        <w:numPr>
          <w:ilvl w:val="2"/>
          <w:numId w:val="0"/>
        </w:numPr>
        <w:tabs>
          <w:tab w:val="left" w:pos="851"/>
        </w:tabs>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b w:val="0"/>
          <w:bCs/>
          <w:sz w:val="32"/>
          <w:szCs w:val="32"/>
        </w:rPr>
      </w:pPr>
      <w:bookmarkStart w:id="49" w:name="_Toc14792831"/>
      <w:bookmarkStart w:id="50" w:name="_Toc493858952"/>
      <w:r>
        <w:rPr>
          <w:rFonts w:hint="eastAsia" w:ascii="楷体_GB2312" w:hAnsi="楷体_GB2312" w:eastAsia="楷体_GB2312" w:cs="楷体_GB2312"/>
          <w:b w:val="0"/>
          <w:bCs/>
          <w:sz w:val="32"/>
          <w:szCs w:val="32"/>
        </w:rPr>
        <w:t>（一）项目总体介绍</w:t>
      </w:r>
      <w:bookmarkEnd w:id="49"/>
      <w:bookmarkEnd w:id="50"/>
    </w:p>
    <w:p>
      <w:pPr>
        <w:pStyle w:val="983"/>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建设主要包括以下几个方面：数据安全建设（服务器、安全管理平台、主机安全防护、网络智能安全服务链等），物理安全建设（UPS、精密空调、机房动环等），基础改造（数据中心高性能交换机、网络运维管理模块、存储主机）等。</w:t>
      </w:r>
    </w:p>
    <w:p>
      <w:pPr>
        <w:pStyle w:val="6"/>
        <w:pageBreakBefore w:val="0"/>
        <w:widowControl w:val="0"/>
        <w:numPr>
          <w:ilvl w:val="2"/>
          <w:numId w:val="0"/>
        </w:numPr>
        <w:tabs>
          <w:tab w:val="left" w:pos="851"/>
        </w:tabs>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b w:val="0"/>
          <w:bCs/>
          <w:sz w:val="32"/>
          <w:szCs w:val="32"/>
        </w:rPr>
      </w:pPr>
      <w:bookmarkStart w:id="51" w:name="_Toc14792832"/>
      <w:r>
        <w:rPr>
          <w:rFonts w:hint="eastAsia" w:ascii="楷体_GB2312" w:hAnsi="楷体_GB2312" w:eastAsia="楷体_GB2312" w:cs="楷体_GB2312"/>
          <w:b w:val="0"/>
          <w:bCs/>
          <w:sz w:val="32"/>
          <w:szCs w:val="32"/>
        </w:rPr>
        <w:t>（二）采购清单</w:t>
      </w:r>
      <w:bookmarkEnd w:id="51"/>
    </w:p>
    <w:tbl>
      <w:tblPr>
        <w:tblStyle w:val="59"/>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4646"/>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序号</w:t>
            </w:r>
          </w:p>
        </w:tc>
        <w:tc>
          <w:tcPr>
            <w:tcW w:w="4646"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名称</w:t>
            </w:r>
          </w:p>
        </w:tc>
        <w:tc>
          <w:tcPr>
            <w:tcW w:w="1559"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数量</w:t>
            </w:r>
          </w:p>
        </w:tc>
        <w:tc>
          <w:tcPr>
            <w:tcW w:w="1418" w:type="dxa"/>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364" w:type="dxa"/>
            <w:gridSpan w:val="4"/>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一、数据安全一体机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dxa"/>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4646" w:type="dxa"/>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硬件设备1</w:t>
            </w:r>
          </w:p>
        </w:tc>
        <w:tc>
          <w:tcPr>
            <w:tcW w:w="1559"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418"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dxa"/>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4646" w:type="dxa"/>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硬件设备2</w:t>
            </w:r>
          </w:p>
        </w:tc>
        <w:tc>
          <w:tcPr>
            <w:tcW w:w="1559"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418"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dxa"/>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4646" w:type="dxa"/>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硬件设备3</w:t>
            </w:r>
          </w:p>
        </w:tc>
        <w:tc>
          <w:tcPr>
            <w:tcW w:w="1559"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418"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dxa"/>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4646" w:type="dxa"/>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安全管理平台</w:t>
            </w:r>
          </w:p>
        </w:tc>
        <w:tc>
          <w:tcPr>
            <w:tcW w:w="1559"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1</w:t>
            </w:r>
          </w:p>
        </w:tc>
        <w:tc>
          <w:tcPr>
            <w:tcW w:w="1418"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dxa"/>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4646" w:type="dxa"/>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主机安全防护</w:t>
            </w:r>
          </w:p>
        </w:tc>
        <w:tc>
          <w:tcPr>
            <w:tcW w:w="1559"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1</w:t>
            </w:r>
          </w:p>
        </w:tc>
        <w:tc>
          <w:tcPr>
            <w:tcW w:w="1418"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364" w:type="dxa"/>
            <w:gridSpan w:val="4"/>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二、网络安全智能服务链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dxa"/>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4646" w:type="dxa"/>
            <w:vAlign w:val="top"/>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SDN控制器矩阵</w:t>
            </w:r>
          </w:p>
        </w:tc>
        <w:tc>
          <w:tcPr>
            <w:tcW w:w="1559"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418"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dxa"/>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p>
        </w:tc>
        <w:tc>
          <w:tcPr>
            <w:tcW w:w="4646" w:type="dxa"/>
            <w:vAlign w:val="top"/>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网络智能安全服务链控制系统</w:t>
            </w:r>
          </w:p>
        </w:tc>
        <w:tc>
          <w:tcPr>
            <w:tcW w:w="1559"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418"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dxa"/>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p>
        </w:tc>
        <w:tc>
          <w:tcPr>
            <w:tcW w:w="4646" w:type="dxa"/>
            <w:vAlign w:val="top"/>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SDN服务链10G流量授权</w:t>
            </w:r>
          </w:p>
        </w:tc>
        <w:tc>
          <w:tcPr>
            <w:tcW w:w="1559"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418"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364" w:type="dxa"/>
            <w:gridSpan w:val="4"/>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三、UPS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dxa"/>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w:t>
            </w:r>
          </w:p>
        </w:tc>
        <w:tc>
          <w:tcPr>
            <w:tcW w:w="4646" w:type="dxa"/>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UPS主机</w:t>
            </w:r>
          </w:p>
        </w:tc>
        <w:tc>
          <w:tcPr>
            <w:tcW w:w="1559"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418"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dxa"/>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4646" w:type="dxa"/>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铅酸蓄电池</w:t>
            </w:r>
          </w:p>
        </w:tc>
        <w:tc>
          <w:tcPr>
            <w:tcW w:w="1559" w:type="dxa"/>
            <w:vAlign w:val="center"/>
          </w:tcPr>
          <w:p>
            <w:pPr>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64</w:t>
            </w:r>
          </w:p>
        </w:tc>
        <w:tc>
          <w:tcPr>
            <w:tcW w:w="1418" w:type="dxa"/>
            <w:vAlign w:val="center"/>
          </w:tcPr>
          <w:p>
            <w:pPr>
              <w:widowControl/>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364" w:type="dxa"/>
            <w:gridSpan w:val="4"/>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四、精密空调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dxa"/>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w:t>
            </w:r>
          </w:p>
        </w:tc>
        <w:tc>
          <w:tcPr>
            <w:tcW w:w="4646" w:type="dxa"/>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精密空调</w:t>
            </w:r>
            <w:r>
              <w:rPr>
                <w:rFonts w:hint="eastAsia" w:ascii="仿宋_GB2312" w:hAnsi="仿宋_GB2312" w:eastAsia="仿宋_GB2312" w:cs="仿宋_GB2312"/>
                <w:color w:val="FF0000"/>
                <w:kern w:val="0"/>
                <w:sz w:val="24"/>
                <w:szCs w:val="24"/>
                <w:lang w:eastAsia="zh-CN"/>
              </w:rPr>
              <w:t>（</w:t>
            </w:r>
            <w:r>
              <w:rPr>
                <w:rFonts w:hint="eastAsia" w:ascii="仿宋_GB2312" w:hAnsi="仿宋_GB2312" w:eastAsia="仿宋_GB2312" w:cs="仿宋_GB2312"/>
                <w:color w:val="FF0000"/>
                <w:kern w:val="0"/>
                <w:sz w:val="24"/>
                <w:szCs w:val="24"/>
                <w:lang w:val="en-US" w:eastAsia="zh-CN"/>
              </w:rPr>
              <w:t>强制节能产品</w:t>
            </w:r>
            <w:r>
              <w:rPr>
                <w:rFonts w:hint="eastAsia" w:ascii="仿宋_GB2312" w:hAnsi="仿宋_GB2312" w:eastAsia="仿宋_GB2312" w:cs="仿宋_GB2312"/>
                <w:color w:val="FF0000"/>
                <w:kern w:val="0"/>
                <w:sz w:val="24"/>
                <w:szCs w:val="24"/>
                <w:lang w:eastAsia="zh-CN"/>
              </w:rPr>
              <w:t>）</w:t>
            </w:r>
          </w:p>
        </w:tc>
        <w:tc>
          <w:tcPr>
            <w:tcW w:w="1559"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418"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364" w:type="dxa"/>
            <w:gridSpan w:val="4"/>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五、机房动环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dxa"/>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w:t>
            </w:r>
          </w:p>
        </w:tc>
        <w:tc>
          <w:tcPr>
            <w:tcW w:w="4646" w:type="dxa"/>
            <w:vAlign w:val="top"/>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三相单回路智能电表</w:t>
            </w:r>
          </w:p>
        </w:tc>
        <w:tc>
          <w:tcPr>
            <w:tcW w:w="1559"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418"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dxa"/>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w:t>
            </w:r>
          </w:p>
        </w:tc>
        <w:tc>
          <w:tcPr>
            <w:tcW w:w="4646" w:type="dxa"/>
            <w:vAlign w:val="top"/>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闭合式电流互感器</w:t>
            </w:r>
          </w:p>
        </w:tc>
        <w:tc>
          <w:tcPr>
            <w:tcW w:w="1559"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w:t>
            </w:r>
          </w:p>
        </w:tc>
        <w:tc>
          <w:tcPr>
            <w:tcW w:w="1418"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dxa"/>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w:t>
            </w:r>
          </w:p>
        </w:tc>
        <w:tc>
          <w:tcPr>
            <w:tcW w:w="4646" w:type="dxa"/>
            <w:vAlign w:val="top"/>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温湿度传感器</w:t>
            </w:r>
          </w:p>
        </w:tc>
        <w:tc>
          <w:tcPr>
            <w:tcW w:w="1559" w:type="dxa"/>
            <w:vAlign w:val="center"/>
          </w:tcPr>
          <w:p>
            <w:pPr>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125</w:t>
            </w:r>
          </w:p>
        </w:tc>
        <w:tc>
          <w:tcPr>
            <w:tcW w:w="1418"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dxa"/>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w:t>
            </w:r>
          </w:p>
        </w:tc>
        <w:tc>
          <w:tcPr>
            <w:tcW w:w="4646" w:type="dxa"/>
            <w:vAlign w:val="top"/>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漏水检测</w:t>
            </w:r>
          </w:p>
        </w:tc>
        <w:tc>
          <w:tcPr>
            <w:tcW w:w="1559"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w:t>
            </w:r>
          </w:p>
        </w:tc>
        <w:tc>
          <w:tcPr>
            <w:tcW w:w="1418"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dxa"/>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16</w:t>
            </w:r>
          </w:p>
        </w:tc>
        <w:tc>
          <w:tcPr>
            <w:tcW w:w="4646" w:type="dxa"/>
            <w:vAlign w:val="top"/>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门禁设备</w:t>
            </w:r>
          </w:p>
        </w:tc>
        <w:tc>
          <w:tcPr>
            <w:tcW w:w="1559" w:type="dxa"/>
            <w:vAlign w:val="center"/>
          </w:tcPr>
          <w:p>
            <w:pPr>
              <w:widowControl/>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71</w:t>
            </w:r>
          </w:p>
        </w:tc>
        <w:tc>
          <w:tcPr>
            <w:tcW w:w="1418"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dxa"/>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17</w:t>
            </w:r>
          </w:p>
        </w:tc>
        <w:tc>
          <w:tcPr>
            <w:tcW w:w="4646" w:type="dxa"/>
            <w:vAlign w:val="top"/>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磁力锁</w:t>
            </w:r>
          </w:p>
        </w:tc>
        <w:tc>
          <w:tcPr>
            <w:tcW w:w="1559" w:type="dxa"/>
            <w:vAlign w:val="center"/>
          </w:tcPr>
          <w:p>
            <w:pPr>
              <w:widowControl/>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71</w:t>
            </w:r>
          </w:p>
        </w:tc>
        <w:tc>
          <w:tcPr>
            <w:tcW w:w="1418"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dxa"/>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w:t>
            </w:r>
          </w:p>
        </w:tc>
        <w:tc>
          <w:tcPr>
            <w:tcW w:w="4646" w:type="dxa"/>
            <w:vAlign w:val="top"/>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门磁感应</w:t>
            </w:r>
          </w:p>
        </w:tc>
        <w:tc>
          <w:tcPr>
            <w:tcW w:w="1559"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37</w:t>
            </w:r>
          </w:p>
        </w:tc>
        <w:tc>
          <w:tcPr>
            <w:tcW w:w="1418"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dxa"/>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19</w:t>
            </w:r>
          </w:p>
        </w:tc>
        <w:tc>
          <w:tcPr>
            <w:tcW w:w="4646" w:type="dxa"/>
            <w:vAlign w:val="top"/>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烟雾探测器</w:t>
            </w:r>
          </w:p>
        </w:tc>
        <w:tc>
          <w:tcPr>
            <w:tcW w:w="1559" w:type="dxa"/>
            <w:vAlign w:val="center"/>
          </w:tcPr>
          <w:p>
            <w:pPr>
              <w:widowControl/>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16</w:t>
            </w:r>
          </w:p>
        </w:tc>
        <w:tc>
          <w:tcPr>
            <w:tcW w:w="1418"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dxa"/>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w:t>
            </w:r>
          </w:p>
        </w:tc>
        <w:tc>
          <w:tcPr>
            <w:tcW w:w="4646" w:type="dxa"/>
            <w:vAlign w:val="top"/>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可视化烟雾探测器</w:t>
            </w:r>
          </w:p>
        </w:tc>
        <w:tc>
          <w:tcPr>
            <w:tcW w:w="1559"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86</w:t>
            </w:r>
          </w:p>
        </w:tc>
        <w:tc>
          <w:tcPr>
            <w:tcW w:w="1418"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dxa"/>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21</w:t>
            </w:r>
          </w:p>
        </w:tc>
        <w:tc>
          <w:tcPr>
            <w:tcW w:w="4646" w:type="dxa"/>
            <w:vAlign w:val="top"/>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动环主机</w:t>
            </w:r>
          </w:p>
        </w:tc>
        <w:tc>
          <w:tcPr>
            <w:tcW w:w="1559" w:type="dxa"/>
            <w:vAlign w:val="center"/>
          </w:tcPr>
          <w:p>
            <w:pPr>
              <w:widowControl/>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45</w:t>
            </w:r>
          </w:p>
        </w:tc>
        <w:tc>
          <w:tcPr>
            <w:tcW w:w="1418"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dxa"/>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22</w:t>
            </w:r>
          </w:p>
        </w:tc>
        <w:tc>
          <w:tcPr>
            <w:tcW w:w="4646" w:type="dxa"/>
            <w:vAlign w:val="top"/>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数据采集网关</w:t>
            </w:r>
          </w:p>
        </w:tc>
        <w:tc>
          <w:tcPr>
            <w:tcW w:w="1559"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43</w:t>
            </w:r>
          </w:p>
        </w:tc>
        <w:tc>
          <w:tcPr>
            <w:tcW w:w="1418"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dxa"/>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23</w:t>
            </w:r>
          </w:p>
        </w:tc>
        <w:tc>
          <w:tcPr>
            <w:tcW w:w="4646" w:type="dxa"/>
            <w:vAlign w:val="top"/>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用户信息传输装置系列（消防）</w:t>
            </w:r>
          </w:p>
        </w:tc>
        <w:tc>
          <w:tcPr>
            <w:tcW w:w="1559"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418"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dxa"/>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24</w:t>
            </w:r>
          </w:p>
        </w:tc>
        <w:tc>
          <w:tcPr>
            <w:tcW w:w="4646" w:type="dxa"/>
            <w:vAlign w:val="top"/>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用户信息传输装置配件（消防）</w:t>
            </w:r>
          </w:p>
        </w:tc>
        <w:tc>
          <w:tcPr>
            <w:tcW w:w="1559"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418"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dxa"/>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25</w:t>
            </w:r>
          </w:p>
        </w:tc>
        <w:tc>
          <w:tcPr>
            <w:tcW w:w="4646" w:type="dxa"/>
            <w:vAlign w:val="top"/>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视频监控路数扩容</w:t>
            </w:r>
          </w:p>
        </w:tc>
        <w:tc>
          <w:tcPr>
            <w:tcW w:w="1559"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86</w:t>
            </w:r>
          </w:p>
        </w:tc>
        <w:tc>
          <w:tcPr>
            <w:tcW w:w="1418"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dxa"/>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26</w:t>
            </w:r>
          </w:p>
        </w:tc>
        <w:tc>
          <w:tcPr>
            <w:tcW w:w="4646" w:type="dxa"/>
            <w:vAlign w:val="top"/>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门禁管理路数扩容</w:t>
            </w:r>
          </w:p>
        </w:tc>
        <w:tc>
          <w:tcPr>
            <w:tcW w:w="1559" w:type="dxa"/>
            <w:vAlign w:val="center"/>
          </w:tcPr>
          <w:p>
            <w:pPr>
              <w:widowControl/>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71</w:t>
            </w:r>
          </w:p>
        </w:tc>
        <w:tc>
          <w:tcPr>
            <w:tcW w:w="1418"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dxa"/>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27</w:t>
            </w:r>
          </w:p>
        </w:tc>
        <w:tc>
          <w:tcPr>
            <w:tcW w:w="4646" w:type="dxa"/>
            <w:vAlign w:val="top"/>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动环监控应用组件</w:t>
            </w:r>
          </w:p>
        </w:tc>
        <w:tc>
          <w:tcPr>
            <w:tcW w:w="1559"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418"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dxa"/>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28</w:t>
            </w:r>
          </w:p>
        </w:tc>
        <w:tc>
          <w:tcPr>
            <w:tcW w:w="4646" w:type="dxa"/>
            <w:vAlign w:val="top"/>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消防应用组件</w:t>
            </w:r>
          </w:p>
        </w:tc>
        <w:tc>
          <w:tcPr>
            <w:tcW w:w="1559"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418"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364" w:type="dxa"/>
            <w:gridSpan w:val="4"/>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六、交换机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dxa"/>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29</w:t>
            </w:r>
          </w:p>
        </w:tc>
        <w:tc>
          <w:tcPr>
            <w:tcW w:w="4646" w:type="dxa"/>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核心交换机</w:t>
            </w:r>
            <w:r>
              <w:rPr>
                <w:rFonts w:hint="eastAsia" w:ascii="仿宋_GB2312" w:hAnsi="仿宋_GB2312" w:eastAsia="仿宋_GB2312" w:cs="仿宋_GB2312"/>
                <w:color w:val="FF0000"/>
                <w:kern w:val="0"/>
                <w:sz w:val="24"/>
                <w:szCs w:val="24"/>
                <w:lang w:eastAsia="zh-CN"/>
              </w:rPr>
              <w:t>（</w:t>
            </w:r>
            <w:r>
              <w:rPr>
                <w:rFonts w:hint="eastAsia" w:ascii="仿宋_GB2312" w:hAnsi="仿宋_GB2312" w:eastAsia="仿宋_GB2312" w:cs="仿宋_GB2312"/>
                <w:color w:val="FF0000"/>
                <w:kern w:val="0"/>
                <w:sz w:val="24"/>
                <w:szCs w:val="24"/>
                <w:lang w:val="en-US" w:eastAsia="zh-CN"/>
              </w:rPr>
              <w:t>核心产品</w:t>
            </w:r>
            <w:r>
              <w:rPr>
                <w:rFonts w:hint="eastAsia" w:ascii="仿宋_GB2312" w:hAnsi="仿宋_GB2312" w:eastAsia="仿宋_GB2312" w:cs="仿宋_GB2312"/>
                <w:color w:val="FF0000"/>
                <w:kern w:val="0"/>
                <w:sz w:val="24"/>
                <w:szCs w:val="24"/>
                <w:lang w:eastAsia="zh-CN"/>
              </w:rPr>
              <w:t>）</w:t>
            </w:r>
          </w:p>
        </w:tc>
        <w:tc>
          <w:tcPr>
            <w:tcW w:w="1559"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418"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dxa"/>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30</w:t>
            </w:r>
          </w:p>
        </w:tc>
        <w:tc>
          <w:tcPr>
            <w:tcW w:w="4646" w:type="dxa"/>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千兆接入交换机</w:t>
            </w:r>
          </w:p>
        </w:tc>
        <w:tc>
          <w:tcPr>
            <w:tcW w:w="1559"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418"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dxa"/>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31</w:t>
            </w:r>
          </w:p>
        </w:tc>
        <w:tc>
          <w:tcPr>
            <w:tcW w:w="4646" w:type="dxa"/>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万兆接入交换机</w:t>
            </w:r>
          </w:p>
        </w:tc>
        <w:tc>
          <w:tcPr>
            <w:tcW w:w="1559"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1418"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dxa"/>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32</w:t>
            </w:r>
          </w:p>
        </w:tc>
        <w:tc>
          <w:tcPr>
            <w:tcW w:w="4646" w:type="dxa"/>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综合接入交换机</w:t>
            </w:r>
          </w:p>
        </w:tc>
        <w:tc>
          <w:tcPr>
            <w:tcW w:w="1559"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418"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dxa"/>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33</w:t>
            </w:r>
          </w:p>
        </w:tc>
        <w:tc>
          <w:tcPr>
            <w:tcW w:w="4646" w:type="dxa"/>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专线接入交换机</w:t>
            </w:r>
          </w:p>
        </w:tc>
        <w:tc>
          <w:tcPr>
            <w:tcW w:w="1559"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418"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dxa"/>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34</w:t>
            </w:r>
          </w:p>
        </w:tc>
        <w:tc>
          <w:tcPr>
            <w:tcW w:w="4646" w:type="dxa"/>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带外管理核心交换机</w:t>
            </w:r>
          </w:p>
        </w:tc>
        <w:tc>
          <w:tcPr>
            <w:tcW w:w="1559"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418"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dxa"/>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35</w:t>
            </w:r>
          </w:p>
        </w:tc>
        <w:tc>
          <w:tcPr>
            <w:tcW w:w="4646" w:type="dxa"/>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console服务器</w:t>
            </w:r>
          </w:p>
        </w:tc>
        <w:tc>
          <w:tcPr>
            <w:tcW w:w="1559"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418"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364" w:type="dxa"/>
            <w:gridSpan w:val="4"/>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七、网络运维平台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dxa"/>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36</w:t>
            </w:r>
          </w:p>
        </w:tc>
        <w:tc>
          <w:tcPr>
            <w:tcW w:w="4646" w:type="dxa"/>
            <w:vAlign w:val="top"/>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网络运维管理组件</w:t>
            </w:r>
          </w:p>
        </w:tc>
        <w:tc>
          <w:tcPr>
            <w:tcW w:w="1559"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418"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364" w:type="dxa"/>
            <w:gridSpan w:val="4"/>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八、存储主机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dxa"/>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37</w:t>
            </w:r>
          </w:p>
        </w:tc>
        <w:tc>
          <w:tcPr>
            <w:tcW w:w="4646" w:type="dxa"/>
            <w:vAlign w:val="top"/>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存储主机</w:t>
            </w:r>
          </w:p>
        </w:tc>
        <w:tc>
          <w:tcPr>
            <w:tcW w:w="1559"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418"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364" w:type="dxa"/>
            <w:gridSpan w:val="4"/>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九、系统集成实施服务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1" w:type="dxa"/>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38</w:t>
            </w:r>
          </w:p>
        </w:tc>
        <w:tc>
          <w:tcPr>
            <w:tcW w:w="4646" w:type="dxa"/>
            <w:vAlign w:val="top"/>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系统集成实施服务</w:t>
            </w:r>
          </w:p>
        </w:tc>
        <w:tc>
          <w:tcPr>
            <w:tcW w:w="1559" w:type="dxa"/>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418" w:type="dxa"/>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套</w:t>
            </w:r>
          </w:p>
        </w:tc>
      </w:tr>
    </w:tbl>
    <w:p/>
    <w:p>
      <w:pPr>
        <w:pStyle w:val="6"/>
        <w:pageBreakBefore w:val="0"/>
        <w:widowControl w:val="0"/>
        <w:numPr>
          <w:ilvl w:val="2"/>
          <w:numId w:val="0"/>
        </w:numPr>
        <w:tabs>
          <w:tab w:val="left" w:pos="851"/>
        </w:tabs>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（三）产品详细技术要求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1. 数据安全一体机技术指标  </w:t>
      </w:r>
    </w:p>
    <w:tbl>
      <w:tblPr>
        <w:tblStyle w:val="59"/>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7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057" w:type="dxa"/>
            <w:gridSpan w:val="2"/>
            <w:vAlign w:val="center"/>
          </w:tcPr>
          <w:p>
            <w:pPr>
              <w:widowControl/>
              <w:jc w:val="center"/>
              <w:rPr>
                <w:rFonts w:hint="default" w:ascii="宋体" w:hAnsi="宋体" w:eastAsia="宋体" w:cs="楷体_GB2312"/>
                <w:b/>
                <w:bCs/>
                <w:kern w:val="0"/>
                <w:sz w:val="24"/>
                <w:szCs w:val="24"/>
                <w:lang w:val="en-US" w:eastAsia="zh-CN"/>
              </w:rPr>
            </w:pPr>
            <w:r>
              <w:rPr>
                <w:rFonts w:hint="eastAsia" w:ascii="仿宋_GB2312" w:hAnsi="仿宋_GB2312" w:eastAsia="仿宋_GB2312" w:cs="仿宋_GB2312"/>
                <w:b/>
                <w:bCs/>
                <w:kern w:val="0"/>
                <w:sz w:val="24"/>
                <w:szCs w:val="24"/>
                <w:lang w:val="en-US" w:eastAsia="zh-CN" w:bidi="ar-SA"/>
              </w:rPr>
              <w:t>硬件设备1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78" w:type="dxa"/>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功能指标</w:t>
            </w:r>
          </w:p>
        </w:tc>
        <w:tc>
          <w:tcPr>
            <w:tcW w:w="7579" w:type="dxa"/>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Align w:val="center"/>
          </w:tcPr>
          <w:p>
            <w:pPr>
              <w:autoSpaceDN w:val="0"/>
              <w:spacing w:line="276" w:lineRule="auto"/>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服务器外观</w:t>
            </w:r>
          </w:p>
        </w:tc>
        <w:tc>
          <w:tcPr>
            <w:tcW w:w="7579" w:type="dxa"/>
            <w:vAlign w:val="center"/>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机架式，2路服务器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Align w:val="center"/>
          </w:tcPr>
          <w:p>
            <w:pPr>
              <w:autoSpaceDN w:val="0"/>
              <w:spacing w:line="276" w:lineRule="auto"/>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cpu规格</w:t>
            </w:r>
          </w:p>
        </w:tc>
        <w:tc>
          <w:tcPr>
            <w:tcW w:w="7579" w:type="dxa"/>
            <w:vAlign w:val="center"/>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[Intel_Xeon_Silver4314]*2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Align w:val="center"/>
          </w:tcPr>
          <w:p>
            <w:pPr>
              <w:autoSpaceDN w:val="0"/>
              <w:spacing w:line="276" w:lineRule="auto"/>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cpu核数</w:t>
            </w:r>
          </w:p>
        </w:tc>
        <w:tc>
          <w:tcPr>
            <w:tcW w:w="7579" w:type="dxa"/>
            <w:vAlign w:val="center"/>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Align w:val="center"/>
          </w:tcPr>
          <w:p>
            <w:pPr>
              <w:autoSpaceDN w:val="0"/>
              <w:spacing w:line="276" w:lineRule="auto"/>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cpu主频</w:t>
            </w:r>
          </w:p>
        </w:tc>
        <w:tc>
          <w:tcPr>
            <w:tcW w:w="7579" w:type="dxa"/>
            <w:vAlign w:val="center"/>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2.40GHz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Align w:val="center"/>
          </w:tcPr>
          <w:p>
            <w:pPr>
              <w:autoSpaceDN w:val="0"/>
              <w:spacing w:line="276" w:lineRule="auto"/>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内存(GB)</w:t>
            </w:r>
          </w:p>
        </w:tc>
        <w:tc>
          <w:tcPr>
            <w:tcW w:w="7579" w:type="dxa"/>
            <w:vAlign w:val="center"/>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Align w:val="center"/>
          </w:tcPr>
          <w:p>
            <w:pPr>
              <w:autoSpaceDN w:val="0"/>
              <w:spacing w:line="276" w:lineRule="auto"/>
              <w:jc w:val="center"/>
              <w:textAlignment w:val="top"/>
              <w:rPr>
                <w:rFonts w:hint="eastAsia" w:ascii="仿宋_GB2312" w:hAnsi="仿宋_GB2312" w:eastAsia="仿宋_GB2312" w:cs="仿宋_GB2312"/>
                <w:sz w:val="24"/>
                <w:szCs w:val="24"/>
                <w:highlight w:val="lightGray"/>
              </w:rPr>
            </w:pPr>
            <w:r>
              <w:rPr>
                <w:rFonts w:hint="eastAsia" w:ascii="仿宋_GB2312" w:hAnsi="仿宋_GB2312" w:eastAsia="仿宋_GB2312" w:cs="仿宋_GB2312"/>
                <w:kern w:val="0"/>
                <w:sz w:val="24"/>
                <w:szCs w:val="24"/>
              </w:rPr>
              <w:t>内置硬盘</w:t>
            </w:r>
          </w:p>
        </w:tc>
        <w:tc>
          <w:tcPr>
            <w:tcW w:w="7579" w:type="dxa"/>
            <w:vAlign w:val="center"/>
          </w:tcPr>
          <w:p>
            <w:pPr>
              <w:autoSpaceDN w:val="0"/>
              <w:spacing w:line="276" w:lineRule="auto"/>
              <w:textAlignment w:val="top"/>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480G[480G_sata_ssd]*1</w:t>
            </w:r>
          </w:p>
          <w:p>
            <w:pPr>
              <w:autoSpaceDN w:val="0"/>
              <w:spacing w:line="276" w:lineRule="auto"/>
              <w:textAlignment w:val="top"/>
              <w:rPr>
                <w:rFonts w:hint="eastAsia" w:ascii="仿宋_GB2312" w:hAnsi="仿宋_GB2312" w:eastAsia="仿宋_GB2312" w:cs="仿宋_GB2312"/>
                <w:sz w:val="24"/>
                <w:szCs w:val="24"/>
                <w:highlight w:val="lightGray"/>
              </w:rPr>
            </w:pPr>
            <w:r>
              <w:rPr>
                <w:rFonts w:hint="eastAsia" w:ascii="仿宋_GB2312" w:hAnsi="仿宋_GB2312" w:eastAsia="仿宋_GB2312" w:cs="仿宋_GB2312"/>
                <w:kern w:val="0"/>
                <w:sz w:val="24"/>
                <w:szCs w:val="24"/>
              </w:rPr>
              <w:t>3840G[3840G_nvme_ssd]*1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Align w:val="center"/>
          </w:tcPr>
          <w:p>
            <w:pPr>
              <w:autoSpaceDN w:val="0"/>
              <w:spacing w:line="276" w:lineRule="auto"/>
              <w:jc w:val="center"/>
              <w:textAlignment w:val="top"/>
              <w:rPr>
                <w:rFonts w:hint="eastAsia" w:ascii="仿宋_GB2312" w:hAnsi="仿宋_GB2312" w:eastAsia="仿宋_GB2312" w:cs="仿宋_GB2312"/>
                <w:sz w:val="24"/>
                <w:szCs w:val="24"/>
                <w:highlight w:val="lightGray"/>
              </w:rPr>
            </w:pPr>
            <w:r>
              <w:rPr>
                <w:rFonts w:hint="eastAsia" w:ascii="仿宋_GB2312" w:hAnsi="仿宋_GB2312" w:eastAsia="仿宋_GB2312" w:cs="仿宋_GB2312"/>
                <w:kern w:val="0"/>
                <w:sz w:val="24"/>
                <w:szCs w:val="24"/>
              </w:rPr>
              <w:t>网口数量</w:t>
            </w:r>
          </w:p>
        </w:tc>
        <w:tc>
          <w:tcPr>
            <w:tcW w:w="7579" w:type="dxa"/>
            <w:vAlign w:val="center"/>
          </w:tcPr>
          <w:p>
            <w:pPr>
              <w:autoSpaceDN w:val="0"/>
              <w:spacing w:line="276" w:lineRule="auto"/>
              <w:textAlignment w:val="top"/>
              <w:rPr>
                <w:rFonts w:hint="eastAsia" w:ascii="仿宋_GB2312" w:hAnsi="仿宋_GB2312" w:eastAsia="仿宋_GB2312" w:cs="仿宋_GB2312"/>
                <w:sz w:val="24"/>
                <w:szCs w:val="24"/>
                <w:highlight w:val="lightGray"/>
              </w:rPr>
            </w:pPr>
            <w:r>
              <w:rPr>
                <w:rFonts w:hint="eastAsia" w:ascii="仿宋_GB2312" w:hAnsi="仿宋_GB2312" w:eastAsia="仿宋_GB2312" w:cs="仿宋_GB2312"/>
                <w:kern w:val="0"/>
                <w:sz w:val="24"/>
                <w:szCs w:val="24"/>
              </w:rPr>
              <w:t>10GE*2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Align w:val="center"/>
          </w:tcPr>
          <w:p>
            <w:pPr>
              <w:autoSpaceDN w:val="0"/>
              <w:spacing w:line="276" w:lineRule="auto"/>
              <w:jc w:val="center"/>
              <w:textAlignment w:val="top"/>
              <w:rPr>
                <w:rFonts w:hint="eastAsia" w:ascii="仿宋_GB2312" w:hAnsi="仿宋_GB2312" w:eastAsia="仿宋_GB2312" w:cs="仿宋_GB2312"/>
                <w:sz w:val="24"/>
                <w:szCs w:val="24"/>
                <w:highlight w:val="lightGray"/>
              </w:rPr>
            </w:pPr>
            <w:r>
              <w:rPr>
                <w:rFonts w:hint="eastAsia" w:ascii="仿宋_GB2312" w:hAnsi="仿宋_GB2312" w:eastAsia="仿宋_GB2312" w:cs="仿宋_GB2312"/>
                <w:kern w:val="0"/>
                <w:sz w:val="24"/>
                <w:szCs w:val="24"/>
              </w:rPr>
              <w:t>电源</w:t>
            </w:r>
          </w:p>
        </w:tc>
        <w:tc>
          <w:tcPr>
            <w:tcW w:w="7579" w:type="dxa"/>
            <w:vAlign w:val="center"/>
          </w:tcPr>
          <w:p>
            <w:pPr>
              <w:autoSpaceDN w:val="0"/>
              <w:spacing w:line="276" w:lineRule="auto"/>
              <w:textAlignment w:val="top"/>
              <w:rPr>
                <w:rFonts w:hint="eastAsia" w:ascii="仿宋_GB2312" w:hAnsi="仿宋_GB2312" w:eastAsia="仿宋_GB2312" w:cs="仿宋_GB2312"/>
                <w:sz w:val="24"/>
                <w:szCs w:val="24"/>
                <w:highlight w:val="lightGray"/>
              </w:rPr>
            </w:pPr>
            <w:r>
              <w:rPr>
                <w:rFonts w:hint="eastAsia" w:ascii="仿宋_GB2312" w:hAnsi="仿宋_GB2312" w:eastAsia="仿宋_GB2312" w:cs="仿宋_GB2312"/>
                <w:kern w:val="0"/>
                <w:sz w:val="24"/>
                <w:szCs w:val="24"/>
              </w:rPr>
              <w:t>220VAC/240HVDC交直流兼容电源，支持电源冗余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Align w:val="top"/>
          </w:tcPr>
          <w:p>
            <w:pPr>
              <w:autoSpaceDN w:val="0"/>
              <w:spacing w:line="276" w:lineRule="auto"/>
              <w:jc w:val="center"/>
              <w:textAlignment w:val="top"/>
              <w:rPr>
                <w:rFonts w:hint="eastAsia" w:ascii="仿宋_GB2312" w:hAnsi="仿宋_GB2312" w:eastAsia="仿宋_GB2312" w:cs="仿宋_GB2312"/>
                <w:sz w:val="24"/>
                <w:szCs w:val="24"/>
                <w:highlight w:val="lightGray"/>
              </w:rPr>
            </w:pPr>
            <w:r>
              <w:rPr>
                <w:rFonts w:hint="eastAsia" w:ascii="仿宋_GB2312" w:hAnsi="仿宋_GB2312" w:eastAsia="仿宋_GB2312" w:cs="仿宋_GB2312"/>
                <w:kern w:val="0"/>
                <w:sz w:val="24"/>
                <w:szCs w:val="24"/>
              </w:rPr>
              <w:t>安全性</w:t>
            </w:r>
          </w:p>
        </w:tc>
        <w:tc>
          <w:tcPr>
            <w:tcW w:w="7579" w:type="dxa"/>
            <w:vAlign w:val="top"/>
          </w:tcPr>
          <w:p>
            <w:pPr>
              <w:autoSpaceDN w:val="0"/>
              <w:spacing w:line="276" w:lineRule="auto"/>
              <w:textAlignment w:val="top"/>
              <w:rPr>
                <w:rFonts w:hint="eastAsia" w:ascii="仿宋_GB2312" w:hAnsi="仿宋_GB2312" w:eastAsia="仿宋_GB2312" w:cs="仿宋_GB2312"/>
                <w:sz w:val="24"/>
                <w:szCs w:val="24"/>
                <w:highlight w:val="lightGray"/>
              </w:rPr>
            </w:pPr>
            <w:r>
              <w:rPr>
                <w:rFonts w:hint="eastAsia" w:ascii="仿宋_GB2312" w:hAnsi="仿宋_GB2312" w:eastAsia="仿宋_GB2312" w:cs="仿宋_GB2312"/>
                <w:color w:val="FF0000"/>
                <w:kern w:val="0"/>
                <w:sz w:val="24"/>
                <w:szCs w:val="24"/>
              </w:rPr>
              <w:t>支持嵌入式管理模块支持防火墙功能，可基于MAC地址，IP定义访问规则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Align w:val="top"/>
          </w:tcPr>
          <w:p>
            <w:pPr>
              <w:autoSpaceDN w:val="0"/>
              <w:spacing w:line="276" w:lineRule="auto"/>
              <w:jc w:val="center"/>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质保要求</w:t>
            </w:r>
          </w:p>
        </w:tc>
        <w:tc>
          <w:tcPr>
            <w:tcW w:w="7579" w:type="dxa"/>
            <w:vAlign w:val="top"/>
          </w:tcPr>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3年7*24*小时工程师带备件上门服务，8小时内恢复服务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7" w:type="dxa"/>
            <w:gridSpan w:val="2"/>
            <w:vAlign w:val="top"/>
          </w:tcPr>
          <w:p>
            <w:pPr>
              <w:autoSpaceDN w:val="0"/>
              <w:spacing w:line="276" w:lineRule="auto"/>
              <w:jc w:val="center"/>
              <w:textAlignment w:val="top"/>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eastAsia="zh-CN"/>
              </w:rPr>
              <w:t>硬件设备</w:t>
            </w:r>
            <w:r>
              <w:rPr>
                <w:rFonts w:hint="eastAsia" w:ascii="仿宋_GB2312" w:hAnsi="仿宋_GB2312" w:eastAsia="仿宋_GB2312" w:cs="仿宋_GB2312"/>
                <w:b/>
                <w:bCs/>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功能指标</w:t>
            </w:r>
          </w:p>
        </w:tc>
        <w:tc>
          <w:tcPr>
            <w:tcW w:w="7579" w:type="dxa"/>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Align w:val="center"/>
          </w:tcPr>
          <w:p>
            <w:pPr>
              <w:autoSpaceDN w:val="0"/>
              <w:spacing w:line="276" w:lineRule="auto"/>
              <w:jc w:val="center"/>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服务器外观</w:t>
            </w:r>
          </w:p>
        </w:tc>
        <w:tc>
          <w:tcPr>
            <w:tcW w:w="7579" w:type="dxa"/>
            <w:vAlign w:val="center"/>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机架式，2路服务器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Align w:val="center"/>
          </w:tcPr>
          <w:p>
            <w:pPr>
              <w:autoSpaceDN w:val="0"/>
              <w:spacing w:line="276" w:lineRule="auto"/>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cpu规格</w:t>
            </w:r>
          </w:p>
        </w:tc>
        <w:tc>
          <w:tcPr>
            <w:tcW w:w="7579" w:type="dxa"/>
            <w:vAlign w:val="center"/>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[Intel_Xeon_Gold5218]*2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Align w:val="center"/>
          </w:tcPr>
          <w:p>
            <w:pPr>
              <w:autoSpaceDN w:val="0"/>
              <w:spacing w:line="276" w:lineRule="auto"/>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cpu核数</w:t>
            </w:r>
          </w:p>
        </w:tc>
        <w:tc>
          <w:tcPr>
            <w:tcW w:w="7579" w:type="dxa"/>
            <w:vAlign w:val="center"/>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Align w:val="center"/>
          </w:tcPr>
          <w:p>
            <w:pPr>
              <w:autoSpaceDN w:val="0"/>
              <w:spacing w:line="276" w:lineRule="auto"/>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cpu主频</w:t>
            </w:r>
          </w:p>
        </w:tc>
        <w:tc>
          <w:tcPr>
            <w:tcW w:w="7579" w:type="dxa"/>
            <w:vAlign w:val="center"/>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Align w:val="center"/>
          </w:tcPr>
          <w:p>
            <w:pPr>
              <w:autoSpaceDN w:val="0"/>
              <w:spacing w:line="276" w:lineRule="auto"/>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gpu规格</w:t>
            </w:r>
          </w:p>
        </w:tc>
        <w:tc>
          <w:tcPr>
            <w:tcW w:w="7579" w:type="dxa"/>
            <w:vAlign w:val="center"/>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NVIDIA_Tesla_T4*8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Align w:val="center"/>
          </w:tcPr>
          <w:p>
            <w:pPr>
              <w:autoSpaceDN w:val="0"/>
              <w:spacing w:line="276" w:lineRule="auto"/>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内存(GB)</w:t>
            </w:r>
          </w:p>
        </w:tc>
        <w:tc>
          <w:tcPr>
            <w:tcW w:w="7579" w:type="dxa"/>
            <w:vAlign w:val="center"/>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Align w:val="center"/>
          </w:tcPr>
          <w:p>
            <w:pPr>
              <w:autoSpaceDN w:val="0"/>
              <w:spacing w:line="276" w:lineRule="auto"/>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内置硬盘</w:t>
            </w:r>
          </w:p>
        </w:tc>
        <w:tc>
          <w:tcPr>
            <w:tcW w:w="7579" w:type="dxa"/>
            <w:vAlign w:val="center"/>
          </w:tcPr>
          <w:p>
            <w:pPr>
              <w:autoSpaceDN w:val="0"/>
              <w:spacing w:line="276" w:lineRule="auto"/>
              <w:textAlignment w:val="top"/>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240G[480G_sata_ssd]*1</w:t>
            </w:r>
          </w:p>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1920G[1920G_nvme_ssd]*1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Align w:val="center"/>
          </w:tcPr>
          <w:p>
            <w:pPr>
              <w:autoSpaceDN w:val="0"/>
              <w:spacing w:line="276" w:lineRule="auto"/>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网口数量</w:t>
            </w:r>
          </w:p>
        </w:tc>
        <w:tc>
          <w:tcPr>
            <w:tcW w:w="7579" w:type="dxa"/>
            <w:vAlign w:val="center"/>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10GE*2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Align w:val="center"/>
          </w:tcPr>
          <w:p>
            <w:pPr>
              <w:autoSpaceDN w:val="0"/>
              <w:spacing w:line="276" w:lineRule="auto"/>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电源</w:t>
            </w:r>
          </w:p>
        </w:tc>
        <w:tc>
          <w:tcPr>
            <w:tcW w:w="7579" w:type="dxa"/>
            <w:vAlign w:val="center"/>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220VAC/240HVDC交直流兼容电源，支持电源冗余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Align w:val="top"/>
          </w:tcPr>
          <w:p>
            <w:pPr>
              <w:autoSpaceDN w:val="0"/>
              <w:spacing w:line="276" w:lineRule="auto"/>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安全性</w:t>
            </w:r>
          </w:p>
        </w:tc>
        <w:tc>
          <w:tcPr>
            <w:tcW w:w="7579" w:type="dxa"/>
            <w:vAlign w:val="top"/>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color w:val="FF0000"/>
                <w:sz w:val="24"/>
                <w:szCs w:val="24"/>
              </w:rPr>
              <w:t>支持嵌入式管理模块支持防火墙功能，可基于MAC地址，IP定义访问规则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Align w:val="top"/>
          </w:tcPr>
          <w:p>
            <w:pPr>
              <w:autoSpaceDN w:val="0"/>
              <w:spacing w:line="276" w:lineRule="auto"/>
              <w:jc w:val="center"/>
              <w:textAlignment w:val="top"/>
              <w:rPr>
                <w:rFonts w:hint="eastAsia" w:ascii="仿宋_GB2312" w:hAnsi="仿宋_GB2312" w:eastAsia="仿宋_GB2312" w:cs="仿宋_GB2312"/>
                <w:sz w:val="24"/>
                <w:szCs w:val="24"/>
                <w:highlight w:val="lightGray"/>
              </w:rPr>
            </w:pPr>
            <w:r>
              <w:rPr>
                <w:rFonts w:hint="eastAsia" w:ascii="仿宋_GB2312" w:hAnsi="仿宋_GB2312" w:eastAsia="仿宋_GB2312" w:cs="仿宋_GB2312"/>
                <w:kern w:val="0"/>
                <w:sz w:val="24"/>
                <w:szCs w:val="24"/>
              </w:rPr>
              <w:t>质保要求</w:t>
            </w:r>
          </w:p>
        </w:tc>
        <w:tc>
          <w:tcPr>
            <w:tcW w:w="7579" w:type="dxa"/>
            <w:vAlign w:val="top"/>
          </w:tcPr>
          <w:p>
            <w:pPr>
              <w:autoSpaceDN w:val="0"/>
              <w:spacing w:line="276" w:lineRule="auto"/>
              <w:textAlignment w:val="top"/>
              <w:rPr>
                <w:rFonts w:hint="eastAsia" w:ascii="仿宋_GB2312" w:hAnsi="仿宋_GB2312" w:eastAsia="仿宋_GB2312" w:cs="仿宋_GB2312"/>
                <w:sz w:val="24"/>
                <w:szCs w:val="24"/>
                <w:highlight w:val="lightGray"/>
              </w:rPr>
            </w:pPr>
            <w:r>
              <w:rPr>
                <w:rFonts w:hint="eastAsia" w:ascii="仿宋_GB2312" w:hAnsi="仿宋_GB2312" w:eastAsia="仿宋_GB2312" w:cs="仿宋_GB2312"/>
                <w:sz w:val="24"/>
                <w:szCs w:val="24"/>
              </w:rPr>
              <w:t>3年7*24*小时工程师带备件上门服务，8小时内恢复服务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7" w:type="dxa"/>
            <w:gridSpan w:val="2"/>
            <w:vAlign w:val="top"/>
          </w:tcPr>
          <w:p>
            <w:pPr>
              <w:autoSpaceDN w:val="0"/>
              <w:spacing w:line="276" w:lineRule="auto"/>
              <w:jc w:val="center"/>
              <w:textAlignment w:val="top"/>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kern w:val="0"/>
                <w:sz w:val="24"/>
                <w:szCs w:val="24"/>
                <w:lang w:eastAsia="zh-CN"/>
              </w:rPr>
              <w:t>硬件设备</w:t>
            </w:r>
            <w:r>
              <w:rPr>
                <w:rFonts w:hint="eastAsia" w:ascii="仿宋_GB2312" w:hAnsi="仿宋_GB2312" w:eastAsia="仿宋_GB2312" w:cs="仿宋_GB2312"/>
                <w:b/>
                <w:bCs/>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功能指标</w:t>
            </w:r>
          </w:p>
        </w:tc>
        <w:tc>
          <w:tcPr>
            <w:tcW w:w="7579" w:type="dxa"/>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Align w:val="center"/>
          </w:tcPr>
          <w:p>
            <w:pPr>
              <w:autoSpaceDN w:val="0"/>
              <w:spacing w:line="276" w:lineRule="auto"/>
              <w:jc w:val="center"/>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服务器外观</w:t>
            </w:r>
          </w:p>
        </w:tc>
        <w:tc>
          <w:tcPr>
            <w:tcW w:w="7579" w:type="dxa"/>
            <w:vAlign w:val="center"/>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机架式，2路服务器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Align w:val="center"/>
          </w:tcPr>
          <w:p>
            <w:pPr>
              <w:autoSpaceDN w:val="0"/>
              <w:spacing w:line="276" w:lineRule="auto"/>
              <w:jc w:val="center"/>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cpu规格</w:t>
            </w:r>
          </w:p>
        </w:tc>
        <w:tc>
          <w:tcPr>
            <w:tcW w:w="7579" w:type="dxa"/>
            <w:vAlign w:val="center"/>
          </w:tcPr>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[Intel_Xeon_Platinum8260]*2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Align w:val="center"/>
          </w:tcPr>
          <w:p>
            <w:pPr>
              <w:autoSpaceDN w:val="0"/>
              <w:spacing w:line="276" w:lineRule="auto"/>
              <w:jc w:val="center"/>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cpu核数</w:t>
            </w:r>
          </w:p>
        </w:tc>
        <w:tc>
          <w:tcPr>
            <w:tcW w:w="7579" w:type="dxa"/>
            <w:vAlign w:val="center"/>
          </w:tcPr>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Align w:val="center"/>
          </w:tcPr>
          <w:p>
            <w:pPr>
              <w:autoSpaceDN w:val="0"/>
              <w:spacing w:line="276" w:lineRule="auto"/>
              <w:jc w:val="center"/>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cpu主频</w:t>
            </w:r>
          </w:p>
        </w:tc>
        <w:tc>
          <w:tcPr>
            <w:tcW w:w="7579" w:type="dxa"/>
            <w:vAlign w:val="center"/>
          </w:tcPr>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2.40GHz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Align w:val="center"/>
          </w:tcPr>
          <w:p>
            <w:pPr>
              <w:autoSpaceDN w:val="0"/>
              <w:spacing w:line="276" w:lineRule="auto"/>
              <w:jc w:val="center"/>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内存(GB)</w:t>
            </w:r>
          </w:p>
        </w:tc>
        <w:tc>
          <w:tcPr>
            <w:tcW w:w="7579" w:type="dxa"/>
            <w:vAlign w:val="center"/>
          </w:tcPr>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Align w:val="center"/>
          </w:tcPr>
          <w:p>
            <w:pPr>
              <w:autoSpaceDN w:val="0"/>
              <w:spacing w:line="276" w:lineRule="auto"/>
              <w:jc w:val="center"/>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内置硬盘</w:t>
            </w:r>
          </w:p>
        </w:tc>
        <w:tc>
          <w:tcPr>
            <w:tcW w:w="7579" w:type="dxa"/>
            <w:vAlign w:val="center"/>
          </w:tcPr>
          <w:p>
            <w:pPr>
              <w:autoSpaceDN w:val="0"/>
              <w:spacing w:line="276" w:lineRule="auto"/>
              <w:textAlignment w:val="top"/>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240G[240G_sata_ssd]*1</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1920G[1920G_nvme_ssd]*10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Align w:val="center"/>
          </w:tcPr>
          <w:p>
            <w:pPr>
              <w:autoSpaceDN w:val="0"/>
              <w:spacing w:line="276" w:lineRule="auto"/>
              <w:jc w:val="center"/>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网口数量</w:t>
            </w:r>
          </w:p>
        </w:tc>
        <w:tc>
          <w:tcPr>
            <w:tcW w:w="7579" w:type="dxa"/>
            <w:vAlign w:val="center"/>
          </w:tcPr>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10GE*2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Align w:val="center"/>
          </w:tcPr>
          <w:p>
            <w:pPr>
              <w:autoSpaceDN w:val="0"/>
              <w:spacing w:line="276" w:lineRule="auto"/>
              <w:jc w:val="center"/>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电源</w:t>
            </w:r>
          </w:p>
        </w:tc>
        <w:tc>
          <w:tcPr>
            <w:tcW w:w="7579" w:type="dxa"/>
            <w:vAlign w:val="center"/>
          </w:tcPr>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220VAC/240HVDC交直流兼容电源，支持电源冗余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Align w:val="top"/>
          </w:tcPr>
          <w:p>
            <w:pPr>
              <w:autoSpaceDN w:val="0"/>
              <w:spacing w:line="276" w:lineRule="auto"/>
              <w:jc w:val="center"/>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安全性</w:t>
            </w:r>
          </w:p>
        </w:tc>
        <w:tc>
          <w:tcPr>
            <w:tcW w:w="7579" w:type="dxa"/>
            <w:vAlign w:val="top"/>
          </w:tcPr>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color w:val="FF0000"/>
                <w:kern w:val="0"/>
                <w:sz w:val="24"/>
                <w:szCs w:val="24"/>
              </w:rPr>
              <w:t>支持嵌入式管理模块支持防火墙功能，可基于MAC地址，IP定义访问规则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Align w:val="top"/>
          </w:tcPr>
          <w:p>
            <w:pPr>
              <w:autoSpaceDN w:val="0"/>
              <w:spacing w:line="276" w:lineRule="auto"/>
              <w:jc w:val="center"/>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质保要求</w:t>
            </w:r>
          </w:p>
        </w:tc>
        <w:tc>
          <w:tcPr>
            <w:tcW w:w="7579" w:type="dxa"/>
            <w:vAlign w:val="top"/>
          </w:tcPr>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3年7*24*小时工程师带备件上门服务，8小时内恢复服务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7" w:type="dxa"/>
            <w:gridSpan w:val="2"/>
            <w:vAlign w:val="top"/>
          </w:tcPr>
          <w:p>
            <w:pPr>
              <w:autoSpaceDN w:val="0"/>
              <w:spacing w:line="276" w:lineRule="auto"/>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b/>
                <w:bCs/>
                <w:color w:val="000000"/>
                <w:kern w:val="0"/>
                <w:sz w:val="24"/>
                <w:szCs w:val="24"/>
              </w:rPr>
              <w:t>安全管理平台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Align w:val="center"/>
          </w:tcPr>
          <w:p>
            <w:pPr>
              <w:autoSpaceDN w:val="0"/>
              <w:spacing w:line="276" w:lineRule="auto"/>
              <w:jc w:val="center"/>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功能指标</w:t>
            </w:r>
          </w:p>
        </w:tc>
        <w:tc>
          <w:tcPr>
            <w:tcW w:w="7579" w:type="dxa"/>
            <w:vAlign w:val="center"/>
          </w:tcPr>
          <w:p>
            <w:pPr>
              <w:autoSpaceDN w:val="0"/>
              <w:spacing w:line="276" w:lineRule="auto"/>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Align w:val="center"/>
          </w:tcPr>
          <w:p>
            <w:pPr>
              <w:autoSpaceDN w:val="0"/>
              <w:spacing w:line="276" w:lineRule="auto"/>
              <w:jc w:val="center"/>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响应编排</w:t>
            </w:r>
          </w:p>
        </w:tc>
        <w:tc>
          <w:tcPr>
            <w:tcW w:w="7579" w:type="dxa"/>
            <w:vAlign w:val="center"/>
          </w:tcPr>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内置丰富的日常安全告警处置和联动封禁等自动化安全运营剧本</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支持联合作战室和机器人助手，针对告警和恶意行为进行调查和阻断</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支持通过流式告警、定期任务、人工执行剧本生成案件，支持查看案件内关联的数据信息</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内置安全组件实体，可进行各种安全资源的调度，下发动作执行动作指令</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支持安全处置经验知识库</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支持通过拖拽和配置方式，自定义业务场景的剧本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Align w:val="center"/>
          </w:tcPr>
          <w:p>
            <w:pPr>
              <w:autoSpaceDN w:val="0"/>
              <w:spacing w:line="276" w:lineRule="auto"/>
              <w:jc w:val="center"/>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态势监控</w:t>
            </w:r>
          </w:p>
        </w:tc>
        <w:tc>
          <w:tcPr>
            <w:tcW w:w="7579" w:type="dxa"/>
            <w:vAlign w:val="center"/>
          </w:tcPr>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支持云环境全局新发现网络攻击、异常行为、安全脆弱性、防护组织、TOP5遭受攻击组织、TOP5待处理异常行为、TOP5待处理脆弱性等数据统计呈现</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支持云主机保护在线率、新增云资产分布、防护资产类型分布等数据统计</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支持网络攻击类型分布及最新网络攻击事件、异常行为类型分布及最新异常行为、安全变化趋势等数据的统计呈现</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 xml:space="preserve">报表管理 </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支持以列表的形式进行报表生成任务管理</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支持生成指定租户的数据报表日报、周报和月报，并发送到指定邮箱</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支持生成数据报表任务的查看和数据报表在线下载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Align w:val="center"/>
          </w:tcPr>
          <w:p>
            <w:pPr>
              <w:autoSpaceDN w:val="0"/>
              <w:spacing w:line="276" w:lineRule="auto"/>
              <w:jc w:val="center"/>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日志管理</w:t>
            </w:r>
          </w:p>
        </w:tc>
        <w:tc>
          <w:tcPr>
            <w:tcW w:w="7579" w:type="dxa"/>
            <w:vAlign w:val="center"/>
          </w:tcPr>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新建日志解析模板，以完成第三方接入日志自动化解析，支持Json、JsonArray、JsonCut、JsonArrayCut、grok、keyValue等日志拆分解析方式，同时支持解析日志的时间戳格式化、添加字段、删除字段、脚本格式化等格式化处理</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基于审计日志的任意字段及内容进行统计计数、最大值、最小值、平均数、总和等统计，并以柱状图、折线图、饼图、单值图、表格的形式进行呈现</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基于日志查询结果可自定义统计计算窗口，并在日志概览中进行呈现</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审计日志支持一键导出到Excel</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支持主机安全、NDR、Web应用防火墙、防火墙、堡垒机等安全网元内置日志解析模板，同时支持第三方安全网元内置日志解析模板</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支持关键字和Json DSL两种日志查询方式</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支持基于时间范围、所属组织、数据源、日志字段、日志内容等条件进行全局标准化日志的检索查询</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支持安全网元日志源的内置接入，同时支持第三方产品日志源通过Syslog方式的手动配置接入</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支持指定日志源外发标准化日志到其他第三方服务器</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支持查看平台侧审计时间范围内，指定日志源的审计日志查询</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支持脚本或手动选择进行标准化日志字段关系映射</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支持通过关键字与/或/非/大于/小于/等于等逻辑表达式进行日志检索查询，支持关键字模糊匹配查询，并支持保存为快速日志查询条件</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日志查询结果支持结构化数据列表和Syslog格式数据列表的呈现方式，所有日志字段支持灵活自定义和字段累加统计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Align w:val="center"/>
          </w:tcPr>
          <w:p>
            <w:pPr>
              <w:autoSpaceDN w:val="0"/>
              <w:spacing w:line="276" w:lineRule="auto"/>
              <w:jc w:val="center"/>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规则管理</w:t>
            </w:r>
          </w:p>
        </w:tc>
        <w:tc>
          <w:tcPr>
            <w:tcW w:w="7579" w:type="dxa"/>
            <w:vAlign w:val="center"/>
          </w:tcPr>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支持以列表的形式进行关联检测规则管理，支持威胁级别、威胁类型、威胁名称等多维度条件进行规则筛选查询</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支持内置关联分析规则，包括威胁名称、威胁级别、威胁类型、攻击阶段、ATT &amp; CK ID、威胁描述和处置建议等属性信息，并支持规则自定义</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支持手动添加IP封禁策略到NDR，并支持IPv4和IPv6协议，支持源/目的IP、目的端口、封禁时长、封禁类型等策略属性配置</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自定义关联条件支持以顺序发生和同周期内发生两种关联时序，可基于日志范围、源/目的IP、日志字段、周期内日志数量等属性条件进行关联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Align w:val="center"/>
          </w:tcPr>
          <w:p>
            <w:pPr>
              <w:autoSpaceDN w:val="0"/>
              <w:spacing w:line="276" w:lineRule="auto"/>
              <w:jc w:val="center"/>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资产管理</w:t>
            </w:r>
          </w:p>
        </w:tc>
        <w:tc>
          <w:tcPr>
            <w:tcW w:w="7579" w:type="dxa"/>
            <w:vAlign w:val="center"/>
          </w:tcPr>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云主机资产以列表形式集中呈现，包括IP公/私网地址、所属组织/单位、所属VPC、运行状态、操作系统、是否为新增、可疑安全组、安全告警、脆弱性风险、网络攻击、Agent状态、快照、内存、磁盘等信息</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支持单资产详细网络攻击、异常行为、脆弱性风险的信息查看</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云存储资产以列表方式集中呈现，包括云存储实例名称、组织、磁盘占用、是否为新增、访问权限、referer配置等信息</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云弹性外网IP资产以列表方式集中呈现，包括 ID/名称、运行状态、是否为新增、带宽，支持单资产详细网络攻击、异常行为、脆弱性风险的信息查看</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云数据库资产以列表方式集中呈现，包括各云数据库的实例ID、组织、类型、备份情况、白名单IP状态（严格/宽松）、白名单组、网络类型、SSL加密、TDE加密等信息</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云负载均衡资产以列表方式集中呈现，包括ID/名称、IP地址、组织、是否为新增、运行状态、监听端口等信息，支持单资产详细网络攻击、异常行为、脆弱性风险的信息查看</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支持云平台资产信息的采集，并以列表的形式进行呈现，包括服务器名称/ip、操作系统、异常行为、在线状态等信息</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支持租户侧云主机或虚拟化资产的信息采集，包括云主机、云数据库、云存储、负载均衡、弹性外网IP和Tunnel等资产实例信息</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支持基于服务器名称或Ip地址进行资产筛选查询，支持一键导出资产信息列表</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支持多维度条件的资产筛选查询，支持一键导出资产详细信息列表</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支持资产IP、用户UID、主机地域、内网IP、在线状态、主机UUID、主机别名等基础信息查看</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支持资产异常行为详细信息查看，包括异常等级、异常名称、异常类型等信息</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支持资产类型分布、近一日新增资产、公网开放资产类型等信息统计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Align w:val="center"/>
          </w:tcPr>
          <w:p>
            <w:pPr>
              <w:autoSpaceDN w:val="0"/>
              <w:spacing w:line="276" w:lineRule="auto"/>
              <w:jc w:val="center"/>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运营中心</w:t>
            </w:r>
          </w:p>
        </w:tc>
        <w:tc>
          <w:tcPr>
            <w:tcW w:w="7579" w:type="dxa"/>
            <w:vAlign w:val="center"/>
          </w:tcPr>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支持安全告警总数、处置闭环率、处置动作占比、告警风险级别、告警数据源、告警类型分布、TOP10攻击源IP、TOP10被攻击IP等告警数据统计</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支持发生时间、攻击IP、被攻击IP、告警类型等多维度条件进行安全告警聚合，并以聚合列表的形式呈现，支持查看安全告警详细证据信息</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支持时间范围、告警数据源、告警类型、告警级别、处置状态、自定义标签等多维度条件的安全告警筛选查询，并保存为安全告警快速筛选条件</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支持通过主机安全、网络安全的API接口进行安全告警的响应处置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Align w:val="center"/>
          </w:tcPr>
          <w:p>
            <w:pPr>
              <w:autoSpaceDN w:val="0"/>
              <w:spacing w:line="276" w:lineRule="auto"/>
              <w:jc w:val="center"/>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运营管理</w:t>
            </w:r>
          </w:p>
        </w:tc>
        <w:tc>
          <w:tcPr>
            <w:tcW w:w="7579" w:type="dxa"/>
            <w:vAlign w:val="center"/>
          </w:tcPr>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支持云平台数据库、主机、网络设备用户操作事件采集、审计、查询，包括资源管理事件、数据库攻击、错误事件、更改事件、访问事件、资源管理事件、权限事件和账号事件</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支持审计，可查看指定时间7天以内的日志概览统计，包括原始日志趋势、审计事件趋势、审计风险分布、危险事件分布、存储用量、审计类型等</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审计日志支持按指定时间搜索和趋势呈现，支持基于关键参数值进行筛选查询</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支持以txt格式批量导入IP地址及地理位置对应关系</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支持审计日志自动化归档、导出下载管理</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支持审计规则配置、查询、管理，规则配置支持审计类型、审计对象、操作类型、操作风险级别等属性，并按照发起者、目标、命令、结果、原因的关键字等于、包含、正则匹配审计日志</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支持指定审计类型、审计对象、风险等级的审计日志告警配置，并向指定邮箱发送告警通知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Align w:val="center"/>
          </w:tcPr>
          <w:p>
            <w:pPr>
              <w:autoSpaceDN w:val="0"/>
              <w:spacing w:line="276" w:lineRule="auto"/>
              <w:jc w:val="center"/>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风险分析</w:t>
            </w:r>
          </w:p>
        </w:tc>
        <w:tc>
          <w:tcPr>
            <w:tcW w:w="7579" w:type="dxa"/>
            <w:vAlign w:val="center"/>
          </w:tcPr>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支持云环境全局威胁事件集中呈现，包括威胁名称、威胁类型、ATT &amp; CK ID、威胁描述、处置建议、网络协议、源/目的IP及端口、匹配已知威胁情报、域名、文件名、进程信息等关键信息</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支持威胁事件一键转换为响应事件，将威胁事件相关信息导入到响应编排中心</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支持威胁事件风险判定的证据信息，并按照KillChain各阶段进行映射关联</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支持恶意指标画像，包括威胁等级、基本信息、IP标签、攻击目标、攻击次数、攻击影响程度、WHOIS、情报源等信息</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支持TOP10活跃恶意IP呈现，包括IP、活跃时间、恶意标签等信息</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支持云平台和租户侧资产的违规安全配置基线集中呈现，包括基线名称、风险分类、风险等级、受影响资产、资产归属组织、基线详细描述等信息</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支持时间范围、攻击源/目的IP、威胁事件级别、威胁类型、攻击阶段、自定义标签等多维度条件的筛选查询</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支持本地化威胁情报服务，具有百万级恶意IP、域名、URL情报库，可覆盖暗网、恶意登陆、恶意下载、矿池等类型</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支持租户侧租户、流量方向、租户各IP及相应流量大小的统计信息呈现</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支持租户侧资产安全漏洞信息集中呈现，包括由漏洞名称、漏洞类型、漏洞等级、CVEID、受影响资产、资产归属租户、修复建议、处理状态、解决方案等信息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7" w:type="dxa"/>
            <w:gridSpan w:val="2"/>
            <w:vAlign w:val="top"/>
          </w:tcPr>
          <w:p>
            <w:pPr>
              <w:autoSpaceDN w:val="0"/>
              <w:spacing w:line="276" w:lineRule="auto"/>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b/>
                <w:bCs/>
                <w:color w:val="000000"/>
                <w:kern w:val="0"/>
                <w:sz w:val="24"/>
                <w:szCs w:val="24"/>
              </w:rPr>
              <w:t>主机安全防护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 w:type="dxa"/>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功能指标</w:t>
            </w:r>
          </w:p>
        </w:tc>
        <w:tc>
          <w:tcPr>
            <w:tcW w:w="7579" w:type="dxa"/>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1478" w:type="dxa"/>
            <w:vMerge w:val="restart"/>
            <w:vAlign w:val="center"/>
          </w:tcPr>
          <w:p>
            <w:pPr>
              <w:autoSpaceDN w:val="0"/>
              <w:spacing w:line="276" w:lineRule="auto"/>
              <w:jc w:val="center"/>
              <w:textAlignment w:val="top"/>
              <w:rPr>
                <w:rFonts w:hint="eastAsia" w:ascii="仿宋_GB2312" w:hAnsi="仿宋_GB2312" w:eastAsia="仿宋_GB2312" w:cs="仿宋_GB2312"/>
                <w:b/>
                <w:bCs/>
                <w:kern w:val="0"/>
                <w:sz w:val="24"/>
                <w:szCs w:val="24"/>
              </w:rPr>
            </w:pPr>
            <w:r>
              <w:rPr>
                <w:rFonts w:hint="eastAsia" w:ascii="仿宋_GB2312" w:hAnsi="仿宋_GB2312" w:eastAsia="仿宋_GB2312" w:cs="仿宋_GB2312"/>
                <w:color w:val="000000"/>
                <w:kern w:val="0"/>
                <w:sz w:val="24"/>
                <w:szCs w:val="24"/>
              </w:rPr>
              <w:t>主机设置</w:t>
            </w:r>
          </w:p>
        </w:tc>
        <w:tc>
          <w:tcPr>
            <w:tcW w:w="7579" w:type="dxa"/>
            <w:vAlign w:val="top"/>
          </w:tcPr>
          <w:p>
            <w:pPr>
              <w:autoSpaceDN w:val="0"/>
              <w:spacing w:line="276" w:lineRule="auto"/>
              <w:textAlignment w:val="top"/>
              <w:rPr>
                <w:rFonts w:hint="eastAsia" w:ascii="仿宋_GB2312" w:hAnsi="仿宋_GB2312" w:eastAsia="仿宋_GB2312" w:cs="仿宋_GB2312"/>
                <w:b/>
                <w:bCs/>
                <w:kern w:val="0"/>
                <w:sz w:val="24"/>
                <w:szCs w:val="24"/>
              </w:rPr>
            </w:pPr>
            <w:r>
              <w:rPr>
                <w:rFonts w:hint="eastAsia" w:ascii="仿宋_GB2312" w:hAnsi="仿宋_GB2312" w:eastAsia="仿宋_GB2312" w:cs="仿宋_GB2312"/>
                <w:sz w:val="24"/>
                <w:szCs w:val="24"/>
              </w:rPr>
              <w:t>支持客户端使用最低的内存和CPU运行防护工作，cpu占用峰值小于10%、内存占用峰值小于50MB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1478" w:type="dxa"/>
            <w:vMerge w:val="continue"/>
            <w:vAlign w:val="center"/>
          </w:tcPr>
          <w:p>
            <w:pPr>
              <w:autoSpaceDN w:val="0"/>
              <w:spacing w:line="276" w:lineRule="auto"/>
              <w:jc w:val="center"/>
              <w:textAlignment w:val="top"/>
              <w:rPr>
                <w:rFonts w:hint="eastAsia" w:ascii="仿宋_GB2312" w:hAnsi="仿宋_GB2312" w:eastAsia="仿宋_GB2312" w:cs="仿宋_GB2312"/>
                <w:color w:val="000000"/>
                <w:kern w:val="0"/>
                <w:sz w:val="24"/>
                <w:szCs w:val="24"/>
              </w:rPr>
            </w:pPr>
          </w:p>
        </w:tc>
        <w:tc>
          <w:tcPr>
            <w:tcW w:w="7579" w:type="dxa"/>
            <w:vAlign w:val="top"/>
          </w:tcPr>
          <w:p>
            <w:pPr>
              <w:autoSpaceDN w:val="0"/>
              <w:spacing w:line="276" w:lineRule="auto"/>
              <w:textAlignment w:val="top"/>
              <w:rPr>
                <w:rFonts w:hint="eastAsia" w:ascii="仿宋_GB2312" w:hAnsi="仿宋_GB2312" w:eastAsia="仿宋_GB2312" w:cs="仿宋_GB2312"/>
                <w:b/>
                <w:bCs/>
                <w:kern w:val="0"/>
                <w:sz w:val="24"/>
                <w:szCs w:val="24"/>
              </w:rPr>
            </w:pPr>
            <w:r>
              <w:rPr>
                <w:rFonts w:hint="eastAsia" w:ascii="仿宋_GB2312" w:hAnsi="仿宋_GB2312" w:eastAsia="仿宋_GB2312" w:cs="仿宋_GB2312"/>
                <w:sz w:val="24"/>
                <w:szCs w:val="24"/>
              </w:rPr>
              <w:t>支持客户端使用相对高的系统内存和CPU进行防护工作，cpu占用峰值小于20%、内存占用峰值小于80MB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1478" w:type="dxa"/>
            <w:vMerge w:val="continue"/>
            <w:vAlign w:val="center"/>
          </w:tcPr>
          <w:p>
            <w:pPr>
              <w:autoSpaceDN w:val="0"/>
              <w:spacing w:line="276" w:lineRule="auto"/>
              <w:jc w:val="center"/>
              <w:textAlignment w:val="top"/>
              <w:rPr>
                <w:rFonts w:hint="eastAsia" w:ascii="仿宋_GB2312" w:hAnsi="仿宋_GB2312" w:eastAsia="仿宋_GB2312" w:cs="仿宋_GB2312"/>
                <w:color w:val="000000"/>
                <w:kern w:val="0"/>
                <w:sz w:val="24"/>
                <w:szCs w:val="24"/>
              </w:rPr>
            </w:pPr>
          </w:p>
        </w:tc>
        <w:tc>
          <w:tcPr>
            <w:tcW w:w="7579" w:type="dxa"/>
            <w:vAlign w:val="top"/>
          </w:tcPr>
          <w:p>
            <w:pPr>
              <w:autoSpaceDN w:val="0"/>
              <w:spacing w:line="276" w:lineRule="auto"/>
              <w:textAlignment w:val="top"/>
              <w:rPr>
                <w:rFonts w:hint="eastAsia" w:ascii="仿宋_GB2312" w:hAnsi="仿宋_GB2312" w:eastAsia="仿宋_GB2312" w:cs="仿宋_GB2312"/>
                <w:b/>
                <w:bCs/>
                <w:kern w:val="0"/>
                <w:sz w:val="24"/>
                <w:szCs w:val="24"/>
              </w:rPr>
            </w:pPr>
            <w:r>
              <w:rPr>
                <w:rFonts w:hint="eastAsia" w:ascii="仿宋_GB2312" w:hAnsi="仿宋_GB2312" w:eastAsia="仿宋_GB2312" w:cs="仿宋_GB2312"/>
                <w:sz w:val="24"/>
                <w:szCs w:val="24"/>
              </w:rPr>
              <w:t>支持Windows server 2003-2019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1478" w:type="dxa"/>
            <w:vMerge w:val="continue"/>
            <w:vAlign w:val="center"/>
          </w:tcPr>
          <w:p>
            <w:pPr>
              <w:autoSpaceDN w:val="0"/>
              <w:spacing w:line="276" w:lineRule="auto"/>
              <w:jc w:val="center"/>
              <w:textAlignment w:val="top"/>
              <w:rPr>
                <w:rFonts w:hint="eastAsia" w:ascii="仿宋_GB2312" w:hAnsi="仿宋_GB2312" w:eastAsia="仿宋_GB2312" w:cs="仿宋_GB2312"/>
                <w:color w:val="000000"/>
                <w:kern w:val="0"/>
                <w:sz w:val="24"/>
                <w:szCs w:val="24"/>
              </w:rPr>
            </w:pPr>
          </w:p>
        </w:tc>
        <w:tc>
          <w:tcPr>
            <w:tcW w:w="7579" w:type="dxa"/>
            <w:vAlign w:val="top"/>
          </w:tcPr>
          <w:p>
            <w:pPr>
              <w:autoSpaceDN w:val="0"/>
              <w:spacing w:line="276" w:lineRule="auto"/>
              <w:textAlignment w:val="top"/>
              <w:rPr>
                <w:rFonts w:hint="eastAsia" w:ascii="仿宋_GB2312" w:hAnsi="仿宋_GB2312" w:eastAsia="仿宋_GB2312" w:cs="仿宋_GB2312"/>
                <w:b/>
                <w:bCs/>
                <w:kern w:val="0"/>
                <w:sz w:val="24"/>
                <w:szCs w:val="24"/>
              </w:rPr>
            </w:pPr>
            <w:r>
              <w:rPr>
                <w:rFonts w:hint="eastAsia" w:ascii="仿宋_GB2312" w:hAnsi="仿宋_GB2312" w:eastAsia="仿宋_GB2312" w:cs="仿宋_GB2312"/>
                <w:sz w:val="24"/>
                <w:szCs w:val="24"/>
              </w:rPr>
              <w:t>支持云内命令行部署，云外命令行/镜像部署，云外客户端可关联供应商、Region、AZ等环境信息。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478" w:type="dxa"/>
            <w:vMerge w:val="restart"/>
            <w:vAlign w:val="center"/>
          </w:tcPr>
          <w:p>
            <w:pPr>
              <w:autoSpaceDN w:val="0"/>
              <w:spacing w:line="276" w:lineRule="auto"/>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入侵防御</w:t>
            </w:r>
          </w:p>
        </w:tc>
        <w:tc>
          <w:tcPr>
            <w:tcW w:w="7579" w:type="dxa"/>
            <w:vAlign w:val="top"/>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color w:val="FF0000"/>
                <w:sz w:val="24"/>
                <w:szCs w:val="24"/>
              </w:rPr>
              <w:t>支持网站后门防护功能，支持自动拦截黑客通过已知网站后门进行的异常连接行为，并隔离相关文件，有效清理隔离php、asp、jsp等类型的webshell后门。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1478" w:type="dxa"/>
            <w:vMerge w:val="continue"/>
            <w:vAlign w:val="center"/>
          </w:tcPr>
          <w:p>
            <w:pPr>
              <w:autoSpaceDN w:val="0"/>
              <w:spacing w:line="276" w:lineRule="auto"/>
              <w:jc w:val="center"/>
              <w:textAlignment w:val="top"/>
              <w:rPr>
                <w:rFonts w:hint="eastAsia" w:ascii="仿宋_GB2312" w:hAnsi="仿宋_GB2312" w:eastAsia="仿宋_GB2312" w:cs="仿宋_GB2312"/>
                <w:color w:val="000000"/>
                <w:kern w:val="0"/>
                <w:sz w:val="24"/>
                <w:szCs w:val="24"/>
              </w:rPr>
            </w:pPr>
          </w:p>
        </w:tc>
        <w:tc>
          <w:tcPr>
            <w:tcW w:w="7579" w:type="dxa"/>
            <w:vAlign w:val="top"/>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支持对常用登录地、登录IP、登录时间、登录账号、web目录进行自定义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1478" w:type="dxa"/>
            <w:vMerge w:val="continue"/>
            <w:vAlign w:val="center"/>
          </w:tcPr>
          <w:p>
            <w:pPr>
              <w:autoSpaceDN w:val="0"/>
              <w:spacing w:line="276" w:lineRule="auto"/>
              <w:jc w:val="center"/>
              <w:textAlignment w:val="top"/>
              <w:rPr>
                <w:rFonts w:hint="eastAsia" w:ascii="仿宋_GB2312" w:hAnsi="仿宋_GB2312" w:eastAsia="仿宋_GB2312" w:cs="仿宋_GB2312"/>
                <w:color w:val="000000"/>
                <w:kern w:val="0"/>
                <w:sz w:val="24"/>
                <w:szCs w:val="24"/>
              </w:rPr>
            </w:pPr>
          </w:p>
        </w:tc>
        <w:tc>
          <w:tcPr>
            <w:tcW w:w="7579" w:type="dxa"/>
            <w:vAlign w:val="top"/>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支持拦截勒索软件、挖矿程序、木马程序、蠕虫病毒、恶意程序、后门程序、DDoS木马 、自变异木马、感染型病毒、黑客工具、漏洞利用程序、被污染的基础软件、Rootkit等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1478" w:type="dxa"/>
            <w:vMerge w:val="continue"/>
            <w:vAlign w:val="center"/>
          </w:tcPr>
          <w:p>
            <w:pPr>
              <w:autoSpaceDN w:val="0"/>
              <w:spacing w:line="276" w:lineRule="auto"/>
              <w:jc w:val="center"/>
              <w:textAlignment w:val="top"/>
              <w:rPr>
                <w:rFonts w:hint="eastAsia" w:ascii="仿宋_GB2312" w:hAnsi="仿宋_GB2312" w:eastAsia="仿宋_GB2312" w:cs="仿宋_GB2312"/>
                <w:color w:val="000000"/>
                <w:kern w:val="0"/>
                <w:sz w:val="24"/>
                <w:szCs w:val="24"/>
              </w:rPr>
            </w:pPr>
          </w:p>
        </w:tc>
        <w:tc>
          <w:tcPr>
            <w:tcW w:w="7579" w:type="dxa"/>
            <w:vAlign w:val="top"/>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color w:val="FF0000"/>
                <w:sz w:val="24"/>
                <w:szCs w:val="24"/>
              </w:rPr>
              <w:t>支持查杀的病毒类型：勒索病毒、挖矿程序、DDoS木马、木马程序、后门程序、恶意程序、高危程序、蠕虫病毒、可疑程序、自变异木马等。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1478" w:type="dxa"/>
            <w:vMerge w:val="continue"/>
            <w:vAlign w:val="center"/>
          </w:tcPr>
          <w:p>
            <w:pPr>
              <w:autoSpaceDN w:val="0"/>
              <w:spacing w:line="276" w:lineRule="auto"/>
              <w:jc w:val="center"/>
              <w:textAlignment w:val="top"/>
              <w:rPr>
                <w:rFonts w:hint="eastAsia" w:ascii="仿宋_GB2312" w:hAnsi="仿宋_GB2312" w:eastAsia="仿宋_GB2312" w:cs="仿宋_GB2312"/>
                <w:color w:val="000000"/>
                <w:kern w:val="0"/>
                <w:sz w:val="24"/>
                <w:szCs w:val="24"/>
              </w:rPr>
            </w:pPr>
          </w:p>
        </w:tc>
        <w:tc>
          <w:tcPr>
            <w:tcW w:w="7579" w:type="dxa"/>
            <w:vAlign w:val="top"/>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支持检测开源武器化框架自动生成利用脚本(Cobalt Strike、Empire、Metasploit、Nishang)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1478" w:type="dxa"/>
            <w:vMerge w:val="continue"/>
            <w:vAlign w:val="center"/>
          </w:tcPr>
          <w:p>
            <w:pPr>
              <w:autoSpaceDN w:val="0"/>
              <w:spacing w:line="276" w:lineRule="auto"/>
              <w:jc w:val="center"/>
              <w:textAlignment w:val="top"/>
              <w:rPr>
                <w:rFonts w:hint="eastAsia" w:ascii="仿宋_GB2312" w:hAnsi="仿宋_GB2312" w:eastAsia="仿宋_GB2312" w:cs="仿宋_GB2312"/>
                <w:color w:val="000000"/>
                <w:kern w:val="0"/>
                <w:sz w:val="24"/>
                <w:szCs w:val="24"/>
              </w:rPr>
            </w:pPr>
          </w:p>
        </w:tc>
        <w:tc>
          <w:tcPr>
            <w:tcW w:w="7579" w:type="dxa"/>
            <w:vAlign w:val="top"/>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支持检测批量蠕虫挖矿脚本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1478" w:type="dxa"/>
            <w:vMerge w:val="continue"/>
            <w:vAlign w:val="center"/>
          </w:tcPr>
          <w:p>
            <w:pPr>
              <w:autoSpaceDN w:val="0"/>
              <w:spacing w:line="276" w:lineRule="auto"/>
              <w:jc w:val="center"/>
              <w:textAlignment w:val="top"/>
              <w:rPr>
                <w:rFonts w:hint="eastAsia" w:ascii="仿宋_GB2312" w:hAnsi="仿宋_GB2312" w:eastAsia="仿宋_GB2312" w:cs="仿宋_GB2312"/>
                <w:color w:val="000000"/>
                <w:kern w:val="0"/>
                <w:sz w:val="24"/>
                <w:szCs w:val="24"/>
              </w:rPr>
            </w:pPr>
          </w:p>
        </w:tc>
        <w:tc>
          <w:tcPr>
            <w:tcW w:w="7579" w:type="dxa"/>
            <w:vAlign w:val="top"/>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支持检测脚本语言bash、python、perl、powershell、vbs、bat、jscript、CSharp、c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1478" w:type="dxa"/>
            <w:vMerge w:val="continue"/>
            <w:vAlign w:val="center"/>
          </w:tcPr>
          <w:p>
            <w:pPr>
              <w:autoSpaceDN w:val="0"/>
              <w:spacing w:line="276" w:lineRule="auto"/>
              <w:jc w:val="center"/>
              <w:textAlignment w:val="top"/>
              <w:rPr>
                <w:rFonts w:hint="eastAsia" w:ascii="仿宋_GB2312" w:hAnsi="仿宋_GB2312" w:eastAsia="仿宋_GB2312" w:cs="仿宋_GB2312"/>
                <w:color w:val="000000"/>
                <w:kern w:val="0"/>
                <w:sz w:val="24"/>
                <w:szCs w:val="24"/>
              </w:rPr>
            </w:pPr>
          </w:p>
        </w:tc>
        <w:tc>
          <w:tcPr>
            <w:tcW w:w="7579" w:type="dxa"/>
            <w:vAlign w:val="top"/>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支持的告警类型：进程异常行为、异常登录、异常事件、敏感文件篡改、异常网络连接、异常账号、应用入侵事件、持久化后门、应用威胁检测、网站后门、恶意进程（云查杀）、 恶意脚本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1478" w:type="dxa"/>
            <w:vMerge w:val="continue"/>
            <w:vAlign w:val="center"/>
          </w:tcPr>
          <w:p>
            <w:pPr>
              <w:autoSpaceDN w:val="0"/>
              <w:spacing w:line="276" w:lineRule="auto"/>
              <w:jc w:val="center"/>
              <w:textAlignment w:val="top"/>
              <w:rPr>
                <w:rFonts w:hint="eastAsia" w:ascii="仿宋_GB2312" w:hAnsi="仿宋_GB2312" w:eastAsia="仿宋_GB2312" w:cs="仿宋_GB2312"/>
                <w:color w:val="000000"/>
                <w:kern w:val="0"/>
                <w:sz w:val="24"/>
                <w:szCs w:val="24"/>
              </w:rPr>
            </w:pPr>
          </w:p>
        </w:tc>
        <w:tc>
          <w:tcPr>
            <w:tcW w:w="7579" w:type="dxa"/>
            <w:vAlign w:val="top"/>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支持的情报类型：恶意域名、恶意IP、暗网通信IP、中控通信IP、矿池通信IP、恶意URL、恶意下载源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1478" w:type="dxa"/>
            <w:vMerge w:val="continue"/>
            <w:vAlign w:val="center"/>
          </w:tcPr>
          <w:p>
            <w:pPr>
              <w:autoSpaceDN w:val="0"/>
              <w:spacing w:line="276" w:lineRule="auto"/>
              <w:jc w:val="center"/>
              <w:textAlignment w:val="top"/>
              <w:rPr>
                <w:rFonts w:hint="eastAsia" w:ascii="仿宋_GB2312" w:hAnsi="仿宋_GB2312" w:eastAsia="仿宋_GB2312" w:cs="仿宋_GB2312"/>
                <w:color w:val="000000"/>
                <w:kern w:val="0"/>
                <w:sz w:val="24"/>
                <w:szCs w:val="24"/>
              </w:rPr>
            </w:pPr>
          </w:p>
        </w:tc>
        <w:tc>
          <w:tcPr>
            <w:tcW w:w="7579" w:type="dxa"/>
            <w:vAlign w:val="top"/>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支持进程行为拦截、进程链防御、进程二进制检测、执行脚本检测等能力，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1478" w:type="dxa"/>
            <w:vAlign w:val="center"/>
          </w:tcPr>
          <w:p>
            <w:pPr>
              <w:autoSpaceDN w:val="0"/>
              <w:spacing w:line="276" w:lineRule="auto"/>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安全总览</w:t>
            </w:r>
          </w:p>
        </w:tc>
        <w:tc>
          <w:tcPr>
            <w:tcW w:w="7579" w:type="dxa"/>
            <w:vAlign w:val="center"/>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支持展示重点关注的资产，漏洞，异常，配置缺陷，事件等信息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478" w:type="dxa"/>
            <w:vMerge w:val="restart"/>
            <w:vAlign w:val="center"/>
          </w:tcPr>
          <w:p>
            <w:pPr>
              <w:autoSpaceDN w:val="0"/>
              <w:spacing w:line="276" w:lineRule="auto"/>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安全预防</w:t>
            </w:r>
          </w:p>
        </w:tc>
        <w:tc>
          <w:tcPr>
            <w:tcW w:w="7579" w:type="dxa"/>
            <w:vAlign w:val="top"/>
          </w:tcPr>
          <w:p>
            <w:pPr>
              <w:autoSpaceDN w:val="0"/>
              <w:spacing w:line="276" w:lineRule="auto"/>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支持主机维度进行资产暴露盘点，可提供资产、暴露方式、暴露组件、暴露端口、可被利用的漏洞、暴露链路拓扑图及暴露风险详情等信息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478" w:type="dxa"/>
            <w:vMerge w:val="continue"/>
            <w:vAlign w:val="center"/>
          </w:tcPr>
          <w:p>
            <w:pPr>
              <w:autoSpaceDN w:val="0"/>
              <w:spacing w:line="276" w:lineRule="auto"/>
              <w:jc w:val="center"/>
              <w:textAlignment w:val="top"/>
              <w:rPr>
                <w:rFonts w:hint="eastAsia" w:ascii="仿宋_GB2312" w:hAnsi="仿宋_GB2312" w:eastAsia="仿宋_GB2312" w:cs="仿宋_GB2312"/>
                <w:color w:val="000000"/>
                <w:kern w:val="0"/>
                <w:sz w:val="24"/>
                <w:szCs w:val="24"/>
              </w:rPr>
            </w:pPr>
          </w:p>
        </w:tc>
        <w:tc>
          <w:tcPr>
            <w:tcW w:w="7579" w:type="dxa"/>
            <w:vAlign w:val="top"/>
          </w:tcPr>
          <w:p>
            <w:pPr>
              <w:autoSpaceDN w:val="0"/>
              <w:spacing w:line="276" w:lineRule="auto"/>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支持应用维度进行资产暴露盘点，可提供暴露中间件名称、类型、版本、关联漏洞、影响资产、最新扫描时间等信息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478" w:type="dxa"/>
            <w:vAlign w:val="center"/>
          </w:tcPr>
          <w:p>
            <w:pPr>
              <w:autoSpaceDN w:val="0"/>
              <w:spacing w:line="276" w:lineRule="auto"/>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日志检索</w:t>
            </w:r>
          </w:p>
        </w:tc>
        <w:tc>
          <w:tcPr>
            <w:tcW w:w="7579" w:type="dxa"/>
            <w:vAlign w:val="center"/>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支持登录流水、暴力破解、进程快照、网络连接、端口监听快照、账号快照、进程启动的日志查询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478" w:type="dxa"/>
            <w:vMerge w:val="restart"/>
            <w:vAlign w:val="center"/>
          </w:tcPr>
          <w:p>
            <w:pPr>
              <w:autoSpaceDN w:val="0"/>
              <w:spacing w:line="276" w:lineRule="auto"/>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资产中心</w:t>
            </w:r>
          </w:p>
        </w:tc>
        <w:tc>
          <w:tcPr>
            <w:tcW w:w="7579" w:type="dxa"/>
            <w:vAlign w:val="center"/>
          </w:tcPr>
          <w:p>
            <w:pPr>
              <w:autoSpaceDN w:val="0"/>
              <w:spacing w:line="276" w:lineRule="auto"/>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支持中间件数据类型，包括中间件名称、类型、版本、PID、安装路径、最新扫描时间、版本验证信息、父进程PID、运行用户进程监听IP、进程监听端口、监听状态、监听端口协议、进程启动时间、进程命令行、容器名称、镜像名称、配置文件路径、Web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478" w:type="dxa"/>
            <w:vMerge w:val="continue"/>
            <w:vAlign w:val="center"/>
          </w:tcPr>
          <w:p>
            <w:pPr>
              <w:autoSpaceDN w:val="0"/>
              <w:spacing w:line="276" w:lineRule="auto"/>
              <w:jc w:val="center"/>
              <w:textAlignment w:val="top"/>
              <w:rPr>
                <w:rFonts w:hint="eastAsia" w:ascii="仿宋_GB2312" w:hAnsi="仿宋_GB2312" w:eastAsia="仿宋_GB2312" w:cs="仿宋_GB2312"/>
                <w:color w:val="000000"/>
                <w:kern w:val="0"/>
                <w:sz w:val="24"/>
                <w:szCs w:val="24"/>
              </w:rPr>
            </w:pPr>
          </w:p>
        </w:tc>
        <w:tc>
          <w:tcPr>
            <w:tcW w:w="7579" w:type="dxa"/>
            <w:vAlign w:val="center"/>
          </w:tcPr>
          <w:p>
            <w:pPr>
              <w:autoSpaceDN w:val="0"/>
              <w:spacing w:line="276" w:lineRule="auto"/>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支持启动项数据类型，包括启动项名称、命令行、任务路径/MD5、最新采集时间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478" w:type="dxa"/>
            <w:vAlign w:val="top"/>
          </w:tcPr>
          <w:p>
            <w:pPr>
              <w:autoSpaceDN w:val="0"/>
              <w:spacing w:line="276" w:lineRule="auto"/>
              <w:jc w:val="center"/>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服务</w:t>
            </w:r>
          </w:p>
        </w:tc>
        <w:tc>
          <w:tcPr>
            <w:tcW w:w="7579" w:type="dxa"/>
            <w:vAlign w:val="top"/>
          </w:tcPr>
          <w:p>
            <w:pPr>
              <w:autoSpaceDN w:val="0"/>
              <w:spacing w:line="276" w:lineRule="auto"/>
              <w:textAlignment w:val="top"/>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提供3年授权，授权期间提供免费质保和免费升级服务。</w:t>
            </w:r>
          </w:p>
        </w:tc>
      </w:tr>
    </w:tbl>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 网络安全智能服务链</w:t>
      </w:r>
    </w:p>
    <w:tbl>
      <w:tblPr>
        <w:tblStyle w:val="59"/>
        <w:tblW w:w="9215"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7"/>
        <w:gridCol w:w="79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15" w:type="dxa"/>
            <w:gridSpan w:val="2"/>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SDN控制器矩阵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7" w:type="dxa"/>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功能指标</w:t>
            </w:r>
          </w:p>
        </w:tc>
        <w:tc>
          <w:tcPr>
            <w:tcW w:w="7938" w:type="dxa"/>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7" w:type="dxa"/>
            <w:vAlign w:val="center"/>
          </w:tcPr>
          <w:p>
            <w:pPr>
              <w:autoSpaceDN w:val="0"/>
              <w:spacing w:line="276" w:lineRule="auto"/>
              <w:jc w:val="center"/>
              <w:textAlignment w:val="top"/>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接口设计</w:t>
            </w:r>
          </w:p>
        </w:tc>
        <w:tc>
          <w:tcPr>
            <w:tcW w:w="7938" w:type="dxa"/>
            <w:vAlign w:val="top"/>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1/10 GbE SFP+ 端口24个， 40 GbE QSFP+ 端口2个，交换容量640Gbps，配置冗余交流电源。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功能要求</w:t>
            </w:r>
          </w:p>
        </w:tc>
        <w:tc>
          <w:tcPr>
            <w:tcW w:w="7938" w:type="dxa"/>
            <w:vAlign w:val="top"/>
          </w:tcPr>
          <w:p>
            <w:pPr>
              <w:autoSpaceDN w:val="0"/>
              <w:spacing w:line="276" w:lineRule="auto"/>
              <w:textAlignment w:val="top"/>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支持Openflow v1.3及以上协议，最大支持流表数4000条</w:t>
            </w:r>
            <w:r>
              <w:rPr>
                <w:rFonts w:hint="eastAsia" w:ascii="仿宋_GB2312" w:hAnsi="仿宋_GB2312" w:eastAsia="仿宋_GB2312" w:cs="仿宋_GB2312"/>
                <w:sz w:val="24"/>
                <w:szCs w:val="24"/>
                <w:lang w:val="en-US" w:eastAsia="zh-CN"/>
              </w:rPr>
              <w:t>;</w:t>
            </w:r>
          </w:p>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 xml:space="preserve">可扩展光端口物理Bypass 组件，支持设备掉电时保持光纤链路不中断； </w:t>
            </w:r>
          </w:p>
          <w:p>
            <w:pPr>
              <w:autoSpaceDN w:val="0"/>
              <w:spacing w:line="276" w:lineRule="auto"/>
              <w:textAlignment w:val="top"/>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支持双机 HA 工作模式，支持Active-Active互备方式</w:t>
            </w:r>
            <w:r>
              <w:rPr>
                <w:rFonts w:hint="eastAsia" w:ascii="仿宋_GB2312" w:hAnsi="仿宋_GB2312" w:eastAsia="仿宋_GB2312" w:cs="仿宋_GB2312"/>
                <w:sz w:val="24"/>
                <w:szCs w:val="24"/>
                <w:lang w:val="en-US" w:eastAsia="zh-CN"/>
              </w:rPr>
              <w:t>;</w:t>
            </w:r>
          </w:p>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支持一条流表满足相关匹配项并转发到多个物理端口；</w:t>
            </w:r>
          </w:p>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支持一条流表满足相关匹配项对二至四层头信息进行增加、修改、删除等动作并转发到多个物理端口；</w:t>
            </w:r>
          </w:p>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支持Vlan Priority修改；支持IPv6流表。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w:t>
            </w:r>
          </w:p>
        </w:tc>
        <w:tc>
          <w:tcPr>
            <w:tcW w:w="7938" w:type="dxa"/>
            <w:vAlign w:val="top"/>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三年原厂质保服务。"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15" w:type="dxa"/>
            <w:gridSpan w:val="2"/>
            <w:vAlign w:val="center"/>
          </w:tcPr>
          <w:p>
            <w:pPr>
              <w:widowControl/>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b/>
                <w:bCs/>
                <w:kern w:val="0"/>
                <w:sz w:val="24"/>
                <w:szCs w:val="24"/>
              </w:rPr>
              <w:t>网络智能安全服务链控制系统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7" w:type="dxa"/>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功能指标</w:t>
            </w:r>
          </w:p>
        </w:tc>
        <w:tc>
          <w:tcPr>
            <w:tcW w:w="7938" w:type="dxa"/>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trPr>
        <w:tc>
          <w:tcPr>
            <w:tcW w:w="1277"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部署要求</w:t>
            </w:r>
          </w:p>
        </w:tc>
        <w:tc>
          <w:tcPr>
            <w:tcW w:w="7938" w:type="dxa"/>
            <w:vAlign w:val="top"/>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控制器软件要求具备灵活的部署模式：可在虚拟机中独立虚拟化部署，也可直接集成在专用硬件控制器中。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1277" w:type="dxa"/>
            <w:vMerge w:val="continue"/>
            <w:vAlign w:val="center"/>
          </w:tcPr>
          <w:p>
            <w:pPr>
              <w:jc w:val="center"/>
              <w:rPr>
                <w:rFonts w:hint="eastAsia" w:ascii="仿宋_GB2312" w:hAnsi="仿宋_GB2312" w:eastAsia="仿宋_GB2312" w:cs="仿宋_GB2312"/>
                <w:sz w:val="24"/>
                <w:szCs w:val="24"/>
              </w:rPr>
            </w:pPr>
          </w:p>
        </w:tc>
        <w:tc>
          <w:tcPr>
            <w:tcW w:w="7938" w:type="dxa"/>
            <w:vAlign w:val="top"/>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单链路双交换矩阵模式部署，支持双交换矩阵的HA模式。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1277" w:type="dxa"/>
            <w:vMerge w:val="continue"/>
            <w:vAlign w:val="center"/>
          </w:tcPr>
          <w:p>
            <w:pPr>
              <w:jc w:val="center"/>
              <w:rPr>
                <w:rFonts w:hint="eastAsia" w:ascii="仿宋_GB2312" w:hAnsi="仿宋_GB2312" w:eastAsia="仿宋_GB2312" w:cs="仿宋_GB2312"/>
                <w:sz w:val="24"/>
                <w:szCs w:val="24"/>
              </w:rPr>
            </w:pPr>
          </w:p>
        </w:tc>
        <w:tc>
          <w:tcPr>
            <w:tcW w:w="7938" w:type="dxa"/>
            <w:vAlign w:val="top"/>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支持Openflowv1.3及以上协议。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1277" w:type="dxa"/>
            <w:vMerge w:val="continue"/>
            <w:vAlign w:val="center"/>
          </w:tcPr>
          <w:p>
            <w:pPr>
              <w:jc w:val="center"/>
              <w:rPr>
                <w:rFonts w:hint="eastAsia" w:ascii="仿宋_GB2312" w:hAnsi="仿宋_GB2312" w:eastAsia="仿宋_GB2312" w:cs="仿宋_GB2312"/>
                <w:sz w:val="24"/>
                <w:szCs w:val="24"/>
              </w:rPr>
            </w:pPr>
          </w:p>
        </w:tc>
        <w:tc>
          <w:tcPr>
            <w:tcW w:w="7938" w:type="dxa"/>
            <w:vAlign w:val="top"/>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支持同时对多台、多厂商SDN交换机的控制与管理，支持SDN交换机数量≥3，支持SDN交换机厂商数量≥3家（提供产品功能界面截图证明）。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1277" w:type="dxa"/>
            <w:vMerge w:val="continue"/>
            <w:vAlign w:val="center"/>
          </w:tcPr>
          <w:p>
            <w:pPr>
              <w:jc w:val="center"/>
              <w:rPr>
                <w:rFonts w:hint="eastAsia" w:ascii="仿宋_GB2312" w:hAnsi="仿宋_GB2312" w:eastAsia="仿宋_GB2312" w:cs="仿宋_GB2312"/>
                <w:sz w:val="24"/>
                <w:szCs w:val="24"/>
              </w:rPr>
            </w:pPr>
          </w:p>
        </w:tc>
        <w:tc>
          <w:tcPr>
            <w:tcW w:w="7938" w:type="dxa"/>
            <w:vAlign w:val="top"/>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支持基于交换矩阵、交换矩阵端口、控制器的流量、包速率信息统计；（提供产品功能界面截图证明）。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1277" w:type="dxa"/>
            <w:vMerge w:val="continue"/>
            <w:vAlign w:val="center"/>
          </w:tcPr>
          <w:p>
            <w:pPr>
              <w:jc w:val="center"/>
              <w:rPr>
                <w:rFonts w:hint="eastAsia" w:ascii="仿宋_GB2312" w:hAnsi="仿宋_GB2312" w:eastAsia="仿宋_GB2312" w:cs="仿宋_GB2312"/>
                <w:sz w:val="24"/>
                <w:szCs w:val="24"/>
              </w:rPr>
            </w:pPr>
          </w:p>
        </w:tc>
        <w:tc>
          <w:tcPr>
            <w:tcW w:w="7938" w:type="dxa"/>
            <w:vAlign w:val="top"/>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支持对交换矩阵基础信息、当前流表的展示。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trPr>
        <w:tc>
          <w:tcPr>
            <w:tcW w:w="1277"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管理要求</w:t>
            </w:r>
          </w:p>
        </w:tc>
        <w:tc>
          <w:tcPr>
            <w:tcW w:w="7938" w:type="dxa"/>
            <w:vAlign w:val="top"/>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支持多流表，单流表的下发、回收、保存。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1277" w:type="dxa"/>
            <w:vMerge w:val="continue"/>
            <w:vAlign w:val="center"/>
          </w:tcPr>
          <w:p>
            <w:pPr>
              <w:jc w:val="center"/>
              <w:rPr>
                <w:rFonts w:hint="eastAsia" w:ascii="仿宋_GB2312" w:hAnsi="仿宋_GB2312" w:eastAsia="仿宋_GB2312" w:cs="仿宋_GB2312"/>
                <w:sz w:val="24"/>
                <w:szCs w:val="24"/>
              </w:rPr>
            </w:pPr>
          </w:p>
        </w:tc>
        <w:tc>
          <w:tcPr>
            <w:tcW w:w="7938" w:type="dxa"/>
            <w:vAlign w:val="top"/>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支持基于WEB页面进行管理，支持导入和导出流表文件，实现快速配置恢复。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1277" w:type="dxa"/>
            <w:vMerge w:val="continue"/>
            <w:vAlign w:val="center"/>
          </w:tcPr>
          <w:p>
            <w:pPr>
              <w:jc w:val="center"/>
              <w:rPr>
                <w:rFonts w:hint="eastAsia" w:ascii="仿宋_GB2312" w:hAnsi="仿宋_GB2312" w:eastAsia="仿宋_GB2312" w:cs="仿宋_GB2312"/>
                <w:sz w:val="24"/>
                <w:szCs w:val="24"/>
              </w:rPr>
            </w:pPr>
          </w:p>
        </w:tc>
        <w:tc>
          <w:tcPr>
            <w:tcW w:w="7938" w:type="dxa"/>
            <w:vAlign w:val="top"/>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支持Openflow流表的二至四层字段的图形化编辑管理。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1277" w:type="dxa"/>
            <w:vMerge w:val="continue"/>
            <w:vAlign w:val="center"/>
          </w:tcPr>
          <w:p>
            <w:pPr>
              <w:jc w:val="center"/>
              <w:rPr>
                <w:rFonts w:hint="eastAsia" w:ascii="仿宋_GB2312" w:hAnsi="仿宋_GB2312" w:eastAsia="仿宋_GB2312" w:cs="仿宋_GB2312"/>
                <w:sz w:val="24"/>
                <w:szCs w:val="24"/>
              </w:rPr>
            </w:pPr>
          </w:p>
        </w:tc>
        <w:tc>
          <w:tcPr>
            <w:tcW w:w="7938" w:type="dxa"/>
            <w:vAlign w:val="top"/>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支持Openflow流表的二至四层所有字段内容的线速修改动作。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1277" w:type="dxa"/>
            <w:vMerge w:val="continue"/>
            <w:vAlign w:val="center"/>
          </w:tcPr>
          <w:p>
            <w:pPr>
              <w:jc w:val="center"/>
              <w:rPr>
                <w:rFonts w:hint="eastAsia" w:ascii="仿宋_GB2312" w:hAnsi="仿宋_GB2312" w:eastAsia="仿宋_GB2312" w:cs="仿宋_GB2312"/>
                <w:sz w:val="24"/>
                <w:szCs w:val="24"/>
              </w:rPr>
            </w:pPr>
          </w:p>
        </w:tc>
        <w:tc>
          <w:tcPr>
            <w:tcW w:w="7938" w:type="dxa"/>
            <w:vAlign w:val="top"/>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支持告警设置：基于不同数据源，不同阈值定义不同的告警，一旦触发告警将事件展示在事件中心。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1277" w:type="dxa"/>
            <w:vMerge w:val="continue"/>
            <w:vAlign w:val="center"/>
          </w:tcPr>
          <w:p>
            <w:pPr>
              <w:jc w:val="center"/>
              <w:rPr>
                <w:rFonts w:hint="eastAsia" w:ascii="仿宋_GB2312" w:hAnsi="仿宋_GB2312" w:eastAsia="仿宋_GB2312" w:cs="仿宋_GB2312"/>
                <w:sz w:val="24"/>
                <w:szCs w:val="24"/>
              </w:rPr>
            </w:pPr>
          </w:p>
        </w:tc>
        <w:tc>
          <w:tcPr>
            <w:tcW w:w="7938" w:type="dxa"/>
            <w:vAlign w:val="top"/>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支持事件等级，事件分类，事件标签将不同告警进行有效区分。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 w:hRule="atLeast"/>
        </w:trPr>
        <w:tc>
          <w:tcPr>
            <w:tcW w:w="1277"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功能要求</w:t>
            </w:r>
          </w:p>
        </w:tc>
        <w:tc>
          <w:tcPr>
            <w:tcW w:w="7938" w:type="dxa"/>
            <w:vAlign w:val="top"/>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支持服务割接功能，服务节点ON/OFF开关一键上/下线；（提供产品功能界面截图证明）。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 w:hRule="atLeast"/>
        </w:trPr>
        <w:tc>
          <w:tcPr>
            <w:tcW w:w="1277" w:type="dxa"/>
            <w:vMerge w:val="continue"/>
            <w:vAlign w:val="center"/>
          </w:tcPr>
          <w:p>
            <w:pPr>
              <w:jc w:val="center"/>
              <w:rPr>
                <w:rFonts w:hint="eastAsia" w:ascii="仿宋_GB2312" w:hAnsi="仿宋_GB2312" w:eastAsia="仿宋_GB2312" w:cs="仿宋_GB2312"/>
                <w:sz w:val="24"/>
                <w:szCs w:val="24"/>
              </w:rPr>
            </w:pPr>
          </w:p>
        </w:tc>
        <w:tc>
          <w:tcPr>
            <w:tcW w:w="7938" w:type="dxa"/>
            <w:vAlign w:val="top"/>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支持服务编排功能，鼠标拖拽方式编排服务节点顺序；支持非对称服务链模式。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 w:hRule="atLeast"/>
        </w:trPr>
        <w:tc>
          <w:tcPr>
            <w:tcW w:w="1277" w:type="dxa"/>
            <w:vMerge w:val="continue"/>
            <w:vAlign w:val="center"/>
          </w:tcPr>
          <w:p>
            <w:pPr>
              <w:jc w:val="center"/>
              <w:rPr>
                <w:rFonts w:hint="eastAsia" w:ascii="仿宋_GB2312" w:hAnsi="仿宋_GB2312" w:eastAsia="仿宋_GB2312" w:cs="仿宋_GB2312"/>
                <w:sz w:val="24"/>
                <w:szCs w:val="24"/>
              </w:rPr>
            </w:pPr>
          </w:p>
        </w:tc>
        <w:tc>
          <w:tcPr>
            <w:tcW w:w="7938" w:type="dxa"/>
            <w:vAlign w:val="top"/>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支持服务映射功能，二到四层流量分类，引导不同流量经过不同服务节点；（提供产品功能界面截图证明）。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 w:hRule="atLeast"/>
        </w:trPr>
        <w:tc>
          <w:tcPr>
            <w:tcW w:w="1277" w:type="dxa"/>
            <w:vMerge w:val="continue"/>
            <w:vAlign w:val="center"/>
          </w:tcPr>
          <w:p>
            <w:pPr>
              <w:jc w:val="center"/>
              <w:rPr>
                <w:rFonts w:hint="eastAsia" w:ascii="仿宋_GB2312" w:hAnsi="仿宋_GB2312" w:eastAsia="仿宋_GB2312" w:cs="仿宋_GB2312"/>
                <w:sz w:val="24"/>
                <w:szCs w:val="24"/>
              </w:rPr>
            </w:pPr>
          </w:p>
        </w:tc>
        <w:tc>
          <w:tcPr>
            <w:tcW w:w="7938" w:type="dxa"/>
            <w:vAlign w:val="top"/>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服务映射支持IPv6策略，可基于IPv6地址进行流量分类；（提供产品功能界面截图证明）。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 w:hRule="atLeast"/>
        </w:trPr>
        <w:tc>
          <w:tcPr>
            <w:tcW w:w="1277" w:type="dxa"/>
            <w:vMerge w:val="continue"/>
            <w:vAlign w:val="center"/>
          </w:tcPr>
          <w:p>
            <w:pPr>
              <w:jc w:val="center"/>
              <w:rPr>
                <w:rFonts w:hint="eastAsia" w:ascii="仿宋_GB2312" w:hAnsi="仿宋_GB2312" w:eastAsia="仿宋_GB2312" w:cs="仿宋_GB2312"/>
                <w:sz w:val="24"/>
                <w:szCs w:val="24"/>
              </w:rPr>
            </w:pPr>
          </w:p>
        </w:tc>
        <w:tc>
          <w:tcPr>
            <w:tcW w:w="7938" w:type="dxa"/>
            <w:vAlign w:val="top"/>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单条服务链中支持的服务节点数量不少于10个；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 w:hRule="atLeast"/>
        </w:trPr>
        <w:tc>
          <w:tcPr>
            <w:tcW w:w="1277" w:type="dxa"/>
            <w:vMerge w:val="continue"/>
            <w:vAlign w:val="center"/>
          </w:tcPr>
          <w:p>
            <w:pPr>
              <w:jc w:val="center"/>
              <w:rPr>
                <w:rFonts w:hint="eastAsia" w:ascii="仿宋_GB2312" w:hAnsi="仿宋_GB2312" w:eastAsia="仿宋_GB2312" w:cs="仿宋_GB2312"/>
                <w:sz w:val="24"/>
                <w:szCs w:val="24"/>
              </w:rPr>
            </w:pPr>
          </w:p>
        </w:tc>
        <w:tc>
          <w:tcPr>
            <w:tcW w:w="7938" w:type="dxa"/>
            <w:vAlign w:val="top"/>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单条服务链中可支持服务节点的HA功能，HA组内的一个服务节点出现故障，另一个服务节点可自动接管相应流量。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 w:hRule="atLeast"/>
        </w:trPr>
        <w:tc>
          <w:tcPr>
            <w:tcW w:w="1277" w:type="dxa"/>
            <w:vMerge w:val="continue"/>
            <w:vAlign w:val="center"/>
          </w:tcPr>
          <w:p>
            <w:pPr>
              <w:jc w:val="center"/>
              <w:rPr>
                <w:rFonts w:hint="eastAsia" w:ascii="仿宋_GB2312" w:hAnsi="仿宋_GB2312" w:eastAsia="仿宋_GB2312" w:cs="仿宋_GB2312"/>
                <w:sz w:val="24"/>
                <w:szCs w:val="24"/>
              </w:rPr>
            </w:pPr>
          </w:p>
        </w:tc>
        <w:tc>
          <w:tcPr>
            <w:tcW w:w="7938" w:type="dxa"/>
            <w:vAlign w:val="top"/>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支持服务链间的HA功能，当一条服务链中的服务节点出现故障，另一条服务链对应的服务节点可自动接管相应流量。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 w:hRule="atLeast"/>
        </w:trPr>
        <w:tc>
          <w:tcPr>
            <w:tcW w:w="1277" w:type="dxa"/>
            <w:vMerge w:val="continue"/>
            <w:vAlign w:val="center"/>
          </w:tcPr>
          <w:p>
            <w:pPr>
              <w:jc w:val="center"/>
              <w:rPr>
                <w:rFonts w:hint="eastAsia" w:ascii="仿宋_GB2312" w:hAnsi="仿宋_GB2312" w:eastAsia="仿宋_GB2312" w:cs="仿宋_GB2312"/>
                <w:sz w:val="24"/>
                <w:szCs w:val="24"/>
              </w:rPr>
            </w:pPr>
          </w:p>
        </w:tc>
        <w:tc>
          <w:tcPr>
            <w:tcW w:w="7938" w:type="dxa"/>
            <w:vAlign w:val="top"/>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支持服务链流量镜像功能，包括服务链上行端口流入、流出方向，下行端口流入、流出方向，以及上述四个方向流量的任意组合。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 w:hRule="atLeast"/>
        </w:trPr>
        <w:tc>
          <w:tcPr>
            <w:tcW w:w="1277" w:type="dxa"/>
            <w:vMerge w:val="continue"/>
            <w:vAlign w:val="center"/>
          </w:tcPr>
          <w:p>
            <w:pPr>
              <w:jc w:val="center"/>
              <w:rPr>
                <w:rFonts w:hint="eastAsia" w:ascii="仿宋_GB2312" w:hAnsi="仿宋_GB2312" w:eastAsia="仿宋_GB2312" w:cs="仿宋_GB2312"/>
                <w:sz w:val="24"/>
                <w:szCs w:val="24"/>
              </w:rPr>
            </w:pPr>
          </w:p>
        </w:tc>
        <w:tc>
          <w:tcPr>
            <w:tcW w:w="7938" w:type="dxa"/>
            <w:vAlign w:val="top"/>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支持服务节点流量镜像功能，包括服务节点上行端口的流入、流出方向，下行端口的流入、流出方向，以及上述四个方向流量的任意组合；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 w:hRule="atLeast"/>
        </w:trPr>
        <w:tc>
          <w:tcPr>
            <w:tcW w:w="1277" w:type="dxa"/>
            <w:vMerge w:val="continue"/>
            <w:vAlign w:val="center"/>
          </w:tcPr>
          <w:p>
            <w:pPr>
              <w:jc w:val="center"/>
              <w:rPr>
                <w:rFonts w:hint="eastAsia" w:ascii="仿宋_GB2312" w:hAnsi="仿宋_GB2312" w:eastAsia="仿宋_GB2312" w:cs="仿宋_GB2312"/>
                <w:sz w:val="24"/>
                <w:szCs w:val="24"/>
              </w:rPr>
            </w:pPr>
          </w:p>
        </w:tc>
        <w:tc>
          <w:tcPr>
            <w:tcW w:w="7938" w:type="dxa"/>
            <w:vAlign w:val="top"/>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支持接口检查功能，服务节点异常自动下线。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 w:hRule="atLeast"/>
        </w:trPr>
        <w:tc>
          <w:tcPr>
            <w:tcW w:w="1277" w:type="dxa"/>
            <w:vMerge w:val="continue"/>
            <w:vAlign w:val="center"/>
          </w:tcPr>
          <w:p>
            <w:pPr>
              <w:jc w:val="center"/>
              <w:rPr>
                <w:rFonts w:hint="eastAsia" w:ascii="仿宋_GB2312" w:hAnsi="仿宋_GB2312" w:eastAsia="仿宋_GB2312" w:cs="仿宋_GB2312"/>
                <w:sz w:val="24"/>
                <w:szCs w:val="24"/>
              </w:rPr>
            </w:pPr>
          </w:p>
        </w:tc>
        <w:tc>
          <w:tcPr>
            <w:tcW w:w="7938" w:type="dxa"/>
            <w:vAlign w:val="top"/>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支持icmp检查功能，服务节点异常自动下线。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 w:hRule="atLeast"/>
        </w:trPr>
        <w:tc>
          <w:tcPr>
            <w:tcW w:w="1277" w:type="dxa"/>
            <w:vMerge w:val="continue"/>
            <w:vAlign w:val="center"/>
          </w:tcPr>
          <w:p>
            <w:pPr>
              <w:jc w:val="center"/>
              <w:rPr>
                <w:rFonts w:hint="eastAsia" w:ascii="仿宋_GB2312" w:hAnsi="仿宋_GB2312" w:eastAsia="仿宋_GB2312" w:cs="仿宋_GB2312"/>
                <w:sz w:val="24"/>
                <w:szCs w:val="24"/>
              </w:rPr>
            </w:pPr>
          </w:p>
        </w:tc>
        <w:tc>
          <w:tcPr>
            <w:tcW w:w="7938" w:type="dxa"/>
            <w:vAlign w:val="top"/>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支持流量检查功能，服务节点异常自动下线。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 w:hRule="atLeast"/>
        </w:trPr>
        <w:tc>
          <w:tcPr>
            <w:tcW w:w="1277" w:type="dxa"/>
            <w:vMerge w:val="continue"/>
            <w:vAlign w:val="center"/>
          </w:tcPr>
          <w:p>
            <w:pPr>
              <w:jc w:val="center"/>
              <w:rPr>
                <w:rFonts w:hint="eastAsia" w:ascii="仿宋_GB2312" w:hAnsi="仿宋_GB2312" w:eastAsia="仿宋_GB2312" w:cs="仿宋_GB2312"/>
                <w:sz w:val="24"/>
                <w:szCs w:val="24"/>
              </w:rPr>
            </w:pPr>
          </w:p>
        </w:tc>
        <w:tc>
          <w:tcPr>
            <w:tcW w:w="7938" w:type="dxa"/>
            <w:vAlign w:val="top"/>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支持服务链物理拓扑展示，提供服务链整体吞吐量、包速率可视化报表；提供服务节点吞吐量，包速率可视化报表。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 w:hRule="atLeast"/>
        </w:trPr>
        <w:tc>
          <w:tcPr>
            <w:tcW w:w="1277" w:type="dxa"/>
            <w:vMerge w:val="continue"/>
            <w:vAlign w:val="center"/>
          </w:tcPr>
          <w:p>
            <w:pPr>
              <w:jc w:val="center"/>
              <w:rPr>
                <w:rFonts w:hint="eastAsia" w:ascii="仿宋_GB2312" w:hAnsi="仿宋_GB2312" w:eastAsia="仿宋_GB2312" w:cs="仿宋_GB2312"/>
                <w:sz w:val="24"/>
                <w:szCs w:val="24"/>
              </w:rPr>
            </w:pPr>
          </w:p>
        </w:tc>
        <w:tc>
          <w:tcPr>
            <w:tcW w:w="7938" w:type="dxa"/>
            <w:vAlign w:val="top"/>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可通过外置Bypass设备，实现交换矩阵的自动Bypass功能，在网络发生位置故障时，可快速自动的跳过服务链系统，物理实现故障旁路。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 w:hRule="atLeast"/>
        </w:trPr>
        <w:tc>
          <w:tcPr>
            <w:tcW w:w="127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服务要求</w:t>
            </w:r>
          </w:p>
        </w:tc>
        <w:tc>
          <w:tcPr>
            <w:tcW w:w="7938" w:type="dxa"/>
            <w:vAlign w:val="top"/>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提供原厂三年质保服务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15" w:type="dxa"/>
            <w:gridSpan w:val="2"/>
            <w:vAlign w:val="center"/>
          </w:tcPr>
          <w:p>
            <w:pPr>
              <w:autoSpaceDN w:val="0"/>
              <w:spacing w:line="276" w:lineRule="auto"/>
              <w:jc w:val="center"/>
              <w:textAlignment w:val="top"/>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SDN服务链10G流量授权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7" w:type="dxa"/>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功能指标</w:t>
            </w:r>
          </w:p>
        </w:tc>
        <w:tc>
          <w:tcPr>
            <w:tcW w:w="7938" w:type="dxa"/>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7" w:type="dxa"/>
            <w:vAlign w:val="center"/>
          </w:tcPr>
          <w:p>
            <w:pPr>
              <w:autoSpaceDN w:val="0"/>
              <w:spacing w:line="276" w:lineRule="auto"/>
              <w:jc w:val="center"/>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授权要求</w:t>
            </w:r>
          </w:p>
        </w:tc>
        <w:tc>
          <w:tcPr>
            <w:tcW w:w="7938" w:type="dxa"/>
            <w:vAlign w:val="center"/>
          </w:tcPr>
          <w:p>
            <w:pPr>
              <w:autoSpaceDN w:val="0"/>
              <w:spacing w:line="276" w:lineRule="auto"/>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智能安全服务链管理软件10G流量授权</w:t>
            </w:r>
          </w:p>
        </w:tc>
      </w:tr>
    </w:tbl>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3．UPS技术指标</w:t>
      </w:r>
    </w:p>
    <w:tbl>
      <w:tblPr>
        <w:tblStyle w:val="59"/>
        <w:tblW w:w="9215" w:type="dxa"/>
        <w:tblInd w:w="-318" w:type="dxa"/>
        <w:tblLayout w:type="fixed"/>
        <w:tblCellMar>
          <w:top w:w="0" w:type="dxa"/>
          <w:left w:w="108" w:type="dxa"/>
          <w:bottom w:w="0" w:type="dxa"/>
          <w:right w:w="108" w:type="dxa"/>
        </w:tblCellMar>
      </w:tblPr>
      <w:tblGrid>
        <w:gridCol w:w="1277"/>
        <w:gridCol w:w="7938"/>
      </w:tblGrid>
      <w:tr>
        <w:tblPrEx>
          <w:tblCellMar>
            <w:top w:w="0" w:type="dxa"/>
            <w:left w:w="108" w:type="dxa"/>
            <w:bottom w:w="0" w:type="dxa"/>
            <w:right w:w="108" w:type="dxa"/>
          </w:tblCellMar>
        </w:tblPrEx>
        <w:tc>
          <w:tcPr>
            <w:tcW w:w="92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UPS主机</w:t>
            </w:r>
          </w:p>
        </w:tc>
      </w:tr>
      <w:tr>
        <w:tblPrEx>
          <w:tblCellMar>
            <w:top w:w="0" w:type="dxa"/>
            <w:left w:w="108" w:type="dxa"/>
            <w:bottom w:w="0" w:type="dxa"/>
            <w:right w:w="108" w:type="dxa"/>
          </w:tblCellMar>
        </w:tblPrEx>
        <w:tc>
          <w:tcPr>
            <w:tcW w:w="1277" w:type="dxa"/>
            <w:tcBorders>
              <w:top w:val="single" w:color="000000" w:sz="4" w:space="0"/>
              <w:left w:val="single" w:color="000000" w:sz="4" w:space="0"/>
              <w:bottom w:val="single" w:color="000000" w:sz="4" w:space="0"/>
              <w:right w:val="single" w:color="000000" w:sz="4" w:space="0"/>
            </w:tcBorders>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功能指标</w:t>
            </w:r>
          </w:p>
        </w:tc>
        <w:tc>
          <w:tcPr>
            <w:tcW w:w="7938" w:type="dxa"/>
            <w:tcBorders>
              <w:top w:val="single" w:color="000000" w:sz="4" w:space="0"/>
              <w:left w:val="single" w:color="000000" w:sz="4" w:space="0"/>
              <w:bottom w:val="single" w:color="000000" w:sz="4" w:space="0"/>
              <w:right w:val="single" w:color="000000" w:sz="4" w:space="0"/>
            </w:tcBorders>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技术要求</w:t>
            </w:r>
          </w:p>
        </w:tc>
      </w:tr>
      <w:tr>
        <w:tblPrEx>
          <w:tblCellMar>
            <w:top w:w="0" w:type="dxa"/>
            <w:left w:w="108" w:type="dxa"/>
            <w:bottom w:w="0" w:type="dxa"/>
            <w:right w:w="108" w:type="dxa"/>
          </w:tblCellMar>
        </w:tblPrEx>
        <w:trPr>
          <w:trHeight w:val="355" w:hRule="atLeast"/>
        </w:trPr>
        <w:tc>
          <w:tcPr>
            <w:tcW w:w="1277" w:type="dxa"/>
            <w:vMerge w:val="restart"/>
            <w:tcBorders>
              <w:top w:val="single" w:color="000000" w:sz="4" w:space="0"/>
              <w:left w:val="single" w:color="000000" w:sz="4" w:space="0"/>
              <w:right w:val="single" w:color="000000" w:sz="4" w:space="0"/>
            </w:tcBorders>
            <w:vAlign w:val="center"/>
          </w:tcPr>
          <w:p>
            <w:pPr>
              <w:autoSpaceDN w:val="0"/>
              <w:spacing w:line="276" w:lineRule="auto"/>
              <w:jc w:val="center"/>
              <w:textAlignment w:val="top"/>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产品特性</w:t>
            </w:r>
          </w:p>
        </w:tc>
        <w:tc>
          <w:tcPr>
            <w:tcW w:w="7938" w:type="dxa"/>
            <w:tcBorders>
              <w:top w:val="single" w:color="000000" w:sz="4" w:space="0"/>
              <w:left w:val="single" w:color="000000" w:sz="4" w:space="0"/>
              <w:right w:val="single" w:color="000000" w:sz="4" w:space="0"/>
            </w:tcBorders>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20KVA/16KW工频纯在线式UPS，带隔离变压器，三进单出。</w:t>
            </w:r>
          </w:p>
        </w:tc>
      </w:tr>
      <w:tr>
        <w:tblPrEx>
          <w:tblCellMar>
            <w:top w:w="0" w:type="dxa"/>
            <w:left w:w="108" w:type="dxa"/>
            <w:bottom w:w="0" w:type="dxa"/>
            <w:right w:w="108" w:type="dxa"/>
          </w:tblCellMar>
        </w:tblPrEx>
        <w:trPr>
          <w:trHeight w:val="109" w:hRule="atLeast"/>
        </w:trPr>
        <w:tc>
          <w:tcPr>
            <w:tcW w:w="1277" w:type="dxa"/>
            <w:vMerge w:val="continue"/>
            <w:tcBorders>
              <w:left w:val="single" w:color="000000" w:sz="4" w:space="0"/>
              <w:bottom w:val="single" w:color="000000" w:sz="4" w:space="0"/>
              <w:right w:val="single" w:color="000000" w:sz="4" w:space="0"/>
            </w:tcBorders>
            <w:vAlign w:val="center"/>
          </w:tcPr>
          <w:p>
            <w:pPr>
              <w:autoSpaceDN w:val="0"/>
              <w:spacing w:line="276" w:lineRule="auto"/>
              <w:jc w:val="center"/>
              <w:textAlignment w:val="top"/>
              <w:rPr>
                <w:rFonts w:hint="eastAsia" w:ascii="仿宋_GB2312" w:hAnsi="仿宋_GB2312" w:eastAsia="仿宋_GB2312" w:cs="仿宋_GB2312"/>
                <w:bCs/>
                <w:sz w:val="24"/>
                <w:szCs w:val="24"/>
              </w:rPr>
            </w:pPr>
          </w:p>
        </w:tc>
        <w:tc>
          <w:tcPr>
            <w:tcW w:w="7938" w:type="dxa"/>
            <w:tcBorders>
              <w:top w:val="single" w:color="000000" w:sz="4" w:space="0"/>
              <w:left w:val="single" w:color="000000" w:sz="4" w:space="0"/>
              <w:bottom w:val="single" w:color="000000" w:sz="4" w:space="0"/>
              <w:right w:val="single" w:color="000000" w:sz="4" w:space="0"/>
            </w:tcBorders>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英文液晶面板，显示输入输出参数电压、频率，并可直接在液晶面板上设置输入、输出参数，液晶面板上有直观的输入、整流模块温度显示、逆变模块温度显示、系统温度显示、电池电池电压显示，输出电压、电流及功率，机器故障代码等。</w:t>
            </w:r>
          </w:p>
        </w:tc>
      </w:tr>
      <w:tr>
        <w:tblPrEx>
          <w:tblCellMar>
            <w:top w:w="0" w:type="dxa"/>
            <w:left w:w="108" w:type="dxa"/>
            <w:bottom w:w="0" w:type="dxa"/>
            <w:right w:w="108" w:type="dxa"/>
          </w:tblCellMar>
        </w:tblPrEx>
        <w:trPr>
          <w:trHeight w:val="82" w:hRule="atLeast"/>
        </w:trPr>
        <w:tc>
          <w:tcPr>
            <w:tcW w:w="1277" w:type="dxa"/>
            <w:vMerge w:val="continue"/>
            <w:tcBorders>
              <w:left w:val="single" w:color="000000" w:sz="4" w:space="0"/>
              <w:right w:val="single" w:color="000000" w:sz="4" w:space="0"/>
            </w:tcBorders>
            <w:vAlign w:val="center"/>
          </w:tcPr>
          <w:p>
            <w:pPr>
              <w:autoSpaceDN w:val="0"/>
              <w:spacing w:line="276" w:lineRule="auto"/>
              <w:jc w:val="center"/>
              <w:textAlignment w:val="top"/>
              <w:rPr>
                <w:rFonts w:hint="eastAsia" w:ascii="仿宋_GB2312" w:hAnsi="仿宋_GB2312" w:eastAsia="仿宋_GB2312" w:cs="仿宋_GB2312"/>
                <w:bCs/>
                <w:sz w:val="24"/>
                <w:szCs w:val="24"/>
              </w:rPr>
            </w:pPr>
          </w:p>
        </w:tc>
        <w:tc>
          <w:tcPr>
            <w:tcW w:w="7938" w:type="dxa"/>
            <w:tcBorders>
              <w:top w:val="single" w:color="000000" w:sz="4" w:space="0"/>
              <w:left w:val="single" w:color="000000" w:sz="4" w:space="0"/>
              <w:bottom w:val="single" w:color="000000" w:sz="4" w:space="0"/>
              <w:right w:val="single" w:color="000000" w:sz="4" w:space="0"/>
            </w:tcBorders>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为了利用原有的配套电池，新UPS主机的电池标称电压必须为192V。</w:t>
            </w:r>
          </w:p>
        </w:tc>
      </w:tr>
      <w:tr>
        <w:tblPrEx>
          <w:tblCellMar>
            <w:top w:w="0" w:type="dxa"/>
            <w:left w:w="108" w:type="dxa"/>
            <w:bottom w:w="0" w:type="dxa"/>
            <w:right w:w="108" w:type="dxa"/>
          </w:tblCellMar>
        </w:tblPrEx>
        <w:trPr>
          <w:trHeight w:val="82" w:hRule="atLeast"/>
        </w:trPr>
        <w:tc>
          <w:tcPr>
            <w:tcW w:w="1277" w:type="dxa"/>
            <w:vMerge w:val="continue"/>
            <w:tcBorders>
              <w:left w:val="single" w:color="000000" w:sz="4" w:space="0"/>
              <w:bottom w:val="single" w:color="000000" w:sz="4" w:space="0"/>
              <w:right w:val="single" w:color="000000" w:sz="4" w:space="0"/>
            </w:tcBorders>
            <w:vAlign w:val="center"/>
          </w:tcPr>
          <w:p>
            <w:pPr>
              <w:autoSpaceDN w:val="0"/>
              <w:spacing w:line="276" w:lineRule="auto"/>
              <w:jc w:val="center"/>
              <w:textAlignment w:val="top"/>
              <w:rPr>
                <w:rFonts w:hint="eastAsia" w:ascii="仿宋_GB2312" w:hAnsi="仿宋_GB2312" w:eastAsia="仿宋_GB2312" w:cs="仿宋_GB2312"/>
                <w:bCs/>
                <w:sz w:val="24"/>
                <w:szCs w:val="24"/>
              </w:rPr>
            </w:pPr>
          </w:p>
        </w:tc>
        <w:tc>
          <w:tcPr>
            <w:tcW w:w="7938" w:type="dxa"/>
            <w:tcBorders>
              <w:top w:val="single" w:color="000000" w:sz="4" w:space="0"/>
              <w:left w:val="single" w:color="000000" w:sz="4" w:space="0"/>
              <w:bottom w:val="single" w:color="000000" w:sz="4" w:space="0"/>
              <w:right w:val="single" w:color="000000" w:sz="4" w:space="0"/>
            </w:tcBorders>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通讯功能：具备RS232/485通讯接口。</w:t>
            </w:r>
          </w:p>
        </w:tc>
      </w:tr>
      <w:tr>
        <w:tblPrEx>
          <w:tblCellMar>
            <w:top w:w="0" w:type="dxa"/>
            <w:left w:w="108" w:type="dxa"/>
            <w:bottom w:w="0" w:type="dxa"/>
            <w:right w:w="108" w:type="dxa"/>
          </w:tblCellMar>
        </w:tblPrEx>
        <w:trPr>
          <w:trHeight w:val="82" w:hRule="atLeast"/>
        </w:trPr>
        <w:tc>
          <w:tcPr>
            <w:tcW w:w="1277" w:type="dxa"/>
            <w:tcBorders>
              <w:left w:val="single" w:color="000000" w:sz="4" w:space="0"/>
              <w:bottom w:val="single" w:color="000000" w:sz="4" w:space="0"/>
              <w:right w:val="single" w:color="000000" w:sz="4" w:space="0"/>
            </w:tcBorders>
            <w:vAlign w:val="center"/>
          </w:tcPr>
          <w:p>
            <w:pPr>
              <w:autoSpaceDN w:val="0"/>
              <w:spacing w:line="276" w:lineRule="auto"/>
              <w:jc w:val="center"/>
              <w:textAlignment w:val="top"/>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服务</w:t>
            </w:r>
          </w:p>
        </w:tc>
        <w:tc>
          <w:tcPr>
            <w:tcW w:w="7938" w:type="dxa"/>
            <w:tcBorders>
              <w:top w:val="single" w:color="000000" w:sz="4" w:space="0"/>
              <w:left w:val="single" w:color="000000" w:sz="4" w:space="0"/>
              <w:bottom w:val="single" w:color="000000" w:sz="4" w:space="0"/>
              <w:right w:val="single" w:color="000000" w:sz="4" w:space="0"/>
            </w:tcBorders>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三年原厂质保服务。</w:t>
            </w:r>
          </w:p>
        </w:tc>
      </w:tr>
      <w:tr>
        <w:tblPrEx>
          <w:tblCellMar>
            <w:top w:w="0" w:type="dxa"/>
            <w:left w:w="108" w:type="dxa"/>
            <w:bottom w:w="0" w:type="dxa"/>
            <w:right w:w="108" w:type="dxa"/>
          </w:tblCellMar>
        </w:tblPrEx>
        <w:tc>
          <w:tcPr>
            <w:tcW w:w="92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rPr>
              <w:t>铅酸蓄电池</w:t>
            </w:r>
          </w:p>
        </w:tc>
      </w:tr>
      <w:tr>
        <w:tblPrEx>
          <w:tblCellMar>
            <w:top w:w="0" w:type="dxa"/>
            <w:left w:w="108" w:type="dxa"/>
            <w:bottom w:w="0" w:type="dxa"/>
            <w:right w:w="108" w:type="dxa"/>
          </w:tblCellMar>
        </w:tblPrEx>
        <w:tc>
          <w:tcPr>
            <w:tcW w:w="1277" w:type="dxa"/>
            <w:tcBorders>
              <w:top w:val="single" w:color="000000" w:sz="4" w:space="0"/>
              <w:left w:val="single" w:color="000000" w:sz="4" w:space="0"/>
              <w:bottom w:val="single" w:color="000000" w:sz="4" w:space="0"/>
              <w:right w:val="single" w:color="000000" w:sz="4" w:space="0"/>
            </w:tcBorders>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功能指标</w:t>
            </w:r>
          </w:p>
        </w:tc>
        <w:tc>
          <w:tcPr>
            <w:tcW w:w="7938" w:type="dxa"/>
            <w:tcBorders>
              <w:top w:val="single" w:color="000000" w:sz="4" w:space="0"/>
              <w:left w:val="single" w:color="000000" w:sz="4" w:space="0"/>
              <w:bottom w:val="single" w:color="000000" w:sz="4" w:space="0"/>
              <w:right w:val="single" w:color="000000" w:sz="4" w:space="0"/>
            </w:tcBorders>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技术要求</w:t>
            </w:r>
          </w:p>
        </w:tc>
      </w:tr>
      <w:tr>
        <w:tblPrEx>
          <w:tblCellMar>
            <w:top w:w="0" w:type="dxa"/>
            <w:left w:w="108" w:type="dxa"/>
            <w:bottom w:w="0" w:type="dxa"/>
            <w:right w:w="108" w:type="dxa"/>
          </w:tblCellMar>
        </w:tblPrEx>
        <w:trPr>
          <w:trHeight w:val="40" w:hRule="atLeast"/>
        </w:trPr>
        <w:tc>
          <w:tcPr>
            <w:tcW w:w="1277" w:type="dxa"/>
            <w:vMerge w:val="restart"/>
            <w:tcBorders>
              <w:top w:val="single" w:color="000000" w:sz="4" w:space="0"/>
              <w:left w:val="single" w:color="000000" w:sz="4" w:space="0"/>
              <w:right w:val="single" w:color="000000" w:sz="4" w:space="0"/>
            </w:tcBorders>
            <w:vAlign w:val="center"/>
          </w:tcPr>
          <w:p>
            <w:pPr>
              <w:autoSpaceDN w:val="0"/>
              <w:spacing w:line="276" w:lineRule="auto"/>
              <w:jc w:val="center"/>
              <w:textAlignment w:val="top"/>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产品特性</w:t>
            </w:r>
          </w:p>
        </w:tc>
        <w:tc>
          <w:tcPr>
            <w:tcW w:w="7938" w:type="dxa"/>
            <w:tcBorders>
              <w:top w:val="single" w:color="000000" w:sz="4" w:space="0"/>
              <w:left w:val="single" w:color="000000" w:sz="4" w:space="0"/>
              <w:bottom w:val="single" w:color="000000" w:sz="4" w:space="0"/>
              <w:right w:val="single" w:color="000000" w:sz="4" w:space="0"/>
            </w:tcBorders>
            <w:vAlign w:val="top"/>
          </w:tcPr>
          <w:p>
            <w:pPr>
              <w:widowControl/>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阀控密封式铅酸蓄电池。</w:t>
            </w:r>
          </w:p>
        </w:tc>
      </w:tr>
      <w:tr>
        <w:tblPrEx>
          <w:tblCellMar>
            <w:top w:w="0" w:type="dxa"/>
            <w:left w:w="108" w:type="dxa"/>
            <w:bottom w:w="0" w:type="dxa"/>
            <w:right w:w="108" w:type="dxa"/>
          </w:tblCellMar>
        </w:tblPrEx>
        <w:trPr>
          <w:trHeight w:val="32" w:hRule="atLeast"/>
        </w:trPr>
        <w:tc>
          <w:tcPr>
            <w:tcW w:w="1277" w:type="dxa"/>
            <w:vMerge w:val="continue"/>
            <w:tcBorders>
              <w:left w:val="single" w:color="000000" w:sz="4" w:space="0"/>
              <w:right w:val="single" w:color="000000" w:sz="4" w:space="0"/>
            </w:tcBorders>
            <w:vAlign w:val="center"/>
          </w:tcPr>
          <w:p>
            <w:pPr>
              <w:autoSpaceDN w:val="0"/>
              <w:spacing w:line="276" w:lineRule="auto"/>
              <w:jc w:val="center"/>
              <w:textAlignment w:val="top"/>
              <w:rPr>
                <w:rFonts w:hint="eastAsia" w:ascii="仿宋_GB2312" w:hAnsi="仿宋_GB2312" w:eastAsia="仿宋_GB2312" w:cs="仿宋_GB2312"/>
                <w:bCs/>
                <w:sz w:val="24"/>
                <w:szCs w:val="24"/>
              </w:rPr>
            </w:pPr>
          </w:p>
        </w:tc>
        <w:tc>
          <w:tcPr>
            <w:tcW w:w="7938" w:type="dxa"/>
            <w:tcBorders>
              <w:top w:val="single" w:color="000000" w:sz="4" w:space="0"/>
              <w:left w:val="single" w:color="000000" w:sz="4" w:space="0"/>
              <w:bottom w:val="single" w:color="000000" w:sz="4" w:space="0"/>
              <w:right w:val="single" w:color="000000" w:sz="4" w:space="0"/>
            </w:tcBorders>
            <w:vAlign w:val="top"/>
          </w:tcPr>
          <w:p>
            <w:pPr>
              <w:widowControl/>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产品容量与设计浮充寿命：单体电池额定电压：12V；重量≥27.5KG；单体电池电压容量：100AH，20HR，25℃时，蓄电池设计寿命≥10年。</w:t>
            </w:r>
          </w:p>
        </w:tc>
      </w:tr>
      <w:tr>
        <w:tblPrEx>
          <w:tblCellMar>
            <w:top w:w="0" w:type="dxa"/>
            <w:left w:w="108" w:type="dxa"/>
            <w:bottom w:w="0" w:type="dxa"/>
            <w:right w:w="108" w:type="dxa"/>
          </w:tblCellMar>
        </w:tblPrEx>
        <w:trPr>
          <w:trHeight w:val="32" w:hRule="atLeast"/>
        </w:trPr>
        <w:tc>
          <w:tcPr>
            <w:tcW w:w="1277" w:type="dxa"/>
            <w:vMerge w:val="continue"/>
            <w:tcBorders>
              <w:left w:val="single" w:color="000000" w:sz="4" w:space="0"/>
              <w:right w:val="single" w:color="000000" w:sz="4" w:space="0"/>
            </w:tcBorders>
            <w:vAlign w:val="center"/>
          </w:tcPr>
          <w:p>
            <w:pPr>
              <w:autoSpaceDN w:val="0"/>
              <w:spacing w:line="276" w:lineRule="auto"/>
              <w:jc w:val="center"/>
              <w:textAlignment w:val="top"/>
              <w:rPr>
                <w:rFonts w:hint="eastAsia" w:ascii="仿宋_GB2312" w:hAnsi="仿宋_GB2312" w:eastAsia="仿宋_GB2312" w:cs="仿宋_GB2312"/>
                <w:bCs/>
                <w:sz w:val="24"/>
                <w:szCs w:val="24"/>
              </w:rPr>
            </w:pPr>
          </w:p>
        </w:tc>
        <w:tc>
          <w:tcPr>
            <w:tcW w:w="7938" w:type="dxa"/>
            <w:tcBorders>
              <w:top w:val="single" w:color="000000" w:sz="4" w:space="0"/>
              <w:left w:val="single" w:color="000000" w:sz="4" w:space="0"/>
              <w:bottom w:val="single" w:color="000000" w:sz="4" w:space="0"/>
              <w:right w:val="single" w:color="000000" w:sz="4" w:space="0"/>
            </w:tcBorders>
            <w:vAlign w:val="top"/>
          </w:tcPr>
          <w:p>
            <w:pPr>
              <w:widowControl/>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防漏液要求：作为连接外界最紧密的极柱（端子）部位，经常受到安装扭力的施压，最容易引发漏液的部位，为机房整体安全考虑，电池极柱（端子）部位有防漏液的设计。</w:t>
            </w:r>
          </w:p>
        </w:tc>
      </w:tr>
      <w:tr>
        <w:tblPrEx>
          <w:tblCellMar>
            <w:top w:w="0" w:type="dxa"/>
            <w:left w:w="108" w:type="dxa"/>
            <w:bottom w:w="0" w:type="dxa"/>
            <w:right w:w="108" w:type="dxa"/>
          </w:tblCellMar>
        </w:tblPrEx>
        <w:trPr>
          <w:trHeight w:val="32" w:hRule="atLeast"/>
        </w:trPr>
        <w:tc>
          <w:tcPr>
            <w:tcW w:w="1277" w:type="dxa"/>
            <w:vMerge w:val="continue"/>
            <w:tcBorders>
              <w:left w:val="single" w:color="000000" w:sz="4" w:space="0"/>
              <w:right w:val="single" w:color="000000" w:sz="4" w:space="0"/>
            </w:tcBorders>
            <w:vAlign w:val="center"/>
          </w:tcPr>
          <w:p>
            <w:pPr>
              <w:autoSpaceDN w:val="0"/>
              <w:spacing w:line="276" w:lineRule="auto"/>
              <w:jc w:val="center"/>
              <w:textAlignment w:val="top"/>
              <w:rPr>
                <w:rFonts w:hint="eastAsia" w:ascii="仿宋_GB2312" w:hAnsi="仿宋_GB2312" w:eastAsia="仿宋_GB2312" w:cs="仿宋_GB2312"/>
                <w:bCs/>
                <w:sz w:val="24"/>
                <w:szCs w:val="24"/>
              </w:rPr>
            </w:pPr>
          </w:p>
        </w:tc>
        <w:tc>
          <w:tcPr>
            <w:tcW w:w="7938" w:type="dxa"/>
            <w:tcBorders>
              <w:top w:val="single" w:color="000000" w:sz="4" w:space="0"/>
              <w:left w:val="single" w:color="000000" w:sz="4" w:space="0"/>
              <w:bottom w:val="single" w:color="000000" w:sz="4" w:space="0"/>
              <w:right w:val="single" w:color="000000" w:sz="4" w:space="0"/>
            </w:tcBorders>
            <w:vAlign w:val="top"/>
          </w:tcPr>
          <w:p>
            <w:pPr>
              <w:widowControl/>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外壳：蓄电池必须全部采用高强度的ABS外壳，符合UL标准，外壳无变形、裂纹及污迹，上盖及端子无损伤，正常工作时无酸雾逸出。</w:t>
            </w:r>
          </w:p>
        </w:tc>
      </w:tr>
      <w:tr>
        <w:tblPrEx>
          <w:tblCellMar>
            <w:top w:w="0" w:type="dxa"/>
            <w:left w:w="108" w:type="dxa"/>
            <w:bottom w:w="0" w:type="dxa"/>
            <w:right w:w="108" w:type="dxa"/>
          </w:tblCellMar>
        </w:tblPrEx>
        <w:trPr>
          <w:trHeight w:val="32" w:hRule="atLeast"/>
        </w:trPr>
        <w:tc>
          <w:tcPr>
            <w:tcW w:w="1277" w:type="dxa"/>
            <w:vMerge w:val="continue"/>
            <w:tcBorders>
              <w:left w:val="single" w:color="000000" w:sz="4" w:space="0"/>
              <w:right w:val="single" w:color="000000" w:sz="4" w:space="0"/>
            </w:tcBorders>
            <w:vAlign w:val="center"/>
          </w:tcPr>
          <w:p>
            <w:pPr>
              <w:autoSpaceDN w:val="0"/>
              <w:spacing w:line="276" w:lineRule="auto"/>
              <w:jc w:val="center"/>
              <w:textAlignment w:val="top"/>
              <w:rPr>
                <w:rFonts w:hint="eastAsia" w:ascii="仿宋_GB2312" w:hAnsi="仿宋_GB2312" w:eastAsia="仿宋_GB2312" w:cs="仿宋_GB2312"/>
                <w:bCs/>
                <w:sz w:val="24"/>
                <w:szCs w:val="24"/>
              </w:rPr>
            </w:pPr>
          </w:p>
        </w:tc>
        <w:tc>
          <w:tcPr>
            <w:tcW w:w="7938" w:type="dxa"/>
            <w:tcBorders>
              <w:top w:val="single" w:color="000000" w:sz="4" w:space="0"/>
              <w:left w:val="single" w:color="000000" w:sz="4" w:space="0"/>
              <w:bottom w:val="single" w:color="000000" w:sz="4" w:space="0"/>
              <w:right w:val="single" w:color="000000" w:sz="4" w:space="0"/>
            </w:tcBorders>
            <w:vAlign w:val="top"/>
          </w:tcPr>
          <w:p>
            <w:pPr>
              <w:widowControl/>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蓄电池板栅：蓄电池板栅采用平板板极技术，深度放电恢复性能好，延长浮充使用和循环使用寿命。</w:t>
            </w:r>
          </w:p>
        </w:tc>
      </w:tr>
      <w:tr>
        <w:tblPrEx>
          <w:tblCellMar>
            <w:top w:w="0" w:type="dxa"/>
            <w:left w:w="108" w:type="dxa"/>
            <w:bottom w:w="0" w:type="dxa"/>
            <w:right w:w="108" w:type="dxa"/>
          </w:tblCellMar>
        </w:tblPrEx>
        <w:trPr>
          <w:trHeight w:val="32" w:hRule="atLeast"/>
        </w:trPr>
        <w:tc>
          <w:tcPr>
            <w:tcW w:w="1277" w:type="dxa"/>
            <w:vMerge w:val="continue"/>
            <w:tcBorders>
              <w:left w:val="single" w:color="000000" w:sz="4" w:space="0"/>
              <w:right w:val="single" w:color="000000" w:sz="4" w:space="0"/>
            </w:tcBorders>
            <w:vAlign w:val="center"/>
          </w:tcPr>
          <w:p>
            <w:pPr>
              <w:autoSpaceDN w:val="0"/>
              <w:spacing w:line="276" w:lineRule="auto"/>
              <w:jc w:val="center"/>
              <w:textAlignment w:val="top"/>
              <w:rPr>
                <w:rFonts w:hint="eastAsia" w:ascii="仿宋_GB2312" w:hAnsi="仿宋_GB2312" w:eastAsia="仿宋_GB2312" w:cs="仿宋_GB2312"/>
                <w:bCs/>
                <w:sz w:val="24"/>
                <w:szCs w:val="24"/>
              </w:rPr>
            </w:pPr>
          </w:p>
        </w:tc>
        <w:tc>
          <w:tcPr>
            <w:tcW w:w="7938" w:type="dxa"/>
            <w:tcBorders>
              <w:top w:val="single" w:color="000000" w:sz="4" w:space="0"/>
              <w:left w:val="single" w:color="000000" w:sz="4" w:space="0"/>
              <w:bottom w:val="single" w:color="000000" w:sz="4" w:space="0"/>
              <w:right w:val="single" w:color="000000" w:sz="4" w:space="0"/>
            </w:tcBorders>
            <w:vAlign w:val="top"/>
          </w:tcPr>
          <w:p>
            <w:pPr>
              <w:widowControl/>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开闭阀压力：电池使用期间安全阀应自动开启闭合，闭阀压力应在16KPa-20KPa范围内，开阀压力应在18KPa-22KPa范围内。</w:t>
            </w:r>
          </w:p>
        </w:tc>
      </w:tr>
      <w:tr>
        <w:tblPrEx>
          <w:tblCellMar>
            <w:top w:w="0" w:type="dxa"/>
            <w:left w:w="108" w:type="dxa"/>
            <w:bottom w:w="0" w:type="dxa"/>
            <w:right w:w="108" w:type="dxa"/>
          </w:tblCellMar>
        </w:tblPrEx>
        <w:trPr>
          <w:trHeight w:val="32" w:hRule="atLeast"/>
        </w:trPr>
        <w:tc>
          <w:tcPr>
            <w:tcW w:w="1277" w:type="dxa"/>
            <w:vMerge w:val="continue"/>
            <w:tcBorders>
              <w:left w:val="single" w:color="000000" w:sz="4" w:space="0"/>
              <w:right w:val="single" w:color="000000" w:sz="4" w:space="0"/>
            </w:tcBorders>
            <w:vAlign w:val="center"/>
          </w:tcPr>
          <w:p>
            <w:pPr>
              <w:autoSpaceDN w:val="0"/>
              <w:spacing w:line="276" w:lineRule="auto"/>
              <w:jc w:val="center"/>
              <w:textAlignment w:val="top"/>
              <w:rPr>
                <w:rFonts w:hint="eastAsia" w:ascii="仿宋_GB2312" w:hAnsi="仿宋_GB2312" w:eastAsia="仿宋_GB2312" w:cs="仿宋_GB2312"/>
                <w:bCs/>
                <w:sz w:val="24"/>
                <w:szCs w:val="24"/>
              </w:rPr>
            </w:pPr>
          </w:p>
        </w:tc>
        <w:tc>
          <w:tcPr>
            <w:tcW w:w="7938" w:type="dxa"/>
            <w:tcBorders>
              <w:top w:val="single" w:color="000000" w:sz="4" w:space="0"/>
              <w:left w:val="single" w:color="000000" w:sz="4" w:space="0"/>
              <w:bottom w:val="single" w:color="000000" w:sz="4" w:space="0"/>
              <w:right w:val="single" w:color="000000" w:sz="4" w:space="0"/>
            </w:tcBorders>
            <w:vAlign w:val="top"/>
          </w:tcPr>
          <w:p>
            <w:pPr>
              <w:widowControl/>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密封反应效率：密封反应效率＞97%；</w:t>
            </w:r>
          </w:p>
        </w:tc>
      </w:tr>
      <w:tr>
        <w:tblPrEx>
          <w:tblCellMar>
            <w:top w:w="0" w:type="dxa"/>
            <w:left w:w="108" w:type="dxa"/>
            <w:bottom w:w="0" w:type="dxa"/>
            <w:right w:w="108" w:type="dxa"/>
          </w:tblCellMar>
        </w:tblPrEx>
        <w:trPr>
          <w:trHeight w:val="32" w:hRule="atLeast"/>
        </w:trPr>
        <w:tc>
          <w:tcPr>
            <w:tcW w:w="1277" w:type="dxa"/>
            <w:vMerge w:val="continue"/>
            <w:tcBorders>
              <w:left w:val="single" w:color="000000" w:sz="4" w:space="0"/>
              <w:right w:val="single" w:color="000000" w:sz="4" w:space="0"/>
            </w:tcBorders>
            <w:vAlign w:val="center"/>
          </w:tcPr>
          <w:p>
            <w:pPr>
              <w:autoSpaceDN w:val="0"/>
              <w:spacing w:line="276" w:lineRule="auto"/>
              <w:jc w:val="center"/>
              <w:textAlignment w:val="top"/>
              <w:rPr>
                <w:rFonts w:hint="eastAsia" w:ascii="仿宋_GB2312" w:hAnsi="仿宋_GB2312" w:eastAsia="仿宋_GB2312" w:cs="仿宋_GB2312"/>
                <w:bCs/>
                <w:sz w:val="24"/>
                <w:szCs w:val="24"/>
              </w:rPr>
            </w:pPr>
          </w:p>
        </w:tc>
        <w:tc>
          <w:tcPr>
            <w:tcW w:w="7938" w:type="dxa"/>
            <w:tcBorders>
              <w:top w:val="single" w:color="000000" w:sz="4" w:space="0"/>
              <w:left w:val="single" w:color="000000" w:sz="4" w:space="0"/>
              <w:bottom w:val="single" w:color="000000" w:sz="4" w:space="0"/>
              <w:right w:val="single" w:color="000000" w:sz="4" w:space="0"/>
            </w:tcBorders>
            <w:vAlign w:val="top"/>
          </w:tcPr>
          <w:p>
            <w:pPr>
              <w:widowControl/>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自放电率：@ 25℃ (77℉) 放置90天小于10 %</w:t>
            </w:r>
          </w:p>
        </w:tc>
      </w:tr>
      <w:tr>
        <w:tblPrEx>
          <w:tblCellMar>
            <w:top w:w="0" w:type="dxa"/>
            <w:left w:w="108" w:type="dxa"/>
            <w:bottom w:w="0" w:type="dxa"/>
            <w:right w:w="108" w:type="dxa"/>
          </w:tblCellMar>
        </w:tblPrEx>
        <w:trPr>
          <w:trHeight w:val="32" w:hRule="atLeast"/>
        </w:trPr>
        <w:tc>
          <w:tcPr>
            <w:tcW w:w="1277" w:type="dxa"/>
            <w:vMerge w:val="continue"/>
            <w:tcBorders>
              <w:left w:val="single" w:color="000000" w:sz="4" w:space="0"/>
              <w:right w:val="single" w:color="000000" w:sz="4" w:space="0"/>
            </w:tcBorders>
            <w:vAlign w:val="center"/>
          </w:tcPr>
          <w:p>
            <w:pPr>
              <w:autoSpaceDN w:val="0"/>
              <w:spacing w:line="276" w:lineRule="auto"/>
              <w:jc w:val="center"/>
              <w:textAlignment w:val="top"/>
              <w:rPr>
                <w:rFonts w:hint="eastAsia" w:ascii="仿宋_GB2312" w:hAnsi="仿宋_GB2312" w:eastAsia="仿宋_GB2312" w:cs="仿宋_GB2312"/>
                <w:bCs/>
                <w:sz w:val="24"/>
                <w:szCs w:val="24"/>
              </w:rPr>
            </w:pPr>
          </w:p>
        </w:tc>
        <w:tc>
          <w:tcPr>
            <w:tcW w:w="7938" w:type="dxa"/>
            <w:tcBorders>
              <w:top w:val="single" w:color="000000" w:sz="4" w:space="0"/>
              <w:left w:val="single" w:color="000000" w:sz="4" w:space="0"/>
              <w:bottom w:val="single" w:color="000000" w:sz="4" w:space="0"/>
              <w:right w:val="single" w:color="000000" w:sz="4" w:space="0"/>
            </w:tcBorders>
            <w:vAlign w:val="top"/>
          </w:tcPr>
          <w:p>
            <w:pPr>
              <w:widowControl/>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阻燃性与防腐性：蓄电池间接线板、终端接头应选择导电性能优良的材料，并具有防腐措施。蓄电池槽、盖、安全阀，极柱封口剂等材料应具有阻燃性。</w:t>
            </w:r>
          </w:p>
        </w:tc>
      </w:tr>
      <w:tr>
        <w:tblPrEx>
          <w:tblCellMar>
            <w:top w:w="0" w:type="dxa"/>
            <w:left w:w="108" w:type="dxa"/>
            <w:bottom w:w="0" w:type="dxa"/>
            <w:right w:w="108" w:type="dxa"/>
          </w:tblCellMar>
        </w:tblPrEx>
        <w:trPr>
          <w:trHeight w:val="32" w:hRule="atLeast"/>
        </w:trPr>
        <w:tc>
          <w:tcPr>
            <w:tcW w:w="1277" w:type="dxa"/>
            <w:vMerge w:val="continue"/>
            <w:tcBorders>
              <w:left w:val="single" w:color="000000" w:sz="4" w:space="0"/>
              <w:bottom w:val="single" w:color="auto" w:sz="4" w:space="0"/>
              <w:right w:val="single" w:color="000000" w:sz="4" w:space="0"/>
            </w:tcBorders>
            <w:vAlign w:val="center"/>
          </w:tcPr>
          <w:p>
            <w:pPr>
              <w:autoSpaceDN w:val="0"/>
              <w:spacing w:line="276" w:lineRule="auto"/>
              <w:jc w:val="center"/>
              <w:textAlignment w:val="top"/>
              <w:rPr>
                <w:rFonts w:hint="eastAsia" w:ascii="仿宋_GB2312" w:hAnsi="仿宋_GB2312" w:eastAsia="仿宋_GB2312" w:cs="仿宋_GB2312"/>
                <w:bCs/>
                <w:sz w:val="24"/>
                <w:szCs w:val="24"/>
              </w:rPr>
            </w:pPr>
          </w:p>
        </w:tc>
        <w:tc>
          <w:tcPr>
            <w:tcW w:w="7938" w:type="dxa"/>
            <w:tcBorders>
              <w:top w:val="single" w:color="000000" w:sz="4" w:space="0"/>
              <w:left w:val="single" w:color="000000" w:sz="4" w:space="0"/>
              <w:bottom w:val="single" w:color="auto" w:sz="4" w:space="0"/>
              <w:right w:val="single" w:color="000000" w:sz="4" w:space="0"/>
            </w:tcBorders>
            <w:vAlign w:val="top"/>
          </w:tcPr>
          <w:p>
            <w:pPr>
              <w:widowControl/>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抗震性：蓄电池组应按9级地震烈度考虑设备的设计能承受并保持结构的完整性。</w:t>
            </w:r>
          </w:p>
        </w:tc>
      </w:tr>
      <w:tr>
        <w:tblPrEx>
          <w:tblCellMar>
            <w:top w:w="0" w:type="dxa"/>
            <w:left w:w="108" w:type="dxa"/>
            <w:bottom w:w="0" w:type="dxa"/>
            <w:right w:w="108" w:type="dxa"/>
          </w:tblCellMar>
        </w:tblPrEx>
        <w:trPr>
          <w:trHeight w:val="32" w:hRule="atLeast"/>
        </w:trPr>
        <w:tc>
          <w:tcPr>
            <w:tcW w:w="1277" w:type="dxa"/>
            <w:tcBorders>
              <w:top w:val="single" w:color="auto" w:sz="4" w:space="0"/>
              <w:left w:val="single" w:color="auto" w:sz="4" w:space="0"/>
              <w:bottom w:val="single" w:color="auto" w:sz="4" w:space="0"/>
              <w:right w:val="single" w:color="auto" w:sz="4" w:space="0"/>
            </w:tcBorders>
            <w:vAlign w:val="center"/>
          </w:tcPr>
          <w:p>
            <w:pPr>
              <w:autoSpaceDN w:val="0"/>
              <w:spacing w:line="276" w:lineRule="auto"/>
              <w:jc w:val="center"/>
              <w:textAlignment w:val="top"/>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服务要求</w:t>
            </w:r>
          </w:p>
        </w:tc>
        <w:tc>
          <w:tcPr>
            <w:tcW w:w="7938" w:type="dxa"/>
            <w:tcBorders>
              <w:top w:val="single" w:color="auto" w:sz="4" w:space="0"/>
              <w:left w:val="single" w:color="auto" w:sz="4" w:space="0"/>
              <w:bottom w:val="single" w:color="auto" w:sz="4" w:space="0"/>
              <w:right w:val="single" w:color="auto" w:sz="4" w:space="0"/>
            </w:tcBorders>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三年原厂质保服务。</w:t>
            </w:r>
          </w:p>
        </w:tc>
      </w:tr>
    </w:tbl>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 精密空调技术指标</w:t>
      </w:r>
    </w:p>
    <w:tbl>
      <w:tblPr>
        <w:tblStyle w:val="59"/>
        <w:tblW w:w="9215" w:type="dxa"/>
        <w:tblInd w:w="-318" w:type="dxa"/>
        <w:tblLayout w:type="fixed"/>
        <w:tblCellMar>
          <w:top w:w="0" w:type="dxa"/>
          <w:left w:w="108" w:type="dxa"/>
          <w:bottom w:w="0" w:type="dxa"/>
          <w:right w:w="108" w:type="dxa"/>
        </w:tblCellMar>
      </w:tblPr>
      <w:tblGrid>
        <w:gridCol w:w="1277"/>
        <w:gridCol w:w="7938"/>
      </w:tblGrid>
      <w:tr>
        <w:tblPrEx>
          <w:tblCellMar>
            <w:top w:w="0" w:type="dxa"/>
            <w:left w:w="108" w:type="dxa"/>
            <w:bottom w:w="0" w:type="dxa"/>
            <w:right w:w="108" w:type="dxa"/>
          </w:tblCellMar>
        </w:tblPrEx>
        <w:tc>
          <w:tcPr>
            <w:tcW w:w="1277" w:type="dxa"/>
            <w:tcBorders>
              <w:top w:val="single" w:color="000000" w:sz="4" w:space="0"/>
              <w:left w:val="single" w:color="000000" w:sz="4" w:space="0"/>
              <w:bottom w:val="single" w:color="auto" w:sz="4" w:space="0"/>
              <w:right w:val="single" w:color="000000" w:sz="4" w:space="0"/>
            </w:tcBorders>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功能指标</w:t>
            </w:r>
          </w:p>
        </w:tc>
        <w:tc>
          <w:tcPr>
            <w:tcW w:w="7938" w:type="dxa"/>
            <w:tcBorders>
              <w:top w:val="single" w:color="000000" w:sz="4" w:space="0"/>
              <w:left w:val="single" w:color="000000" w:sz="4" w:space="0"/>
              <w:bottom w:val="single" w:color="auto" w:sz="4" w:space="0"/>
              <w:right w:val="single" w:color="000000" w:sz="4" w:space="0"/>
            </w:tcBorders>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技术要求</w:t>
            </w:r>
          </w:p>
        </w:tc>
      </w:tr>
      <w:tr>
        <w:tblPrEx>
          <w:tblCellMar>
            <w:top w:w="0" w:type="dxa"/>
            <w:left w:w="108" w:type="dxa"/>
            <w:bottom w:w="0" w:type="dxa"/>
            <w:right w:w="108" w:type="dxa"/>
          </w:tblCellMar>
        </w:tblPrEx>
        <w:trPr>
          <w:trHeight w:val="41" w:hRule="atLeast"/>
        </w:trPr>
        <w:tc>
          <w:tcPr>
            <w:tcW w:w="1277"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276" w:lineRule="auto"/>
              <w:jc w:val="center"/>
              <w:textAlignment w:val="top"/>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产品特性</w:t>
            </w:r>
          </w:p>
        </w:tc>
        <w:tc>
          <w:tcPr>
            <w:tcW w:w="7938" w:type="dxa"/>
            <w:tcBorders>
              <w:top w:val="single" w:color="auto" w:sz="4" w:space="0"/>
              <w:left w:val="single" w:color="auto" w:sz="4" w:space="0"/>
              <w:bottom w:val="single" w:color="auto" w:sz="4" w:space="0"/>
              <w:right w:val="single" w:color="auto" w:sz="4" w:space="0"/>
            </w:tcBorders>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机房专用空调在24℃ 50%相对湿度工况下，总制冷量≥13KW,显冷量≥11.7KW。</w:t>
            </w:r>
          </w:p>
        </w:tc>
      </w:tr>
      <w:tr>
        <w:tblPrEx>
          <w:tblCellMar>
            <w:top w:w="0" w:type="dxa"/>
            <w:left w:w="108" w:type="dxa"/>
            <w:bottom w:w="0" w:type="dxa"/>
            <w:right w:w="108" w:type="dxa"/>
          </w:tblCellMar>
        </w:tblPrEx>
        <w:trPr>
          <w:trHeight w:val="41" w:hRule="atLeast"/>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276" w:lineRule="auto"/>
              <w:jc w:val="center"/>
              <w:textAlignment w:val="top"/>
              <w:rPr>
                <w:rFonts w:hint="eastAsia" w:ascii="仿宋_GB2312" w:hAnsi="仿宋_GB2312" w:eastAsia="仿宋_GB2312" w:cs="仿宋_GB2312"/>
                <w:bCs/>
                <w:sz w:val="24"/>
                <w:szCs w:val="24"/>
              </w:rPr>
            </w:pPr>
          </w:p>
        </w:tc>
        <w:tc>
          <w:tcPr>
            <w:tcW w:w="7938" w:type="dxa"/>
            <w:tcBorders>
              <w:top w:val="single" w:color="auto" w:sz="4" w:space="0"/>
              <w:left w:val="single" w:color="auto" w:sz="4" w:space="0"/>
              <w:bottom w:val="single" w:color="auto" w:sz="4" w:space="0"/>
              <w:right w:val="single" w:color="auto" w:sz="4" w:space="0"/>
            </w:tcBorders>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室内机风量≥3100m3/h，机外静压20~50Pa。</w:t>
            </w:r>
          </w:p>
        </w:tc>
      </w:tr>
      <w:tr>
        <w:tblPrEx>
          <w:tblCellMar>
            <w:top w:w="0" w:type="dxa"/>
            <w:left w:w="108" w:type="dxa"/>
            <w:bottom w:w="0" w:type="dxa"/>
            <w:right w:w="108" w:type="dxa"/>
          </w:tblCellMar>
        </w:tblPrEx>
        <w:trPr>
          <w:trHeight w:val="41" w:hRule="atLeast"/>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276" w:lineRule="auto"/>
              <w:jc w:val="center"/>
              <w:textAlignment w:val="top"/>
              <w:rPr>
                <w:rFonts w:hint="eastAsia" w:ascii="仿宋_GB2312" w:hAnsi="仿宋_GB2312" w:eastAsia="仿宋_GB2312" w:cs="仿宋_GB2312"/>
                <w:bCs/>
                <w:sz w:val="24"/>
                <w:szCs w:val="24"/>
              </w:rPr>
            </w:pPr>
          </w:p>
        </w:tc>
        <w:tc>
          <w:tcPr>
            <w:tcW w:w="7938" w:type="dxa"/>
            <w:tcBorders>
              <w:top w:val="single" w:color="auto" w:sz="4" w:space="0"/>
              <w:left w:val="single" w:color="auto" w:sz="4" w:space="0"/>
              <w:bottom w:val="single" w:color="auto" w:sz="4" w:space="0"/>
              <w:right w:val="single" w:color="auto" w:sz="4" w:space="0"/>
            </w:tcBorders>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空调内机：高度≥1975mm，宽≥600mm，深≥500mm 。</w:t>
            </w:r>
          </w:p>
        </w:tc>
      </w:tr>
      <w:tr>
        <w:tblPrEx>
          <w:tblCellMar>
            <w:top w:w="0" w:type="dxa"/>
            <w:left w:w="108" w:type="dxa"/>
            <w:bottom w:w="0" w:type="dxa"/>
            <w:right w:w="108" w:type="dxa"/>
          </w:tblCellMar>
        </w:tblPrEx>
        <w:trPr>
          <w:trHeight w:val="41" w:hRule="atLeast"/>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276" w:lineRule="auto"/>
              <w:jc w:val="center"/>
              <w:textAlignment w:val="top"/>
              <w:rPr>
                <w:rFonts w:hint="eastAsia" w:ascii="仿宋_GB2312" w:hAnsi="仿宋_GB2312" w:eastAsia="仿宋_GB2312" w:cs="仿宋_GB2312"/>
                <w:bCs/>
                <w:sz w:val="24"/>
                <w:szCs w:val="24"/>
              </w:rPr>
            </w:pPr>
          </w:p>
        </w:tc>
        <w:tc>
          <w:tcPr>
            <w:tcW w:w="7938" w:type="dxa"/>
            <w:tcBorders>
              <w:top w:val="single" w:color="auto" w:sz="4" w:space="0"/>
              <w:left w:val="single" w:color="auto" w:sz="4" w:space="0"/>
              <w:bottom w:val="single" w:color="auto" w:sz="4" w:space="0"/>
              <w:right w:val="single" w:color="auto" w:sz="4" w:space="0"/>
            </w:tcBorders>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机房专用空调应具备一个主回风口和两个侧面辅助回风口，有利于提高机组性能。</w:t>
            </w:r>
          </w:p>
        </w:tc>
      </w:tr>
      <w:tr>
        <w:tblPrEx>
          <w:tblCellMar>
            <w:top w:w="0" w:type="dxa"/>
            <w:left w:w="108" w:type="dxa"/>
            <w:bottom w:w="0" w:type="dxa"/>
            <w:right w:w="108" w:type="dxa"/>
          </w:tblCellMar>
        </w:tblPrEx>
        <w:trPr>
          <w:trHeight w:val="41" w:hRule="atLeast"/>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276" w:lineRule="auto"/>
              <w:jc w:val="center"/>
              <w:textAlignment w:val="top"/>
              <w:rPr>
                <w:rFonts w:hint="eastAsia" w:ascii="仿宋_GB2312" w:hAnsi="仿宋_GB2312" w:eastAsia="仿宋_GB2312" w:cs="仿宋_GB2312"/>
                <w:bCs/>
                <w:sz w:val="24"/>
                <w:szCs w:val="24"/>
              </w:rPr>
            </w:pPr>
          </w:p>
        </w:tc>
        <w:tc>
          <w:tcPr>
            <w:tcW w:w="7938" w:type="dxa"/>
            <w:tcBorders>
              <w:top w:val="single" w:color="auto" w:sz="4" w:space="0"/>
              <w:left w:val="single" w:color="auto" w:sz="4" w:space="0"/>
              <w:bottom w:val="single" w:color="auto" w:sz="4" w:space="0"/>
              <w:right w:val="single" w:color="auto" w:sz="4" w:space="0"/>
            </w:tcBorders>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机房专用空调室内机应采用全金属叶片、金属外壳的轴连风机，保证风机连续运转的可靠性。</w:t>
            </w:r>
          </w:p>
        </w:tc>
      </w:tr>
      <w:tr>
        <w:tblPrEx>
          <w:tblCellMar>
            <w:top w:w="0" w:type="dxa"/>
            <w:left w:w="108" w:type="dxa"/>
            <w:bottom w:w="0" w:type="dxa"/>
            <w:right w:w="108" w:type="dxa"/>
          </w:tblCellMar>
        </w:tblPrEx>
        <w:trPr>
          <w:trHeight w:val="41" w:hRule="atLeast"/>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276" w:lineRule="auto"/>
              <w:jc w:val="center"/>
              <w:textAlignment w:val="top"/>
              <w:rPr>
                <w:rFonts w:hint="eastAsia" w:ascii="仿宋_GB2312" w:hAnsi="仿宋_GB2312" w:eastAsia="仿宋_GB2312" w:cs="仿宋_GB2312"/>
                <w:bCs/>
                <w:sz w:val="24"/>
                <w:szCs w:val="24"/>
              </w:rPr>
            </w:pPr>
          </w:p>
        </w:tc>
        <w:tc>
          <w:tcPr>
            <w:tcW w:w="7938" w:type="dxa"/>
            <w:tcBorders>
              <w:top w:val="single" w:color="auto" w:sz="4" w:space="0"/>
              <w:left w:val="single" w:color="auto" w:sz="4" w:space="0"/>
              <w:bottom w:val="single" w:color="auto" w:sz="4" w:space="0"/>
              <w:right w:val="single" w:color="auto" w:sz="4" w:space="0"/>
            </w:tcBorders>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机房专用空调机组的风冷型室外冷凝器应采用无级全调速装置，保证系统冷凝压力的稳定并降低噪声。</w:t>
            </w:r>
          </w:p>
        </w:tc>
      </w:tr>
      <w:tr>
        <w:tblPrEx>
          <w:tblCellMar>
            <w:top w:w="0" w:type="dxa"/>
            <w:left w:w="108" w:type="dxa"/>
            <w:bottom w:w="0" w:type="dxa"/>
            <w:right w:w="108" w:type="dxa"/>
          </w:tblCellMar>
        </w:tblPrEx>
        <w:trPr>
          <w:trHeight w:val="41" w:hRule="atLeast"/>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276" w:lineRule="auto"/>
              <w:jc w:val="center"/>
              <w:textAlignment w:val="top"/>
              <w:rPr>
                <w:rFonts w:hint="eastAsia" w:ascii="仿宋_GB2312" w:hAnsi="仿宋_GB2312" w:eastAsia="仿宋_GB2312" w:cs="仿宋_GB2312"/>
                <w:bCs/>
                <w:sz w:val="24"/>
                <w:szCs w:val="24"/>
              </w:rPr>
            </w:pPr>
          </w:p>
        </w:tc>
        <w:tc>
          <w:tcPr>
            <w:tcW w:w="7938" w:type="dxa"/>
            <w:tcBorders>
              <w:top w:val="single" w:color="auto" w:sz="4" w:space="0"/>
              <w:left w:val="single" w:color="auto" w:sz="4" w:space="0"/>
              <w:bottom w:val="single" w:color="auto" w:sz="4" w:space="0"/>
              <w:right w:val="single" w:color="auto" w:sz="4" w:space="0"/>
            </w:tcBorders>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机房专用空调系统应具有高可靠性，应选用高可靠性的涡旋压缩机、高可靠性机械热力膨胀阀、全金属室内风机等高可靠性部件，满足全年365天，每天24小时不间断运行。</w:t>
            </w:r>
          </w:p>
        </w:tc>
      </w:tr>
      <w:tr>
        <w:tblPrEx>
          <w:tblCellMar>
            <w:top w:w="0" w:type="dxa"/>
            <w:left w:w="108" w:type="dxa"/>
            <w:bottom w:w="0" w:type="dxa"/>
            <w:right w:w="108" w:type="dxa"/>
          </w:tblCellMar>
        </w:tblPrEx>
        <w:trPr>
          <w:trHeight w:val="41" w:hRule="atLeast"/>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276" w:lineRule="auto"/>
              <w:jc w:val="center"/>
              <w:textAlignment w:val="top"/>
              <w:rPr>
                <w:rFonts w:hint="eastAsia" w:ascii="仿宋_GB2312" w:hAnsi="仿宋_GB2312" w:eastAsia="仿宋_GB2312" w:cs="仿宋_GB2312"/>
                <w:bCs/>
                <w:sz w:val="24"/>
                <w:szCs w:val="24"/>
              </w:rPr>
            </w:pPr>
          </w:p>
        </w:tc>
        <w:tc>
          <w:tcPr>
            <w:tcW w:w="7938" w:type="dxa"/>
            <w:tcBorders>
              <w:top w:val="single" w:color="auto" w:sz="4" w:space="0"/>
              <w:left w:val="single" w:color="auto" w:sz="4" w:space="0"/>
              <w:bottom w:val="single" w:color="auto" w:sz="4" w:space="0"/>
              <w:right w:val="single" w:color="auto" w:sz="4" w:space="0"/>
            </w:tcBorders>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具备RS232和RS485(或RS422)接口，且应具有良好的电气隔离(信号端子对地承受直流电压500V、1分钟不击穿或闪烁)。</w:t>
            </w:r>
          </w:p>
        </w:tc>
      </w:tr>
      <w:tr>
        <w:tblPrEx>
          <w:tblCellMar>
            <w:top w:w="0" w:type="dxa"/>
            <w:left w:w="108" w:type="dxa"/>
            <w:bottom w:w="0" w:type="dxa"/>
            <w:right w:w="108" w:type="dxa"/>
          </w:tblCellMar>
        </w:tblPrEx>
        <w:trPr>
          <w:trHeight w:val="41" w:hRule="atLeast"/>
        </w:trPr>
        <w:tc>
          <w:tcPr>
            <w:tcW w:w="1277" w:type="dxa"/>
            <w:tcBorders>
              <w:top w:val="single" w:color="auto" w:sz="4" w:space="0"/>
              <w:left w:val="single" w:color="auto" w:sz="4" w:space="0"/>
              <w:bottom w:val="single" w:color="auto" w:sz="4" w:space="0"/>
              <w:right w:val="single" w:color="auto" w:sz="4" w:space="0"/>
            </w:tcBorders>
            <w:vAlign w:val="center"/>
          </w:tcPr>
          <w:p>
            <w:pPr>
              <w:autoSpaceDN w:val="0"/>
              <w:spacing w:line="276" w:lineRule="auto"/>
              <w:jc w:val="center"/>
              <w:textAlignment w:val="top"/>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服务要求</w:t>
            </w:r>
          </w:p>
        </w:tc>
        <w:tc>
          <w:tcPr>
            <w:tcW w:w="7938" w:type="dxa"/>
            <w:tcBorders>
              <w:top w:val="single" w:color="auto" w:sz="4" w:space="0"/>
              <w:left w:val="single" w:color="auto" w:sz="4" w:space="0"/>
              <w:bottom w:val="single" w:color="auto" w:sz="4" w:space="0"/>
              <w:right w:val="single" w:color="auto" w:sz="4" w:space="0"/>
            </w:tcBorders>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三年原厂质保服务。</w:t>
            </w:r>
          </w:p>
        </w:tc>
      </w:tr>
    </w:tbl>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 机房动环技术指标</w:t>
      </w:r>
    </w:p>
    <w:tbl>
      <w:tblPr>
        <w:tblStyle w:val="59"/>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215" w:type="dxa"/>
            <w:gridSpan w:val="2"/>
            <w:shd w:val="clear" w:color="auto" w:fill="FFFFFF"/>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三相单回路智能电表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77" w:type="dxa"/>
            <w:shd w:val="clear" w:color="auto" w:fill="FFFFFF"/>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功能指标</w:t>
            </w:r>
          </w:p>
        </w:tc>
        <w:tc>
          <w:tcPr>
            <w:tcW w:w="7938" w:type="dxa"/>
            <w:shd w:val="clear" w:color="auto" w:fill="FFFFFF"/>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277" w:type="dxa"/>
            <w:vMerge w:val="restart"/>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供电电源选择方式</w:t>
            </w: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交流：（1）电压范围：AC85-300V，（2）取电方式：三相电压取电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277" w:type="dxa"/>
            <w:vMerge w:val="continue"/>
            <w:vAlign w:val="center"/>
          </w:tcPr>
          <w:p>
            <w:pPr>
              <w:widowControl/>
              <w:jc w:val="center"/>
              <w:rPr>
                <w:rFonts w:hint="eastAsia" w:ascii="仿宋_GB2312" w:hAnsi="仿宋_GB2312" w:eastAsia="仿宋_GB2312" w:cs="仿宋_GB2312"/>
                <w:sz w:val="24"/>
                <w:szCs w:val="24"/>
              </w:rPr>
            </w:pP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直流：（1）电压范围 DC48V-60V，（2）取电方式 三相电压取电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277" w:type="dxa"/>
            <w:vMerge w:val="continue"/>
            <w:vAlign w:val="center"/>
          </w:tcPr>
          <w:p>
            <w:pPr>
              <w:widowControl/>
              <w:jc w:val="center"/>
              <w:rPr>
                <w:rFonts w:hint="eastAsia" w:ascii="仿宋_GB2312" w:hAnsi="仿宋_GB2312" w:eastAsia="仿宋_GB2312" w:cs="仿宋_GB2312"/>
                <w:sz w:val="24"/>
                <w:szCs w:val="24"/>
              </w:rPr>
            </w:pP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功耗：&lt;3VA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1277" w:type="dxa"/>
            <w:vMerge w:val="restart"/>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输入测量显示电压</w:t>
            </w: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电压：（1）测量范围：85V～300V（2）RMS精度：0.5 级电流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277" w:type="dxa"/>
            <w:vMerge w:val="continue"/>
            <w:vAlign w:val="center"/>
          </w:tcPr>
          <w:p>
            <w:pPr>
              <w:widowControl/>
              <w:jc w:val="center"/>
              <w:rPr>
                <w:rFonts w:hint="eastAsia" w:ascii="仿宋_GB2312" w:hAnsi="仿宋_GB2312" w:eastAsia="仿宋_GB2312" w:cs="仿宋_GB2312"/>
                <w:sz w:val="24"/>
                <w:szCs w:val="24"/>
              </w:rPr>
            </w:pP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电流：（1）量程 100~1000A（2）RMS 测量：电流精度:0.5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277" w:type="dxa"/>
            <w:vMerge w:val="continue"/>
            <w:vAlign w:val="center"/>
          </w:tcPr>
          <w:p>
            <w:pPr>
              <w:widowControl/>
              <w:jc w:val="center"/>
              <w:rPr>
                <w:rFonts w:hint="eastAsia" w:ascii="仿宋_GB2312" w:hAnsi="仿宋_GB2312" w:eastAsia="仿宋_GB2312" w:cs="仿宋_GB2312"/>
                <w:sz w:val="24"/>
                <w:szCs w:val="24"/>
              </w:rPr>
            </w:pP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频率：三相交流 50Hz 电压、电流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277" w:type="dxa"/>
            <w:vMerge w:val="continue"/>
            <w:vAlign w:val="center"/>
          </w:tcPr>
          <w:p>
            <w:pPr>
              <w:widowControl/>
              <w:jc w:val="center"/>
              <w:rPr>
                <w:rFonts w:hint="eastAsia" w:ascii="仿宋_GB2312" w:hAnsi="仿宋_GB2312" w:eastAsia="仿宋_GB2312" w:cs="仿宋_GB2312"/>
                <w:sz w:val="24"/>
                <w:szCs w:val="24"/>
              </w:rPr>
            </w:pP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功率：有功精度: 1 级；无功精度：2 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277" w:type="dxa"/>
            <w:vMerge w:val="continue"/>
            <w:vAlign w:val="center"/>
          </w:tcPr>
          <w:p>
            <w:pPr>
              <w:widowControl/>
              <w:jc w:val="center"/>
              <w:rPr>
                <w:rFonts w:hint="eastAsia" w:ascii="仿宋_GB2312" w:hAnsi="仿宋_GB2312" w:eastAsia="仿宋_GB2312" w:cs="仿宋_GB2312"/>
                <w:sz w:val="24"/>
                <w:szCs w:val="24"/>
              </w:rPr>
            </w:pP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功率因数：功率因数误差 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277" w:type="dxa"/>
            <w:vMerge w:val="restart"/>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输出可编程</w:t>
            </w: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通讯：</w:t>
            </w:r>
          </w:p>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（1）输出接口：RS-485 接口，二线制 </w:t>
            </w:r>
          </w:p>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（2）通讯规约：标准 MODBUS-RTU 通讯规约 </w:t>
            </w:r>
          </w:p>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（3）数据格式：不可设置；10 位，1 位起始位 0，8 位数据位，1 位停 止位 1；或 11 位，为奇、偶或无校验可软件设置</w:t>
            </w:r>
          </w:p>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（4）通讯速率：波特率 1200、2400、4800、9600、19.2k，可设置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277" w:type="dxa"/>
            <w:vMerge w:val="continue"/>
            <w:vAlign w:val="center"/>
          </w:tcPr>
          <w:p>
            <w:pPr>
              <w:widowControl/>
              <w:jc w:val="center"/>
              <w:rPr>
                <w:rFonts w:hint="eastAsia" w:ascii="仿宋_GB2312" w:hAnsi="仿宋_GB2312" w:eastAsia="仿宋_GB2312" w:cs="仿宋_GB2312"/>
                <w:sz w:val="24"/>
                <w:szCs w:val="24"/>
              </w:rPr>
            </w:pP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显示：8位 LCD 段码显示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277" w:type="dxa"/>
            <w:vMerge w:val="continue"/>
            <w:vAlign w:val="center"/>
          </w:tcPr>
          <w:p>
            <w:pPr>
              <w:widowControl/>
              <w:jc w:val="center"/>
              <w:rPr>
                <w:rFonts w:hint="eastAsia" w:ascii="仿宋_GB2312" w:hAnsi="仿宋_GB2312" w:eastAsia="仿宋_GB2312" w:cs="仿宋_GB2312"/>
                <w:sz w:val="24"/>
                <w:szCs w:val="24"/>
              </w:rPr>
            </w:pP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有功电能脉冲输出：脉冲宽度 80ms±20ms，光隔离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277" w:type="dxa"/>
            <w:vMerge w:val="restart"/>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环境</w:t>
            </w: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工作温度：-25～60℃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277" w:type="dxa"/>
            <w:vMerge w:val="continue"/>
            <w:vAlign w:val="center"/>
          </w:tcPr>
          <w:p>
            <w:pPr>
              <w:widowControl/>
              <w:jc w:val="center"/>
              <w:rPr>
                <w:rFonts w:hint="eastAsia" w:ascii="仿宋_GB2312" w:hAnsi="仿宋_GB2312" w:eastAsia="仿宋_GB2312" w:cs="仿宋_GB2312"/>
                <w:sz w:val="24"/>
                <w:szCs w:val="24"/>
              </w:rPr>
            </w:pP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存储温度：-40～80℃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277" w:type="dxa"/>
            <w:vMerge w:val="continue"/>
            <w:vAlign w:val="center"/>
          </w:tcPr>
          <w:p>
            <w:pPr>
              <w:widowControl/>
              <w:jc w:val="center"/>
              <w:rPr>
                <w:rFonts w:hint="eastAsia" w:ascii="仿宋_GB2312" w:hAnsi="仿宋_GB2312" w:eastAsia="仿宋_GB2312" w:cs="仿宋_GB2312"/>
                <w:sz w:val="24"/>
                <w:szCs w:val="24"/>
              </w:rPr>
            </w:pP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相对湿度≤95%不结露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277" w:type="dxa"/>
            <w:vMerge w:val="restart"/>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安全</w:t>
            </w: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耐压：电压信号与 485 之间耐压&gt;4KV，漏电流&lt;2mA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277" w:type="dxa"/>
            <w:vMerge w:val="continue"/>
            <w:vAlign w:val="center"/>
          </w:tcPr>
          <w:p>
            <w:pPr>
              <w:widowControl/>
              <w:jc w:val="center"/>
              <w:rPr>
                <w:rFonts w:hint="eastAsia" w:ascii="仿宋_GB2312" w:hAnsi="仿宋_GB2312" w:eastAsia="仿宋_GB2312" w:cs="仿宋_GB2312"/>
                <w:sz w:val="24"/>
                <w:szCs w:val="24"/>
              </w:rPr>
            </w:pP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绝缘：输出、输入和电源对外壳&gt;5MΩ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277" w:type="dxa"/>
            <w:vMerge w:val="restart"/>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抗扰度</w:t>
            </w: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快速瞬变脉冲 &gt;4kV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277" w:type="dxa"/>
            <w:vMerge w:val="continue"/>
            <w:vAlign w:val="center"/>
          </w:tcPr>
          <w:p>
            <w:pPr>
              <w:widowControl/>
              <w:jc w:val="center"/>
              <w:rPr>
                <w:rFonts w:hint="eastAsia" w:ascii="仿宋_GB2312" w:hAnsi="仿宋_GB2312" w:eastAsia="仿宋_GB2312" w:cs="仿宋_GB2312"/>
                <w:sz w:val="24"/>
                <w:szCs w:val="24"/>
              </w:rPr>
            </w:pP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防雷保护 &gt;4kV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277" w:type="dxa"/>
            <w:vMerge w:val="continue"/>
            <w:vAlign w:val="center"/>
          </w:tcPr>
          <w:p>
            <w:pPr>
              <w:widowControl/>
              <w:jc w:val="center"/>
              <w:rPr>
                <w:rFonts w:hint="eastAsia" w:ascii="仿宋_GB2312" w:hAnsi="仿宋_GB2312" w:eastAsia="仿宋_GB2312" w:cs="仿宋_GB2312"/>
                <w:sz w:val="24"/>
                <w:szCs w:val="24"/>
              </w:rPr>
            </w:pP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空气放电 &gt;8kV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27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服务要求</w:t>
            </w: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三年原厂质保服务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215" w:type="dxa"/>
            <w:gridSpan w:val="2"/>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闭合式电流互感器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功能指标</w:t>
            </w:r>
          </w:p>
        </w:tc>
        <w:tc>
          <w:tcPr>
            <w:tcW w:w="7938" w:type="dxa"/>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277" w:type="dxa"/>
            <w:vMerge w:val="restart"/>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规格要求</w:t>
            </w: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外壳选用高强度阻燃PC，全封闭结构、阻燃等级V1；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77" w:type="dxa"/>
            <w:vMerge w:val="continue"/>
            <w:vAlign w:val="center"/>
          </w:tcPr>
          <w:p>
            <w:pPr>
              <w:widowControl/>
              <w:jc w:val="center"/>
              <w:rPr>
                <w:rFonts w:hint="eastAsia" w:ascii="仿宋_GB2312" w:hAnsi="仿宋_GB2312" w:eastAsia="仿宋_GB2312" w:cs="仿宋_GB2312"/>
                <w:sz w:val="24"/>
                <w:szCs w:val="24"/>
              </w:rPr>
            </w:pP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内部铁心选用优质取向硅钢片；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77" w:type="dxa"/>
            <w:vMerge w:val="continue"/>
            <w:vAlign w:val="center"/>
          </w:tcPr>
          <w:p>
            <w:pPr>
              <w:widowControl/>
              <w:jc w:val="center"/>
              <w:rPr>
                <w:rFonts w:hint="eastAsia" w:ascii="仿宋_GB2312" w:hAnsi="仿宋_GB2312" w:eastAsia="仿宋_GB2312" w:cs="仿宋_GB2312"/>
                <w:sz w:val="24"/>
                <w:szCs w:val="24"/>
              </w:rPr>
            </w:pP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线径严格按照经济电流密度选定，确保温升更少；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77" w:type="dxa"/>
            <w:vMerge w:val="continue"/>
            <w:vAlign w:val="center"/>
          </w:tcPr>
          <w:p>
            <w:pPr>
              <w:widowControl/>
              <w:jc w:val="center"/>
              <w:rPr>
                <w:rFonts w:hint="eastAsia" w:ascii="仿宋_GB2312" w:hAnsi="仿宋_GB2312" w:eastAsia="仿宋_GB2312" w:cs="仿宋_GB2312"/>
                <w:sz w:val="24"/>
                <w:szCs w:val="24"/>
              </w:rPr>
            </w:pP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先进可靠的检测设备，保证符合质量标准；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77" w:type="dxa"/>
            <w:vMerge w:val="continue"/>
            <w:vAlign w:val="center"/>
          </w:tcPr>
          <w:p>
            <w:pPr>
              <w:widowControl/>
              <w:jc w:val="center"/>
              <w:rPr>
                <w:rFonts w:hint="eastAsia" w:ascii="仿宋_GB2312" w:hAnsi="仿宋_GB2312" w:eastAsia="仿宋_GB2312" w:cs="仿宋_GB2312"/>
                <w:sz w:val="24"/>
                <w:szCs w:val="24"/>
              </w:rPr>
            </w:pP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方圆孔型，适用于单根、多根电缆穿越或单根母排穿越；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7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服务要求</w:t>
            </w: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三年原厂质保服务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215" w:type="dxa"/>
            <w:gridSpan w:val="2"/>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温湿度传感器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b/>
                <w:bCs/>
                <w:sz w:val="24"/>
                <w:szCs w:val="24"/>
              </w:rPr>
              <w:t>功能指标</w:t>
            </w:r>
          </w:p>
        </w:tc>
        <w:tc>
          <w:tcPr>
            <w:tcW w:w="7938" w:type="dxa"/>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b/>
                <w:bCs/>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电源</w:t>
            </w:r>
          </w:p>
        </w:tc>
        <w:tc>
          <w:tcPr>
            <w:tcW w:w="7938"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输入电源：DC12V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量程</w:t>
            </w:r>
          </w:p>
        </w:tc>
        <w:tc>
          <w:tcPr>
            <w:tcW w:w="7938"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湿度：0%RH～100%RH；温度：-20℃～70℃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准确度</w:t>
            </w:r>
          </w:p>
        </w:tc>
        <w:tc>
          <w:tcPr>
            <w:tcW w:w="7938"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湿度：±3%RH,温度：±0.5℃（测试环境25℃）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输出信号</w:t>
            </w:r>
          </w:p>
        </w:tc>
        <w:tc>
          <w:tcPr>
            <w:tcW w:w="7938"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RS-485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覆盖面积</w:t>
            </w:r>
          </w:p>
        </w:tc>
        <w:tc>
          <w:tcPr>
            <w:tcW w:w="7938"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服务要求</w:t>
            </w: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三年原厂质保服务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215" w:type="dxa"/>
            <w:gridSpan w:val="2"/>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漏水检测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sz w:val="24"/>
                <w:szCs w:val="24"/>
              </w:rPr>
              <w:t>功能指标</w:t>
            </w:r>
          </w:p>
        </w:tc>
        <w:tc>
          <w:tcPr>
            <w:tcW w:w="7938" w:type="dxa"/>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工作电压(额定)</w:t>
            </w:r>
          </w:p>
        </w:tc>
        <w:tc>
          <w:tcPr>
            <w:tcW w:w="7938"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DC12V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通讯接口</w:t>
            </w:r>
          </w:p>
        </w:tc>
        <w:tc>
          <w:tcPr>
            <w:tcW w:w="7938"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RS485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波特率</w:t>
            </w:r>
          </w:p>
        </w:tc>
        <w:tc>
          <w:tcPr>
            <w:tcW w:w="7938"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2400bps~115200bps（默认：9600bps）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通道数量</w:t>
            </w:r>
          </w:p>
        </w:tc>
        <w:tc>
          <w:tcPr>
            <w:tcW w:w="7938"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最大检测线缆长度</w:t>
            </w:r>
          </w:p>
        </w:tc>
        <w:tc>
          <w:tcPr>
            <w:tcW w:w="7938"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检测灵敏度</w:t>
            </w:r>
          </w:p>
        </w:tc>
        <w:tc>
          <w:tcPr>
            <w:tcW w:w="7938"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档位(可调)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响应时间</w:t>
            </w:r>
          </w:p>
        </w:tc>
        <w:tc>
          <w:tcPr>
            <w:tcW w:w="7938"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&lt;1 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告警输出</w:t>
            </w:r>
          </w:p>
        </w:tc>
        <w:tc>
          <w:tcPr>
            <w:tcW w:w="7938"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开关量(常开/常闭可选)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功耗</w:t>
            </w:r>
          </w:p>
        </w:tc>
        <w:tc>
          <w:tcPr>
            <w:tcW w:w="7938"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0.36W(常规状态）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温度</w:t>
            </w:r>
          </w:p>
        </w:tc>
        <w:tc>
          <w:tcPr>
            <w:tcW w:w="7938"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湿度</w:t>
            </w:r>
          </w:p>
        </w:tc>
        <w:tc>
          <w:tcPr>
            <w:tcW w:w="7938"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5%～95%(非冷凝)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服务要求</w:t>
            </w: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三年原厂质保服务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215" w:type="dxa"/>
            <w:gridSpan w:val="2"/>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门禁设备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功能指标</w:t>
            </w:r>
          </w:p>
        </w:tc>
        <w:tc>
          <w:tcPr>
            <w:tcW w:w="7938" w:type="dxa"/>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1277" w:type="dxa"/>
            <w:vMerge w:val="restart"/>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设备功能要求</w:t>
            </w: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4.3英寸IPS触摸显示屏，屏幕玻璃采用2.5D水滴屏工艺，屏幕流明度不低于350cd/㎡； 分辨率不小于800*480；屏幕防破坏能力满足IK04的要求，后壳防破坏能力满足IK07的要求，外壳防护等级IP54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277" w:type="dxa"/>
            <w:vMerge w:val="continue"/>
            <w:vAlign w:val="center"/>
          </w:tcPr>
          <w:p>
            <w:pPr>
              <w:widowControl/>
              <w:jc w:val="center"/>
              <w:rPr>
                <w:rFonts w:hint="eastAsia" w:ascii="仿宋_GB2312" w:hAnsi="仿宋_GB2312" w:eastAsia="仿宋_GB2312" w:cs="仿宋_GB2312"/>
                <w:sz w:val="24"/>
                <w:szCs w:val="24"/>
              </w:rPr>
            </w:pP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设备采用200w像素双目宽动态相机（可见光摄像头*1，红外摄像头*1），最大分辨率：1920×1080， 帧率：30帧/s，适应强光、逆光、弱光等条件下的人脸识别。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277" w:type="dxa"/>
            <w:vMerge w:val="continue"/>
            <w:vAlign w:val="center"/>
          </w:tcPr>
          <w:p>
            <w:pPr>
              <w:widowControl/>
              <w:jc w:val="center"/>
              <w:rPr>
                <w:rFonts w:hint="eastAsia" w:ascii="仿宋_GB2312" w:hAnsi="仿宋_GB2312" w:eastAsia="仿宋_GB2312" w:cs="仿宋_GB2312"/>
                <w:sz w:val="24"/>
                <w:szCs w:val="24"/>
              </w:rPr>
            </w:pP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支持文字转语音功能（TTS）；支持按时段自定义识别结果语音提示；支持识别后按姓名播报提示语音；支持自定义比对结果显示内容、识别主界面的功能控件；支持自定义设置待机界面、广告信息播放内容、广告信息播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277" w:type="dxa"/>
            <w:vMerge w:val="continue"/>
            <w:vAlign w:val="center"/>
          </w:tcPr>
          <w:p>
            <w:pPr>
              <w:widowControl/>
              <w:jc w:val="center"/>
              <w:rPr>
                <w:rFonts w:hint="eastAsia" w:ascii="仿宋_GB2312" w:hAnsi="仿宋_GB2312" w:eastAsia="仿宋_GB2312" w:cs="仿宋_GB2312"/>
                <w:sz w:val="24"/>
                <w:szCs w:val="24"/>
              </w:rPr>
            </w:pP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设备本地人脸库存储容量6000张，本地卡存储容量10000张，本地出入记录存储容量150000条，本地指纹存储5000枚。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277" w:type="dxa"/>
            <w:vMerge w:val="continue"/>
            <w:vAlign w:val="center"/>
          </w:tcPr>
          <w:p>
            <w:pPr>
              <w:widowControl/>
              <w:jc w:val="center"/>
              <w:rPr>
                <w:rFonts w:hint="eastAsia" w:ascii="仿宋_GB2312" w:hAnsi="仿宋_GB2312" w:eastAsia="仿宋_GB2312" w:cs="仿宋_GB2312"/>
                <w:sz w:val="24"/>
                <w:szCs w:val="24"/>
              </w:rPr>
            </w:pP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支持M1卡及身份证物理卡号读取，支持CPU卡内容读取，支持开启/关闭NFC刷卡功能，支持人脸、刷卡（包括CPU卡、NFC、二代身份证等）、二维码和密码识读，支持上述任意一种，任意两组组合、任意三组组合认证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27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接口</w:t>
            </w: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设备具有丰富的硬件接口：LAN*1（10M/100M/1000M自适应）；RS485*1；韦根*1；USB *1；喇叭扬声器；门锁I/O输出*1；门磁 I/O输入*1；开门按钮I/0输入*1；机械防拆开关*1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1277" w:type="dxa"/>
            <w:vMerge w:val="restart"/>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管理方式</w:t>
            </w: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支持通过WEB进行设备型号、软件版本、序列号等信息查询，进行用户权限信息配置及管理，进行设备时间管理，进行系统维护：数据管理、远程重启、远程升级，进行管理权限配置及管理、人脸、指纹、图像、音视频等智能参数配置，进行广告信息发布、可视对讲参数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1277" w:type="dxa"/>
            <w:vMerge w:val="continue"/>
            <w:vAlign w:val="center"/>
          </w:tcPr>
          <w:p>
            <w:pPr>
              <w:widowControl/>
              <w:jc w:val="center"/>
              <w:rPr>
                <w:rFonts w:hint="eastAsia" w:ascii="仿宋_GB2312" w:hAnsi="仿宋_GB2312" w:eastAsia="仿宋_GB2312" w:cs="仿宋_GB2312"/>
                <w:sz w:val="24"/>
                <w:szCs w:val="24"/>
              </w:rPr>
            </w:pP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设备支持配置以下图像参数：宽动态开关、宽动态等级、饱和度、对比度、锐度、亮度、时域降噪等级、空域降噪等级、环保等级、视频制式。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1277" w:type="dxa"/>
            <w:vMerge w:val="continue"/>
            <w:vAlign w:val="center"/>
          </w:tcPr>
          <w:p>
            <w:pPr>
              <w:widowControl/>
              <w:jc w:val="center"/>
              <w:rPr>
                <w:rFonts w:hint="eastAsia" w:ascii="仿宋_GB2312" w:hAnsi="仿宋_GB2312" w:eastAsia="仿宋_GB2312" w:cs="仿宋_GB2312"/>
                <w:sz w:val="24"/>
                <w:szCs w:val="24"/>
              </w:rPr>
            </w:pP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脸识别距离0.2~3m；人脸比对平均时间≤0.175s；人脸识别误识率≤0.01%的条件下，准确率应99.9%。支持在0.001lux低照度无补光环境下正常实现人脸识别。在识别区域范围内，人脸识别距离可自定义设置;支持防假体攻击功能，对视频、电子照片、打印照片中的人脸应不能进行人脸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1277" w:type="dxa"/>
            <w:vMerge w:val="continue"/>
            <w:vAlign w:val="center"/>
          </w:tcPr>
          <w:p>
            <w:pPr>
              <w:widowControl/>
              <w:jc w:val="center"/>
              <w:rPr>
                <w:rFonts w:hint="eastAsia" w:ascii="仿宋_GB2312" w:hAnsi="仿宋_GB2312" w:eastAsia="仿宋_GB2312" w:cs="仿宋_GB2312"/>
                <w:sz w:val="24"/>
                <w:szCs w:val="24"/>
              </w:rPr>
            </w:pP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根据使用场景和组合认证方式实现开门功能：多重卡认证开门、多重卡+中心远程认证开门、多重卡+超级密码开门、多重卡+超级卡开门、 首卡开门、超级权限开门、管理中心远程开门、APP远程开门、室内机及管理机远程开门，支持按时间分时段管控门禁权限，支持255组时段计划模板，支持1024个假日计划管理。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1277" w:type="dxa"/>
            <w:vMerge w:val="continue"/>
            <w:vAlign w:val="center"/>
          </w:tcPr>
          <w:p>
            <w:pPr>
              <w:widowControl/>
              <w:jc w:val="center"/>
              <w:rPr>
                <w:rFonts w:hint="eastAsia" w:ascii="仿宋_GB2312" w:hAnsi="仿宋_GB2312" w:eastAsia="仿宋_GB2312" w:cs="仿宋_GB2312"/>
                <w:sz w:val="24"/>
                <w:szCs w:val="24"/>
              </w:rPr>
            </w:pP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设备支持局域网、互联网环境的网络通信，可被4个客户端软件同时实时监听，在线状态下实时上传比对记录；支持同时与互联网及局域网环境下的平台软件通信连接，实现数据三向交互通信。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1277" w:type="dxa"/>
            <w:vMerge w:val="continue"/>
            <w:vAlign w:val="center"/>
          </w:tcPr>
          <w:p>
            <w:pPr>
              <w:widowControl/>
              <w:jc w:val="center"/>
              <w:rPr>
                <w:rFonts w:hint="eastAsia" w:ascii="仿宋_GB2312" w:hAnsi="仿宋_GB2312" w:eastAsia="仿宋_GB2312" w:cs="仿宋_GB2312"/>
                <w:sz w:val="24"/>
                <w:szCs w:val="24"/>
              </w:rPr>
            </w:pP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设备支持中心下发黑名单信息；支持本地黑名单信息比对；支持本地黑名单报警功能，报警信息可上传平台。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1277" w:type="dxa"/>
            <w:vMerge w:val="continue"/>
            <w:vAlign w:val="center"/>
          </w:tcPr>
          <w:p>
            <w:pPr>
              <w:widowControl/>
              <w:jc w:val="center"/>
              <w:rPr>
                <w:rFonts w:hint="eastAsia" w:ascii="仿宋_GB2312" w:hAnsi="仿宋_GB2312" w:eastAsia="仿宋_GB2312" w:cs="仿宋_GB2312"/>
                <w:sz w:val="24"/>
                <w:szCs w:val="24"/>
              </w:rPr>
            </w:pP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具有数据管理功能，包括支持本地非明文存储比对结果、身份信息及抓拍人脸照片；支持实时非明文上传比对结果、身份信息及抓拍人脸照片等至平台；支持断网续传离线记录非明文数据功能；设备对USB导出数据（事件记录及人脸等）应采用非明文存储方案；设备本地支持根据具体用户按天、周、月、自定义时间段或全部查询事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1277" w:type="dxa"/>
            <w:vMerge w:val="continue"/>
            <w:vAlign w:val="center"/>
          </w:tcPr>
          <w:p>
            <w:pPr>
              <w:widowControl/>
              <w:jc w:val="center"/>
              <w:rPr>
                <w:rFonts w:hint="eastAsia" w:ascii="仿宋_GB2312" w:hAnsi="仿宋_GB2312" w:eastAsia="仿宋_GB2312" w:cs="仿宋_GB2312"/>
                <w:sz w:val="24"/>
                <w:szCs w:val="24"/>
              </w:rPr>
            </w:pP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支持设备本地设置单个用户自定义识别方式；支持设备本地设置有线网络、无线网络IP地址及网关参数，支持DHCP设置。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trPr>
        <w:tc>
          <w:tcPr>
            <w:tcW w:w="1277" w:type="dxa"/>
            <w:vMerge w:val="continue"/>
            <w:vAlign w:val="center"/>
          </w:tcPr>
          <w:p>
            <w:pPr>
              <w:widowControl/>
              <w:jc w:val="center"/>
              <w:rPr>
                <w:rFonts w:hint="eastAsia" w:ascii="仿宋_GB2312" w:hAnsi="仿宋_GB2312" w:eastAsia="仿宋_GB2312" w:cs="仿宋_GB2312"/>
                <w:sz w:val="24"/>
                <w:szCs w:val="24"/>
              </w:rPr>
            </w:pP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设备支持物体靠近自动唤醒待机设备，唤醒距离可调节； 支持不开启补光灯实现人脸识别；采用低功耗模式时，功耗低于8w。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277" w:type="dxa"/>
            <w:vMerge w:val="restart"/>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其他要求</w:t>
            </w: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设备应具备以下报警功能：当连续若干次在目标信息识读设备或管理/控制部分上实施错误操作时；当未使用授权的钥匙而强行通过出入口；未经正常操作而使出入口开启时；出入口开启时间超过设定值； 设备被拆除； 胁迫卡和胁迫码； 黑名单卡刷卡时；接入系统平台后可支持视频联动报警功能；强力拆除时，可上传报警事件到中心；未授权陌生人刷人脸时，设备支持抓拍人像照片实时上报平台预警。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277" w:type="dxa"/>
            <w:vMerge w:val="continue"/>
            <w:vAlign w:val="center"/>
          </w:tcPr>
          <w:p>
            <w:pPr>
              <w:widowControl/>
              <w:jc w:val="center"/>
              <w:rPr>
                <w:rFonts w:hint="eastAsia" w:ascii="仿宋_GB2312" w:hAnsi="仿宋_GB2312" w:eastAsia="仿宋_GB2312" w:cs="仿宋_GB2312"/>
                <w:sz w:val="24"/>
                <w:szCs w:val="24"/>
              </w:rPr>
            </w:pP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适用温度范围：-10℃至55℃；恒温湿热+40℃±2℃、RH93%、48h。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27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服务要求</w:t>
            </w: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三年原厂质保服务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215" w:type="dxa"/>
            <w:gridSpan w:val="2"/>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磁力锁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功能指标</w:t>
            </w:r>
          </w:p>
        </w:tc>
        <w:tc>
          <w:tcPr>
            <w:tcW w:w="7938" w:type="dxa"/>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设备功能要求</w:t>
            </w:r>
          </w:p>
        </w:tc>
        <w:tc>
          <w:tcPr>
            <w:tcW w:w="7938"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1.最大静态直线拉力：280kg</w:t>
            </w:r>
          </w:p>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2.具有电锁状态指示灯（红灯为开锁状态， 绿灯为上锁状态）</w:t>
            </w:r>
          </w:p>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3.支持锁状态侦测信号(门磁)输出：NO/NC/COM接点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服务要求</w:t>
            </w: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三年原厂质保服务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215" w:type="dxa"/>
            <w:gridSpan w:val="2"/>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门磁感应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功能指标</w:t>
            </w:r>
          </w:p>
        </w:tc>
        <w:tc>
          <w:tcPr>
            <w:tcW w:w="7938" w:type="dxa"/>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规格</w:t>
            </w:r>
          </w:p>
        </w:tc>
        <w:tc>
          <w:tcPr>
            <w:tcW w:w="7938"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1.金属电镀外壳</w:t>
            </w:r>
          </w:p>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2.触点模式：常闭</w:t>
            </w:r>
          </w:p>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3.动作距离:≥35mm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服务要求</w:t>
            </w: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三年原厂质保服务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215" w:type="dxa"/>
            <w:gridSpan w:val="2"/>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烟雾探测器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功能指标</w:t>
            </w:r>
          </w:p>
        </w:tc>
        <w:tc>
          <w:tcPr>
            <w:tcW w:w="7938" w:type="dxa"/>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执行标准</w:t>
            </w:r>
          </w:p>
        </w:tc>
        <w:tc>
          <w:tcPr>
            <w:tcW w:w="7938"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执行标准：GB4715-2005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电源规格</w:t>
            </w:r>
          </w:p>
        </w:tc>
        <w:tc>
          <w:tcPr>
            <w:tcW w:w="7938"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1．工作电压：DC12V/24V（允许范围 9V~30V）</w:t>
            </w:r>
          </w:p>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2．工作电流：监视状态 ＜1mA @DC12V     ＜5mA @DC24V 火灾报警 ＜30mA@DC12V    ＜35mA @DC24V </w:t>
            </w:r>
          </w:p>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3．继电器输出：常开（火警后闭合）， 触 点 容 量 1 A 30VDC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产品规格</w:t>
            </w:r>
          </w:p>
        </w:tc>
        <w:tc>
          <w:tcPr>
            <w:tcW w:w="7938"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1．外形尺寸：75mm×51.8mm×38.5mm (带底座)</w:t>
            </w:r>
          </w:p>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2．重量: 约 80g</w:t>
            </w:r>
          </w:p>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3．标准包装数量：100 只/箱 </w:t>
            </w:r>
          </w:p>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4．安装高度：≤12m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其他要求</w:t>
            </w:r>
          </w:p>
        </w:tc>
        <w:tc>
          <w:tcPr>
            <w:tcW w:w="7938" w:type="dxa"/>
            <w:vAlign w:val="center"/>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1．保护面积：符合 GB50116-98《火灾自动报警系统设计规范》</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2．工作指示：监视状态 红色指示灯约每 6 秒闪烁 1 次； 报警状态 红色指示灯常亮； 故障状态 红色指示灯约每 6 秒连续闪烁 2 次                            </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3．使用环境：温度：-10℃～+65℃，相对湿度：≤95%(40℃±2℃ 无凝露)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服务要求</w:t>
            </w:r>
          </w:p>
        </w:tc>
        <w:tc>
          <w:tcPr>
            <w:tcW w:w="7938" w:type="dxa"/>
            <w:vAlign w:val="top"/>
          </w:tcPr>
          <w:p>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三年原厂质保服务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215" w:type="dxa"/>
            <w:gridSpan w:val="2"/>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可视化烟雾探测器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功能指标</w:t>
            </w:r>
          </w:p>
        </w:tc>
        <w:tc>
          <w:tcPr>
            <w:tcW w:w="7938" w:type="dxa"/>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功能</w:t>
            </w:r>
          </w:p>
        </w:tc>
        <w:tc>
          <w:tcPr>
            <w:tcW w:w="7938" w:type="dxa"/>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1.镜头视场角：设备摄像头的水平视场角不小于170°，设备摄像头的垂直视场角不小于160°</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2．红外距离：红外作用距离25米，应能看清人体轮廓</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3．感温功能：支持高温报警、差温报警</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4．故障报警功能：设备应具有防拆报警、欠压报警、温度传感器故障报警、迷宫污染报警。</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5．声光报警：在距离设备3m远处，蜂鸣器报警时的信号声压级应≥85dB（A）</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6．设备的主码流视频最高分辨率应为2560*1440、25fps</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7．智能报警：设备支持越界侦测、区域入侵侦测，可通过客户端软件或IE浏览器给出报警提示。设备支持行为分析触发后报警上传、发送邮件、联动录像、辅助输出等多种报警触发方式。</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8．支持检测到报警后，在视频上叠加报警类型</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9．烟雾报警：设备应该具有烟雾探测报警功能，并当设备断电后切换至电池供电时，仍支持烟雾探测报警</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10．设备应能对室内通道堵塞、火焰识别、在/离岗等事件进行报警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服务要求</w:t>
            </w:r>
          </w:p>
        </w:tc>
        <w:tc>
          <w:tcPr>
            <w:tcW w:w="7938" w:type="dxa"/>
            <w:vAlign w:val="top"/>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三年原厂质保服务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215" w:type="dxa"/>
            <w:gridSpan w:val="2"/>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动环主机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功能指标</w:t>
            </w:r>
          </w:p>
        </w:tc>
        <w:tc>
          <w:tcPr>
            <w:tcW w:w="7938" w:type="dxa"/>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接口配置</w:t>
            </w:r>
          </w:p>
        </w:tc>
        <w:tc>
          <w:tcPr>
            <w:tcW w:w="7938" w:type="dxa"/>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配置：AI口：兼容4~20mA和0~5V，数量≥4；DO口：干接点输出，数量≥4；RS485口：半双工，数量≥2；网口：10M/100M自适应，数量≥1；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电源</w:t>
            </w:r>
          </w:p>
        </w:tc>
        <w:tc>
          <w:tcPr>
            <w:tcW w:w="7938" w:type="dxa"/>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AC220V供电，同时提供至少1路DC12V/1A可控输出 </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支持IEC104规约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告警</w:t>
            </w:r>
          </w:p>
        </w:tc>
        <w:tc>
          <w:tcPr>
            <w:tcW w:w="7938" w:type="dxa"/>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1.AI数据支持4级超限告警 </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2.支持通信线路断线监测 </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3.支持AI报警联动DO输出 </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4.支持记录至少2000条本地日志，并可通过客户端远程查询 </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支持NTP校时 </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支持接触放电≥4KV，支持空气放电≥8KV</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7.支持线-地防浪涌等级≥2KV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服务要求</w:t>
            </w:r>
          </w:p>
        </w:tc>
        <w:tc>
          <w:tcPr>
            <w:tcW w:w="7938" w:type="dxa"/>
            <w:vAlign w:val="top"/>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三年原厂质保服务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215" w:type="dxa"/>
            <w:gridSpan w:val="2"/>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数据采集网关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功能指标</w:t>
            </w:r>
          </w:p>
        </w:tc>
        <w:tc>
          <w:tcPr>
            <w:tcW w:w="7938" w:type="dxa"/>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接口配置</w:t>
            </w:r>
          </w:p>
        </w:tc>
        <w:tc>
          <w:tcPr>
            <w:tcW w:w="7938" w:type="dxa"/>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DI口：干接点输入，数量≥8；AI口：兼容4~20mA和0~5V，数量≥8；</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DO口：干接点输出，数量≥4；RS485口：数量≥2,其中1路支持全双工；</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网口：1路，10M/100M自适应；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电源</w:t>
            </w:r>
          </w:p>
        </w:tc>
        <w:tc>
          <w:tcPr>
            <w:tcW w:w="7938" w:type="dxa"/>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1.AC220V供电，同时提供至少2路12V输出，其中1路可控；</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2.支持IEC104规约</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支持主电、辅电（标准蓄电池）双电源供电；主辅电自动切换；辅电自动充电控制，电压实时监测</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3.支持接触放电≥9KV，支持空气放电≥16KV</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4.支持防浪涌等级≥4KV.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数据存储</w:t>
            </w:r>
          </w:p>
        </w:tc>
        <w:tc>
          <w:tcPr>
            <w:tcW w:w="7938" w:type="dxa"/>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支持本地数据存储、搜索</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支持断电续航，断电报警信息可上传平台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对接开发</w:t>
            </w:r>
          </w:p>
        </w:tc>
        <w:tc>
          <w:tcPr>
            <w:tcW w:w="7938" w:type="dxa"/>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与学院现有教育综合安防管理平台对接开发，提供佐证材料，实现门磁、温湿度、烟感、水浸等多种探测器的数据汇聚和上报功能。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服务要求</w:t>
            </w:r>
          </w:p>
        </w:tc>
        <w:tc>
          <w:tcPr>
            <w:tcW w:w="7938" w:type="dxa"/>
            <w:vAlign w:val="top"/>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三年原厂质保服务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215" w:type="dxa"/>
            <w:gridSpan w:val="2"/>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用户信息传输装置系列（消防）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功能指标</w:t>
            </w:r>
          </w:p>
        </w:tc>
        <w:tc>
          <w:tcPr>
            <w:tcW w:w="7938" w:type="dxa"/>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设备功能要求</w:t>
            </w:r>
          </w:p>
        </w:tc>
        <w:tc>
          <w:tcPr>
            <w:tcW w:w="7938" w:type="dxa"/>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1．符合GB26875.1-2011《城市消防远程监控系统第1部分:用户信息传输装置》要求.</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设备具有2路RS232，2路485，1路CAN通信口，1路RJ45口，2路开关量输出，1路开关量输入。设备通过增加输入输出模块，可拓展5路开关量输入和2路5V电源输出接口；通过增加串口模块，可拓展至4路RS232和4路RS485接口。</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3．投标人所投消防主机联网装置在主机与消防报警主机通讯延迟不大于1秒，主机与软件平台通讯延迟不大于1秒。</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4．投标人所投消防主机联网装置的电路有亚克力板保护，印有警示提示语。</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5．设备应能接受火警信号，并在5s内发出声、光报警，可扩展语音提示功能。</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6．设备应能采集与其连接的火灾报警设备及其他设备的报警及运行状态信息，并上传至远程管理平台。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服务要求</w:t>
            </w:r>
          </w:p>
        </w:tc>
        <w:tc>
          <w:tcPr>
            <w:tcW w:w="7938" w:type="dxa"/>
            <w:vAlign w:val="top"/>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三年原厂质保服务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215" w:type="dxa"/>
            <w:gridSpan w:val="2"/>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用户信息传输装置配件（消防）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功能指标</w:t>
            </w:r>
          </w:p>
        </w:tc>
        <w:tc>
          <w:tcPr>
            <w:tcW w:w="7938" w:type="dxa"/>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规格</w:t>
            </w:r>
          </w:p>
        </w:tc>
        <w:tc>
          <w:tcPr>
            <w:tcW w:w="7938" w:type="dxa"/>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1．用户信息传输系统套线，长度0.5m，包含一公转两母和一母转两公串口线；</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2．USB转232公头串口线，长度1.5m；</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3．双母头串口线，长度3m；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服务要求</w:t>
            </w:r>
          </w:p>
        </w:tc>
        <w:tc>
          <w:tcPr>
            <w:tcW w:w="7938" w:type="dxa"/>
            <w:vAlign w:val="top"/>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三年原厂质保服务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215" w:type="dxa"/>
            <w:gridSpan w:val="2"/>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视频监控路数扩容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功能指标</w:t>
            </w:r>
          </w:p>
        </w:tc>
        <w:tc>
          <w:tcPr>
            <w:tcW w:w="7938" w:type="dxa"/>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系统要求</w:t>
            </w:r>
          </w:p>
        </w:tc>
        <w:tc>
          <w:tcPr>
            <w:tcW w:w="7938" w:type="dxa"/>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1.要求系统支持国标协议上下级平台级联，支持流媒体集群配置</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2.要求支持BS客户端、CS客户端、移动客户端（Android、iOS）视频预览，支持多浏览器实时预览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客户端要求</w:t>
            </w:r>
          </w:p>
        </w:tc>
        <w:tc>
          <w:tcPr>
            <w:tcW w:w="7938" w:type="dxa"/>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1.要求客户端支持自动在1/4/6/7/9/16/24画面分隔模式间进行监控点轮巡预览，轮巡时间可设置，支持全屏显示</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2.要求客户端预览画面支持亮度、对比度、色调、饱和度参数调节5. 要求支持全景摄像机，实现360度的全景监控，可以对全景区域内的多个目标进行穿越警戒面、区域入侵、进入区域、离开区域行为的检测</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3.要求预览画面支持监控点信息、语音对讲、开关声音、云台与镜头控制、抓图、多图抓拍等 </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4.要求支持控制云台的用户信息叠加到视频画面上，支持按用户的等级对云台进行锁定</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5.要求客户端支持主/子码流切换和预览码流自适应功能，可按4/9/16分屏进行主子码流切换，低于配置的数时主码流预览，高于配置的数时自动切换为子码流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录像要求</w:t>
            </w:r>
          </w:p>
        </w:tc>
        <w:tc>
          <w:tcPr>
            <w:tcW w:w="7938" w:type="dxa"/>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1．要求支持在实时预览和录像回放时主动抓取图片用于人脸或人体属性搜索人员轨迹及位置信息</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2．要求支持将录像回放和录像下载权限分离，支持为用户分配是否具有录像下载权限，支持录像批量下载</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3．要求支持视频画面叠加水印，包括视频预览、录像回放、即时回放、录像剪辑、紧急录像和录像下载时叠加</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4．要求支持定时录像、报警录像和移动侦测录像等录像模式，不同类型录像以不同颜色进行区分</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要求支持按时间、监控点、录像存储方式检索录像；客户端回放支持1/4/6/7/9/16画面分隔模式及全屏显示；支持单帧回放、播放速度控制（1/16、1/8、1/4、1/2、1、2、4、8、16倍速）、同步回放、异步回放；录像回放支持拖动进度条或指定时间点来进行录像定位；支持分段回放，以分段缩略图展示录像片段</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6．要求支持32、64倍速录像回放</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7．要求支持通过C/S客户端和WEB浏览器进行录像的下载；支持本地备份（</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8．要求支持图片方式实时预览，抓拍间隔可配置，最小时间为1s，支持以图片回放方式查询抓拍过的图片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数据存储</w:t>
            </w:r>
          </w:p>
        </w:tc>
        <w:tc>
          <w:tcPr>
            <w:tcW w:w="7938" w:type="dxa"/>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1．要求支持NVR、CVR、云存储等多种形态的存储方式</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2．要求支持设备录像回传至中心存储，可以支持计划回传和手动回传两种模式</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3．要求支持能按照指定设备，指定通道进行图像的实时点播，支持点播图像的显示、缩放、抓拍和录像，支持多用户对同一图像资源的同时点播。</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4．要求支持能按照指定设备、通道、时间、报警信息等要素检索历史图像资料并回放和下载；回放应支持正常播放、快速播放、慢速播放、逐帧进退、画面暂停、图像抓拍等；应能支持回放录像的缩放显示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兼容性</w:t>
            </w:r>
          </w:p>
        </w:tc>
        <w:tc>
          <w:tcPr>
            <w:tcW w:w="7938" w:type="dxa"/>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增加我校教育综合安防管理平台（海康-高校安全管理平台）视频监控路数，无缝兼容现有教育综合安防管理平台。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服务要求</w:t>
            </w:r>
          </w:p>
        </w:tc>
        <w:tc>
          <w:tcPr>
            <w:tcW w:w="7938" w:type="dxa"/>
            <w:vAlign w:val="top"/>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三年原厂质保服务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215" w:type="dxa"/>
            <w:gridSpan w:val="2"/>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门禁管理路数扩容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功能指标</w:t>
            </w:r>
          </w:p>
        </w:tc>
        <w:tc>
          <w:tcPr>
            <w:tcW w:w="7938" w:type="dxa"/>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功能要求</w:t>
            </w:r>
          </w:p>
        </w:tc>
        <w:tc>
          <w:tcPr>
            <w:tcW w:w="7938" w:type="dxa"/>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1.要求支持门禁点管理</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2.要求支持按人员属性生成人员分组，人员属性可配置</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3.要求支持在按组织、人员分组维度配置权限时，属于该组织或分组的人员自动生成按组织、按人员分组维度配置的权限</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4.要求支持门禁权限配置和下发；支持卡（含身份证）、人脸、指纹、卡密码等凭证单独或组合使用的认证方式</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5.要求支持门禁权限自动下发更新数据到设备，可配置固定时间、固定次数自动下发异动的门禁权限，包含卡、人脸、指纹</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6.要求支持人员的卡权限在平台进行权限认证，当卡权限还未下发到设备时，平台可以根据刷卡事件进行人员权限判断并进行反控开门</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7.要求支持可设置门禁权限为长期有效；权限时间支持精确到秒；门禁权限手动冻结、解冻；自动清理长期未使用的门禁权限</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8.要求支持跨门禁主机的多门互锁</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9.要求支持特殊卡（残疾人卡、黑名单卡、胁迫卡、超级卡）、多重认证、首卡常开、反潜回、多门互锁等应用</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10.要求支持门禁事件订阅、查询和联动；支持门禁设备图上监控；支持人员出入事件和设备事件查询</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11.要求支持人员出入实时事件投屏</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12.要求支持门禁远程控制，开门、关门、联动CS客户端查看视频实时画面</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13.要求支持人员通行记录区分：内部人员、外部人员、陌生人员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兼容性</w:t>
            </w:r>
          </w:p>
        </w:tc>
        <w:tc>
          <w:tcPr>
            <w:tcW w:w="7938" w:type="dxa"/>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增加我校教育综合安防管理平台（海康-高校安全管理平台）门禁管理路数，无缝兼容现有教育综合安防管理平台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服务要求</w:t>
            </w:r>
          </w:p>
        </w:tc>
        <w:tc>
          <w:tcPr>
            <w:tcW w:w="7938" w:type="dxa"/>
            <w:vAlign w:val="top"/>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三年原厂质保服务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215" w:type="dxa"/>
            <w:gridSpan w:val="2"/>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动环监控应用组件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功能指标</w:t>
            </w:r>
          </w:p>
        </w:tc>
        <w:tc>
          <w:tcPr>
            <w:tcW w:w="7938" w:type="dxa"/>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功能要求</w:t>
            </w:r>
          </w:p>
        </w:tc>
        <w:tc>
          <w:tcPr>
            <w:tcW w:w="7938" w:type="dxa"/>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要求支持接入动环主机，接收温湿度、噪音、风速、压力等传感器采集的数据，并以图形化方式展示</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要求支持对采集数据进行阈值设定，超过设定阈值将触发报警</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要求支持将动环数据叠加到视频画面中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对接开发</w:t>
            </w:r>
          </w:p>
        </w:tc>
        <w:tc>
          <w:tcPr>
            <w:tcW w:w="7938" w:type="dxa"/>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与学院现有教育综合安防管理平台对接开发，提供佐证材料，实现动环主机及动环相关传感器的统一接入及数据管理分析功能。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服务要求</w:t>
            </w:r>
          </w:p>
        </w:tc>
        <w:tc>
          <w:tcPr>
            <w:tcW w:w="7938" w:type="dxa"/>
            <w:vAlign w:val="top"/>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三年原厂质保服务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215" w:type="dxa"/>
            <w:gridSpan w:val="2"/>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消防应用组件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功能指标</w:t>
            </w:r>
          </w:p>
        </w:tc>
        <w:tc>
          <w:tcPr>
            <w:tcW w:w="7938" w:type="dxa"/>
            <w:vAlign w:val="center"/>
          </w:tcPr>
          <w:p>
            <w:pPr>
              <w:pStyle w:val="60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告警日志</w:t>
            </w:r>
          </w:p>
        </w:tc>
        <w:tc>
          <w:tcPr>
            <w:tcW w:w="7938" w:type="dxa"/>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1.要求支持展示消防设备的监测数据</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2.要求支持对设备、报警、隐患数据进行统计</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3.要求支持饼图方式展示消防报警处理、隐患巡查完成情况的数据</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4.要求支持平台收到报警后，地图上进行报警信息弹框，并联动显示视频、回放、抓图、平面图</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5.要求支持查询消防子系统的报警历史信息</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6.要求支持接收消防设备离线、故障事件信息展示在告警中心</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7.要求支持消防设备及传感器资源上图并能展示相关资源数据及报警信息，支持一张图呈现报警点的详细信息、位置信息、联动预览回放和联动抓图功能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7" w:type="dxa"/>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服务要求</w:t>
            </w:r>
          </w:p>
        </w:tc>
        <w:tc>
          <w:tcPr>
            <w:tcW w:w="7938" w:type="dxa"/>
            <w:vAlign w:val="top"/>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三年原厂质保服务</w:t>
            </w:r>
          </w:p>
        </w:tc>
      </w:tr>
    </w:tbl>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6. 交换机技术指标</w:t>
      </w:r>
    </w:p>
    <w:tbl>
      <w:tblPr>
        <w:tblStyle w:val="59"/>
        <w:tblW w:w="9215" w:type="dxa"/>
        <w:tblInd w:w="-318" w:type="dxa"/>
        <w:tblLayout w:type="fixed"/>
        <w:tblCellMar>
          <w:top w:w="0" w:type="dxa"/>
          <w:left w:w="108" w:type="dxa"/>
          <w:bottom w:w="0" w:type="dxa"/>
          <w:right w:w="108" w:type="dxa"/>
        </w:tblCellMar>
      </w:tblPr>
      <w:tblGrid>
        <w:gridCol w:w="1277"/>
        <w:gridCol w:w="7938"/>
      </w:tblGrid>
      <w:tr>
        <w:tblPrEx>
          <w:tblCellMar>
            <w:top w:w="0" w:type="dxa"/>
            <w:left w:w="108" w:type="dxa"/>
            <w:bottom w:w="0" w:type="dxa"/>
            <w:right w:w="108" w:type="dxa"/>
          </w:tblCellMar>
        </w:tblPrEx>
        <w:tc>
          <w:tcPr>
            <w:tcW w:w="92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核心交换机</w:t>
            </w:r>
          </w:p>
        </w:tc>
      </w:tr>
      <w:tr>
        <w:tblPrEx>
          <w:tblCellMar>
            <w:top w:w="0" w:type="dxa"/>
            <w:left w:w="108" w:type="dxa"/>
            <w:bottom w:w="0" w:type="dxa"/>
            <w:right w:w="108" w:type="dxa"/>
          </w:tblCellMar>
        </w:tblPrEx>
        <w:tc>
          <w:tcPr>
            <w:tcW w:w="1277"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功能指标</w:t>
            </w:r>
          </w:p>
        </w:tc>
        <w:tc>
          <w:tcPr>
            <w:tcW w:w="7938"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技术要求</w:t>
            </w:r>
          </w:p>
        </w:tc>
      </w:tr>
      <w:tr>
        <w:tblPrEx>
          <w:tblCellMar>
            <w:top w:w="0" w:type="dxa"/>
            <w:left w:w="108" w:type="dxa"/>
            <w:bottom w:w="0" w:type="dxa"/>
            <w:right w:w="108" w:type="dxa"/>
          </w:tblCellMar>
        </w:tblPrEx>
        <w:tc>
          <w:tcPr>
            <w:tcW w:w="1277" w:type="dxa"/>
            <w:tcBorders>
              <w:top w:val="single" w:color="auto" w:sz="4" w:space="0"/>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交换容量</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≥387Tbps，若存在双参数，以最小值为准</w:t>
            </w:r>
          </w:p>
        </w:tc>
      </w:tr>
      <w:tr>
        <w:tblPrEx>
          <w:tblCellMar>
            <w:top w:w="0" w:type="dxa"/>
            <w:left w:w="108" w:type="dxa"/>
            <w:bottom w:w="0" w:type="dxa"/>
            <w:right w:w="108" w:type="dxa"/>
          </w:tblCellMar>
        </w:tblPrEx>
        <w:tc>
          <w:tcPr>
            <w:tcW w:w="1277" w:type="dxa"/>
            <w:tcBorders>
              <w:top w:val="single" w:color="auto" w:sz="4" w:space="0"/>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包转发率</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≥115200Mpps，若存在双参数，以最小值为准</w:t>
            </w:r>
          </w:p>
        </w:tc>
      </w:tr>
      <w:tr>
        <w:tblPrEx>
          <w:tblCellMar>
            <w:top w:w="0" w:type="dxa"/>
            <w:left w:w="108" w:type="dxa"/>
            <w:bottom w:w="0" w:type="dxa"/>
            <w:right w:w="108" w:type="dxa"/>
          </w:tblCellMar>
        </w:tblPrEx>
        <w:trPr>
          <w:trHeight w:val="58" w:hRule="atLeast"/>
        </w:trPr>
        <w:tc>
          <w:tcPr>
            <w:tcW w:w="1277" w:type="dxa"/>
            <w:vMerge w:val="restart"/>
            <w:tcBorders>
              <w:top w:val="single" w:color="auto" w:sz="4" w:space="0"/>
              <w:left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硬件架构</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采用多级多平面交换架构设计，能够配置独立的交换网板，控制引擎和交换网板硬件相互独立；</w:t>
            </w:r>
          </w:p>
        </w:tc>
      </w:tr>
      <w:tr>
        <w:tblPrEx>
          <w:tblCellMar>
            <w:top w:w="0" w:type="dxa"/>
            <w:left w:w="108" w:type="dxa"/>
            <w:bottom w:w="0" w:type="dxa"/>
            <w:right w:w="108" w:type="dxa"/>
          </w:tblCellMar>
        </w:tblPrEx>
        <w:trPr>
          <w:trHeight w:val="54" w:hRule="atLeast"/>
        </w:trPr>
        <w:tc>
          <w:tcPr>
            <w:tcW w:w="1277" w:type="dxa"/>
            <w:vMerge w:val="continue"/>
            <w:tcBorders>
              <w:left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机框采用正交CLOS架构，交换网板和业务板卡90度正交，机框采用无中板架构，提供官网链接和截图证明</w:t>
            </w:r>
          </w:p>
        </w:tc>
      </w:tr>
      <w:tr>
        <w:tblPrEx>
          <w:tblCellMar>
            <w:top w:w="0" w:type="dxa"/>
            <w:left w:w="108" w:type="dxa"/>
            <w:bottom w:w="0" w:type="dxa"/>
            <w:right w:w="108" w:type="dxa"/>
          </w:tblCellMar>
        </w:tblPrEx>
        <w:trPr>
          <w:trHeight w:val="54" w:hRule="atLeast"/>
        </w:trPr>
        <w:tc>
          <w:tcPr>
            <w:tcW w:w="1277" w:type="dxa"/>
            <w:vMerge w:val="continue"/>
            <w:tcBorders>
              <w:left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机框严格前后风道涉及，风向可以无阻碍穿过业务板及网板</w:t>
            </w:r>
          </w:p>
        </w:tc>
      </w:tr>
      <w:tr>
        <w:tblPrEx>
          <w:tblCellMar>
            <w:top w:w="0" w:type="dxa"/>
            <w:left w:w="108" w:type="dxa"/>
            <w:bottom w:w="0" w:type="dxa"/>
            <w:right w:w="108" w:type="dxa"/>
          </w:tblCellMar>
        </w:tblPrEx>
        <w:trPr>
          <w:trHeight w:val="54" w:hRule="atLeast"/>
        </w:trPr>
        <w:tc>
          <w:tcPr>
            <w:tcW w:w="1277" w:type="dxa"/>
            <w:vMerge w:val="continue"/>
            <w:tcBorders>
              <w:left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整机支持主控引擎≥2；支持最大的业务槽位数≥4，支持独立的交换网板槽位数≥6；提供官网链接和截图证明</w:t>
            </w:r>
          </w:p>
        </w:tc>
      </w:tr>
      <w:tr>
        <w:tblPrEx>
          <w:tblCellMar>
            <w:top w:w="0" w:type="dxa"/>
            <w:left w:w="108" w:type="dxa"/>
            <w:bottom w:w="0" w:type="dxa"/>
            <w:right w:w="108" w:type="dxa"/>
          </w:tblCellMar>
        </w:tblPrEx>
        <w:trPr>
          <w:trHeight w:val="54" w:hRule="atLeast"/>
        </w:trPr>
        <w:tc>
          <w:tcPr>
            <w:tcW w:w="1277" w:type="dxa"/>
            <w:vMerge w:val="continue"/>
            <w:tcBorders>
              <w:left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基于信元交换转发，提供官网截图</w:t>
            </w:r>
          </w:p>
        </w:tc>
      </w:tr>
      <w:tr>
        <w:tblPrEx>
          <w:tblCellMar>
            <w:top w:w="0" w:type="dxa"/>
            <w:left w:w="108" w:type="dxa"/>
            <w:bottom w:w="0" w:type="dxa"/>
            <w:right w:w="108" w:type="dxa"/>
          </w:tblCellMar>
        </w:tblPrEx>
        <w:trPr>
          <w:trHeight w:val="54" w:hRule="atLeast"/>
        </w:trPr>
        <w:tc>
          <w:tcPr>
            <w:tcW w:w="1277" w:type="dxa"/>
            <w:vMerge w:val="continue"/>
            <w:tcBorders>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主控引擎、交换网板、电源、风扇、接口模块等关键部件支持热插拔。</w:t>
            </w:r>
          </w:p>
        </w:tc>
      </w:tr>
      <w:tr>
        <w:tblPrEx>
          <w:tblCellMar>
            <w:top w:w="0" w:type="dxa"/>
            <w:left w:w="108" w:type="dxa"/>
            <w:bottom w:w="0" w:type="dxa"/>
            <w:right w:w="108" w:type="dxa"/>
          </w:tblCellMar>
        </w:tblPrEx>
        <w:trPr>
          <w:trHeight w:val="54" w:hRule="atLeast"/>
        </w:trPr>
        <w:tc>
          <w:tcPr>
            <w:tcW w:w="1277" w:type="dxa"/>
            <w:tcBorders>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业务板卡</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color w:val="FF0000"/>
                <w:sz w:val="24"/>
                <w:szCs w:val="24"/>
              </w:rPr>
              <w:t>支持多业务板卡，支持独立的硬件防火墙/IPS/ACG/LB/SSL VPN</w:t>
            </w:r>
          </w:p>
        </w:tc>
      </w:tr>
      <w:tr>
        <w:tblPrEx>
          <w:tblCellMar>
            <w:top w:w="0" w:type="dxa"/>
            <w:left w:w="108" w:type="dxa"/>
            <w:bottom w:w="0" w:type="dxa"/>
            <w:right w:w="108" w:type="dxa"/>
          </w:tblCellMar>
        </w:tblPrEx>
        <w:trPr>
          <w:trHeight w:val="54" w:hRule="atLeast"/>
        </w:trPr>
        <w:tc>
          <w:tcPr>
            <w:tcW w:w="1277" w:type="dxa"/>
            <w:tcBorders>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性能指标</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ACL表项≥1020K，MAC表项≥750K，IPv4路由转发表容量≥4M，IPv6路由转发表容量≥2M</w:t>
            </w:r>
          </w:p>
        </w:tc>
      </w:tr>
      <w:tr>
        <w:tblPrEx>
          <w:tblCellMar>
            <w:top w:w="0" w:type="dxa"/>
            <w:left w:w="108" w:type="dxa"/>
            <w:bottom w:w="0" w:type="dxa"/>
            <w:right w:w="108" w:type="dxa"/>
          </w:tblCellMar>
        </w:tblPrEx>
        <w:trPr>
          <w:trHeight w:val="54" w:hRule="atLeast"/>
        </w:trPr>
        <w:tc>
          <w:tcPr>
            <w:tcW w:w="1277" w:type="dxa"/>
            <w:tcBorders>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端口密度</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单槽位48口100G单板线速；单板最大100G端口数≧48；单槽位40G端口密度≧48，支持全线速转发</w:t>
            </w:r>
          </w:p>
        </w:tc>
      </w:tr>
      <w:tr>
        <w:tblPrEx>
          <w:tblCellMar>
            <w:top w:w="0" w:type="dxa"/>
            <w:left w:w="108" w:type="dxa"/>
            <w:bottom w:w="0" w:type="dxa"/>
            <w:right w:w="108" w:type="dxa"/>
          </w:tblCellMar>
        </w:tblPrEx>
        <w:trPr>
          <w:trHeight w:val="54" w:hRule="atLeast"/>
        </w:trPr>
        <w:tc>
          <w:tcPr>
            <w:tcW w:w="1277" w:type="dxa"/>
            <w:tcBorders>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数据中心特性</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color w:val="FF0000"/>
                <w:sz w:val="24"/>
                <w:szCs w:val="24"/>
              </w:rPr>
              <w:t xml:space="preserve">支持VxLAN二层网关；支持VxLAN三层网关；跨数据中心的二层互联技术DCI、DCB、FCoE等数据中心特性 </w:t>
            </w:r>
          </w:p>
        </w:tc>
      </w:tr>
      <w:tr>
        <w:tblPrEx>
          <w:tblCellMar>
            <w:top w:w="0" w:type="dxa"/>
            <w:left w:w="108" w:type="dxa"/>
            <w:bottom w:w="0" w:type="dxa"/>
            <w:right w:w="108" w:type="dxa"/>
          </w:tblCellMar>
        </w:tblPrEx>
        <w:trPr>
          <w:trHeight w:val="54" w:hRule="atLeast"/>
        </w:trPr>
        <w:tc>
          <w:tcPr>
            <w:tcW w:w="1277" w:type="dxa"/>
            <w:tcBorders>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虚拟化</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支持纵向虚拟化，实现核心和接入层设备的控制、转发平面统一管理；支持1虚多（1:N）和多虚1（N：1）技术，支持多虚一技术和一虚多技术的配合使用。</w:t>
            </w:r>
          </w:p>
        </w:tc>
      </w:tr>
      <w:tr>
        <w:tblPrEx>
          <w:tblCellMar>
            <w:top w:w="0" w:type="dxa"/>
            <w:left w:w="108" w:type="dxa"/>
            <w:bottom w:w="0" w:type="dxa"/>
            <w:right w:w="108" w:type="dxa"/>
          </w:tblCellMar>
        </w:tblPrEx>
        <w:trPr>
          <w:trHeight w:val="54" w:hRule="atLeast"/>
        </w:trPr>
        <w:tc>
          <w:tcPr>
            <w:tcW w:w="1277" w:type="dxa"/>
            <w:tcBorders>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管理特性</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能直接被学校现有iMC网管软件统一管理、软件升级、配置的统一下发和基准化。</w:t>
            </w:r>
          </w:p>
        </w:tc>
      </w:tr>
      <w:tr>
        <w:tblPrEx>
          <w:tblCellMar>
            <w:top w:w="0" w:type="dxa"/>
            <w:left w:w="108" w:type="dxa"/>
            <w:bottom w:w="0" w:type="dxa"/>
            <w:right w:w="108" w:type="dxa"/>
          </w:tblCellMar>
        </w:tblPrEx>
        <w:trPr>
          <w:trHeight w:val="54" w:hRule="atLeast"/>
        </w:trPr>
        <w:tc>
          <w:tcPr>
            <w:tcW w:w="1277" w:type="dxa"/>
            <w:tcBorders>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资质证书</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提供工信部入网证书</w:t>
            </w:r>
          </w:p>
        </w:tc>
      </w:tr>
      <w:tr>
        <w:tblPrEx>
          <w:tblCellMar>
            <w:top w:w="0" w:type="dxa"/>
            <w:left w:w="108" w:type="dxa"/>
            <w:bottom w:w="0" w:type="dxa"/>
            <w:right w:w="108" w:type="dxa"/>
          </w:tblCellMar>
        </w:tblPrEx>
        <w:trPr>
          <w:trHeight w:val="54" w:hRule="atLeast"/>
        </w:trPr>
        <w:tc>
          <w:tcPr>
            <w:tcW w:w="1277" w:type="dxa"/>
            <w:tcBorders>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实际配置</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满配6块交换网板，满配主控板，满配风机盒，满配电源模块；</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每台配置4块2400W交流电源；</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每台配置2块18端口100G以太网光接口板卡（可支持36端口40G以太网光接口）;</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每台需包含≥19个40G多模光模块；</w:t>
            </w:r>
          </w:p>
        </w:tc>
      </w:tr>
      <w:tr>
        <w:tblPrEx>
          <w:tblCellMar>
            <w:top w:w="0" w:type="dxa"/>
            <w:left w:w="108" w:type="dxa"/>
            <w:bottom w:w="0" w:type="dxa"/>
            <w:right w:w="108" w:type="dxa"/>
          </w:tblCellMar>
        </w:tblPrEx>
        <w:trPr>
          <w:trHeight w:val="54" w:hRule="atLeast"/>
        </w:trPr>
        <w:tc>
          <w:tcPr>
            <w:tcW w:w="1277" w:type="dxa"/>
            <w:tcBorders>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服务要求</w:t>
            </w:r>
          </w:p>
        </w:tc>
        <w:tc>
          <w:tcPr>
            <w:tcW w:w="7938" w:type="dxa"/>
            <w:tcBorders>
              <w:top w:val="single" w:color="auto" w:sz="4" w:space="0"/>
              <w:left w:val="single" w:color="auto" w:sz="4" w:space="0"/>
              <w:bottom w:val="single" w:color="auto" w:sz="4" w:space="0"/>
              <w:right w:val="single" w:color="auto" w:sz="4" w:space="0"/>
            </w:tcBorders>
            <w:vAlign w:val="top"/>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三年原厂质保服务</w:t>
            </w:r>
          </w:p>
        </w:tc>
      </w:tr>
      <w:tr>
        <w:tblPrEx>
          <w:tblCellMar>
            <w:top w:w="0" w:type="dxa"/>
            <w:left w:w="108" w:type="dxa"/>
            <w:bottom w:w="0" w:type="dxa"/>
            <w:right w:w="108" w:type="dxa"/>
          </w:tblCellMar>
        </w:tblPrEx>
        <w:tc>
          <w:tcPr>
            <w:tcW w:w="921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千兆接入交换机</w:t>
            </w:r>
          </w:p>
        </w:tc>
      </w:tr>
      <w:tr>
        <w:tblPrEx>
          <w:tblCellMar>
            <w:top w:w="0" w:type="dxa"/>
            <w:left w:w="108" w:type="dxa"/>
            <w:bottom w:w="0" w:type="dxa"/>
            <w:right w:w="108" w:type="dxa"/>
          </w:tblCellMar>
        </w:tblPrEx>
        <w:tc>
          <w:tcPr>
            <w:tcW w:w="1277" w:type="dxa"/>
            <w:tcBorders>
              <w:top w:val="single" w:color="auto" w:sz="4" w:space="0"/>
              <w:left w:val="single" w:color="auto" w:sz="4" w:space="0"/>
              <w:bottom w:val="single" w:color="auto" w:sz="4" w:space="0"/>
              <w:right w:val="single" w:color="auto" w:sz="4" w:space="0"/>
            </w:tcBorders>
            <w:vAlign w:val="center"/>
          </w:tcPr>
          <w:p>
            <w:pPr>
              <w:autoSpaceDN w:val="0"/>
              <w:spacing w:line="276" w:lineRule="auto"/>
              <w:jc w:val="center"/>
              <w:textAlignment w:val="top"/>
              <w:rPr>
                <w:rFonts w:hint="eastAsia" w:ascii="仿宋_GB2312" w:hAnsi="仿宋_GB2312" w:eastAsia="仿宋_GB2312" w:cs="仿宋_GB2312"/>
                <w:bCs/>
                <w:sz w:val="24"/>
                <w:szCs w:val="24"/>
              </w:rPr>
            </w:pPr>
            <w:r>
              <w:rPr>
                <w:rFonts w:hint="eastAsia" w:ascii="仿宋_GB2312" w:hAnsi="仿宋_GB2312" w:eastAsia="仿宋_GB2312" w:cs="仿宋_GB2312"/>
                <w:b/>
                <w:bCs/>
                <w:kern w:val="0"/>
                <w:sz w:val="24"/>
                <w:szCs w:val="24"/>
              </w:rPr>
              <w:t>功能指标</w:t>
            </w:r>
          </w:p>
        </w:tc>
        <w:tc>
          <w:tcPr>
            <w:tcW w:w="79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b/>
                <w:bCs/>
                <w:kern w:val="0"/>
                <w:sz w:val="24"/>
                <w:szCs w:val="24"/>
              </w:rPr>
              <w:t>技术要求</w:t>
            </w:r>
          </w:p>
        </w:tc>
      </w:tr>
      <w:tr>
        <w:tblPrEx>
          <w:tblCellMar>
            <w:top w:w="0" w:type="dxa"/>
            <w:left w:w="108" w:type="dxa"/>
            <w:bottom w:w="0" w:type="dxa"/>
            <w:right w:w="108" w:type="dxa"/>
          </w:tblCellMar>
        </w:tblPrEx>
        <w:tc>
          <w:tcPr>
            <w:tcW w:w="1277" w:type="dxa"/>
            <w:tcBorders>
              <w:top w:val="single" w:color="auto" w:sz="4" w:space="0"/>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外观</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机架式1U盒式交换机，前后通风</w:t>
            </w:r>
          </w:p>
        </w:tc>
      </w:tr>
      <w:tr>
        <w:tblPrEx>
          <w:tblCellMar>
            <w:top w:w="0" w:type="dxa"/>
            <w:left w:w="108" w:type="dxa"/>
            <w:bottom w:w="0" w:type="dxa"/>
            <w:right w:w="108" w:type="dxa"/>
          </w:tblCellMar>
        </w:tblPrEx>
        <w:tc>
          <w:tcPr>
            <w:tcW w:w="1277" w:type="dxa"/>
            <w:tcBorders>
              <w:top w:val="single" w:color="auto" w:sz="4" w:space="0"/>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硬件架构</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冗余电源；冗余风扇</w:t>
            </w:r>
          </w:p>
        </w:tc>
      </w:tr>
      <w:tr>
        <w:tblPrEx>
          <w:tblCellMar>
            <w:top w:w="0" w:type="dxa"/>
            <w:left w:w="108" w:type="dxa"/>
            <w:bottom w:w="0" w:type="dxa"/>
            <w:right w:w="108" w:type="dxa"/>
          </w:tblCellMar>
        </w:tblPrEx>
        <w:tc>
          <w:tcPr>
            <w:tcW w:w="1277" w:type="dxa"/>
            <w:tcBorders>
              <w:top w:val="single" w:color="auto" w:sz="4" w:space="0"/>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端口要求</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≥48口千兆电 + ≥6个SFP+万兆光（或者4个SFP+万兆光+2个QSFP+40GE）</w:t>
            </w:r>
          </w:p>
        </w:tc>
      </w:tr>
      <w:tr>
        <w:tblPrEx>
          <w:tblCellMar>
            <w:top w:w="0" w:type="dxa"/>
            <w:left w:w="108" w:type="dxa"/>
            <w:bottom w:w="0" w:type="dxa"/>
            <w:right w:w="108" w:type="dxa"/>
          </w:tblCellMar>
        </w:tblPrEx>
        <w:tc>
          <w:tcPr>
            <w:tcW w:w="1277" w:type="dxa"/>
            <w:tcBorders>
              <w:top w:val="single" w:color="auto" w:sz="4" w:space="0"/>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配置要求</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交换容量≥1.2Tbps, 包转发率 ≥250Mpps，以官网所列最低参数为准</w:t>
            </w:r>
          </w:p>
        </w:tc>
      </w:tr>
      <w:tr>
        <w:tblPrEx>
          <w:tblCellMar>
            <w:top w:w="0" w:type="dxa"/>
            <w:left w:w="108" w:type="dxa"/>
            <w:bottom w:w="0" w:type="dxa"/>
            <w:right w:w="108" w:type="dxa"/>
          </w:tblCellMar>
        </w:tblPrEx>
        <w:trPr>
          <w:trHeight w:val="68" w:hRule="atLeast"/>
        </w:trPr>
        <w:tc>
          <w:tcPr>
            <w:tcW w:w="1277" w:type="dxa"/>
            <w:vMerge w:val="restart"/>
            <w:tcBorders>
              <w:top w:val="single" w:color="auto" w:sz="4" w:space="0"/>
              <w:left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重点特性</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支持堆叠（IRF）/VSS、或者跨设备LACP聚合、LACP边缘端口支持三层转发</w:t>
            </w:r>
          </w:p>
        </w:tc>
      </w:tr>
      <w:tr>
        <w:tblPrEx>
          <w:tblCellMar>
            <w:top w:w="0" w:type="dxa"/>
            <w:left w:w="108" w:type="dxa"/>
            <w:bottom w:w="0" w:type="dxa"/>
            <w:right w:w="108" w:type="dxa"/>
          </w:tblCellMar>
        </w:tblPrEx>
        <w:trPr>
          <w:trHeight w:val="65" w:hRule="atLeast"/>
        </w:trPr>
        <w:tc>
          <w:tcPr>
            <w:tcW w:w="1277" w:type="dxa"/>
            <w:vMerge w:val="continue"/>
            <w:tcBorders>
              <w:left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所有端口支持巨帧转发（≥9216 bytes）</w:t>
            </w:r>
          </w:p>
        </w:tc>
      </w:tr>
      <w:tr>
        <w:tblPrEx>
          <w:tblCellMar>
            <w:top w:w="0" w:type="dxa"/>
            <w:left w:w="108" w:type="dxa"/>
            <w:bottom w:w="0" w:type="dxa"/>
            <w:right w:w="108" w:type="dxa"/>
          </w:tblCellMar>
        </w:tblPrEx>
        <w:trPr>
          <w:trHeight w:val="65" w:hRule="atLeast"/>
        </w:trPr>
        <w:tc>
          <w:tcPr>
            <w:tcW w:w="1277" w:type="dxa"/>
            <w:vMerge w:val="continue"/>
            <w:tcBorders>
              <w:left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10G、40G端口支持路由口、路由子接口功能</w:t>
            </w:r>
          </w:p>
        </w:tc>
      </w:tr>
      <w:tr>
        <w:tblPrEx>
          <w:tblCellMar>
            <w:top w:w="0" w:type="dxa"/>
            <w:left w:w="108" w:type="dxa"/>
            <w:bottom w:w="0" w:type="dxa"/>
            <w:right w:w="108" w:type="dxa"/>
          </w:tblCellMar>
        </w:tblPrEx>
        <w:trPr>
          <w:trHeight w:val="65" w:hRule="atLeast"/>
        </w:trPr>
        <w:tc>
          <w:tcPr>
            <w:tcW w:w="1277" w:type="dxa"/>
            <w:vMerge w:val="continue"/>
            <w:tcBorders>
              <w:left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端口支持LLDP功能</w:t>
            </w:r>
          </w:p>
        </w:tc>
      </w:tr>
      <w:tr>
        <w:tblPrEx>
          <w:tblCellMar>
            <w:top w:w="0" w:type="dxa"/>
            <w:left w:w="108" w:type="dxa"/>
            <w:bottom w:w="0" w:type="dxa"/>
            <w:right w:w="108" w:type="dxa"/>
          </w:tblCellMar>
        </w:tblPrEx>
        <w:trPr>
          <w:trHeight w:val="65" w:hRule="atLeast"/>
        </w:trPr>
        <w:tc>
          <w:tcPr>
            <w:tcW w:w="1277" w:type="dxa"/>
            <w:vMerge w:val="continue"/>
            <w:tcBorders>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支持IPv4/V6双栈</w:t>
            </w:r>
          </w:p>
        </w:tc>
      </w:tr>
      <w:tr>
        <w:tblPrEx>
          <w:tblCellMar>
            <w:top w:w="0" w:type="dxa"/>
            <w:left w:w="108" w:type="dxa"/>
            <w:bottom w:w="0" w:type="dxa"/>
            <w:right w:w="108" w:type="dxa"/>
          </w:tblCellMar>
        </w:tblPrEx>
        <w:trPr>
          <w:trHeight w:val="110" w:hRule="atLeast"/>
        </w:trPr>
        <w:tc>
          <w:tcPr>
            <w:tcW w:w="1277" w:type="dxa"/>
            <w:vMerge w:val="restart"/>
            <w:tcBorders>
              <w:left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二层功能</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VLAN≥ 4K，支持STP/RSTP/MSTP</w:t>
            </w:r>
          </w:p>
        </w:tc>
      </w:tr>
      <w:tr>
        <w:tblPrEx>
          <w:tblCellMar>
            <w:top w:w="0" w:type="dxa"/>
            <w:left w:w="108" w:type="dxa"/>
            <w:bottom w:w="0" w:type="dxa"/>
            <w:right w:w="108" w:type="dxa"/>
          </w:tblCellMar>
        </w:tblPrEx>
        <w:trPr>
          <w:trHeight w:val="109" w:hRule="atLeast"/>
        </w:trPr>
        <w:tc>
          <w:tcPr>
            <w:tcW w:w="1277" w:type="dxa"/>
            <w:vMerge w:val="continue"/>
            <w:tcBorders>
              <w:left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支持DHCP relay，且server地址不小于2个</w:t>
            </w:r>
          </w:p>
        </w:tc>
      </w:tr>
      <w:tr>
        <w:tblPrEx>
          <w:tblCellMar>
            <w:top w:w="0" w:type="dxa"/>
            <w:left w:w="108" w:type="dxa"/>
            <w:bottom w:w="0" w:type="dxa"/>
            <w:right w:w="108" w:type="dxa"/>
          </w:tblCellMar>
        </w:tblPrEx>
        <w:trPr>
          <w:trHeight w:val="109" w:hRule="atLeast"/>
        </w:trPr>
        <w:tc>
          <w:tcPr>
            <w:tcW w:w="1277" w:type="dxa"/>
            <w:vMerge w:val="continue"/>
            <w:tcBorders>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支持基于端口的广播风暴/组播/未知单播抑制</w:t>
            </w:r>
          </w:p>
        </w:tc>
      </w:tr>
      <w:tr>
        <w:tblPrEx>
          <w:tblCellMar>
            <w:top w:w="0" w:type="dxa"/>
            <w:left w:w="108" w:type="dxa"/>
            <w:bottom w:w="0" w:type="dxa"/>
            <w:right w:w="108" w:type="dxa"/>
          </w:tblCellMar>
        </w:tblPrEx>
        <w:trPr>
          <w:trHeight w:val="82" w:hRule="atLeast"/>
        </w:trPr>
        <w:tc>
          <w:tcPr>
            <w:tcW w:w="1277" w:type="dxa"/>
            <w:vMerge w:val="restart"/>
            <w:tcBorders>
              <w:left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三层功能</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支持IPv4/v6双栈支持静态路由、OSPFv2/v3、ISIS/v6、BGP/4+等动态路由协议</w:t>
            </w:r>
          </w:p>
        </w:tc>
      </w:tr>
      <w:tr>
        <w:tblPrEx>
          <w:tblCellMar>
            <w:top w:w="0" w:type="dxa"/>
            <w:left w:w="108" w:type="dxa"/>
            <w:bottom w:w="0" w:type="dxa"/>
            <w:right w:w="108" w:type="dxa"/>
          </w:tblCellMar>
        </w:tblPrEx>
        <w:trPr>
          <w:trHeight w:val="82" w:hRule="atLeast"/>
        </w:trPr>
        <w:tc>
          <w:tcPr>
            <w:tcW w:w="1277" w:type="dxa"/>
            <w:vMerge w:val="continue"/>
            <w:tcBorders>
              <w:left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支持ECMP</w:t>
            </w:r>
          </w:p>
        </w:tc>
      </w:tr>
      <w:tr>
        <w:tblPrEx>
          <w:tblCellMar>
            <w:top w:w="0" w:type="dxa"/>
            <w:left w:w="108" w:type="dxa"/>
            <w:bottom w:w="0" w:type="dxa"/>
            <w:right w:w="108" w:type="dxa"/>
          </w:tblCellMar>
        </w:tblPrEx>
        <w:trPr>
          <w:trHeight w:val="82" w:hRule="atLeast"/>
        </w:trPr>
        <w:tc>
          <w:tcPr>
            <w:tcW w:w="1277" w:type="dxa"/>
            <w:vMerge w:val="continue"/>
            <w:tcBorders>
              <w:left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支持IPv4/v6三层组播:PIM-DM/SM,IGMP/MLD</w:t>
            </w:r>
          </w:p>
        </w:tc>
      </w:tr>
      <w:tr>
        <w:tblPrEx>
          <w:tblCellMar>
            <w:top w:w="0" w:type="dxa"/>
            <w:left w:w="108" w:type="dxa"/>
            <w:bottom w:w="0" w:type="dxa"/>
            <w:right w:w="108" w:type="dxa"/>
          </w:tblCellMar>
        </w:tblPrEx>
        <w:trPr>
          <w:trHeight w:val="82" w:hRule="atLeast"/>
        </w:trPr>
        <w:tc>
          <w:tcPr>
            <w:tcW w:w="1277" w:type="dxa"/>
            <w:vMerge w:val="continue"/>
            <w:tcBorders>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支持VRRP</w:t>
            </w:r>
          </w:p>
        </w:tc>
      </w:tr>
      <w:tr>
        <w:tblPrEx>
          <w:tblCellMar>
            <w:top w:w="0" w:type="dxa"/>
            <w:left w:w="108" w:type="dxa"/>
            <w:bottom w:w="0" w:type="dxa"/>
            <w:right w:w="108" w:type="dxa"/>
          </w:tblCellMar>
        </w:tblPrEx>
        <w:trPr>
          <w:trHeight w:val="82" w:hRule="atLeast"/>
        </w:trPr>
        <w:tc>
          <w:tcPr>
            <w:tcW w:w="1277" w:type="dxa"/>
            <w:tcBorders>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管理特性</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能直接被学校现有iMC网管软件统一管理、软件升级、配置的统一下发和基准化，提供佐证材料。</w:t>
            </w:r>
          </w:p>
        </w:tc>
      </w:tr>
      <w:tr>
        <w:tblPrEx>
          <w:tblCellMar>
            <w:top w:w="0" w:type="dxa"/>
            <w:left w:w="108" w:type="dxa"/>
            <w:bottom w:w="0" w:type="dxa"/>
            <w:right w:w="108" w:type="dxa"/>
          </w:tblCellMar>
        </w:tblPrEx>
        <w:trPr>
          <w:trHeight w:val="82" w:hRule="atLeast"/>
        </w:trPr>
        <w:tc>
          <w:tcPr>
            <w:tcW w:w="1277" w:type="dxa"/>
            <w:tcBorders>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配件</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1.电源、风扇满配</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2.每台配置4个多模短距10GE光模块</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3.5m QSFP堆叠线缆</w:t>
            </w:r>
          </w:p>
        </w:tc>
      </w:tr>
      <w:tr>
        <w:tblPrEx>
          <w:tblCellMar>
            <w:top w:w="0" w:type="dxa"/>
            <w:left w:w="108" w:type="dxa"/>
            <w:bottom w:w="0" w:type="dxa"/>
            <w:right w:w="108" w:type="dxa"/>
          </w:tblCellMar>
        </w:tblPrEx>
        <w:trPr>
          <w:trHeight w:val="82" w:hRule="atLeast"/>
        </w:trPr>
        <w:tc>
          <w:tcPr>
            <w:tcW w:w="1277" w:type="dxa"/>
            <w:tcBorders>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服务要求</w:t>
            </w:r>
          </w:p>
        </w:tc>
        <w:tc>
          <w:tcPr>
            <w:tcW w:w="7938" w:type="dxa"/>
            <w:tcBorders>
              <w:top w:val="single" w:color="auto" w:sz="4" w:space="0"/>
              <w:left w:val="single" w:color="auto" w:sz="4" w:space="0"/>
              <w:bottom w:val="single" w:color="auto" w:sz="4" w:space="0"/>
              <w:right w:val="single" w:color="auto" w:sz="4" w:space="0"/>
            </w:tcBorders>
            <w:vAlign w:val="top"/>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3年7*24*小时工程师带备件上门服务，8小时内恢复服务</w:t>
            </w:r>
          </w:p>
        </w:tc>
      </w:tr>
      <w:tr>
        <w:tblPrEx>
          <w:tblCellMar>
            <w:top w:w="0" w:type="dxa"/>
            <w:left w:w="108" w:type="dxa"/>
            <w:bottom w:w="0" w:type="dxa"/>
            <w:right w:w="108" w:type="dxa"/>
          </w:tblCellMar>
        </w:tblPrEx>
        <w:tc>
          <w:tcPr>
            <w:tcW w:w="921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万兆接入交换机</w:t>
            </w:r>
          </w:p>
        </w:tc>
      </w:tr>
      <w:tr>
        <w:tblPrEx>
          <w:tblCellMar>
            <w:top w:w="0" w:type="dxa"/>
            <w:left w:w="108" w:type="dxa"/>
            <w:bottom w:w="0" w:type="dxa"/>
            <w:right w:w="108" w:type="dxa"/>
          </w:tblCellMar>
        </w:tblPrEx>
        <w:tc>
          <w:tcPr>
            <w:tcW w:w="1277" w:type="dxa"/>
            <w:tcBorders>
              <w:top w:val="single" w:color="auto" w:sz="4" w:space="0"/>
              <w:left w:val="single" w:color="auto" w:sz="4" w:space="0"/>
              <w:bottom w:val="single" w:color="auto" w:sz="4" w:space="0"/>
              <w:right w:val="single" w:color="auto" w:sz="4" w:space="0"/>
            </w:tcBorders>
            <w:vAlign w:val="center"/>
          </w:tcPr>
          <w:p>
            <w:pPr>
              <w:autoSpaceDN w:val="0"/>
              <w:spacing w:line="276" w:lineRule="auto"/>
              <w:jc w:val="center"/>
              <w:textAlignment w:val="top"/>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功能指标</w:t>
            </w:r>
          </w:p>
        </w:tc>
        <w:tc>
          <w:tcPr>
            <w:tcW w:w="79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技术要求</w:t>
            </w:r>
          </w:p>
        </w:tc>
      </w:tr>
      <w:tr>
        <w:tblPrEx>
          <w:tblCellMar>
            <w:top w:w="0" w:type="dxa"/>
            <w:left w:w="108" w:type="dxa"/>
            <w:bottom w:w="0" w:type="dxa"/>
            <w:right w:w="108" w:type="dxa"/>
          </w:tblCellMar>
        </w:tblPrEx>
        <w:tc>
          <w:tcPr>
            <w:tcW w:w="1277" w:type="dxa"/>
            <w:tcBorders>
              <w:top w:val="single" w:color="auto" w:sz="4" w:space="0"/>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外观</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机架式1U盒式交换机，前后通风</w:t>
            </w:r>
          </w:p>
        </w:tc>
      </w:tr>
      <w:tr>
        <w:tblPrEx>
          <w:tblCellMar>
            <w:top w:w="0" w:type="dxa"/>
            <w:left w:w="108" w:type="dxa"/>
            <w:bottom w:w="0" w:type="dxa"/>
            <w:right w:w="108" w:type="dxa"/>
          </w:tblCellMar>
        </w:tblPrEx>
        <w:tc>
          <w:tcPr>
            <w:tcW w:w="1277" w:type="dxa"/>
            <w:tcBorders>
              <w:top w:val="single" w:color="auto" w:sz="4" w:space="0"/>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硬件架构</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冗余电源；冗余风扇</w:t>
            </w:r>
          </w:p>
        </w:tc>
      </w:tr>
      <w:tr>
        <w:tblPrEx>
          <w:tblCellMar>
            <w:top w:w="0" w:type="dxa"/>
            <w:left w:w="108" w:type="dxa"/>
            <w:bottom w:w="0" w:type="dxa"/>
            <w:right w:w="108" w:type="dxa"/>
          </w:tblCellMar>
        </w:tblPrEx>
        <w:tc>
          <w:tcPr>
            <w:tcW w:w="1277" w:type="dxa"/>
            <w:tcBorders>
              <w:top w:val="single" w:color="auto" w:sz="4" w:space="0"/>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端口要求</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≥48口SFP+万兆，≥6口QSFP 40G</w:t>
            </w:r>
          </w:p>
        </w:tc>
      </w:tr>
      <w:tr>
        <w:tblPrEx>
          <w:tblCellMar>
            <w:top w:w="0" w:type="dxa"/>
            <w:left w:w="108" w:type="dxa"/>
            <w:bottom w:w="0" w:type="dxa"/>
            <w:right w:w="108" w:type="dxa"/>
          </w:tblCellMar>
        </w:tblPrEx>
        <w:tc>
          <w:tcPr>
            <w:tcW w:w="1277" w:type="dxa"/>
            <w:tcBorders>
              <w:top w:val="single" w:color="auto" w:sz="4" w:space="0"/>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配置要求</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交换容量≥2.56Tbps, 包转发率 ≥1080Mpps</w:t>
            </w:r>
          </w:p>
        </w:tc>
      </w:tr>
      <w:tr>
        <w:tblPrEx>
          <w:tblCellMar>
            <w:top w:w="0" w:type="dxa"/>
            <w:left w:w="108" w:type="dxa"/>
            <w:bottom w:w="0" w:type="dxa"/>
            <w:right w:w="108" w:type="dxa"/>
          </w:tblCellMar>
        </w:tblPrEx>
        <w:trPr>
          <w:trHeight w:val="68" w:hRule="atLeast"/>
        </w:trPr>
        <w:tc>
          <w:tcPr>
            <w:tcW w:w="1277" w:type="dxa"/>
            <w:vMerge w:val="restart"/>
            <w:tcBorders>
              <w:top w:val="single" w:color="auto" w:sz="4" w:space="0"/>
              <w:left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重点特性</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支持堆叠（IRF）/VSS、或者跨设备LACP聚合、LACP边缘端口支持三层转发</w:t>
            </w:r>
          </w:p>
        </w:tc>
      </w:tr>
      <w:tr>
        <w:tblPrEx>
          <w:tblCellMar>
            <w:top w:w="0" w:type="dxa"/>
            <w:left w:w="108" w:type="dxa"/>
            <w:bottom w:w="0" w:type="dxa"/>
            <w:right w:w="108" w:type="dxa"/>
          </w:tblCellMar>
        </w:tblPrEx>
        <w:trPr>
          <w:trHeight w:val="65" w:hRule="atLeast"/>
        </w:trPr>
        <w:tc>
          <w:tcPr>
            <w:tcW w:w="1277" w:type="dxa"/>
            <w:vMerge w:val="continue"/>
            <w:tcBorders>
              <w:left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所有端口支持巨帧转发（≥9216 bytes）</w:t>
            </w:r>
          </w:p>
        </w:tc>
      </w:tr>
      <w:tr>
        <w:tblPrEx>
          <w:tblCellMar>
            <w:top w:w="0" w:type="dxa"/>
            <w:left w:w="108" w:type="dxa"/>
            <w:bottom w:w="0" w:type="dxa"/>
            <w:right w:w="108" w:type="dxa"/>
          </w:tblCellMar>
        </w:tblPrEx>
        <w:trPr>
          <w:trHeight w:val="65" w:hRule="atLeast"/>
        </w:trPr>
        <w:tc>
          <w:tcPr>
            <w:tcW w:w="1277" w:type="dxa"/>
            <w:vMerge w:val="continue"/>
            <w:tcBorders>
              <w:left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10G、40G端口支持路由口、路由子接口功能</w:t>
            </w:r>
          </w:p>
        </w:tc>
      </w:tr>
      <w:tr>
        <w:tblPrEx>
          <w:tblCellMar>
            <w:top w:w="0" w:type="dxa"/>
            <w:left w:w="108" w:type="dxa"/>
            <w:bottom w:w="0" w:type="dxa"/>
            <w:right w:w="108" w:type="dxa"/>
          </w:tblCellMar>
        </w:tblPrEx>
        <w:trPr>
          <w:trHeight w:val="65" w:hRule="atLeast"/>
        </w:trPr>
        <w:tc>
          <w:tcPr>
            <w:tcW w:w="1277" w:type="dxa"/>
            <w:vMerge w:val="continue"/>
            <w:tcBorders>
              <w:left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端口支持LLDP功能</w:t>
            </w:r>
          </w:p>
        </w:tc>
      </w:tr>
      <w:tr>
        <w:tblPrEx>
          <w:tblCellMar>
            <w:top w:w="0" w:type="dxa"/>
            <w:left w:w="108" w:type="dxa"/>
            <w:bottom w:w="0" w:type="dxa"/>
            <w:right w:w="108" w:type="dxa"/>
          </w:tblCellMar>
        </w:tblPrEx>
        <w:trPr>
          <w:trHeight w:val="65" w:hRule="atLeast"/>
        </w:trPr>
        <w:tc>
          <w:tcPr>
            <w:tcW w:w="1277" w:type="dxa"/>
            <w:vMerge w:val="continue"/>
            <w:tcBorders>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支持IPv4/V6双栈</w:t>
            </w:r>
          </w:p>
        </w:tc>
      </w:tr>
      <w:tr>
        <w:tblPrEx>
          <w:tblCellMar>
            <w:top w:w="0" w:type="dxa"/>
            <w:left w:w="108" w:type="dxa"/>
            <w:bottom w:w="0" w:type="dxa"/>
            <w:right w:w="108" w:type="dxa"/>
          </w:tblCellMar>
        </w:tblPrEx>
        <w:trPr>
          <w:trHeight w:val="110" w:hRule="atLeast"/>
        </w:trPr>
        <w:tc>
          <w:tcPr>
            <w:tcW w:w="1277" w:type="dxa"/>
            <w:vMerge w:val="restart"/>
            <w:tcBorders>
              <w:top w:val="single" w:color="auto" w:sz="4" w:space="0"/>
              <w:left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二层功能</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VLAN≥ 4K，支持STP/RSTP/MSTP</w:t>
            </w:r>
          </w:p>
        </w:tc>
      </w:tr>
      <w:tr>
        <w:tblPrEx>
          <w:tblCellMar>
            <w:top w:w="0" w:type="dxa"/>
            <w:left w:w="108" w:type="dxa"/>
            <w:bottom w:w="0" w:type="dxa"/>
            <w:right w:w="108" w:type="dxa"/>
          </w:tblCellMar>
        </w:tblPrEx>
        <w:trPr>
          <w:trHeight w:val="109" w:hRule="atLeast"/>
        </w:trPr>
        <w:tc>
          <w:tcPr>
            <w:tcW w:w="1277" w:type="dxa"/>
            <w:vMerge w:val="continue"/>
            <w:tcBorders>
              <w:left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支持DHCP relay，且server地址不小于2个</w:t>
            </w:r>
          </w:p>
        </w:tc>
      </w:tr>
      <w:tr>
        <w:tblPrEx>
          <w:tblCellMar>
            <w:top w:w="0" w:type="dxa"/>
            <w:left w:w="108" w:type="dxa"/>
            <w:bottom w:w="0" w:type="dxa"/>
            <w:right w:w="108" w:type="dxa"/>
          </w:tblCellMar>
        </w:tblPrEx>
        <w:trPr>
          <w:trHeight w:val="109" w:hRule="atLeast"/>
        </w:trPr>
        <w:tc>
          <w:tcPr>
            <w:tcW w:w="1277" w:type="dxa"/>
            <w:vMerge w:val="continue"/>
            <w:tcBorders>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支持基于端口的广播风暴/组播/未知单播抑制</w:t>
            </w:r>
          </w:p>
        </w:tc>
      </w:tr>
      <w:tr>
        <w:tblPrEx>
          <w:tblCellMar>
            <w:top w:w="0" w:type="dxa"/>
            <w:left w:w="108" w:type="dxa"/>
            <w:bottom w:w="0" w:type="dxa"/>
            <w:right w:w="108" w:type="dxa"/>
          </w:tblCellMar>
        </w:tblPrEx>
        <w:trPr>
          <w:trHeight w:val="82" w:hRule="atLeast"/>
        </w:trPr>
        <w:tc>
          <w:tcPr>
            <w:tcW w:w="1277" w:type="dxa"/>
            <w:vMerge w:val="restart"/>
            <w:tcBorders>
              <w:top w:val="single" w:color="auto" w:sz="4" w:space="0"/>
              <w:left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三层功能</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支持IPv4/v6双栈支持静态路由、OSPFv2/v3、ISIS/v6、BGP/4+等动态路由协议</w:t>
            </w:r>
          </w:p>
        </w:tc>
      </w:tr>
      <w:tr>
        <w:tblPrEx>
          <w:tblCellMar>
            <w:top w:w="0" w:type="dxa"/>
            <w:left w:w="108" w:type="dxa"/>
            <w:bottom w:w="0" w:type="dxa"/>
            <w:right w:w="108" w:type="dxa"/>
          </w:tblCellMar>
        </w:tblPrEx>
        <w:trPr>
          <w:trHeight w:val="82" w:hRule="atLeast"/>
        </w:trPr>
        <w:tc>
          <w:tcPr>
            <w:tcW w:w="1277" w:type="dxa"/>
            <w:vMerge w:val="continue"/>
            <w:tcBorders>
              <w:left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支持ECMP</w:t>
            </w:r>
          </w:p>
        </w:tc>
      </w:tr>
      <w:tr>
        <w:tblPrEx>
          <w:tblCellMar>
            <w:top w:w="0" w:type="dxa"/>
            <w:left w:w="108" w:type="dxa"/>
            <w:bottom w:w="0" w:type="dxa"/>
            <w:right w:w="108" w:type="dxa"/>
          </w:tblCellMar>
        </w:tblPrEx>
        <w:trPr>
          <w:trHeight w:val="82" w:hRule="atLeast"/>
        </w:trPr>
        <w:tc>
          <w:tcPr>
            <w:tcW w:w="1277" w:type="dxa"/>
            <w:vMerge w:val="continue"/>
            <w:tcBorders>
              <w:left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支持IPv4/v6三层组播:PIM-DM/SM,IGMP/MLD</w:t>
            </w:r>
          </w:p>
        </w:tc>
      </w:tr>
      <w:tr>
        <w:tblPrEx>
          <w:tblCellMar>
            <w:top w:w="0" w:type="dxa"/>
            <w:left w:w="108" w:type="dxa"/>
            <w:bottom w:w="0" w:type="dxa"/>
            <w:right w:w="108" w:type="dxa"/>
          </w:tblCellMar>
        </w:tblPrEx>
        <w:trPr>
          <w:trHeight w:val="82" w:hRule="atLeast"/>
        </w:trPr>
        <w:tc>
          <w:tcPr>
            <w:tcW w:w="1277" w:type="dxa"/>
            <w:vMerge w:val="continue"/>
            <w:tcBorders>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支持VRRP</w:t>
            </w:r>
          </w:p>
        </w:tc>
      </w:tr>
      <w:tr>
        <w:tblPrEx>
          <w:tblCellMar>
            <w:top w:w="0" w:type="dxa"/>
            <w:left w:w="108" w:type="dxa"/>
            <w:bottom w:w="0" w:type="dxa"/>
            <w:right w:w="108" w:type="dxa"/>
          </w:tblCellMar>
        </w:tblPrEx>
        <w:trPr>
          <w:trHeight w:val="82" w:hRule="atLeast"/>
        </w:trPr>
        <w:tc>
          <w:tcPr>
            <w:tcW w:w="1277" w:type="dxa"/>
            <w:tcBorders>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管理特性</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能直接被学校现有iMC网管软件统一管理、软件升级、配置的统一下发和基准化。</w:t>
            </w:r>
          </w:p>
        </w:tc>
      </w:tr>
      <w:tr>
        <w:tblPrEx>
          <w:tblCellMar>
            <w:top w:w="0" w:type="dxa"/>
            <w:left w:w="108" w:type="dxa"/>
            <w:bottom w:w="0" w:type="dxa"/>
            <w:right w:w="108" w:type="dxa"/>
          </w:tblCellMar>
        </w:tblPrEx>
        <w:trPr>
          <w:trHeight w:val="82" w:hRule="atLeast"/>
        </w:trPr>
        <w:tc>
          <w:tcPr>
            <w:tcW w:w="1277" w:type="dxa"/>
            <w:tcBorders>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配件</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1.电源、风扇满配</w:t>
            </w:r>
          </w:p>
          <w:p>
            <w:pPr>
              <w:pStyle w:val="19"/>
              <w:ind w:firstLine="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2.每台配置4个多模短距40GE接口光模块</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3.每台配置19个多模短距10GE光模块</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3.5m QSFP堆叠线缆</w:t>
            </w:r>
          </w:p>
        </w:tc>
      </w:tr>
      <w:tr>
        <w:tblPrEx>
          <w:tblCellMar>
            <w:top w:w="0" w:type="dxa"/>
            <w:left w:w="108" w:type="dxa"/>
            <w:bottom w:w="0" w:type="dxa"/>
            <w:right w:w="108" w:type="dxa"/>
          </w:tblCellMar>
        </w:tblPrEx>
        <w:trPr>
          <w:trHeight w:val="82" w:hRule="atLeast"/>
        </w:trPr>
        <w:tc>
          <w:tcPr>
            <w:tcW w:w="1277" w:type="dxa"/>
            <w:tcBorders>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服务要求</w:t>
            </w:r>
          </w:p>
        </w:tc>
        <w:tc>
          <w:tcPr>
            <w:tcW w:w="7938" w:type="dxa"/>
            <w:tcBorders>
              <w:top w:val="single" w:color="auto" w:sz="4" w:space="0"/>
              <w:left w:val="single" w:color="auto" w:sz="4" w:space="0"/>
              <w:bottom w:val="single" w:color="auto" w:sz="4" w:space="0"/>
              <w:right w:val="single" w:color="auto" w:sz="4" w:space="0"/>
            </w:tcBorders>
            <w:vAlign w:val="top"/>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3年7*24*小时工程师带备件上门服务，8小时内恢复服务</w:t>
            </w:r>
          </w:p>
        </w:tc>
      </w:tr>
      <w:tr>
        <w:tblPrEx>
          <w:tblCellMar>
            <w:top w:w="0" w:type="dxa"/>
            <w:left w:w="108" w:type="dxa"/>
            <w:bottom w:w="0" w:type="dxa"/>
            <w:right w:w="108" w:type="dxa"/>
          </w:tblCellMar>
        </w:tblPrEx>
        <w:tc>
          <w:tcPr>
            <w:tcW w:w="921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综合接入交换机</w:t>
            </w:r>
          </w:p>
        </w:tc>
      </w:tr>
      <w:tr>
        <w:tblPrEx>
          <w:tblCellMar>
            <w:top w:w="0" w:type="dxa"/>
            <w:left w:w="108" w:type="dxa"/>
            <w:bottom w:w="0" w:type="dxa"/>
            <w:right w:w="108" w:type="dxa"/>
          </w:tblCellMar>
        </w:tblPrEx>
        <w:tc>
          <w:tcPr>
            <w:tcW w:w="1277" w:type="dxa"/>
            <w:tcBorders>
              <w:top w:val="single" w:color="auto" w:sz="4" w:space="0"/>
              <w:left w:val="single" w:color="auto" w:sz="4" w:space="0"/>
              <w:bottom w:val="single" w:color="auto" w:sz="4" w:space="0"/>
              <w:right w:val="single" w:color="auto" w:sz="4" w:space="0"/>
            </w:tcBorders>
            <w:vAlign w:val="center"/>
          </w:tcPr>
          <w:p>
            <w:pPr>
              <w:autoSpaceDN w:val="0"/>
              <w:spacing w:line="276" w:lineRule="auto"/>
              <w:jc w:val="center"/>
              <w:textAlignment w:val="top"/>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功能指标</w:t>
            </w:r>
          </w:p>
        </w:tc>
        <w:tc>
          <w:tcPr>
            <w:tcW w:w="79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技术要求</w:t>
            </w:r>
          </w:p>
        </w:tc>
      </w:tr>
      <w:tr>
        <w:tblPrEx>
          <w:tblCellMar>
            <w:top w:w="0" w:type="dxa"/>
            <w:left w:w="108" w:type="dxa"/>
            <w:bottom w:w="0" w:type="dxa"/>
            <w:right w:w="108" w:type="dxa"/>
          </w:tblCellMar>
        </w:tblPrEx>
        <w:tc>
          <w:tcPr>
            <w:tcW w:w="1277" w:type="dxa"/>
            <w:tcBorders>
              <w:top w:val="single" w:color="auto" w:sz="4" w:space="0"/>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外观</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机架式1U盒式交换机，前后通风</w:t>
            </w:r>
          </w:p>
        </w:tc>
      </w:tr>
      <w:tr>
        <w:tblPrEx>
          <w:tblCellMar>
            <w:top w:w="0" w:type="dxa"/>
            <w:left w:w="108" w:type="dxa"/>
            <w:bottom w:w="0" w:type="dxa"/>
            <w:right w:w="108" w:type="dxa"/>
          </w:tblCellMar>
        </w:tblPrEx>
        <w:tc>
          <w:tcPr>
            <w:tcW w:w="1277" w:type="dxa"/>
            <w:tcBorders>
              <w:top w:val="single" w:color="auto" w:sz="4" w:space="0"/>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硬件架构</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冗余电源；冗余风扇</w:t>
            </w:r>
          </w:p>
        </w:tc>
      </w:tr>
      <w:tr>
        <w:tblPrEx>
          <w:tblCellMar>
            <w:top w:w="0" w:type="dxa"/>
            <w:left w:w="108" w:type="dxa"/>
            <w:bottom w:w="0" w:type="dxa"/>
            <w:right w:w="108" w:type="dxa"/>
          </w:tblCellMar>
        </w:tblPrEx>
        <w:tc>
          <w:tcPr>
            <w:tcW w:w="1277" w:type="dxa"/>
            <w:tcBorders>
              <w:top w:val="single" w:color="auto" w:sz="4" w:space="0"/>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端口要求</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≥48口SFP+万兆，≥6口QSFP 40G</w:t>
            </w:r>
          </w:p>
        </w:tc>
      </w:tr>
      <w:tr>
        <w:tblPrEx>
          <w:tblCellMar>
            <w:top w:w="0" w:type="dxa"/>
            <w:left w:w="108" w:type="dxa"/>
            <w:bottom w:w="0" w:type="dxa"/>
            <w:right w:w="108" w:type="dxa"/>
          </w:tblCellMar>
        </w:tblPrEx>
        <w:tc>
          <w:tcPr>
            <w:tcW w:w="1277" w:type="dxa"/>
            <w:tcBorders>
              <w:top w:val="single" w:color="auto" w:sz="4" w:space="0"/>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配置要求</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交换容量≥2.56Tbps, 包转发率 ≥1080Mpps</w:t>
            </w:r>
          </w:p>
        </w:tc>
      </w:tr>
      <w:tr>
        <w:tblPrEx>
          <w:tblCellMar>
            <w:top w:w="0" w:type="dxa"/>
            <w:left w:w="108" w:type="dxa"/>
            <w:bottom w:w="0" w:type="dxa"/>
            <w:right w:w="108" w:type="dxa"/>
          </w:tblCellMar>
        </w:tblPrEx>
        <w:trPr>
          <w:trHeight w:val="68" w:hRule="atLeast"/>
        </w:trPr>
        <w:tc>
          <w:tcPr>
            <w:tcW w:w="1277" w:type="dxa"/>
            <w:vMerge w:val="restart"/>
            <w:tcBorders>
              <w:top w:val="single" w:color="auto" w:sz="4" w:space="0"/>
              <w:left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重点特性</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支持堆叠（IRF）/VSS，或者跨设备LACP聚合</w:t>
            </w:r>
          </w:p>
        </w:tc>
      </w:tr>
      <w:tr>
        <w:tblPrEx>
          <w:tblCellMar>
            <w:top w:w="0" w:type="dxa"/>
            <w:left w:w="108" w:type="dxa"/>
            <w:bottom w:w="0" w:type="dxa"/>
            <w:right w:w="108" w:type="dxa"/>
          </w:tblCellMar>
        </w:tblPrEx>
        <w:trPr>
          <w:trHeight w:val="65" w:hRule="atLeast"/>
        </w:trPr>
        <w:tc>
          <w:tcPr>
            <w:tcW w:w="1277" w:type="dxa"/>
            <w:vMerge w:val="continue"/>
            <w:tcBorders>
              <w:left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所有端口支持巨帧转发（≥9216 bytes）</w:t>
            </w:r>
          </w:p>
        </w:tc>
      </w:tr>
      <w:tr>
        <w:tblPrEx>
          <w:tblCellMar>
            <w:top w:w="0" w:type="dxa"/>
            <w:left w:w="108" w:type="dxa"/>
            <w:bottom w:w="0" w:type="dxa"/>
            <w:right w:w="108" w:type="dxa"/>
          </w:tblCellMar>
        </w:tblPrEx>
        <w:trPr>
          <w:trHeight w:val="65" w:hRule="atLeast"/>
        </w:trPr>
        <w:tc>
          <w:tcPr>
            <w:tcW w:w="1277" w:type="dxa"/>
            <w:vMerge w:val="continue"/>
            <w:tcBorders>
              <w:left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10G、40G端口支持路由口、路由子接口功能</w:t>
            </w:r>
          </w:p>
        </w:tc>
      </w:tr>
      <w:tr>
        <w:tblPrEx>
          <w:tblCellMar>
            <w:top w:w="0" w:type="dxa"/>
            <w:left w:w="108" w:type="dxa"/>
            <w:bottom w:w="0" w:type="dxa"/>
            <w:right w:w="108" w:type="dxa"/>
          </w:tblCellMar>
        </w:tblPrEx>
        <w:trPr>
          <w:trHeight w:val="65" w:hRule="atLeast"/>
        </w:trPr>
        <w:tc>
          <w:tcPr>
            <w:tcW w:w="1277" w:type="dxa"/>
            <w:vMerge w:val="continue"/>
            <w:tcBorders>
              <w:left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端口支持LLDP功能</w:t>
            </w:r>
          </w:p>
        </w:tc>
      </w:tr>
      <w:tr>
        <w:tblPrEx>
          <w:tblCellMar>
            <w:top w:w="0" w:type="dxa"/>
            <w:left w:w="108" w:type="dxa"/>
            <w:bottom w:w="0" w:type="dxa"/>
            <w:right w:w="108" w:type="dxa"/>
          </w:tblCellMar>
        </w:tblPrEx>
        <w:trPr>
          <w:trHeight w:val="65" w:hRule="atLeast"/>
        </w:trPr>
        <w:tc>
          <w:tcPr>
            <w:tcW w:w="1277" w:type="dxa"/>
            <w:vMerge w:val="continue"/>
            <w:tcBorders>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支持IPv4/V6双栈</w:t>
            </w:r>
          </w:p>
        </w:tc>
      </w:tr>
      <w:tr>
        <w:tblPrEx>
          <w:tblCellMar>
            <w:top w:w="0" w:type="dxa"/>
            <w:left w:w="108" w:type="dxa"/>
            <w:bottom w:w="0" w:type="dxa"/>
            <w:right w:w="108" w:type="dxa"/>
          </w:tblCellMar>
        </w:tblPrEx>
        <w:trPr>
          <w:trHeight w:val="110" w:hRule="atLeast"/>
        </w:trPr>
        <w:tc>
          <w:tcPr>
            <w:tcW w:w="1277" w:type="dxa"/>
            <w:vMerge w:val="restart"/>
            <w:tcBorders>
              <w:top w:val="single" w:color="auto" w:sz="4" w:space="0"/>
              <w:left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二层功能</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VLAN≥ 4K，支持STP/RSTP/MSTP</w:t>
            </w:r>
          </w:p>
        </w:tc>
      </w:tr>
      <w:tr>
        <w:tblPrEx>
          <w:tblCellMar>
            <w:top w:w="0" w:type="dxa"/>
            <w:left w:w="108" w:type="dxa"/>
            <w:bottom w:w="0" w:type="dxa"/>
            <w:right w:w="108" w:type="dxa"/>
          </w:tblCellMar>
        </w:tblPrEx>
        <w:trPr>
          <w:trHeight w:val="109" w:hRule="atLeast"/>
        </w:trPr>
        <w:tc>
          <w:tcPr>
            <w:tcW w:w="1277" w:type="dxa"/>
            <w:vMerge w:val="continue"/>
            <w:tcBorders>
              <w:left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支持DHCP relay，且server地址不小于2个</w:t>
            </w:r>
          </w:p>
        </w:tc>
      </w:tr>
      <w:tr>
        <w:tblPrEx>
          <w:tblCellMar>
            <w:top w:w="0" w:type="dxa"/>
            <w:left w:w="108" w:type="dxa"/>
            <w:bottom w:w="0" w:type="dxa"/>
            <w:right w:w="108" w:type="dxa"/>
          </w:tblCellMar>
        </w:tblPrEx>
        <w:trPr>
          <w:trHeight w:val="109" w:hRule="atLeast"/>
        </w:trPr>
        <w:tc>
          <w:tcPr>
            <w:tcW w:w="1277" w:type="dxa"/>
            <w:vMerge w:val="continue"/>
            <w:tcBorders>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支持基于端口的广播风暴/组播/未知单播抑制</w:t>
            </w:r>
          </w:p>
        </w:tc>
      </w:tr>
      <w:tr>
        <w:tblPrEx>
          <w:tblCellMar>
            <w:top w:w="0" w:type="dxa"/>
            <w:left w:w="108" w:type="dxa"/>
            <w:bottom w:w="0" w:type="dxa"/>
            <w:right w:w="108" w:type="dxa"/>
          </w:tblCellMar>
        </w:tblPrEx>
        <w:trPr>
          <w:trHeight w:val="82" w:hRule="atLeast"/>
        </w:trPr>
        <w:tc>
          <w:tcPr>
            <w:tcW w:w="1277" w:type="dxa"/>
            <w:vMerge w:val="restart"/>
            <w:tcBorders>
              <w:top w:val="single" w:color="auto" w:sz="4" w:space="0"/>
              <w:left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三层功能</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支持IPv4/v6双栈支持静态路由、OSPFv2/v3、ISIS/v6、BGP/4+等动态路由协议</w:t>
            </w:r>
          </w:p>
        </w:tc>
      </w:tr>
      <w:tr>
        <w:tblPrEx>
          <w:tblCellMar>
            <w:top w:w="0" w:type="dxa"/>
            <w:left w:w="108" w:type="dxa"/>
            <w:bottom w:w="0" w:type="dxa"/>
            <w:right w:w="108" w:type="dxa"/>
          </w:tblCellMar>
        </w:tblPrEx>
        <w:trPr>
          <w:trHeight w:val="82" w:hRule="atLeast"/>
        </w:trPr>
        <w:tc>
          <w:tcPr>
            <w:tcW w:w="1277" w:type="dxa"/>
            <w:vMerge w:val="continue"/>
            <w:tcBorders>
              <w:left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支持ECMP</w:t>
            </w:r>
          </w:p>
        </w:tc>
      </w:tr>
      <w:tr>
        <w:tblPrEx>
          <w:tblCellMar>
            <w:top w:w="0" w:type="dxa"/>
            <w:left w:w="108" w:type="dxa"/>
            <w:bottom w:w="0" w:type="dxa"/>
            <w:right w:w="108" w:type="dxa"/>
          </w:tblCellMar>
        </w:tblPrEx>
        <w:trPr>
          <w:trHeight w:val="82" w:hRule="atLeast"/>
        </w:trPr>
        <w:tc>
          <w:tcPr>
            <w:tcW w:w="1277" w:type="dxa"/>
            <w:vMerge w:val="continue"/>
            <w:tcBorders>
              <w:left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支持IPv4/v6三层组播:PIM-DM/SM,IGMP/MLD</w:t>
            </w:r>
          </w:p>
        </w:tc>
      </w:tr>
      <w:tr>
        <w:tblPrEx>
          <w:tblCellMar>
            <w:top w:w="0" w:type="dxa"/>
            <w:left w:w="108" w:type="dxa"/>
            <w:bottom w:w="0" w:type="dxa"/>
            <w:right w:w="108" w:type="dxa"/>
          </w:tblCellMar>
        </w:tblPrEx>
        <w:trPr>
          <w:trHeight w:val="82" w:hRule="atLeast"/>
        </w:trPr>
        <w:tc>
          <w:tcPr>
            <w:tcW w:w="1277" w:type="dxa"/>
            <w:vMerge w:val="continue"/>
            <w:tcBorders>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支持VRRP</w:t>
            </w:r>
          </w:p>
        </w:tc>
      </w:tr>
      <w:tr>
        <w:tblPrEx>
          <w:tblCellMar>
            <w:top w:w="0" w:type="dxa"/>
            <w:left w:w="108" w:type="dxa"/>
            <w:bottom w:w="0" w:type="dxa"/>
            <w:right w:w="108" w:type="dxa"/>
          </w:tblCellMar>
        </w:tblPrEx>
        <w:trPr>
          <w:trHeight w:val="82" w:hRule="atLeast"/>
        </w:trPr>
        <w:tc>
          <w:tcPr>
            <w:tcW w:w="1277" w:type="dxa"/>
            <w:tcBorders>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管理特性</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能直接被学校现有iMC网管软件统一管理、软件升级、配置的统一下发和基准化。</w:t>
            </w:r>
          </w:p>
        </w:tc>
      </w:tr>
      <w:tr>
        <w:tblPrEx>
          <w:tblCellMar>
            <w:top w:w="0" w:type="dxa"/>
            <w:left w:w="108" w:type="dxa"/>
            <w:bottom w:w="0" w:type="dxa"/>
            <w:right w:w="108" w:type="dxa"/>
          </w:tblCellMar>
        </w:tblPrEx>
        <w:tc>
          <w:tcPr>
            <w:tcW w:w="1277" w:type="dxa"/>
            <w:tcBorders>
              <w:top w:val="single" w:color="auto" w:sz="4" w:space="0"/>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配件</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1.电源、风扇满配</w:t>
            </w:r>
          </w:p>
          <w:p>
            <w:pPr>
              <w:pStyle w:val="19"/>
              <w:ind w:firstLine="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2.每台配置6个多模短距40GE接口光模块</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3.每台配置24个多模短距10GE光模块</w:t>
            </w:r>
          </w:p>
        </w:tc>
      </w:tr>
      <w:tr>
        <w:tblPrEx>
          <w:tblCellMar>
            <w:top w:w="0" w:type="dxa"/>
            <w:left w:w="108" w:type="dxa"/>
            <w:bottom w:w="0" w:type="dxa"/>
            <w:right w:w="108" w:type="dxa"/>
          </w:tblCellMar>
        </w:tblPrEx>
        <w:tc>
          <w:tcPr>
            <w:tcW w:w="1277" w:type="dxa"/>
            <w:tcBorders>
              <w:top w:val="single" w:color="auto" w:sz="4" w:space="0"/>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服务要求</w:t>
            </w:r>
          </w:p>
        </w:tc>
        <w:tc>
          <w:tcPr>
            <w:tcW w:w="7938" w:type="dxa"/>
            <w:tcBorders>
              <w:top w:val="single" w:color="auto" w:sz="4" w:space="0"/>
              <w:left w:val="single" w:color="auto" w:sz="4" w:space="0"/>
              <w:bottom w:val="single" w:color="auto" w:sz="4" w:space="0"/>
              <w:right w:val="single" w:color="auto" w:sz="4" w:space="0"/>
            </w:tcBorders>
            <w:vAlign w:val="top"/>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三年原厂质保服务</w:t>
            </w:r>
          </w:p>
        </w:tc>
      </w:tr>
      <w:tr>
        <w:tblPrEx>
          <w:tblCellMar>
            <w:top w:w="0" w:type="dxa"/>
            <w:left w:w="108" w:type="dxa"/>
            <w:bottom w:w="0" w:type="dxa"/>
            <w:right w:w="108" w:type="dxa"/>
          </w:tblCellMar>
        </w:tblPrEx>
        <w:tc>
          <w:tcPr>
            <w:tcW w:w="921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专线接入交换机</w:t>
            </w:r>
          </w:p>
        </w:tc>
      </w:tr>
      <w:tr>
        <w:tblPrEx>
          <w:tblCellMar>
            <w:top w:w="0" w:type="dxa"/>
            <w:left w:w="108" w:type="dxa"/>
            <w:bottom w:w="0" w:type="dxa"/>
            <w:right w:w="108" w:type="dxa"/>
          </w:tblCellMar>
        </w:tblPrEx>
        <w:tc>
          <w:tcPr>
            <w:tcW w:w="1277" w:type="dxa"/>
            <w:tcBorders>
              <w:top w:val="single" w:color="auto" w:sz="4" w:space="0"/>
              <w:left w:val="single" w:color="auto" w:sz="4" w:space="0"/>
              <w:bottom w:val="single" w:color="auto" w:sz="4" w:space="0"/>
              <w:right w:val="single" w:color="auto" w:sz="4" w:space="0"/>
            </w:tcBorders>
            <w:vAlign w:val="center"/>
          </w:tcPr>
          <w:p>
            <w:pPr>
              <w:autoSpaceDN w:val="0"/>
              <w:spacing w:line="276" w:lineRule="auto"/>
              <w:jc w:val="center"/>
              <w:textAlignment w:val="top"/>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功能指标</w:t>
            </w:r>
          </w:p>
        </w:tc>
        <w:tc>
          <w:tcPr>
            <w:tcW w:w="79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技术要求</w:t>
            </w:r>
          </w:p>
        </w:tc>
      </w:tr>
      <w:tr>
        <w:tblPrEx>
          <w:tblCellMar>
            <w:top w:w="0" w:type="dxa"/>
            <w:left w:w="108" w:type="dxa"/>
            <w:bottom w:w="0" w:type="dxa"/>
            <w:right w:w="108" w:type="dxa"/>
          </w:tblCellMar>
        </w:tblPrEx>
        <w:tc>
          <w:tcPr>
            <w:tcW w:w="1277" w:type="dxa"/>
            <w:tcBorders>
              <w:top w:val="single" w:color="auto" w:sz="4" w:space="0"/>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外观</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机架式≤2U盒式交换机，前后通风</w:t>
            </w:r>
          </w:p>
        </w:tc>
      </w:tr>
      <w:tr>
        <w:tblPrEx>
          <w:tblCellMar>
            <w:top w:w="0" w:type="dxa"/>
            <w:left w:w="108" w:type="dxa"/>
            <w:bottom w:w="0" w:type="dxa"/>
            <w:right w:w="108" w:type="dxa"/>
          </w:tblCellMar>
        </w:tblPrEx>
        <w:tc>
          <w:tcPr>
            <w:tcW w:w="1277" w:type="dxa"/>
            <w:tcBorders>
              <w:top w:val="single" w:color="auto" w:sz="4" w:space="0"/>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硬件架构</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冗余电源；冗余风扇</w:t>
            </w:r>
          </w:p>
        </w:tc>
      </w:tr>
      <w:tr>
        <w:tblPrEx>
          <w:tblCellMar>
            <w:top w:w="0" w:type="dxa"/>
            <w:left w:w="108" w:type="dxa"/>
            <w:bottom w:w="0" w:type="dxa"/>
            <w:right w:w="108" w:type="dxa"/>
          </w:tblCellMar>
        </w:tblPrEx>
        <w:tc>
          <w:tcPr>
            <w:tcW w:w="1277" w:type="dxa"/>
            <w:tcBorders>
              <w:top w:val="single" w:color="auto" w:sz="4" w:space="0"/>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端口要求</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≥48口SFP+万兆，具备≥6口QSFP 40G/100G能力，最小配置≥4口QSFP 40G/100G</w:t>
            </w:r>
          </w:p>
        </w:tc>
      </w:tr>
      <w:tr>
        <w:tblPrEx>
          <w:tblCellMar>
            <w:top w:w="0" w:type="dxa"/>
            <w:left w:w="108" w:type="dxa"/>
            <w:bottom w:w="0" w:type="dxa"/>
            <w:right w:w="108" w:type="dxa"/>
          </w:tblCellMar>
        </w:tblPrEx>
        <w:trPr>
          <w:trHeight w:val="164" w:hRule="atLeast"/>
        </w:trPr>
        <w:tc>
          <w:tcPr>
            <w:tcW w:w="1277" w:type="dxa"/>
            <w:vMerge w:val="restart"/>
            <w:tcBorders>
              <w:top w:val="single" w:color="auto" w:sz="4" w:space="0"/>
              <w:left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配置要求</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交换容量≥2.56Tbps, 包转发率 ≥1080Mpps</w:t>
            </w:r>
          </w:p>
        </w:tc>
      </w:tr>
      <w:tr>
        <w:tblPrEx>
          <w:tblCellMar>
            <w:top w:w="0" w:type="dxa"/>
            <w:left w:w="108" w:type="dxa"/>
            <w:bottom w:w="0" w:type="dxa"/>
            <w:right w:w="108" w:type="dxa"/>
          </w:tblCellMar>
        </w:tblPrEx>
        <w:trPr>
          <w:trHeight w:val="164" w:hRule="atLeast"/>
        </w:trPr>
        <w:tc>
          <w:tcPr>
            <w:tcW w:w="1277" w:type="dxa"/>
            <w:vMerge w:val="continue"/>
            <w:tcBorders>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VPN数目≥1K</w:t>
            </w:r>
          </w:p>
        </w:tc>
      </w:tr>
      <w:tr>
        <w:tblPrEx>
          <w:tblCellMar>
            <w:top w:w="0" w:type="dxa"/>
            <w:left w:w="108" w:type="dxa"/>
            <w:bottom w:w="0" w:type="dxa"/>
            <w:right w:w="108" w:type="dxa"/>
          </w:tblCellMar>
        </w:tblPrEx>
        <w:trPr>
          <w:trHeight w:val="58" w:hRule="atLeast"/>
        </w:trPr>
        <w:tc>
          <w:tcPr>
            <w:tcW w:w="1277" w:type="dxa"/>
            <w:vMerge w:val="restart"/>
            <w:tcBorders>
              <w:top w:val="single" w:color="auto" w:sz="4" w:space="0"/>
              <w:left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重点特性</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支持VXLAN （包括VXLAN Routing、VXLAN Bridging、VXLAN Static Tunnel、VXLAN border gateway）</w:t>
            </w:r>
          </w:p>
        </w:tc>
      </w:tr>
      <w:tr>
        <w:tblPrEx>
          <w:tblCellMar>
            <w:top w:w="0" w:type="dxa"/>
            <w:left w:w="108" w:type="dxa"/>
            <w:bottom w:w="0" w:type="dxa"/>
            <w:right w:w="108" w:type="dxa"/>
          </w:tblCellMar>
        </w:tblPrEx>
        <w:trPr>
          <w:trHeight w:val="54" w:hRule="atLeast"/>
        </w:trPr>
        <w:tc>
          <w:tcPr>
            <w:tcW w:w="1277" w:type="dxa"/>
            <w:vMerge w:val="continue"/>
            <w:tcBorders>
              <w:left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Vxlan license支持永久性部署</w:t>
            </w:r>
          </w:p>
        </w:tc>
      </w:tr>
      <w:tr>
        <w:tblPrEx>
          <w:tblCellMar>
            <w:top w:w="0" w:type="dxa"/>
            <w:left w:w="108" w:type="dxa"/>
            <w:bottom w:w="0" w:type="dxa"/>
            <w:right w:w="108" w:type="dxa"/>
          </w:tblCellMar>
        </w:tblPrEx>
        <w:trPr>
          <w:trHeight w:val="54" w:hRule="atLeast"/>
        </w:trPr>
        <w:tc>
          <w:tcPr>
            <w:tcW w:w="1277" w:type="dxa"/>
            <w:vMerge w:val="continue"/>
            <w:tcBorders>
              <w:left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支持VxLAN和VLAN（路由子接口）相互映射转发</w:t>
            </w:r>
          </w:p>
        </w:tc>
      </w:tr>
      <w:tr>
        <w:tblPrEx>
          <w:tblCellMar>
            <w:top w:w="0" w:type="dxa"/>
            <w:left w:w="108" w:type="dxa"/>
            <w:bottom w:w="0" w:type="dxa"/>
            <w:right w:w="108" w:type="dxa"/>
          </w:tblCellMar>
        </w:tblPrEx>
        <w:trPr>
          <w:trHeight w:val="54" w:hRule="atLeast"/>
        </w:trPr>
        <w:tc>
          <w:tcPr>
            <w:tcW w:w="1277" w:type="dxa"/>
            <w:vMerge w:val="continue"/>
            <w:tcBorders>
              <w:left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所有端口支持巨帧转发（≥9216 bytes）</w:t>
            </w:r>
          </w:p>
        </w:tc>
      </w:tr>
      <w:tr>
        <w:tblPrEx>
          <w:tblCellMar>
            <w:top w:w="0" w:type="dxa"/>
            <w:left w:w="108" w:type="dxa"/>
            <w:bottom w:w="0" w:type="dxa"/>
            <w:right w:w="108" w:type="dxa"/>
          </w:tblCellMar>
        </w:tblPrEx>
        <w:trPr>
          <w:trHeight w:val="54" w:hRule="atLeast"/>
        </w:trPr>
        <w:tc>
          <w:tcPr>
            <w:tcW w:w="1277" w:type="dxa"/>
            <w:vMerge w:val="continue"/>
            <w:tcBorders>
              <w:left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端口支持LLDP功能</w:t>
            </w:r>
          </w:p>
        </w:tc>
      </w:tr>
      <w:tr>
        <w:tblPrEx>
          <w:tblCellMar>
            <w:top w:w="0" w:type="dxa"/>
            <w:left w:w="108" w:type="dxa"/>
            <w:bottom w:w="0" w:type="dxa"/>
            <w:right w:w="108" w:type="dxa"/>
          </w:tblCellMar>
        </w:tblPrEx>
        <w:trPr>
          <w:trHeight w:val="54" w:hRule="atLeast"/>
        </w:trPr>
        <w:tc>
          <w:tcPr>
            <w:tcW w:w="1277" w:type="dxa"/>
            <w:vMerge w:val="continue"/>
            <w:tcBorders>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支持IPv4/V6双栈</w:t>
            </w:r>
          </w:p>
        </w:tc>
      </w:tr>
      <w:tr>
        <w:tblPrEx>
          <w:tblCellMar>
            <w:top w:w="0" w:type="dxa"/>
            <w:left w:w="108" w:type="dxa"/>
            <w:bottom w:w="0" w:type="dxa"/>
            <w:right w:w="108" w:type="dxa"/>
          </w:tblCellMar>
        </w:tblPrEx>
        <w:trPr>
          <w:trHeight w:val="110" w:hRule="atLeast"/>
        </w:trPr>
        <w:tc>
          <w:tcPr>
            <w:tcW w:w="1277" w:type="dxa"/>
            <w:vMerge w:val="restart"/>
            <w:tcBorders>
              <w:left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二层功能</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VLAN≥ 4K，支持STP/RSTP/MSTP；</w:t>
            </w:r>
          </w:p>
        </w:tc>
      </w:tr>
      <w:tr>
        <w:tblPrEx>
          <w:tblCellMar>
            <w:top w:w="0" w:type="dxa"/>
            <w:left w:w="108" w:type="dxa"/>
            <w:bottom w:w="0" w:type="dxa"/>
            <w:right w:w="108" w:type="dxa"/>
          </w:tblCellMar>
        </w:tblPrEx>
        <w:trPr>
          <w:trHeight w:val="109" w:hRule="atLeast"/>
        </w:trPr>
        <w:tc>
          <w:tcPr>
            <w:tcW w:w="1277" w:type="dxa"/>
            <w:vMerge w:val="continue"/>
            <w:tcBorders>
              <w:left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线速 MAC learning （32K表项）</w:t>
            </w:r>
          </w:p>
        </w:tc>
      </w:tr>
      <w:tr>
        <w:tblPrEx>
          <w:tblCellMar>
            <w:top w:w="0" w:type="dxa"/>
            <w:left w:w="108" w:type="dxa"/>
            <w:bottom w:w="0" w:type="dxa"/>
            <w:right w:w="108" w:type="dxa"/>
          </w:tblCellMar>
        </w:tblPrEx>
        <w:trPr>
          <w:trHeight w:val="109" w:hRule="atLeast"/>
        </w:trPr>
        <w:tc>
          <w:tcPr>
            <w:tcW w:w="1277" w:type="dxa"/>
            <w:vMerge w:val="continue"/>
            <w:tcBorders>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支持VXLAN 封装与解封装</w:t>
            </w:r>
          </w:p>
        </w:tc>
      </w:tr>
      <w:tr>
        <w:tblPrEx>
          <w:tblCellMar>
            <w:top w:w="0" w:type="dxa"/>
            <w:left w:w="108" w:type="dxa"/>
            <w:bottom w:w="0" w:type="dxa"/>
            <w:right w:w="108" w:type="dxa"/>
          </w:tblCellMar>
        </w:tblPrEx>
        <w:trPr>
          <w:trHeight w:val="82" w:hRule="atLeast"/>
        </w:trPr>
        <w:tc>
          <w:tcPr>
            <w:tcW w:w="1277" w:type="dxa"/>
            <w:vMerge w:val="restart"/>
            <w:tcBorders>
              <w:left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三层功能</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支持IPv4/v6双栈支持静态路由、OSPFv2/v3、ISIS/v6、BGP/4+等动态路由协议</w:t>
            </w:r>
          </w:p>
        </w:tc>
      </w:tr>
      <w:tr>
        <w:tblPrEx>
          <w:tblCellMar>
            <w:top w:w="0" w:type="dxa"/>
            <w:left w:w="108" w:type="dxa"/>
            <w:bottom w:w="0" w:type="dxa"/>
            <w:right w:w="108" w:type="dxa"/>
          </w:tblCellMar>
        </w:tblPrEx>
        <w:trPr>
          <w:trHeight w:val="82" w:hRule="atLeast"/>
        </w:trPr>
        <w:tc>
          <w:tcPr>
            <w:tcW w:w="1277" w:type="dxa"/>
            <w:vMerge w:val="continue"/>
            <w:tcBorders>
              <w:left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支持ECMP</w:t>
            </w:r>
          </w:p>
        </w:tc>
      </w:tr>
      <w:tr>
        <w:tblPrEx>
          <w:tblCellMar>
            <w:top w:w="0" w:type="dxa"/>
            <w:left w:w="108" w:type="dxa"/>
            <w:bottom w:w="0" w:type="dxa"/>
            <w:right w:w="108" w:type="dxa"/>
          </w:tblCellMar>
        </w:tblPrEx>
        <w:trPr>
          <w:trHeight w:val="82" w:hRule="atLeast"/>
        </w:trPr>
        <w:tc>
          <w:tcPr>
            <w:tcW w:w="1277" w:type="dxa"/>
            <w:vMerge w:val="continue"/>
            <w:tcBorders>
              <w:left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支持IPv4/v6三层组播:PIM-DM/SM,IGMP/MLD</w:t>
            </w:r>
          </w:p>
        </w:tc>
      </w:tr>
      <w:tr>
        <w:tblPrEx>
          <w:tblCellMar>
            <w:top w:w="0" w:type="dxa"/>
            <w:left w:w="108" w:type="dxa"/>
            <w:bottom w:w="0" w:type="dxa"/>
            <w:right w:w="108" w:type="dxa"/>
          </w:tblCellMar>
        </w:tblPrEx>
        <w:trPr>
          <w:trHeight w:val="82" w:hRule="atLeast"/>
        </w:trPr>
        <w:tc>
          <w:tcPr>
            <w:tcW w:w="1277" w:type="dxa"/>
            <w:vMerge w:val="continue"/>
            <w:tcBorders>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支持VRRP</w:t>
            </w:r>
          </w:p>
        </w:tc>
      </w:tr>
      <w:tr>
        <w:tblPrEx>
          <w:tblCellMar>
            <w:top w:w="0" w:type="dxa"/>
            <w:left w:w="108" w:type="dxa"/>
            <w:bottom w:w="0" w:type="dxa"/>
            <w:right w:w="108" w:type="dxa"/>
          </w:tblCellMar>
        </w:tblPrEx>
        <w:trPr>
          <w:trHeight w:val="82" w:hRule="atLeast"/>
        </w:trPr>
        <w:tc>
          <w:tcPr>
            <w:tcW w:w="1277" w:type="dxa"/>
            <w:tcBorders>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配件</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1.电源、风扇满配</w:t>
            </w:r>
          </w:p>
          <w:p>
            <w:pPr>
              <w:pStyle w:val="19"/>
              <w:ind w:firstLine="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2.每台配置20个多模短距10GE光模块</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3.每台配置3个光电转换模块</w:t>
            </w:r>
          </w:p>
        </w:tc>
      </w:tr>
      <w:tr>
        <w:tblPrEx>
          <w:tblCellMar>
            <w:top w:w="0" w:type="dxa"/>
            <w:left w:w="108" w:type="dxa"/>
            <w:bottom w:w="0" w:type="dxa"/>
            <w:right w:w="108" w:type="dxa"/>
          </w:tblCellMar>
        </w:tblPrEx>
        <w:trPr>
          <w:trHeight w:val="82" w:hRule="atLeast"/>
        </w:trPr>
        <w:tc>
          <w:tcPr>
            <w:tcW w:w="1277" w:type="dxa"/>
            <w:tcBorders>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服务要求</w:t>
            </w:r>
          </w:p>
        </w:tc>
        <w:tc>
          <w:tcPr>
            <w:tcW w:w="7938" w:type="dxa"/>
            <w:tcBorders>
              <w:top w:val="single" w:color="auto" w:sz="4" w:space="0"/>
              <w:left w:val="single" w:color="auto" w:sz="4" w:space="0"/>
              <w:bottom w:val="single" w:color="auto" w:sz="4" w:space="0"/>
              <w:right w:val="single" w:color="auto" w:sz="4" w:space="0"/>
            </w:tcBorders>
            <w:vAlign w:val="top"/>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3年7*24*小时工程师带备件上门服务，8小时内恢复服务</w:t>
            </w:r>
          </w:p>
        </w:tc>
      </w:tr>
      <w:tr>
        <w:tblPrEx>
          <w:tblCellMar>
            <w:top w:w="0" w:type="dxa"/>
            <w:left w:w="108" w:type="dxa"/>
            <w:bottom w:w="0" w:type="dxa"/>
            <w:right w:w="108" w:type="dxa"/>
          </w:tblCellMar>
        </w:tblPrEx>
        <w:tc>
          <w:tcPr>
            <w:tcW w:w="921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带外管理核心交换机</w:t>
            </w:r>
          </w:p>
        </w:tc>
      </w:tr>
      <w:tr>
        <w:tblPrEx>
          <w:tblCellMar>
            <w:top w:w="0" w:type="dxa"/>
            <w:left w:w="108" w:type="dxa"/>
            <w:bottom w:w="0" w:type="dxa"/>
            <w:right w:w="108" w:type="dxa"/>
          </w:tblCellMar>
        </w:tblPrEx>
        <w:tc>
          <w:tcPr>
            <w:tcW w:w="1277" w:type="dxa"/>
            <w:tcBorders>
              <w:top w:val="single" w:color="auto" w:sz="4" w:space="0"/>
              <w:left w:val="single" w:color="auto" w:sz="4" w:space="0"/>
              <w:bottom w:val="single" w:color="auto" w:sz="4" w:space="0"/>
              <w:right w:val="single" w:color="auto" w:sz="4" w:space="0"/>
            </w:tcBorders>
            <w:vAlign w:val="center"/>
          </w:tcPr>
          <w:p>
            <w:pPr>
              <w:autoSpaceDN w:val="0"/>
              <w:spacing w:line="276" w:lineRule="auto"/>
              <w:jc w:val="center"/>
              <w:textAlignment w:val="top"/>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功能指标</w:t>
            </w:r>
          </w:p>
        </w:tc>
        <w:tc>
          <w:tcPr>
            <w:tcW w:w="79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技术要求</w:t>
            </w:r>
          </w:p>
        </w:tc>
      </w:tr>
      <w:tr>
        <w:tblPrEx>
          <w:tblCellMar>
            <w:top w:w="0" w:type="dxa"/>
            <w:left w:w="108" w:type="dxa"/>
            <w:bottom w:w="0" w:type="dxa"/>
            <w:right w:w="108" w:type="dxa"/>
          </w:tblCellMar>
        </w:tblPrEx>
        <w:tc>
          <w:tcPr>
            <w:tcW w:w="1277" w:type="dxa"/>
            <w:tcBorders>
              <w:top w:val="single" w:color="auto" w:sz="4" w:space="0"/>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外观</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机架式1U盒式交换机</w:t>
            </w:r>
          </w:p>
        </w:tc>
      </w:tr>
      <w:tr>
        <w:tblPrEx>
          <w:tblCellMar>
            <w:top w:w="0" w:type="dxa"/>
            <w:left w:w="108" w:type="dxa"/>
            <w:bottom w:w="0" w:type="dxa"/>
            <w:right w:w="108" w:type="dxa"/>
          </w:tblCellMar>
        </w:tblPrEx>
        <w:tc>
          <w:tcPr>
            <w:tcW w:w="1277" w:type="dxa"/>
            <w:tcBorders>
              <w:top w:val="single" w:color="auto" w:sz="4" w:space="0"/>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硬件架构</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冗余电源；</w:t>
            </w:r>
          </w:p>
        </w:tc>
      </w:tr>
      <w:tr>
        <w:tblPrEx>
          <w:tblCellMar>
            <w:top w:w="0" w:type="dxa"/>
            <w:left w:w="108" w:type="dxa"/>
            <w:bottom w:w="0" w:type="dxa"/>
            <w:right w:w="108" w:type="dxa"/>
          </w:tblCellMar>
        </w:tblPrEx>
        <w:tc>
          <w:tcPr>
            <w:tcW w:w="1277" w:type="dxa"/>
            <w:tcBorders>
              <w:top w:val="single" w:color="auto" w:sz="4" w:space="0"/>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端口要求</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≥48口千兆电 + ≥4个SFP+万兆光</w:t>
            </w:r>
          </w:p>
        </w:tc>
      </w:tr>
      <w:tr>
        <w:tblPrEx>
          <w:tblCellMar>
            <w:top w:w="0" w:type="dxa"/>
            <w:left w:w="108" w:type="dxa"/>
            <w:bottom w:w="0" w:type="dxa"/>
            <w:right w:w="108" w:type="dxa"/>
          </w:tblCellMar>
        </w:tblPrEx>
        <w:tc>
          <w:tcPr>
            <w:tcW w:w="1277" w:type="dxa"/>
            <w:tcBorders>
              <w:top w:val="single" w:color="auto" w:sz="4" w:space="0"/>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配置要求</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交换容量≥512Gbps, 包转发率 ≥200Mpps</w:t>
            </w:r>
          </w:p>
        </w:tc>
      </w:tr>
      <w:tr>
        <w:tblPrEx>
          <w:tblCellMar>
            <w:top w:w="0" w:type="dxa"/>
            <w:left w:w="108" w:type="dxa"/>
            <w:bottom w:w="0" w:type="dxa"/>
            <w:right w:w="108" w:type="dxa"/>
          </w:tblCellMar>
        </w:tblPrEx>
        <w:trPr>
          <w:trHeight w:val="164" w:hRule="atLeast"/>
        </w:trPr>
        <w:tc>
          <w:tcPr>
            <w:tcW w:w="1277" w:type="dxa"/>
            <w:vMerge w:val="restart"/>
            <w:tcBorders>
              <w:top w:val="single" w:color="auto" w:sz="4" w:space="0"/>
              <w:left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重点特性</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所有端口支持巨帧转发（≥9216 bytes）</w:t>
            </w:r>
          </w:p>
        </w:tc>
      </w:tr>
      <w:tr>
        <w:tblPrEx>
          <w:tblCellMar>
            <w:top w:w="0" w:type="dxa"/>
            <w:left w:w="108" w:type="dxa"/>
            <w:bottom w:w="0" w:type="dxa"/>
            <w:right w:w="108" w:type="dxa"/>
          </w:tblCellMar>
        </w:tblPrEx>
        <w:trPr>
          <w:trHeight w:val="164" w:hRule="atLeast"/>
        </w:trPr>
        <w:tc>
          <w:tcPr>
            <w:tcW w:w="1277" w:type="dxa"/>
            <w:vMerge w:val="continue"/>
            <w:tcBorders>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端口支持LLDP功能，且支持配置TLV指定management ip地址</w:t>
            </w:r>
          </w:p>
        </w:tc>
      </w:tr>
      <w:tr>
        <w:tblPrEx>
          <w:tblCellMar>
            <w:top w:w="0" w:type="dxa"/>
            <w:left w:w="108" w:type="dxa"/>
            <w:bottom w:w="0" w:type="dxa"/>
            <w:right w:w="108" w:type="dxa"/>
          </w:tblCellMar>
        </w:tblPrEx>
        <w:trPr>
          <w:trHeight w:val="110" w:hRule="atLeast"/>
        </w:trPr>
        <w:tc>
          <w:tcPr>
            <w:tcW w:w="1277" w:type="dxa"/>
            <w:vMerge w:val="restart"/>
            <w:tcBorders>
              <w:top w:val="single" w:color="auto" w:sz="4" w:space="0"/>
              <w:left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二层功能</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VLAN≥ 4K，支持STP/RSTP/MSTP；</w:t>
            </w:r>
          </w:p>
        </w:tc>
      </w:tr>
      <w:tr>
        <w:tblPrEx>
          <w:tblCellMar>
            <w:top w:w="0" w:type="dxa"/>
            <w:left w:w="108" w:type="dxa"/>
            <w:bottom w:w="0" w:type="dxa"/>
            <w:right w:w="108" w:type="dxa"/>
          </w:tblCellMar>
        </w:tblPrEx>
        <w:trPr>
          <w:trHeight w:val="109" w:hRule="atLeast"/>
        </w:trPr>
        <w:tc>
          <w:tcPr>
            <w:tcW w:w="1277" w:type="dxa"/>
            <w:vMerge w:val="continue"/>
            <w:tcBorders>
              <w:left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支持DLDP/UDLD</w:t>
            </w:r>
          </w:p>
        </w:tc>
      </w:tr>
      <w:tr>
        <w:tblPrEx>
          <w:tblCellMar>
            <w:top w:w="0" w:type="dxa"/>
            <w:left w:w="108" w:type="dxa"/>
            <w:bottom w:w="0" w:type="dxa"/>
            <w:right w:w="108" w:type="dxa"/>
          </w:tblCellMar>
        </w:tblPrEx>
        <w:trPr>
          <w:trHeight w:val="109" w:hRule="atLeast"/>
        </w:trPr>
        <w:tc>
          <w:tcPr>
            <w:tcW w:w="1277" w:type="dxa"/>
            <w:vMerge w:val="continue"/>
            <w:tcBorders>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支持基于端口的广播风暴/组播/未知单播抑制</w:t>
            </w:r>
          </w:p>
        </w:tc>
      </w:tr>
      <w:tr>
        <w:tblPrEx>
          <w:tblCellMar>
            <w:top w:w="0" w:type="dxa"/>
            <w:left w:w="108" w:type="dxa"/>
            <w:bottom w:w="0" w:type="dxa"/>
            <w:right w:w="108" w:type="dxa"/>
          </w:tblCellMar>
        </w:tblPrEx>
        <w:trPr>
          <w:trHeight w:val="164" w:hRule="atLeast"/>
        </w:trPr>
        <w:tc>
          <w:tcPr>
            <w:tcW w:w="1277" w:type="dxa"/>
            <w:vMerge w:val="restart"/>
            <w:tcBorders>
              <w:left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三层功能</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支持静态路由、OSPFv2、ISIS、BGP等动态路由协议</w:t>
            </w:r>
          </w:p>
        </w:tc>
      </w:tr>
      <w:tr>
        <w:tblPrEx>
          <w:tblCellMar>
            <w:top w:w="0" w:type="dxa"/>
            <w:left w:w="108" w:type="dxa"/>
            <w:bottom w:w="0" w:type="dxa"/>
            <w:right w:w="108" w:type="dxa"/>
          </w:tblCellMar>
        </w:tblPrEx>
        <w:trPr>
          <w:trHeight w:val="164" w:hRule="atLeast"/>
        </w:trPr>
        <w:tc>
          <w:tcPr>
            <w:tcW w:w="1277" w:type="dxa"/>
            <w:vMerge w:val="continue"/>
            <w:tcBorders>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支持VRRP</w:t>
            </w:r>
          </w:p>
        </w:tc>
      </w:tr>
      <w:tr>
        <w:tblPrEx>
          <w:tblCellMar>
            <w:top w:w="0" w:type="dxa"/>
            <w:left w:w="108" w:type="dxa"/>
            <w:bottom w:w="0" w:type="dxa"/>
            <w:right w:w="108" w:type="dxa"/>
          </w:tblCellMar>
        </w:tblPrEx>
        <w:trPr>
          <w:trHeight w:val="164" w:hRule="atLeast"/>
        </w:trPr>
        <w:tc>
          <w:tcPr>
            <w:tcW w:w="1277" w:type="dxa"/>
            <w:tcBorders>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配件</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1.电源、风扇满配</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2.每台配置2个多模短距10GE光模块；</w:t>
            </w:r>
          </w:p>
        </w:tc>
      </w:tr>
      <w:tr>
        <w:tblPrEx>
          <w:tblCellMar>
            <w:top w:w="0" w:type="dxa"/>
            <w:left w:w="108" w:type="dxa"/>
            <w:bottom w:w="0" w:type="dxa"/>
            <w:right w:w="108" w:type="dxa"/>
          </w:tblCellMar>
        </w:tblPrEx>
        <w:trPr>
          <w:trHeight w:val="164" w:hRule="atLeast"/>
        </w:trPr>
        <w:tc>
          <w:tcPr>
            <w:tcW w:w="1277" w:type="dxa"/>
            <w:tcBorders>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服务要求</w:t>
            </w:r>
          </w:p>
        </w:tc>
        <w:tc>
          <w:tcPr>
            <w:tcW w:w="7938" w:type="dxa"/>
            <w:tcBorders>
              <w:top w:val="single" w:color="auto" w:sz="4" w:space="0"/>
              <w:left w:val="single" w:color="auto" w:sz="4" w:space="0"/>
              <w:bottom w:val="single" w:color="auto" w:sz="4" w:space="0"/>
              <w:right w:val="single" w:color="auto" w:sz="4" w:space="0"/>
            </w:tcBorders>
            <w:vAlign w:val="top"/>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3年7*24*小时工程师带备件上门服务，8小时内恢复服务</w:t>
            </w:r>
          </w:p>
        </w:tc>
      </w:tr>
      <w:tr>
        <w:tblPrEx>
          <w:tblCellMar>
            <w:top w:w="0" w:type="dxa"/>
            <w:left w:w="108" w:type="dxa"/>
            <w:bottom w:w="0" w:type="dxa"/>
            <w:right w:w="108" w:type="dxa"/>
          </w:tblCellMar>
        </w:tblPrEx>
        <w:tc>
          <w:tcPr>
            <w:tcW w:w="921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console服务器</w:t>
            </w:r>
          </w:p>
        </w:tc>
      </w:tr>
      <w:tr>
        <w:tblPrEx>
          <w:tblCellMar>
            <w:top w:w="0" w:type="dxa"/>
            <w:left w:w="108" w:type="dxa"/>
            <w:bottom w:w="0" w:type="dxa"/>
            <w:right w:w="108" w:type="dxa"/>
          </w:tblCellMar>
        </w:tblPrEx>
        <w:tc>
          <w:tcPr>
            <w:tcW w:w="1277" w:type="dxa"/>
            <w:tcBorders>
              <w:top w:val="single" w:color="auto" w:sz="4" w:space="0"/>
              <w:left w:val="single" w:color="auto" w:sz="4" w:space="0"/>
              <w:bottom w:val="single" w:color="auto" w:sz="4" w:space="0"/>
              <w:right w:val="single" w:color="auto" w:sz="4" w:space="0"/>
            </w:tcBorders>
            <w:vAlign w:val="center"/>
          </w:tcPr>
          <w:p>
            <w:pPr>
              <w:autoSpaceDN w:val="0"/>
              <w:spacing w:line="276" w:lineRule="auto"/>
              <w:jc w:val="center"/>
              <w:textAlignment w:val="top"/>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功能指标</w:t>
            </w:r>
          </w:p>
        </w:tc>
        <w:tc>
          <w:tcPr>
            <w:tcW w:w="79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技术要求</w:t>
            </w:r>
          </w:p>
        </w:tc>
      </w:tr>
      <w:tr>
        <w:tblPrEx>
          <w:tblCellMar>
            <w:top w:w="0" w:type="dxa"/>
            <w:left w:w="108" w:type="dxa"/>
            <w:bottom w:w="0" w:type="dxa"/>
            <w:right w:w="108" w:type="dxa"/>
          </w:tblCellMar>
        </w:tblPrEx>
        <w:tc>
          <w:tcPr>
            <w:tcW w:w="1277" w:type="dxa"/>
            <w:tcBorders>
              <w:top w:val="single" w:color="auto" w:sz="4" w:space="0"/>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设备要求</w:t>
            </w:r>
          </w:p>
        </w:tc>
        <w:tc>
          <w:tcPr>
            <w:tcW w:w="7938" w:type="dxa"/>
            <w:tcBorders>
              <w:top w:val="single" w:color="auto" w:sz="4" w:space="0"/>
              <w:left w:val="single" w:color="auto" w:sz="4" w:space="0"/>
              <w:bottom w:val="single" w:color="auto" w:sz="4" w:space="0"/>
              <w:right w:val="single" w:color="auto"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 Port 串口服务器</w:t>
            </w:r>
          </w:p>
        </w:tc>
      </w:tr>
      <w:tr>
        <w:tblPrEx>
          <w:tblCellMar>
            <w:top w:w="0" w:type="dxa"/>
            <w:left w:w="108" w:type="dxa"/>
            <w:bottom w:w="0" w:type="dxa"/>
            <w:right w:w="108" w:type="dxa"/>
          </w:tblCellMar>
        </w:tblPrEx>
        <w:tc>
          <w:tcPr>
            <w:tcW w:w="1277" w:type="dxa"/>
            <w:tcBorders>
              <w:top w:val="single" w:color="auto" w:sz="4" w:space="0"/>
              <w:left w:val="single" w:color="auto" w:sz="4" w:space="0"/>
              <w:bottom w:val="single" w:color="auto" w:sz="4" w:space="0"/>
              <w:right w:val="single" w:color="auto" w:sz="4" w:space="0"/>
            </w:tcBorders>
            <w:vAlign w:val="center"/>
          </w:tcPr>
          <w:p>
            <w:pPr>
              <w:pStyle w:val="19"/>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服务要求</w:t>
            </w:r>
          </w:p>
        </w:tc>
        <w:tc>
          <w:tcPr>
            <w:tcW w:w="7938" w:type="dxa"/>
            <w:tcBorders>
              <w:top w:val="single" w:color="auto" w:sz="4" w:space="0"/>
              <w:left w:val="single" w:color="auto" w:sz="4" w:space="0"/>
              <w:bottom w:val="single" w:color="auto" w:sz="4" w:space="0"/>
              <w:right w:val="single" w:color="auto" w:sz="4" w:space="0"/>
            </w:tcBorders>
            <w:vAlign w:val="top"/>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3年7*24*小时工程师带备件上门服务，8小时内恢复服务</w:t>
            </w:r>
          </w:p>
        </w:tc>
      </w:tr>
    </w:tbl>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7. 网络运维平台技术指标</w:t>
      </w:r>
    </w:p>
    <w:tbl>
      <w:tblPr>
        <w:tblStyle w:val="59"/>
        <w:tblW w:w="9215" w:type="dxa"/>
        <w:tblInd w:w="-318" w:type="dxa"/>
        <w:tblLayout w:type="fixed"/>
        <w:tblCellMar>
          <w:top w:w="0" w:type="dxa"/>
          <w:left w:w="108" w:type="dxa"/>
          <w:bottom w:w="0" w:type="dxa"/>
          <w:right w:w="108" w:type="dxa"/>
        </w:tblCellMar>
      </w:tblPr>
      <w:tblGrid>
        <w:gridCol w:w="1277"/>
        <w:gridCol w:w="7938"/>
      </w:tblGrid>
      <w:tr>
        <w:tblPrEx>
          <w:tblCellMar>
            <w:top w:w="0" w:type="dxa"/>
            <w:left w:w="108" w:type="dxa"/>
            <w:bottom w:w="0" w:type="dxa"/>
            <w:right w:w="108" w:type="dxa"/>
          </w:tblCellMar>
        </w:tblPrEx>
        <w:tc>
          <w:tcPr>
            <w:tcW w:w="12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功能指标</w:t>
            </w:r>
          </w:p>
        </w:tc>
        <w:tc>
          <w:tcPr>
            <w:tcW w:w="793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技术要求</w:t>
            </w:r>
          </w:p>
        </w:tc>
      </w:tr>
      <w:tr>
        <w:tblPrEx>
          <w:tblCellMar>
            <w:top w:w="0" w:type="dxa"/>
            <w:left w:w="108" w:type="dxa"/>
            <w:bottom w:w="0" w:type="dxa"/>
            <w:right w:w="108" w:type="dxa"/>
          </w:tblCellMar>
        </w:tblPrEx>
        <w:tc>
          <w:tcPr>
            <w:tcW w:w="1277" w:type="dxa"/>
            <w:tcBorders>
              <w:top w:val="single" w:color="000000" w:sz="4" w:space="0"/>
              <w:left w:val="single" w:color="000000" w:sz="4" w:space="0"/>
              <w:bottom w:val="single" w:color="000000" w:sz="4" w:space="0"/>
              <w:right w:val="single" w:color="000000"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运维监控平台</w:t>
            </w:r>
          </w:p>
        </w:tc>
        <w:tc>
          <w:tcPr>
            <w:tcW w:w="7938" w:type="dxa"/>
            <w:tcBorders>
              <w:top w:val="single" w:color="000000" w:sz="4" w:space="0"/>
              <w:left w:val="single" w:color="000000" w:sz="4" w:space="0"/>
              <w:bottom w:val="single" w:color="000000" w:sz="4" w:space="0"/>
              <w:right w:val="single" w:color="000000"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对IT资源进行7*24h的全面实时监控，包括有线设备、无线设备、安全设备、服务器、存储、动环设备、虚拟化资源、数据库、中间件、标准应用和流量拓扑；在统一平台上监控全网网络设备的运行状态，集中告警，当异常发生时可及时发现并自动通知运维人员，支持短信，微信，邮件告警。</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支持对监控指标项进行全局设置（是否采集、是否监控、是否记录、采集周期）和个性化设置，且个性化设置优先级高于全局设置。同时支持对指标项的历史数据进行图表展现和批量导出。</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开放标准API 接口，将数据对接到学校数据中台。</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IT资源数量：有线网络设备不少于300台，无线设备不少于1200台，物理服务器不少于50台，虚拟化服务器不少于300台，存储不少于20台，其他各类资源若干。</w:t>
            </w:r>
          </w:p>
        </w:tc>
      </w:tr>
      <w:tr>
        <w:tblPrEx>
          <w:tblCellMar>
            <w:top w:w="0" w:type="dxa"/>
            <w:left w:w="108" w:type="dxa"/>
            <w:bottom w:w="0" w:type="dxa"/>
            <w:right w:w="108" w:type="dxa"/>
          </w:tblCellMar>
        </w:tblPrEx>
        <w:tc>
          <w:tcPr>
            <w:tcW w:w="1277" w:type="dxa"/>
            <w:tcBorders>
              <w:top w:val="single" w:color="000000" w:sz="4" w:space="0"/>
              <w:left w:val="single" w:color="000000" w:sz="4" w:space="0"/>
              <w:bottom w:val="single" w:color="000000" w:sz="4" w:space="0"/>
              <w:right w:val="single" w:color="000000"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监控模块：</w:t>
            </w:r>
          </w:p>
        </w:tc>
        <w:tc>
          <w:tcPr>
            <w:tcW w:w="7938" w:type="dxa"/>
            <w:tcBorders>
              <w:top w:val="single" w:color="000000" w:sz="4" w:space="0"/>
              <w:left w:val="single" w:color="000000" w:sz="4" w:space="0"/>
              <w:bottom w:val="single" w:color="000000" w:sz="4" w:space="0"/>
              <w:right w:val="single" w:color="000000"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支持监控多种网络资源：有线设备、无线设备、OLU 设备，安全设备、服务器、动环设备、存储设备、标准应用、中间件、数据库以及虚拟化。</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支持监控多厂商的网络资源，包括：思科、华三、华为、神州数码、锐捷、中兴、迈普、戴尔、IBM、惠普、联想、微软、Oracle、VMware等。监控指标至少包含CPU利用率、内存利用率、丢包、延迟、SNMP状态、温度信息、接口状态、带宽、出入流量、丢包数、广播包数、IP、ICMP、TCP、UDP及上述指标的历史信息。</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支持监控多家无线厂商的设备，内置的厂商监控模型应至少包括：Aruba、Cisco、Dcn、H3c、Huawei、Juniper、Ruijie等无线厂商AC。监控指标至少包含AP状态、AP的CPU利用率、AP的内存利用率、AP有线出入流量、AP无线出入流量、AP终端数、RADIO终端数及上述指标的历史信息。</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支持监控多厂商的虚拟化资源，至少包括sangfor、VMware、Hyper-V、Citrix等。监控指标至少包含主机/虚拟机CPU利用率、主机/虚拟机内存利用率、主机/虚拟机读写延迟、主机/虚拟机读写速率、主机/虚拟机IOPS、主机/虚拟机网卡双向流量、虚拟机分区利用率、虚拟化关联存储使用率、虚拟化关联存储IOPS及上述指标的历史信息。</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支持带外监控、PID监控方式和进程监控的形式。</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支持应用类型至少包括MySQL、SQL Server、Oracle、Tomact、IIS、Apache。</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支持流量拓扑，可通过已经添加的交换机、无线AP等IT资源自动生成流量拓扑图，显示设备之间实时带宽利用、实时流量大小、互联网口、设备IP地址、设备告警等指标，可自定义拖动图标位置。</w:t>
            </w:r>
          </w:p>
        </w:tc>
      </w:tr>
      <w:tr>
        <w:tblPrEx>
          <w:tblCellMar>
            <w:top w:w="0" w:type="dxa"/>
            <w:left w:w="108" w:type="dxa"/>
            <w:bottom w:w="0" w:type="dxa"/>
            <w:right w:w="108" w:type="dxa"/>
          </w:tblCellMar>
        </w:tblPrEx>
        <w:tc>
          <w:tcPr>
            <w:tcW w:w="1277" w:type="dxa"/>
            <w:tcBorders>
              <w:top w:val="single" w:color="000000" w:sz="4" w:space="0"/>
              <w:left w:val="single" w:color="000000" w:sz="4" w:space="0"/>
              <w:bottom w:val="single" w:color="000000" w:sz="4" w:space="0"/>
              <w:right w:val="single" w:color="000000"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告警模块要求</w:t>
            </w:r>
          </w:p>
        </w:tc>
        <w:tc>
          <w:tcPr>
            <w:tcW w:w="7938" w:type="dxa"/>
            <w:tcBorders>
              <w:top w:val="single" w:color="000000" w:sz="4" w:space="0"/>
              <w:left w:val="single" w:color="000000" w:sz="4" w:space="0"/>
              <w:bottom w:val="single" w:color="000000" w:sz="4" w:space="0"/>
              <w:right w:val="single" w:color="000000"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支持通过系统内阈值触发告警，支持通过设备日志触发告警，支持通过第三方系统推送触发告警。</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支持持续性告警，可设置某事件持续发生一段时间后产生告警；支持频率告警，可设置某事件在某段时间内发生次数达到阈值时产生告警。</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支持复合告警，由两个子条件组成，每个子条件中可设置不同告警类型和告警资源；当两个子条件同时满足时触发告警。</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支持将所有告警在统一的界面展示，可通过资源、时间、类型、等级、状态、告警内容查询告警；支持告警状态的自动恢复、手工恢复，支持对已发生的告警进行标记以便日后处理；</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支持微信、短信、邮件、首页闪烁提示等方式进行告警通知，自带微信告警服务平台。</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支持告警原因分析，自动分析关联告警，提取关键根源告警信息，实现告警收敛，避免大量告警淹没关键信息，并提供故障处理建议。</w:t>
            </w:r>
          </w:p>
        </w:tc>
      </w:tr>
      <w:tr>
        <w:tblPrEx>
          <w:tblCellMar>
            <w:top w:w="0" w:type="dxa"/>
            <w:left w:w="108" w:type="dxa"/>
            <w:bottom w:w="0" w:type="dxa"/>
            <w:right w:w="108" w:type="dxa"/>
          </w:tblCellMar>
        </w:tblPrEx>
        <w:tc>
          <w:tcPr>
            <w:tcW w:w="1277" w:type="dxa"/>
            <w:tcBorders>
              <w:top w:val="single" w:color="000000" w:sz="4" w:space="0"/>
              <w:left w:val="single" w:color="000000" w:sz="4" w:space="0"/>
              <w:bottom w:val="single" w:color="000000" w:sz="4" w:space="0"/>
              <w:right w:val="single" w:color="000000"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IP管理模块参数要求</w:t>
            </w:r>
          </w:p>
        </w:tc>
        <w:tc>
          <w:tcPr>
            <w:tcW w:w="7938" w:type="dxa"/>
            <w:tcBorders>
              <w:top w:val="single" w:color="000000" w:sz="4" w:space="0"/>
              <w:left w:val="single" w:color="000000" w:sz="4" w:space="0"/>
              <w:bottom w:val="single" w:color="000000" w:sz="4" w:space="0"/>
              <w:right w:val="single" w:color="000000" w:sz="4" w:space="0"/>
            </w:tcBorders>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支持记录终端用户的 IP 地址、MAC 地址、连接的二层设备、首次和最后发现时间、位置描述、连接时长等。</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支持与认证系统对接，获取终端对应的账号信息，提供截图证明文件；支持通过账号、IP、MAC、接口、墙插等信息进行查询 IP 使用的当前情况和历史记录，显示对应网络设备的信息。包含有线和无线，展示终端用户的上连设备、位置信息和最近出现时间。</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终端管理组件：50000终端监控，系统支持通过IP、MAC、接口等信息进行查询IP使用的当前情况和历史记录，显示对应网络设备的信息，并能导出相应的Excel文档信息进行存档备份。</w:t>
            </w:r>
          </w:p>
        </w:tc>
      </w:tr>
    </w:tbl>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8. 存储主机技术指标</w:t>
      </w:r>
    </w:p>
    <w:tbl>
      <w:tblPr>
        <w:tblStyle w:val="59"/>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widowControl/>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功能指标</w:t>
            </w:r>
          </w:p>
        </w:tc>
        <w:tc>
          <w:tcPr>
            <w:tcW w:w="7938" w:type="dxa"/>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控制器</w:t>
            </w:r>
          </w:p>
        </w:tc>
        <w:tc>
          <w:tcPr>
            <w:tcW w:w="7938" w:type="dxa"/>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双控制器，高速缓存配置64GB高速缓存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兼容性</w:t>
            </w:r>
          </w:p>
        </w:tc>
        <w:tc>
          <w:tcPr>
            <w:tcW w:w="7938" w:type="dxa"/>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本次配置存储主机必须兼容原有的2个DSU2625的25盘位的存储柜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主机接口</w:t>
            </w:r>
          </w:p>
        </w:tc>
        <w:tc>
          <w:tcPr>
            <w:tcW w:w="7938" w:type="dxa"/>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8个8Gb FC主机接口,4个1Gb iSCSI接口，4个10Gb iSCSI接口；RAID 级别：RAID 0、1、10、5、6等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可管理性和可维护性</w:t>
            </w:r>
          </w:p>
        </w:tc>
        <w:tc>
          <w:tcPr>
            <w:tcW w:w="7938" w:type="dxa"/>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含基本存储管理、日志及call Home告警功能及高级性能监控功能;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软件</w:t>
            </w:r>
          </w:p>
        </w:tc>
        <w:tc>
          <w:tcPr>
            <w:tcW w:w="7938" w:type="dxa"/>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配置存储管理软件；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服务要求</w:t>
            </w:r>
          </w:p>
        </w:tc>
        <w:tc>
          <w:tcPr>
            <w:tcW w:w="7938" w:type="dxa"/>
            <w:vAlign w:val="top"/>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三年原厂质保服务</w:t>
            </w:r>
          </w:p>
        </w:tc>
      </w:tr>
    </w:tbl>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9.集成服务技术指标</w:t>
      </w:r>
    </w:p>
    <w:tbl>
      <w:tblPr>
        <w:tblStyle w:val="59"/>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93" w:type="dxa"/>
            <w:vAlign w:val="center"/>
          </w:tcPr>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项目实施及材料要求</w:t>
            </w:r>
          </w:p>
        </w:tc>
        <w:tc>
          <w:tcPr>
            <w:tcW w:w="8222" w:type="dxa"/>
            <w:vAlign w:val="center"/>
          </w:tcPr>
          <w:p>
            <w:pPr>
              <w:autoSpaceDN w:val="0"/>
              <w:textAlignment w:val="top"/>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1.投标方对采购方的整体规划有清楚的认识，包括设备选型、配置、部署位置、集成等环节。结合采购方实际情况科学合理地制定技术方案和参与投标；</w:t>
            </w:r>
            <w:r>
              <w:rPr>
                <w:rFonts w:hint="eastAsia" w:ascii="仿宋_GB2312" w:hAnsi="仿宋_GB2312" w:eastAsia="仿宋_GB2312" w:cs="仿宋_GB2312"/>
                <w:kern w:val="0"/>
                <w:sz w:val="24"/>
                <w:szCs w:val="24"/>
              </w:rPr>
              <w:t>投标时需详细的列出本项目机房动环中各类传感器实际部署区域和位置，并提供勘测报告。</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2.项目实施过程中需要的材料要求：六类网线、水晶头、电源、光纤跳线、电池箱、各产品专用配件等安装实施辅材一批，</w:t>
            </w:r>
            <w:r>
              <w:rPr>
                <w:rFonts w:hint="eastAsia" w:ascii="仿宋_GB2312" w:hAnsi="仿宋_GB2312" w:eastAsia="仿宋_GB2312" w:cs="仿宋_GB2312"/>
                <w:kern w:val="0"/>
                <w:sz w:val="24"/>
                <w:szCs w:val="24"/>
              </w:rPr>
              <w:t>满足校方实际需求、数量一次性包干</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安装调试：三相单回路智能电表、闭合式电流互感器、温湿度传感器、漏水检测、门禁设备、磁力锁、门磁感应、烟雾探测器、可视化烟雾探测器、动环主机、数据采集网关、核心交换机、接入汇聚交换机上架安装对接调试施工；精密空调、UPS安装调试等； </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 对本次采购的核心交换机和接入汇聚交换机提供调试及线路整理，满足建设要求。</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5、机房动环监控应用组件需与学院现有教育综合安防管理平台对接开发，实现门磁、温湿度、烟感、水浸等多种探测器的数据汇聚和上报功能。</w:t>
            </w:r>
          </w:p>
          <w:p>
            <w:pPr>
              <w:autoSpaceDN w:val="0"/>
              <w:spacing w:line="276" w:lineRule="auto"/>
              <w:textAlignment w:val="top"/>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6.本次项目为交钥匙项目，区域分散、结构复杂，投标方应根据用户方实际使用需求进行方案设计；其他从弱电间到设备之间连接，配线架、理线架等配件均需满足本次招标的设备的安装需求。</w:t>
            </w:r>
          </w:p>
          <w:p>
            <w:pPr>
              <w:pStyle w:val="19"/>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7、本次项目所投设备需要按照学校要求进行资产标签标识。</w:t>
            </w:r>
          </w:p>
        </w:tc>
      </w:tr>
    </w:tbl>
    <w:p>
      <w:pPr>
        <w:pStyle w:val="4"/>
        <w:pageBreakBefore w:val="0"/>
        <w:widowControl w:val="0"/>
        <w:numPr>
          <w:ilvl w:val="0"/>
          <w:numId w:val="32"/>
        </w:numPr>
        <w:kinsoku/>
        <w:wordWrap/>
        <w:overflowPunct/>
        <w:topLinePunct w:val="0"/>
        <w:autoSpaceDE/>
        <w:autoSpaceDN/>
        <w:bidi w:val="0"/>
        <w:adjustRightInd/>
        <w:snapToGrid/>
        <w:spacing w:before="0" w:after="0" w:line="579" w:lineRule="exact"/>
        <w:ind w:firstLine="640" w:firstLineChars="2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实施人员能力要求</w:t>
      </w:r>
    </w:p>
    <w:tbl>
      <w:tblPr>
        <w:tblStyle w:val="59"/>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93" w:type="dxa"/>
            <w:vAlign w:val="center"/>
          </w:tcPr>
          <w:p>
            <w:pPr>
              <w:pStyle w:val="19"/>
              <w:ind w:firstLine="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系统集成项目组要求</w:t>
            </w:r>
          </w:p>
        </w:tc>
        <w:tc>
          <w:tcPr>
            <w:tcW w:w="8222" w:type="dxa"/>
            <w:vAlign w:val="center"/>
          </w:tcPr>
          <w:p>
            <w:pPr>
              <w:pStyle w:val="19"/>
              <w:ind w:firstLine="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人员配备、职责分工明确，并提供项目组人员履历表。根据人员配置情况进行综合评分，未提供不得分。（</w:t>
            </w:r>
            <w:r>
              <w:rPr>
                <w:rFonts w:hint="eastAsia" w:ascii="仿宋_GB2312" w:hAnsi="仿宋_GB2312" w:eastAsia="仿宋_GB2312" w:cs="仿宋_GB2312"/>
                <w:color w:val="auto"/>
                <w:sz w:val="24"/>
                <w:szCs w:val="24"/>
                <w:lang w:val="en-US" w:eastAsia="zh-CN"/>
              </w:rPr>
              <w:t>5分</w:t>
            </w:r>
            <w:r>
              <w:rPr>
                <w:rFonts w:hint="eastAsia" w:ascii="仿宋_GB2312" w:hAnsi="仿宋_GB2312" w:eastAsia="仿宋_GB2312" w:cs="仿宋_GB2312"/>
                <w:color w:val="auto"/>
                <w:sz w:val="24"/>
                <w:szCs w:val="24"/>
                <w:lang w:eastAsia="zh-CN"/>
              </w:rPr>
              <w:t>）</w:t>
            </w:r>
          </w:p>
        </w:tc>
      </w:tr>
    </w:tbl>
    <w:p>
      <w:pPr>
        <w:numPr>
          <w:ilvl w:val="0"/>
          <w:numId w:val="0"/>
        </w:numPr>
        <w:rPr>
          <w:rFonts w:hint="default"/>
          <w:lang w:val="en-US" w:eastAsia="zh-CN"/>
        </w:rPr>
      </w:pPr>
    </w:p>
    <w:p>
      <w:pPr>
        <w:pStyle w:val="4"/>
        <w:pageBreakBefore w:val="0"/>
        <w:widowControl w:val="0"/>
        <w:numPr>
          <w:ilvl w:val="0"/>
          <w:numId w:val="0"/>
        </w:numPr>
        <w:kinsoku/>
        <w:wordWrap/>
        <w:overflowPunct/>
        <w:topLinePunct w:val="0"/>
        <w:autoSpaceDE/>
        <w:autoSpaceDN/>
        <w:bidi w:val="0"/>
        <w:adjustRightInd/>
        <w:snapToGrid/>
        <w:spacing w:before="0" w:after="0" w:line="579" w:lineRule="exact"/>
        <w:jc w:val="both"/>
        <w:textAlignment w:val="auto"/>
        <w:rPr>
          <w:rFonts w:hint="eastAsia" w:ascii="黑体" w:hAnsi="黑体" w:eastAsia="黑体" w:cs="黑体"/>
          <w:b w:val="0"/>
          <w:bCs w:val="0"/>
          <w:sz w:val="32"/>
          <w:szCs w:val="32"/>
        </w:rPr>
      </w:pPr>
    </w:p>
    <w:p>
      <w:pPr>
        <w:pStyle w:val="4"/>
        <w:pageBreakBefore w:val="0"/>
        <w:widowControl w:val="0"/>
        <w:numPr>
          <w:ilvl w:val="0"/>
          <w:numId w:val="0"/>
        </w:numPr>
        <w:kinsoku/>
        <w:wordWrap/>
        <w:overflowPunct/>
        <w:topLinePunct w:val="0"/>
        <w:autoSpaceDE/>
        <w:autoSpaceDN/>
        <w:bidi w:val="0"/>
        <w:adjustRightInd/>
        <w:snapToGrid/>
        <w:spacing w:before="0" w:after="0" w:line="579" w:lineRule="exact"/>
        <w:jc w:val="both"/>
        <w:textAlignment w:val="auto"/>
        <w:rPr>
          <w:rFonts w:hint="eastAsia" w:ascii="仿宋" w:hAnsi="仿宋" w:eastAsia="黑体"/>
          <w:b/>
          <w:bCs/>
          <w:sz w:val="28"/>
          <w:szCs w:val="28"/>
          <w:lang w:val="en-US" w:eastAsia="zh-CN"/>
        </w:rPr>
      </w:pPr>
      <w:r>
        <w:rPr>
          <w:rFonts w:hint="eastAsia" w:ascii="黑体" w:hAnsi="黑体" w:eastAsia="黑体" w:cs="黑体"/>
          <w:b w:val="0"/>
          <w:bCs w:val="0"/>
          <w:sz w:val="32"/>
          <w:szCs w:val="32"/>
        </w:rPr>
        <w:t>三、商务要求</w:t>
      </w:r>
      <w:bookmarkEnd w:id="40"/>
      <w:r>
        <w:rPr>
          <w:rFonts w:hint="eastAsia" w:ascii="黑体" w:hAnsi="黑体" w:eastAsia="黑体" w:cs="黑体"/>
          <w:b w:val="0"/>
          <w:bCs w:val="0"/>
          <w:sz w:val="32"/>
          <w:szCs w:val="32"/>
          <w:lang w:val="en-US" w:eastAsia="zh-CN"/>
        </w:rPr>
        <w:t>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▲项目工期（交货期）及地点</w:t>
            </w:r>
          </w:p>
        </w:tc>
        <w:tc>
          <w:tcPr>
            <w:tcW w:w="6775" w:type="dxa"/>
            <w:vAlign w:val="center"/>
          </w:tcPr>
          <w:p>
            <w:pP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交货期：合同签订后30天内</w:t>
            </w:r>
          </w:p>
          <w:p>
            <w:pPr>
              <w:rPr>
                <w:rFonts w:hint="eastAsia"/>
                <w:lang w:val="en-US" w:eastAsia="zh-CN"/>
              </w:rPr>
            </w:pPr>
            <w:r>
              <w:rPr>
                <w:rFonts w:hint="eastAsia" w:ascii="仿宋" w:hAnsi="仿宋" w:eastAsia="仿宋"/>
                <w:color w:val="auto"/>
                <w:sz w:val="28"/>
                <w:szCs w:val="28"/>
                <w:lang w:val="en-US" w:eastAsia="zh-CN"/>
              </w:rPr>
              <w:t>地点：浙江警察学院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▲付款条件（明确是否需要履约保证金）</w:t>
            </w:r>
          </w:p>
        </w:tc>
        <w:tc>
          <w:tcPr>
            <w:tcW w:w="6775" w:type="dxa"/>
            <w:vAlign w:val="center"/>
          </w:tcPr>
          <w:p>
            <w:pPr>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中标人向采购人缴纳合同金额1%的履约保证金</w:t>
            </w:r>
            <w:r>
              <w:rPr>
                <w:rFonts w:hint="eastAsia" w:ascii="仿宋" w:hAnsi="仿宋" w:eastAsia="仿宋"/>
                <w:color w:val="auto"/>
                <w:sz w:val="28"/>
                <w:szCs w:val="28"/>
                <w:highlight w:val="none"/>
                <w:lang w:eastAsia="zh-CN"/>
              </w:rPr>
              <w:t>。</w:t>
            </w:r>
          </w:p>
          <w:p>
            <w:pPr>
              <w:rPr>
                <w:rFonts w:hint="eastAsia" w:ascii="仿宋" w:hAnsi="仿宋" w:eastAsia="仿宋"/>
                <w:color w:val="auto"/>
                <w:sz w:val="28"/>
                <w:szCs w:val="28"/>
                <w:highlight w:val="none"/>
              </w:rPr>
            </w:pPr>
            <w:r>
              <w:rPr>
                <w:rFonts w:hint="eastAsia" w:ascii="仿宋" w:hAnsi="仿宋" w:eastAsia="仿宋"/>
                <w:color w:val="auto"/>
                <w:sz w:val="28"/>
                <w:szCs w:val="28"/>
                <w:highlight w:val="none"/>
              </w:rPr>
              <w:br w:type="textWrapping"/>
            </w:r>
            <w:r>
              <w:rPr>
                <w:rFonts w:hint="eastAsia" w:ascii="仿宋" w:hAnsi="仿宋" w:eastAsia="仿宋"/>
                <w:color w:val="auto"/>
                <w:sz w:val="28"/>
                <w:szCs w:val="28"/>
                <w:highlight w:val="none"/>
              </w:rPr>
              <w:t>付款方式：</w:t>
            </w:r>
          </w:p>
          <w:p>
            <w:pP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政府采购预付款应在合同生效以及具备实施条件后7个工作日内支付。</w:t>
            </w:r>
          </w:p>
          <w:p>
            <w:pP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合同签订后支付合同价的30%</w:t>
            </w:r>
            <w:r>
              <w:rPr>
                <w:rFonts w:hint="eastAsia" w:ascii="仿宋" w:hAnsi="仿宋" w:eastAsia="仿宋"/>
                <w:color w:val="auto"/>
                <w:sz w:val="28"/>
                <w:szCs w:val="28"/>
                <w:highlight w:val="none"/>
                <w:lang w:val="en-US" w:eastAsia="zh-CN"/>
              </w:rPr>
              <w:t>的预付款</w:t>
            </w:r>
            <w:r>
              <w:rPr>
                <w:rFonts w:hint="eastAsia" w:ascii="仿宋" w:hAnsi="仿宋" w:eastAsia="仿宋"/>
                <w:color w:val="auto"/>
                <w:sz w:val="28"/>
                <w:szCs w:val="28"/>
                <w:highlight w:val="none"/>
              </w:rPr>
              <w:t>，货物安装调试完成后支付51%项目款，项目验收合格后支付剩余项目款。</w:t>
            </w:r>
          </w:p>
          <w:p>
            <w:pPr>
              <w:rPr>
                <w:rFonts w:hint="eastAsia" w:ascii="仿宋" w:hAnsi="仿宋" w:eastAsia="仿宋" w:cs="Times New Roman"/>
                <w:b/>
                <w:bCs/>
                <w:kern w:val="2"/>
                <w:sz w:val="28"/>
                <w:szCs w:val="28"/>
                <w:lang w:val="en-US" w:eastAsia="zh-CN" w:bidi="ar-SA"/>
              </w:rPr>
            </w:pPr>
          </w:p>
          <w:p>
            <w:pPr>
              <w:rPr>
                <w:rFonts w:ascii="仿宋" w:hAnsi="仿宋" w:eastAsia="仿宋"/>
                <w:b/>
                <w:sz w:val="28"/>
                <w:szCs w:val="28"/>
              </w:rPr>
            </w:pPr>
            <w:r>
              <w:rPr>
                <w:rFonts w:hint="eastAsia" w:ascii="仿宋" w:hAnsi="仿宋" w:eastAsia="仿宋" w:cs="Times New Roman"/>
                <w:b/>
                <w:bCs/>
                <w:kern w:val="2"/>
                <w:sz w:val="28"/>
                <w:szCs w:val="28"/>
                <w:lang w:val="en-US" w:eastAsia="zh-CN" w:bidi="ar-SA"/>
              </w:rPr>
              <w:t>备注：在签订合同时，供应商明确表示无需预付款或者主动要求降低预付款比例的，采购单位可不适用前述预付款比例的规定。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违约责任及争议解决方式</w:t>
            </w:r>
          </w:p>
        </w:tc>
        <w:tc>
          <w:tcPr>
            <w:tcW w:w="6775" w:type="dxa"/>
            <w:vAlign w:val="center"/>
          </w:tcPr>
          <w:p>
            <w:pPr>
              <w:rPr>
                <w:rFonts w:ascii="仿宋" w:hAnsi="仿宋" w:eastAsia="仿宋"/>
                <w:sz w:val="28"/>
                <w:szCs w:val="28"/>
              </w:rPr>
            </w:pPr>
            <w:r>
              <w:rPr>
                <w:rFonts w:hint="eastAsia" w:ascii="仿宋" w:hAnsi="仿宋" w:eastAsia="仿宋"/>
                <w:sz w:val="28"/>
                <w:szCs w:val="28"/>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售</w:t>
            </w:r>
          </w:p>
          <w:p>
            <w:pPr>
              <w:snapToGrid w:val="0"/>
              <w:jc w:val="left"/>
              <w:rPr>
                <w:rFonts w:ascii="仿宋" w:hAnsi="仿宋" w:eastAsia="仿宋" w:cs="仿宋_GB2312"/>
                <w:b/>
                <w:sz w:val="28"/>
                <w:szCs w:val="28"/>
              </w:rPr>
            </w:pPr>
            <w:r>
              <w:rPr>
                <w:rFonts w:hint="eastAsia" w:ascii="仿宋" w:hAnsi="仿宋" w:eastAsia="仿宋" w:cs="仿宋_GB2312"/>
                <w:b/>
                <w:sz w:val="28"/>
                <w:szCs w:val="28"/>
              </w:rPr>
              <w:t>后</w:t>
            </w:r>
          </w:p>
          <w:p>
            <w:pPr>
              <w:snapToGrid w:val="0"/>
              <w:jc w:val="left"/>
              <w:rPr>
                <w:rFonts w:ascii="仿宋" w:hAnsi="仿宋" w:eastAsia="仿宋" w:cs="仿宋_GB2312"/>
                <w:b/>
                <w:sz w:val="28"/>
                <w:szCs w:val="28"/>
              </w:rPr>
            </w:pPr>
            <w:r>
              <w:rPr>
                <w:rFonts w:hint="eastAsia" w:ascii="仿宋" w:hAnsi="仿宋" w:eastAsia="仿宋" w:cs="仿宋_GB2312"/>
                <w:b/>
                <w:sz w:val="28"/>
                <w:szCs w:val="28"/>
              </w:rPr>
              <w:t>服务</w:t>
            </w: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项目维护计划</w:t>
            </w:r>
          </w:p>
        </w:tc>
        <w:tc>
          <w:tcPr>
            <w:tcW w:w="6775" w:type="dxa"/>
            <w:vAlign w:val="center"/>
          </w:tcPr>
          <w:p>
            <w:pPr>
              <w:rPr>
                <w:rFonts w:hint="eastAsia" w:ascii="仿宋" w:hAnsi="仿宋" w:eastAsia="仿宋"/>
                <w:sz w:val="28"/>
                <w:szCs w:val="28"/>
                <w:lang w:eastAsia="zh-CN"/>
              </w:rPr>
            </w:pPr>
            <w:r>
              <w:rPr>
                <w:rFonts w:hint="eastAsia" w:ascii="仿宋" w:hAnsi="仿宋" w:eastAsia="仿宋"/>
                <w:sz w:val="28"/>
                <w:szCs w:val="28"/>
              </w:rPr>
              <w:t>提供原厂工程师安装服务，中标后提供原厂保修服务承诺函，最终用户为浙江警察学院。</w:t>
            </w:r>
            <w:r>
              <w:rPr>
                <w:rFonts w:hint="eastAsia" w:ascii="仿宋" w:hAnsi="仿宋" w:eastAsia="仿宋"/>
                <w:sz w:val="28"/>
                <w:szCs w:val="28"/>
                <w:highlight w:val="none"/>
              </w:rPr>
              <w:t>服务要求:</w:t>
            </w:r>
            <w:r>
              <w:rPr>
                <w:rFonts w:hint="eastAsia" w:ascii="仿宋" w:hAnsi="仿宋" w:eastAsia="仿宋" w:cs="Times New Roman"/>
                <w:sz w:val="28"/>
                <w:szCs w:val="28"/>
                <w:highlight w:val="none"/>
              </w:rPr>
              <w:t>合同签署后提供</w:t>
            </w:r>
            <w:r>
              <w:rPr>
                <w:rFonts w:hint="eastAsia" w:ascii="仿宋" w:hAnsi="仿宋" w:eastAsia="仿宋"/>
                <w:sz w:val="28"/>
                <w:szCs w:val="28"/>
                <w:highlight w:val="none"/>
              </w:rPr>
              <w:t>设备安装、迁移的详细实施方案</w:t>
            </w:r>
            <w:r>
              <w:rPr>
                <w:rFonts w:hint="eastAsia" w:ascii="仿宋" w:hAnsi="仿宋" w:eastAsia="仿宋"/>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vAlign w:val="center"/>
          </w:tcPr>
          <w:p>
            <w:pPr>
              <w:snapToGrid w:val="0"/>
              <w:jc w:val="left"/>
              <w:rPr>
                <w:rFonts w:ascii="仿宋" w:hAnsi="仿宋" w:eastAsia="仿宋" w:cs="仿宋_GB2312"/>
                <w:b/>
                <w:sz w:val="28"/>
                <w:szCs w:val="28"/>
              </w:rPr>
            </w:pP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响应情况</w:t>
            </w:r>
          </w:p>
        </w:tc>
        <w:tc>
          <w:tcPr>
            <w:tcW w:w="6775" w:type="dxa"/>
            <w:vAlign w:val="center"/>
          </w:tcPr>
          <w:p>
            <w:pPr>
              <w:rPr>
                <w:rFonts w:hint="eastAsia" w:ascii="仿宋" w:hAnsi="仿宋" w:eastAsia="仿宋"/>
                <w:sz w:val="28"/>
                <w:szCs w:val="28"/>
                <w:lang w:eastAsia="zh-CN"/>
              </w:rPr>
            </w:pPr>
            <w:r>
              <w:rPr>
                <w:rFonts w:hint="eastAsia" w:ascii="仿宋" w:hAnsi="仿宋" w:eastAsia="仿宋"/>
                <w:sz w:val="28"/>
                <w:szCs w:val="28"/>
              </w:rPr>
              <w:t>招标文件中技术指标章节，需要按点对点应答进行逐条响应</w:t>
            </w:r>
            <w:r>
              <w:rPr>
                <w:rFonts w:hint="eastAsia" w:ascii="仿宋" w:hAnsi="仿宋" w:eastAsia="仿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trPr>
        <w:tc>
          <w:tcPr>
            <w:tcW w:w="675" w:type="dxa"/>
            <w:vMerge w:val="continue"/>
            <w:vAlign w:val="center"/>
          </w:tcPr>
          <w:p>
            <w:pPr>
              <w:snapToGrid w:val="0"/>
              <w:ind w:firstLine="560"/>
              <w:jc w:val="left"/>
              <w:rPr>
                <w:rFonts w:ascii="仿宋" w:hAnsi="仿宋" w:eastAsia="仿宋" w:cs="仿宋_GB2312"/>
                <w:b/>
                <w:sz w:val="28"/>
                <w:szCs w:val="28"/>
              </w:rPr>
            </w:pP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技术培训</w:t>
            </w:r>
          </w:p>
        </w:tc>
        <w:tc>
          <w:tcPr>
            <w:tcW w:w="6775" w:type="dxa"/>
            <w:vAlign w:val="center"/>
          </w:tcPr>
          <w:p>
            <w:pP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1.交货后进行1次以上设备生产商现场培训，确保设备能正常使用和操作。</w:t>
            </w:r>
          </w:p>
          <w:p>
            <w:pP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2.投标人应对采购人的操作人员、维修人员进行培训。</w:t>
            </w:r>
          </w:p>
          <w:p>
            <w:pP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3.投标人应提供相应的培训计划。</w:t>
            </w:r>
          </w:p>
          <w:p>
            <w:pPr>
              <w:rPr>
                <w:rFonts w:hint="eastAsia" w:ascii="仿宋" w:hAnsi="仿宋" w:eastAsia="仿宋"/>
                <w:color w:val="auto"/>
                <w:sz w:val="28"/>
                <w:szCs w:val="28"/>
              </w:rPr>
            </w:pPr>
            <w:r>
              <w:rPr>
                <w:rFonts w:hint="eastAsia" w:ascii="仿宋" w:hAnsi="仿宋" w:eastAsia="仿宋"/>
                <w:color w:val="auto"/>
                <w:sz w:val="28"/>
                <w:szCs w:val="28"/>
                <w:lang w:val="en-US" w:eastAsia="zh-CN"/>
              </w:rPr>
              <w:t>4.投标人应对上述内容的实现方式、地点、人数、时间在投标文件中详细说明。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履约能力</w:t>
            </w: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投标人技术力量情况</w:t>
            </w:r>
          </w:p>
        </w:tc>
        <w:tc>
          <w:tcPr>
            <w:tcW w:w="6775" w:type="dxa"/>
            <w:vAlign w:val="center"/>
          </w:tcPr>
          <w:p>
            <w:pPr>
              <w:rPr>
                <w:rFonts w:hint="eastAsia" w:ascii="仿宋" w:hAnsi="仿宋" w:eastAsia="仿宋"/>
                <w:color w:val="auto"/>
                <w:sz w:val="28"/>
                <w:szCs w:val="28"/>
              </w:rPr>
            </w:pPr>
            <w:r>
              <w:rPr>
                <w:rFonts w:hint="eastAsia" w:ascii="仿宋" w:hAnsi="仿宋" w:eastAsia="仿宋"/>
                <w:color w:val="auto"/>
                <w:sz w:val="28"/>
                <w:szCs w:val="28"/>
              </w:rPr>
              <w:t>如有，请自行提供。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vAlign w:val="center"/>
          </w:tcPr>
          <w:p>
            <w:pPr>
              <w:snapToGrid w:val="0"/>
              <w:jc w:val="left"/>
              <w:rPr>
                <w:rFonts w:ascii="仿宋" w:hAnsi="仿宋" w:eastAsia="仿宋" w:cs="仿宋_GB2312"/>
                <w:b/>
                <w:sz w:val="28"/>
                <w:szCs w:val="28"/>
              </w:rPr>
            </w:pP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经验或业绩要求</w:t>
            </w:r>
          </w:p>
        </w:tc>
        <w:tc>
          <w:tcPr>
            <w:tcW w:w="6775" w:type="dxa"/>
            <w:vAlign w:val="center"/>
          </w:tcPr>
          <w:p>
            <w:pPr>
              <w:rPr>
                <w:rFonts w:hint="eastAsia" w:ascii="仿宋" w:hAnsi="仿宋" w:eastAsia="仿宋"/>
                <w:sz w:val="28"/>
                <w:szCs w:val="28"/>
              </w:rPr>
            </w:pPr>
            <w:r>
              <w:rPr>
                <w:rFonts w:hint="eastAsia" w:ascii="仿宋" w:hAnsi="仿宋" w:eastAsia="仿宋"/>
                <w:sz w:val="28"/>
                <w:szCs w:val="28"/>
              </w:rPr>
              <w:t>自2019年1月1日以来类似项目业绩，提供合同复印件需加盖公章（每提供一个得1分，最高3分）。</w:t>
            </w:r>
          </w:p>
        </w:tc>
      </w:tr>
    </w:tbl>
    <w:p>
      <w:pPr>
        <w:snapToGrid w:val="0"/>
        <w:spacing w:line="360" w:lineRule="auto"/>
        <w:outlineLvl w:val="1"/>
        <w:rPr>
          <w:rFonts w:ascii="仿宋" w:hAnsi="仿宋" w:eastAsia="仿宋" w:cs="仿宋"/>
          <w:b/>
          <w:bCs/>
          <w:spacing w:val="30"/>
          <w:sz w:val="28"/>
          <w:szCs w:val="28"/>
        </w:rPr>
      </w:pPr>
    </w:p>
    <w:p>
      <w:pPr>
        <w:snapToGrid w:val="0"/>
        <w:spacing w:line="360" w:lineRule="auto"/>
        <w:rPr>
          <w:rFonts w:ascii="仿宋" w:hAnsi="仿宋" w:eastAsia="仿宋"/>
          <w:sz w:val="28"/>
          <w:szCs w:val="28"/>
        </w:rPr>
      </w:pPr>
    </w:p>
    <w:p>
      <w:pPr>
        <w:spacing w:line="360" w:lineRule="auto"/>
        <w:rPr>
          <w:rFonts w:ascii="仿宋" w:hAnsi="仿宋" w:eastAsia="仿宋"/>
          <w:b/>
          <w:bCs/>
          <w:sz w:val="28"/>
          <w:szCs w:val="28"/>
        </w:rPr>
      </w:pPr>
    </w:p>
    <w:p>
      <w:pPr>
        <w:spacing w:after="240" w:afterLines="100" w:line="340" w:lineRule="exact"/>
        <w:rPr>
          <w:rFonts w:hAnsi="宋体"/>
          <w:b/>
          <w:sz w:val="36"/>
          <w:szCs w:val="36"/>
        </w:rPr>
      </w:pPr>
    </w:p>
    <w:p>
      <w:pPr>
        <w:spacing w:after="240" w:afterLines="100" w:line="340" w:lineRule="exact"/>
        <w:rPr>
          <w:rFonts w:hAnsi="宋体"/>
          <w:b/>
          <w:sz w:val="36"/>
          <w:szCs w:val="36"/>
        </w:rPr>
      </w:pPr>
    </w:p>
    <w:p>
      <w:pPr>
        <w:spacing w:after="240" w:afterLines="100" w:line="340" w:lineRule="exact"/>
        <w:rPr>
          <w:rFonts w:hAnsi="宋体"/>
          <w:b/>
          <w:sz w:val="36"/>
          <w:szCs w:val="36"/>
        </w:rPr>
      </w:pPr>
    </w:p>
    <w:p>
      <w:pPr>
        <w:spacing w:after="240" w:afterLines="100" w:line="340" w:lineRule="exact"/>
        <w:rPr>
          <w:rFonts w:hAnsi="宋体"/>
          <w:b/>
          <w:sz w:val="36"/>
          <w:szCs w:val="36"/>
        </w:rPr>
      </w:pPr>
    </w:p>
    <w:p>
      <w:pPr>
        <w:pStyle w:val="2"/>
        <w:rPr>
          <w:rFonts w:hAnsi="宋体"/>
          <w:b/>
          <w:sz w:val="36"/>
          <w:szCs w:val="36"/>
        </w:rPr>
      </w:pPr>
    </w:p>
    <w:p>
      <w:pPr>
        <w:pStyle w:val="2"/>
        <w:ind w:left="0" w:leftChars="0" w:firstLine="0" w:firstLineChars="0"/>
        <w:rPr>
          <w:rFonts w:hAnsi="宋体"/>
          <w:b/>
          <w:sz w:val="36"/>
          <w:szCs w:val="36"/>
        </w:rPr>
      </w:pPr>
    </w:p>
    <w:p>
      <w:pPr>
        <w:pStyle w:val="32"/>
        <w:spacing w:before="120" w:after="120" w:line="360" w:lineRule="auto"/>
        <w:jc w:val="center"/>
        <w:outlineLvl w:val="0"/>
        <w:rPr>
          <w:rFonts w:hAnsi="宋体"/>
          <w:b/>
          <w:sz w:val="36"/>
          <w:szCs w:val="36"/>
        </w:rPr>
      </w:pPr>
      <w:r>
        <w:rPr>
          <w:rFonts w:hint="eastAsia" w:hAnsi="宋体"/>
          <w:b/>
          <w:sz w:val="36"/>
          <w:szCs w:val="36"/>
        </w:rPr>
        <w:t>第五章 浙江省政府采购合同主要条款指引</w:t>
      </w:r>
      <w:bookmarkEnd w:id="29"/>
    </w:p>
    <w:p/>
    <w:p>
      <w:pPr>
        <w:pStyle w:val="32"/>
        <w:snapToGrid w:val="0"/>
        <w:spacing w:before="120" w:after="120" w:line="360" w:lineRule="auto"/>
        <w:jc w:val="center"/>
        <w:rPr>
          <w:rFonts w:ascii="仿宋" w:hAnsi="仿宋" w:eastAsia="仿宋"/>
          <w:sz w:val="30"/>
          <w:szCs w:val="30"/>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合同编号：        </w:t>
      </w:r>
    </w:p>
    <w:p>
      <w:pPr>
        <w:pStyle w:val="32"/>
        <w:snapToGrid w:val="0"/>
        <w:spacing w:before="120" w:after="120" w:line="360" w:lineRule="auto"/>
        <w:jc w:val="left"/>
        <w:rPr>
          <w:rFonts w:ascii="仿宋" w:hAnsi="仿宋" w:eastAsia="仿宋"/>
          <w:sz w:val="30"/>
          <w:szCs w:val="30"/>
        </w:rPr>
      </w:pPr>
      <w:r>
        <w:rPr>
          <w:rFonts w:hint="eastAsia" w:ascii="仿宋" w:hAnsi="仿宋" w:eastAsia="仿宋"/>
          <w:sz w:val="30"/>
          <w:szCs w:val="30"/>
        </w:rPr>
        <w:t xml:space="preserve">                                     确认书号：</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甲方</w:t>
      </w:r>
      <w:r>
        <w:rPr>
          <w:rFonts w:hint="eastAsia" w:ascii="仿宋" w:hAnsi="仿宋" w:eastAsia="仿宋"/>
          <w:sz w:val="30"/>
          <w:szCs w:val="30"/>
        </w:rPr>
        <w:t xml:space="preserve">（采购人）： </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乙方</w:t>
      </w:r>
      <w:r>
        <w:rPr>
          <w:rFonts w:hint="eastAsia" w:ascii="仿宋" w:hAnsi="仿宋" w:eastAsia="仿宋"/>
          <w:sz w:val="30"/>
          <w:szCs w:val="30"/>
        </w:rPr>
        <w:t xml:space="preserve">（供应商）： </w:t>
      </w:r>
    </w:p>
    <w:p>
      <w:pPr>
        <w:pStyle w:val="32"/>
        <w:adjustRightInd w:val="0"/>
        <w:snapToGrid w:val="0"/>
        <w:spacing w:before="120" w:after="120" w:line="460" w:lineRule="exact"/>
        <w:ind w:firstLine="594" w:firstLineChars="198"/>
        <w:rPr>
          <w:rFonts w:ascii="仿宋" w:hAnsi="仿宋" w:eastAsia="仿宋"/>
          <w:b/>
          <w:snapToGrid w:val="0"/>
          <w:sz w:val="30"/>
          <w:szCs w:val="30"/>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（标项及名称）项目公开招标的结果，签署本合同。</w:t>
      </w:r>
    </w:p>
    <w:p>
      <w:pPr>
        <w:pStyle w:val="32"/>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pPr>
        <w:pStyle w:val="32"/>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59"/>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sz w:val="30"/>
                <w:szCs w:val="30"/>
              </w:rPr>
            </w:pPr>
            <w:r>
              <w:rPr>
                <w:rFonts w:hint="eastAsia" w:ascii="仿宋" w:hAnsi="仿宋" w:eastAsia="仿宋"/>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pPr>
              <w:pStyle w:val="432"/>
              <w:spacing w:after="120" w:line="460" w:lineRule="exact"/>
              <w:ind w:left="570"/>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pPr>
              <w:pStyle w:val="32"/>
              <w:snapToGrid w:val="0"/>
              <w:spacing w:before="120" w:after="120"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pPr>
              <w:pStyle w:val="32"/>
              <w:snapToGrid w:val="0"/>
              <w:spacing w:before="120" w:after="120" w:line="460" w:lineRule="exact"/>
              <w:rPr>
                <w:rFonts w:ascii="仿宋" w:hAnsi="仿宋" w:eastAsia="仿宋"/>
                <w:sz w:val="30"/>
                <w:szCs w:val="30"/>
              </w:rPr>
            </w:pPr>
            <w:r>
              <w:rPr>
                <w:rFonts w:hint="eastAsia" w:ascii="仿宋" w:hAnsi="仿宋" w:eastAsia="仿宋"/>
                <w:sz w:val="30"/>
                <w:szCs w:val="30"/>
              </w:rPr>
              <w:t>合同总价大写：                              小写：￥</w:t>
            </w:r>
          </w:p>
        </w:tc>
      </w:tr>
    </w:tbl>
    <w:p>
      <w:pPr>
        <w:pStyle w:val="32"/>
        <w:snapToGrid w:val="0"/>
        <w:spacing w:beforeLines="0" w:afterLines="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注：1.项目具体技术需求及采购人地址等详见招标文件、投标文件以及询标记录。</w:t>
      </w:r>
    </w:p>
    <w:p>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1.乙方应按招标文件规定的时间向甲方提供使用项目的有关技术资料。</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2"/>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pPr>
        <w:pStyle w:val="32"/>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pPr>
        <w:pStyle w:val="32"/>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pPr>
        <w:pStyle w:val="32"/>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pPr>
        <w:pStyle w:val="32"/>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pPr>
        <w:pStyle w:val="32"/>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pPr>
        <w:pStyle w:val="32"/>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1.质保期年。（自项目验收合格交付使用之日起计）</w:t>
      </w:r>
    </w:p>
    <w:p>
      <w:pPr>
        <w:pStyle w:val="32"/>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2.履约保证金元。[履约保证金交至采购人处，在合同约定交货验收合格满（   ）个月之日起5个工作日内无息退还]</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pPr>
        <w:pStyle w:val="32"/>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pPr>
        <w:pStyle w:val="32"/>
        <w:adjustRightInd w:val="0"/>
        <w:snapToGrid w:val="0"/>
        <w:spacing w:before="120" w:after="120" w:line="460" w:lineRule="exact"/>
        <w:ind w:firstLine="639" w:firstLineChars="213"/>
        <w:rPr>
          <w:rFonts w:ascii="仿宋" w:hAnsi="仿宋" w:eastAsia="仿宋"/>
          <w:b/>
          <w:snapToGrid w:val="0"/>
          <w:sz w:val="30"/>
          <w:szCs w:val="30"/>
        </w:rPr>
      </w:pPr>
      <w:r>
        <w:rPr>
          <w:rFonts w:hint="eastAsia" w:ascii="仿宋" w:hAnsi="仿宋" w:eastAsia="仿宋"/>
          <w:bCs/>
          <w:snapToGrid w:val="0"/>
          <w:sz w:val="30"/>
          <w:szCs w:val="30"/>
        </w:rPr>
        <w:t>2.实施地点：</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pPr>
        <w:pStyle w:val="32"/>
        <w:adjustRightInd w:val="0"/>
        <w:snapToGrid w:val="0"/>
        <w:spacing w:before="120" w:after="120" w:line="460" w:lineRule="exact"/>
        <w:ind w:firstLine="639" w:firstLineChars="213"/>
        <w:rPr>
          <w:rFonts w:hint="default" w:ascii="仿宋" w:hAnsi="仿宋" w:eastAsia="仿宋"/>
          <w:bCs/>
          <w:snapToGrid w:val="0"/>
          <w:sz w:val="30"/>
          <w:szCs w:val="30"/>
          <w:lang w:val="en-US" w:eastAsia="zh-CN"/>
        </w:rPr>
      </w:pPr>
      <w:r>
        <w:rPr>
          <w:rFonts w:hint="eastAsia" w:ascii="仿宋" w:hAnsi="仿宋" w:eastAsia="仿宋"/>
          <w:bCs/>
          <w:snapToGrid w:val="0"/>
          <w:sz w:val="30"/>
          <w:szCs w:val="30"/>
          <w:lang w:val="en-US" w:eastAsia="zh-CN"/>
        </w:rPr>
        <w:t>标项1：</w:t>
      </w:r>
    </w:p>
    <w:p>
      <w:pPr>
        <w:pStyle w:val="32"/>
        <w:adjustRightInd w:val="0"/>
        <w:snapToGrid w:val="0"/>
        <w:spacing w:before="120" w:after="120" w:line="460" w:lineRule="exact"/>
        <w:ind w:firstLine="639" w:firstLineChars="213"/>
        <w:rPr>
          <w:rFonts w:hint="eastAsia" w:ascii="仿宋" w:hAnsi="仿宋" w:eastAsia="仿宋"/>
          <w:bCs/>
          <w:snapToGrid w:val="0"/>
          <w:sz w:val="30"/>
          <w:szCs w:val="30"/>
          <w:lang w:val="en-US" w:eastAsia="zh-CN"/>
        </w:rPr>
      </w:pPr>
      <w:r>
        <w:rPr>
          <w:rFonts w:hint="eastAsia" w:ascii="仿宋" w:hAnsi="仿宋" w:eastAsia="仿宋"/>
          <w:bCs/>
          <w:snapToGrid w:val="0"/>
          <w:sz w:val="30"/>
          <w:szCs w:val="30"/>
          <w:lang w:val="en-US" w:eastAsia="zh-CN"/>
        </w:rPr>
        <w:t>预付款比例</w:t>
      </w:r>
      <w:r>
        <w:rPr>
          <w:rFonts w:hint="eastAsia" w:ascii="仿宋" w:hAnsi="仿宋" w:eastAsia="仿宋"/>
          <w:bCs/>
          <w:snapToGrid w:val="0"/>
          <w:sz w:val="30"/>
          <w:szCs w:val="30"/>
        </w:rPr>
        <w:t>：</w:t>
      </w:r>
      <w:r>
        <w:rPr>
          <w:rFonts w:hint="eastAsia" w:ascii="仿宋" w:hAnsi="仿宋" w:eastAsia="仿宋"/>
          <w:bCs/>
          <w:snapToGrid w:val="0"/>
          <w:sz w:val="30"/>
          <w:szCs w:val="30"/>
          <w:lang w:val="en-US" w:eastAsia="zh-CN"/>
        </w:rPr>
        <w:t>项目合同总金额的30%。</w:t>
      </w:r>
    </w:p>
    <w:p>
      <w:pPr>
        <w:pStyle w:val="32"/>
        <w:adjustRightInd w:val="0"/>
        <w:snapToGrid w:val="0"/>
        <w:spacing w:before="120" w:after="120" w:line="460" w:lineRule="exact"/>
        <w:ind w:firstLine="639" w:firstLineChars="213"/>
        <w:rPr>
          <w:rFonts w:hint="eastAsia" w:ascii="仿宋" w:hAnsi="仿宋" w:eastAsia="仿宋"/>
          <w:bCs/>
          <w:snapToGrid w:val="0"/>
          <w:sz w:val="30"/>
          <w:szCs w:val="30"/>
          <w:lang w:val="en-US" w:eastAsia="zh-CN"/>
        </w:rPr>
      </w:pPr>
      <w:r>
        <w:rPr>
          <w:rFonts w:hint="eastAsia" w:ascii="仿宋" w:hAnsi="仿宋" w:eastAsia="仿宋"/>
          <w:bCs/>
          <w:snapToGrid w:val="0"/>
          <w:sz w:val="30"/>
          <w:szCs w:val="30"/>
          <w:lang w:val="en-US" w:eastAsia="zh-CN"/>
        </w:rPr>
        <w:t>支付时间：</w:t>
      </w:r>
    </w:p>
    <w:p>
      <w:pPr>
        <w:pStyle w:val="32"/>
        <w:adjustRightInd w:val="0"/>
        <w:snapToGrid w:val="0"/>
        <w:spacing w:before="120" w:after="120" w:line="460" w:lineRule="exact"/>
        <w:ind w:firstLine="639" w:firstLineChars="213"/>
        <w:rPr>
          <w:rFonts w:hint="eastAsia" w:ascii="仿宋" w:hAnsi="仿宋" w:eastAsia="仿宋"/>
          <w:snapToGrid w:val="0"/>
          <w:sz w:val="30"/>
          <w:szCs w:val="30"/>
        </w:rPr>
      </w:pPr>
      <w:r>
        <w:rPr>
          <w:rFonts w:hint="eastAsia" w:ascii="仿宋" w:hAnsi="仿宋" w:eastAsia="仿宋"/>
          <w:bCs/>
          <w:snapToGrid w:val="0"/>
          <w:sz w:val="30"/>
          <w:szCs w:val="30"/>
          <w:lang w:val="en-US" w:eastAsia="zh-CN"/>
        </w:rPr>
        <w:t>预付款时间：</w:t>
      </w:r>
      <w:r>
        <w:rPr>
          <w:rFonts w:hint="eastAsia" w:ascii="仿宋" w:hAnsi="仿宋" w:eastAsia="仿宋"/>
          <w:snapToGrid w:val="0"/>
          <w:sz w:val="30"/>
          <w:szCs w:val="30"/>
        </w:rPr>
        <w:t>政府采购预付款应在合同生效以及具备实施条件后7个工作日内支付。</w:t>
      </w:r>
    </w:p>
    <w:p>
      <w:pPr>
        <w:pStyle w:val="32"/>
        <w:adjustRightInd w:val="0"/>
        <w:snapToGrid w:val="0"/>
        <w:spacing w:before="120" w:after="120" w:line="460" w:lineRule="exact"/>
        <w:ind w:firstLine="639" w:firstLineChars="213"/>
        <w:rPr>
          <w:rFonts w:hint="default" w:ascii="仿宋" w:hAnsi="仿宋" w:eastAsia="仿宋"/>
          <w:snapToGrid w:val="0"/>
          <w:sz w:val="30"/>
          <w:szCs w:val="30"/>
          <w:lang w:val="en-US" w:eastAsia="zh-CN"/>
        </w:rPr>
      </w:pPr>
      <w:r>
        <w:rPr>
          <w:rFonts w:hint="eastAsia" w:ascii="仿宋" w:hAnsi="仿宋" w:eastAsia="仿宋"/>
          <w:snapToGrid w:val="0"/>
          <w:sz w:val="30"/>
          <w:szCs w:val="30"/>
          <w:lang w:val="en-US" w:eastAsia="zh-CN"/>
        </w:rPr>
        <w:t>剩余款项支付时间：</w:t>
      </w:r>
      <w:r>
        <w:rPr>
          <w:rFonts w:hint="eastAsia" w:ascii="仿宋" w:hAnsi="仿宋" w:eastAsia="仿宋"/>
          <w:snapToGrid w:val="0"/>
          <w:sz w:val="30"/>
          <w:szCs w:val="30"/>
        </w:rPr>
        <w:t>验收完成后支付剩余部分。</w:t>
      </w:r>
    </w:p>
    <w:p>
      <w:pPr>
        <w:pStyle w:val="32"/>
        <w:adjustRightInd w:val="0"/>
        <w:snapToGrid w:val="0"/>
        <w:spacing w:before="120" w:after="120" w:line="460" w:lineRule="exact"/>
        <w:ind w:firstLine="600" w:firstLineChars="200"/>
        <w:jc w:val="left"/>
        <w:rPr>
          <w:rFonts w:hint="eastAsia" w:ascii="仿宋" w:hAnsi="仿宋" w:eastAsia="仿宋"/>
          <w:snapToGrid w:val="0"/>
          <w:sz w:val="30"/>
          <w:szCs w:val="30"/>
          <w:lang w:val="en-US" w:eastAsia="zh-CN"/>
        </w:rPr>
      </w:pPr>
    </w:p>
    <w:p>
      <w:pPr>
        <w:pStyle w:val="32"/>
        <w:adjustRightInd w:val="0"/>
        <w:snapToGrid w:val="0"/>
        <w:spacing w:before="120" w:after="120" w:line="460" w:lineRule="exact"/>
        <w:ind w:firstLine="600" w:firstLineChars="200"/>
        <w:jc w:val="left"/>
        <w:rPr>
          <w:rFonts w:hint="eastAsia" w:ascii="仿宋" w:hAnsi="仿宋" w:eastAsia="仿宋"/>
          <w:snapToGrid w:val="0"/>
          <w:sz w:val="30"/>
          <w:szCs w:val="30"/>
          <w:lang w:val="en-US" w:eastAsia="zh-CN"/>
        </w:rPr>
      </w:pPr>
      <w:r>
        <w:rPr>
          <w:rFonts w:hint="eastAsia" w:ascii="仿宋" w:hAnsi="仿宋" w:eastAsia="仿宋"/>
          <w:snapToGrid w:val="0"/>
          <w:sz w:val="30"/>
          <w:szCs w:val="30"/>
          <w:lang w:val="en-US" w:eastAsia="zh-CN"/>
        </w:rPr>
        <w:t>标项2：</w:t>
      </w:r>
    </w:p>
    <w:p>
      <w:pPr>
        <w:pStyle w:val="32"/>
        <w:adjustRightInd w:val="0"/>
        <w:snapToGrid w:val="0"/>
        <w:spacing w:before="120" w:after="120" w:line="460" w:lineRule="exact"/>
        <w:ind w:firstLine="639" w:firstLineChars="213"/>
        <w:rPr>
          <w:rFonts w:hint="eastAsia" w:ascii="仿宋" w:hAnsi="仿宋" w:eastAsia="仿宋"/>
          <w:bCs/>
          <w:snapToGrid w:val="0"/>
          <w:sz w:val="30"/>
          <w:szCs w:val="30"/>
          <w:lang w:val="en-US" w:eastAsia="zh-CN"/>
        </w:rPr>
      </w:pPr>
      <w:r>
        <w:rPr>
          <w:rFonts w:hint="eastAsia" w:ascii="仿宋" w:hAnsi="仿宋" w:eastAsia="仿宋"/>
          <w:bCs/>
          <w:snapToGrid w:val="0"/>
          <w:sz w:val="30"/>
          <w:szCs w:val="30"/>
          <w:lang w:val="en-US" w:eastAsia="zh-CN"/>
        </w:rPr>
        <w:t>预付款比例</w:t>
      </w:r>
      <w:r>
        <w:rPr>
          <w:rFonts w:hint="eastAsia" w:ascii="仿宋" w:hAnsi="仿宋" w:eastAsia="仿宋"/>
          <w:bCs/>
          <w:snapToGrid w:val="0"/>
          <w:sz w:val="30"/>
          <w:szCs w:val="30"/>
        </w:rPr>
        <w:t>：</w:t>
      </w:r>
      <w:r>
        <w:rPr>
          <w:rFonts w:hint="eastAsia" w:ascii="仿宋" w:hAnsi="仿宋" w:eastAsia="仿宋"/>
          <w:bCs/>
          <w:snapToGrid w:val="0"/>
          <w:sz w:val="30"/>
          <w:szCs w:val="30"/>
          <w:lang w:val="en-US" w:eastAsia="zh-CN"/>
        </w:rPr>
        <w:t>项目合同总金额的30%。</w:t>
      </w:r>
    </w:p>
    <w:p>
      <w:pPr>
        <w:pStyle w:val="32"/>
        <w:adjustRightInd w:val="0"/>
        <w:snapToGrid w:val="0"/>
        <w:spacing w:before="120" w:after="120" w:line="460" w:lineRule="exact"/>
        <w:ind w:firstLine="639" w:firstLineChars="213"/>
        <w:rPr>
          <w:rFonts w:hint="eastAsia" w:ascii="仿宋" w:hAnsi="仿宋" w:eastAsia="仿宋"/>
          <w:bCs/>
          <w:snapToGrid w:val="0"/>
          <w:sz w:val="30"/>
          <w:szCs w:val="30"/>
          <w:lang w:val="en-US" w:eastAsia="zh-CN"/>
        </w:rPr>
      </w:pPr>
      <w:r>
        <w:rPr>
          <w:rFonts w:hint="eastAsia" w:ascii="仿宋" w:hAnsi="仿宋" w:eastAsia="仿宋"/>
          <w:bCs/>
          <w:snapToGrid w:val="0"/>
          <w:sz w:val="30"/>
          <w:szCs w:val="30"/>
          <w:lang w:val="en-US" w:eastAsia="zh-CN"/>
        </w:rPr>
        <w:t>支付时间：</w:t>
      </w:r>
    </w:p>
    <w:p>
      <w:pPr>
        <w:pStyle w:val="32"/>
        <w:adjustRightInd w:val="0"/>
        <w:snapToGrid w:val="0"/>
        <w:spacing w:before="120" w:after="120" w:line="460" w:lineRule="exact"/>
        <w:ind w:firstLine="639" w:firstLineChars="213"/>
        <w:rPr>
          <w:rFonts w:hint="eastAsia" w:ascii="仿宋" w:hAnsi="仿宋" w:eastAsia="仿宋"/>
          <w:snapToGrid w:val="0"/>
          <w:sz w:val="30"/>
          <w:szCs w:val="30"/>
        </w:rPr>
      </w:pPr>
      <w:r>
        <w:rPr>
          <w:rFonts w:hint="eastAsia" w:ascii="仿宋" w:hAnsi="仿宋" w:eastAsia="仿宋"/>
          <w:bCs/>
          <w:snapToGrid w:val="0"/>
          <w:sz w:val="30"/>
          <w:szCs w:val="30"/>
          <w:lang w:val="en-US" w:eastAsia="zh-CN"/>
        </w:rPr>
        <w:t>预付款时间：</w:t>
      </w:r>
      <w:r>
        <w:rPr>
          <w:rFonts w:hint="eastAsia" w:ascii="仿宋" w:hAnsi="仿宋" w:eastAsia="仿宋"/>
          <w:snapToGrid w:val="0"/>
          <w:sz w:val="30"/>
          <w:szCs w:val="30"/>
        </w:rPr>
        <w:t>政府采购预付款应在合同生效以及具备实施条件后7个工作日内支付。</w:t>
      </w:r>
    </w:p>
    <w:p>
      <w:pPr>
        <w:pStyle w:val="32"/>
        <w:adjustRightInd w:val="0"/>
        <w:snapToGrid w:val="0"/>
        <w:spacing w:before="120" w:after="120" w:line="460" w:lineRule="exact"/>
        <w:ind w:firstLine="639" w:firstLineChars="213"/>
        <w:rPr>
          <w:rFonts w:hint="default" w:ascii="仿宋" w:hAnsi="仿宋" w:eastAsia="仿宋"/>
          <w:snapToGrid w:val="0"/>
          <w:sz w:val="30"/>
          <w:szCs w:val="30"/>
          <w:lang w:val="en-US" w:eastAsia="zh-CN"/>
        </w:rPr>
      </w:pPr>
      <w:r>
        <w:rPr>
          <w:rFonts w:hint="eastAsia" w:ascii="仿宋" w:hAnsi="仿宋" w:eastAsia="仿宋"/>
          <w:snapToGrid w:val="0"/>
          <w:sz w:val="30"/>
          <w:szCs w:val="30"/>
          <w:lang w:val="en-US" w:eastAsia="zh-CN"/>
        </w:rPr>
        <w:t>剩余款项支付时间：</w:t>
      </w:r>
      <w:r>
        <w:rPr>
          <w:rFonts w:hint="eastAsia" w:ascii="仿宋" w:hAnsi="仿宋" w:eastAsia="仿宋"/>
          <w:snapToGrid w:val="0"/>
          <w:sz w:val="30"/>
          <w:szCs w:val="30"/>
        </w:rPr>
        <w:t>货物安装调试完成后支付51%项目款，项目验收合格后支付剩余项目款。</w:t>
      </w:r>
    </w:p>
    <w:p>
      <w:pPr>
        <w:pStyle w:val="2"/>
        <w:ind w:left="0" w:leftChars="0" w:firstLine="602"/>
        <w:rPr>
          <w:rFonts w:ascii="仿宋" w:hAnsi="仿宋" w:eastAsia="仿宋"/>
          <w:bCs/>
          <w:snapToGrid w:val="0"/>
          <w:sz w:val="30"/>
          <w:szCs w:val="30"/>
        </w:rPr>
      </w:pPr>
      <w:r>
        <w:rPr>
          <w:rFonts w:hint="eastAsia" w:ascii="仿宋" w:hAnsi="仿宋" w:eastAsia="仿宋"/>
          <w:b/>
          <w:snapToGrid w:val="0"/>
          <w:sz w:val="30"/>
          <w:szCs w:val="30"/>
        </w:rPr>
        <w:t>备注：在签订合同时，供应商明确表示无需预付款或者主动要求降低预付款比例的，采购单位可不适用前述预付款比例的规定。</w:t>
      </w:r>
    </w:p>
    <w:p>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pPr>
        <w:pStyle w:val="32"/>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详见招标文件、投标文件。</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详见招标文件、投标文件。</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pPr>
        <w:pStyle w:val="32"/>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pPr>
        <w:pStyle w:val="32"/>
        <w:adjustRightInd w:val="0"/>
        <w:snapToGrid w:val="0"/>
        <w:spacing w:before="120" w:after="120" w:line="460" w:lineRule="exact"/>
        <w:ind w:left="1" w:firstLine="641" w:firstLineChars="213"/>
        <w:rPr>
          <w:rFonts w:ascii="仿宋" w:hAnsi="仿宋" w:eastAsia="仿宋"/>
          <w:b/>
          <w:snapToGrid w:val="0"/>
          <w:sz w:val="30"/>
          <w:szCs w:val="30"/>
        </w:rPr>
      </w:pPr>
      <w:r>
        <w:rPr>
          <w:rFonts w:hint="eastAsia" w:ascii="仿宋" w:hAnsi="仿宋" w:eastAsia="仿宋"/>
          <w:b/>
          <w:snapToGrid w:val="0"/>
          <w:sz w:val="30"/>
          <w:szCs w:val="30"/>
        </w:rPr>
        <w:t>2. 甲方收到乙方提供的发票，结合验收情况，验收合格的，在15日内将采购资金支付到乙方约定账户。</w:t>
      </w:r>
    </w:p>
    <w:p>
      <w:pPr>
        <w:pStyle w:val="32"/>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甲方无故逾期验收和办理合同款项支付手续的,甲方应按逾期付款总额每日万分之五向乙方支付违约金。</w:t>
      </w:r>
    </w:p>
    <w:p>
      <w:pPr>
        <w:pStyle w:val="32"/>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2"/>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2"/>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5.解除合同应按《浙江省政府采购合同暂行办法》向财政备案。</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pPr>
        <w:pStyle w:val="32"/>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pPr>
        <w:pStyle w:val="3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1.合同经甲、乙两方签名并加盖单位公章后生效。</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2.合同执行中涉及采购资金和采购内容修改或补充的，须双方经财政部门审批，并签书面补充协议，经报政府采购监督管理部门备案后，方可作为主合同不可分割的一部分。</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3.招标文件、投标文件与本合同具有同等法律效力。</w:t>
      </w:r>
    </w:p>
    <w:p>
      <w:pPr>
        <w:pStyle w:val="32"/>
        <w:adjustRightInd w:val="0"/>
        <w:snapToGrid w:val="0"/>
        <w:spacing w:before="120" w:after="120" w:line="460" w:lineRule="exact"/>
        <w:ind w:firstLine="599" w:firstLineChars="213"/>
        <w:rPr>
          <w:rFonts w:ascii="仿宋" w:hAnsi="仿宋" w:eastAsia="仿宋"/>
          <w:snapToGrid w:val="0"/>
          <w:sz w:val="30"/>
          <w:szCs w:val="30"/>
        </w:rPr>
      </w:pPr>
      <w:r>
        <w:rPr>
          <w:rFonts w:hint="eastAsia" w:ascii="仿宋" w:hAnsi="仿宋" w:eastAsia="仿宋"/>
          <w:b/>
          <w:sz w:val="28"/>
          <w:szCs w:val="28"/>
        </w:rPr>
        <w:t>4.</w:t>
      </w:r>
      <w:r>
        <w:rPr>
          <w:rFonts w:ascii="仿宋" w:hAnsi="仿宋" w:eastAsia="仿宋"/>
          <w:b/>
          <w:sz w:val="28"/>
          <w:szCs w:val="28"/>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2"/>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5.本合同未尽事宜，遵照《</w:t>
      </w:r>
      <w:r>
        <w:rPr>
          <w:rFonts w:ascii="仿宋" w:hAnsi="仿宋" w:eastAsia="仿宋"/>
          <w:snapToGrid w:val="0"/>
          <w:sz w:val="30"/>
          <w:szCs w:val="30"/>
        </w:rPr>
        <w:t>中华人民共和国民法典</w:t>
      </w:r>
      <w:r>
        <w:rPr>
          <w:rFonts w:hint="eastAsia" w:ascii="仿宋" w:hAnsi="仿宋" w:eastAsia="仿宋"/>
          <w:snapToGrid w:val="0"/>
          <w:sz w:val="30"/>
          <w:szCs w:val="30"/>
        </w:rPr>
        <w:t>》有关条文执行。</w:t>
      </w:r>
    </w:p>
    <w:p>
      <w:pPr>
        <w:pStyle w:val="32"/>
        <w:adjustRightInd w:val="0"/>
        <w:snapToGrid w:val="0"/>
        <w:spacing w:beforeLines="0" w:afterLines="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6.本合同一式四份，具有同等法律效力，甲、乙两方各执二份。</w:t>
      </w:r>
    </w:p>
    <w:p>
      <w:pPr>
        <w:pStyle w:val="32"/>
        <w:adjustRightInd w:val="0"/>
        <w:snapToGrid w:val="0"/>
        <w:spacing w:before="120" w:after="120" w:line="460" w:lineRule="exact"/>
        <w:ind w:left="1" w:firstLine="639" w:firstLineChars="213"/>
        <w:rPr>
          <w:rFonts w:ascii="仿宋" w:hAnsi="仿宋" w:eastAsia="仿宋"/>
          <w:snapToGrid w:val="0"/>
          <w:sz w:val="30"/>
          <w:szCs w:val="30"/>
        </w:rPr>
      </w:pPr>
    </w:p>
    <w:p>
      <w:pPr>
        <w:pStyle w:val="32"/>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pPr>
        <w:pStyle w:val="32"/>
        <w:adjustRightInd w:val="0"/>
        <w:snapToGrid w:val="0"/>
        <w:spacing w:before="120" w:after="120" w:line="460" w:lineRule="exact"/>
        <w:ind w:firstLine="639" w:firstLineChars="213"/>
        <w:rPr>
          <w:rFonts w:ascii="仿宋" w:hAnsi="仿宋" w:eastAsia="仿宋"/>
          <w:snapToGrid w:val="0"/>
          <w:sz w:val="30"/>
          <w:szCs w:val="30"/>
        </w:rPr>
      </w:pP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pPr>
        <w:pStyle w:val="3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pPr>
        <w:pStyle w:val="32"/>
        <w:adjustRightInd w:val="0"/>
        <w:snapToGrid w:val="0"/>
        <w:spacing w:before="120" w:after="120" w:line="460" w:lineRule="exact"/>
        <w:ind w:firstLine="639" w:firstLineChars="213"/>
        <w:rPr>
          <w:rFonts w:ascii="仿宋" w:hAnsi="仿宋" w:eastAsia="仿宋"/>
          <w:snapToGrid w:val="0"/>
          <w:sz w:val="30"/>
          <w:szCs w:val="30"/>
        </w:rPr>
      </w:pPr>
    </w:p>
    <w:p>
      <w:pPr>
        <w:rPr>
          <w:szCs w:val="30"/>
        </w:rPr>
      </w:pPr>
    </w:p>
    <w:p>
      <w:pPr>
        <w:pStyle w:val="32"/>
        <w:spacing w:before="120" w:after="120" w:line="360" w:lineRule="auto"/>
        <w:jc w:val="center"/>
        <w:outlineLvl w:val="0"/>
        <w:rPr>
          <w:rFonts w:hAnsi="宋体"/>
          <w:b/>
          <w:sz w:val="36"/>
          <w:szCs w:val="36"/>
        </w:rPr>
      </w:pPr>
      <w:r>
        <w:rPr>
          <w:rFonts w:ascii="仿宋_GB2312" w:eastAsia="仿宋_GB2312"/>
          <w:snapToGrid w:val="0"/>
          <w:kern w:val="0"/>
          <w:sz w:val="30"/>
          <w:szCs w:val="30"/>
        </w:rPr>
        <w:br w:type="page"/>
      </w:r>
      <w:bookmarkStart w:id="52" w:name="_Toc496796640"/>
      <w:r>
        <w:rPr>
          <w:rFonts w:hint="eastAsia" w:hAnsi="宋体"/>
          <w:b/>
          <w:sz w:val="36"/>
          <w:szCs w:val="36"/>
        </w:rPr>
        <w:t>第六章 投标文件格式附件</w:t>
      </w:r>
      <w:bookmarkEnd w:id="52"/>
    </w:p>
    <w:p>
      <w:pPr>
        <w:pStyle w:val="32"/>
        <w:spacing w:before="120" w:after="120" w:line="360" w:lineRule="auto"/>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pStyle w:val="32"/>
        <w:adjustRightInd w:val="0"/>
        <w:snapToGrid w:val="0"/>
        <w:spacing w:before="120" w:after="120" w:line="460" w:lineRule="exact"/>
        <w:ind w:left="1" w:firstLine="770" w:firstLineChars="213"/>
        <w:jc w:val="center"/>
        <w:rPr>
          <w:rFonts w:hAnsi="宋体" w:eastAsia="仿宋_GB2312"/>
          <w:b/>
          <w:sz w:val="36"/>
          <w:szCs w:val="36"/>
        </w:rPr>
      </w:pPr>
    </w:p>
    <w:p>
      <w:pPr>
        <w:snapToGrid w:val="0"/>
        <w:spacing w:before="120" w:beforeLines="50" w:after="50"/>
        <w:rPr>
          <w:rFonts w:ascii="仿宋" w:hAnsi="仿宋" w:eastAsia="仿宋"/>
          <w:bCs/>
          <w:sz w:val="30"/>
          <w:szCs w:val="30"/>
        </w:rPr>
      </w:pPr>
      <w:r>
        <w:rPr>
          <w:rFonts w:hint="eastAsia" w:ascii="仿宋" w:hAnsi="仿宋" w:eastAsia="仿宋"/>
          <w:sz w:val="30"/>
          <w:szCs w:val="30"/>
        </w:rPr>
        <w:t>附件1</w:t>
      </w:r>
      <w:r>
        <w:rPr>
          <w:rFonts w:hint="eastAsia" w:ascii="仿宋" w:hAnsi="仿宋" w:eastAsia="仿宋"/>
          <w:b/>
          <w:sz w:val="30"/>
          <w:szCs w:val="30"/>
        </w:rPr>
        <w:t xml:space="preserve">：                                          </w:t>
      </w:r>
    </w:p>
    <w:p>
      <w:pPr>
        <w:spacing w:before="240" w:beforeLines="100" w:line="240" w:lineRule="atLeast"/>
        <w:jc w:val="center"/>
        <w:rPr>
          <w:rFonts w:hint="eastAsia" w:ascii="仿宋" w:hAnsi="仿宋" w:eastAsia="仿宋"/>
          <w:sz w:val="36"/>
          <w:szCs w:val="36"/>
          <w:lang w:eastAsia="zh-CN"/>
        </w:rPr>
      </w:pPr>
      <w:bookmarkStart w:id="53" w:name="PO_1000000445_PM002_2"/>
      <w:r>
        <w:rPr>
          <w:rFonts w:hint="eastAsia" w:ascii="仿宋" w:hAnsi="仿宋" w:eastAsia="仿宋"/>
          <w:b/>
          <w:color w:val="000000" w:themeColor="text1"/>
          <w:spacing w:val="40"/>
          <w:sz w:val="52"/>
          <w:szCs w:val="52"/>
          <w:lang w:eastAsia="zh-CN"/>
          <w14:textFill>
            <w14:solidFill>
              <w14:schemeClr w14:val="tx1"/>
            </w14:solidFill>
          </w14:textFill>
        </w:rPr>
        <w:t>浙江警察学院云计算平台建设、数据中心机房设备采购及网络运维管理平台建设项目</w:t>
      </w:r>
      <w:bookmarkEnd w:id="53"/>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54" w:name="PO_15528_PM001_2"/>
      <w:r>
        <w:rPr>
          <w:rFonts w:hint="eastAsia" w:ascii="仿宋" w:hAnsi="仿宋" w:eastAsia="仿宋"/>
          <w:sz w:val="36"/>
          <w:szCs w:val="36"/>
          <w:lang w:eastAsia="zh-CN"/>
        </w:rPr>
        <w:t>ZZCG2022X-GK-138</w:t>
      </w:r>
      <w:bookmarkEnd w:id="54"/>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84"/>
          <w:szCs w:val="84"/>
        </w:rPr>
      </w:pPr>
    </w:p>
    <w:p>
      <w:pPr>
        <w:spacing w:after="100" w:afterAutospacing="1" w:line="240" w:lineRule="auto"/>
        <w:ind w:right="-108"/>
        <w:jc w:val="center"/>
        <w:rPr>
          <w:rFonts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240" w:lineRule="auto"/>
        <w:ind w:right="-108"/>
        <w:jc w:val="center"/>
        <w:rPr>
          <w:rFonts w:ascii="仿宋" w:hAnsi="仿宋" w:eastAsia="仿宋"/>
          <w:b/>
          <w:spacing w:val="40"/>
          <w:sz w:val="84"/>
          <w:szCs w:val="84"/>
        </w:rPr>
      </w:pPr>
      <w:r>
        <w:rPr>
          <w:rFonts w:hint="eastAsia" w:ascii="仿宋" w:hAnsi="仿宋" w:eastAsia="仿宋"/>
          <w:b/>
          <w:spacing w:val="40"/>
          <w:sz w:val="84"/>
          <w:szCs w:val="84"/>
        </w:rPr>
        <w:t>质</w:t>
      </w:r>
    </w:p>
    <w:p>
      <w:pPr>
        <w:spacing w:after="100" w:afterAutospacing="1" w:line="240" w:lineRule="auto"/>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240" w:lineRule="auto"/>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rPr>
          <w:rFonts w:ascii="仿宋" w:hAnsi="仿宋" w:eastAsia="仿宋"/>
          <w:sz w:val="36"/>
          <w:szCs w:val="36"/>
        </w:rPr>
      </w:pP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b/>
          <w:bCs/>
          <w:sz w:val="36"/>
          <w:szCs w:val="36"/>
        </w:rPr>
      </w:pPr>
      <w:r>
        <w:rPr>
          <w:rFonts w:ascii="仿宋" w:hAnsi="仿宋" w:eastAsia="仿宋"/>
          <w:b/>
          <w:sz w:val="36"/>
          <w:szCs w:val="36"/>
        </w:rPr>
        <w:br w:type="page"/>
      </w:r>
      <w:r>
        <w:rPr>
          <w:rFonts w:hint="eastAsia" w:ascii="仿宋" w:hAnsi="仿宋" w:eastAsia="仿宋"/>
          <w:b/>
          <w:sz w:val="36"/>
          <w:szCs w:val="36"/>
        </w:rPr>
        <w:t>1、</w:t>
      </w:r>
      <w:r>
        <w:rPr>
          <w:rFonts w:hint="eastAsia" w:ascii="仿宋" w:hAnsi="仿宋" w:eastAsia="仿宋"/>
          <w:b/>
          <w:bCs/>
          <w:sz w:val="36"/>
          <w:szCs w:val="36"/>
        </w:rPr>
        <w:t>资质文件目录</w:t>
      </w:r>
    </w:p>
    <w:p>
      <w:pPr>
        <w:snapToGrid w:val="0"/>
        <w:spacing w:before="50" w:after="5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（1）投标声明书 (格式见附件2，含重大违法记录声明)；</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（2）法定代表人授权委托书(格式见附件3)；</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（4）联合投标协议书（若需要，格式见附件</w:t>
      </w:r>
      <w:r>
        <w:rPr>
          <w:rFonts w:ascii="仿宋" w:hAnsi="仿宋" w:eastAsia="仿宋"/>
          <w:sz w:val="30"/>
          <w:szCs w:val="30"/>
        </w:rPr>
        <w:t>4</w:t>
      </w:r>
      <w:r>
        <w:rPr>
          <w:rFonts w:hint="eastAsia" w:ascii="仿宋" w:hAnsi="仿宋" w:eastAsia="仿宋"/>
          <w:sz w:val="30"/>
          <w:szCs w:val="30"/>
        </w:rPr>
        <w:t>）;</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（5）联合投标授权委托书（若需要，格式见附件5）;</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（6）分包意向协议（若需要，格式见附件</w:t>
      </w:r>
      <w:r>
        <w:rPr>
          <w:rFonts w:ascii="仿宋" w:hAnsi="仿宋" w:eastAsia="仿宋"/>
          <w:sz w:val="30"/>
          <w:szCs w:val="30"/>
        </w:rPr>
        <w:t>6</w:t>
      </w:r>
      <w:r>
        <w:rPr>
          <w:rFonts w:hint="eastAsia" w:ascii="仿宋" w:hAnsi="仿宋" w:eastAsia="仿宋"/>
          <w:sz w:val="30"/>
          <w:szCs w:val="30"/>
        </w:rPr>
        <w:t>）</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7</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pPr>
        <w:pStyle w:val="35"/>
        <w:snapToGrid w:val="0"/>
        <w:spacing w:line="460" w:lineRule="exact"/>
        <w:ind w:left="5250" w:firstLine="600" w:firstLineChars="20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p>
    <w:p>
      <w:pPr>
        <w:snapToGrid w:val="0"/>
        <w:spacing w:before="50" w:after="120" w:afterLines="50" w:line="460" w:lineRule="exact"/>
        <w:jc w:val="left"/>
        <w:rPr>
          <w:rFonts w:ascii="仿宋" w:hAnsi="仿宋" w:eastAsia="仿宋"/>
          <w:sz w:val="30"/>
          <w:szCs w:val="30"/>
        </w:rPr>
      </w:pPr>
    </w:p>
    <w:p>
      <w:pPr>
        <w:pStyle w:val="32"/>
        <w:snapToGrid w:val="0"/>
        <w:spacing w:before="120" w:after="120" w:line="240" w:lineRule="auto"/>
        <w:rPr>
          <w:rFonts w:ascii="仿宋" w:hAnsi="仿宋" w:eastAsia="仿宋"/>
          <w:sz w:val="30"/>
          <w:szCs w:val="30"/>
        </w:rPr>
      </w:pPr>
    </w:p>
    <w:p>
      <w:pPr>
        <w:pStyle w:val="32"/>
        <w:snapToGrid w:val="0"/>
        <w:spacing w:before="120" w:after="120" w:line="240" w:lineRule="auto"/>
        <w:rPr>
          <w:rFonts w:ascii="仿宋" w:hAnsi="仿宋" w:eastAsia="仿宋"/>
          <w:sz w:val="30"/>
          <w:szCs w:val="30"/>
        </w:rPr>
      </w:pPr>
    </w:p>
    <w:p>
      <w:pPr>
        <w:pStyle w:val="32"/>
        <w:snapToGrid w:val="0"/>
        <w:spacing w:before="120" w:after="120" w:line="240" w:lineRule="auto"/>
        <w:rPr>
          <w:rFonts w:ascii="仿宋" w:hAnsi="仿宋" w:eastAsia="仿宋"/>
          <w:sz w:val="30"/>
          <w:szCs w:val="30"/>
        </w:rPr>
      </w:pPr>
    </w:p>
    <w:p>
      <w:pPr>
        <w:pStyle w:val="32"/>
        <w:snapToGrid w:val="0"/>
        <w:spacing w:before="120" w:after="120" w:line="240" w:lineRule="auto"/>
        <w:rPr>
          <w:rFonts w:ascii="仿宋" w:hAnsi="仿宋" w:eastAsia="仿宋"/>
          <w:sz w:val="30"/>
          <w:szCs w:val="30"/>
        </w:rPr>
      </w:pPr>
    </w:p>
    <w:p>
      <w:pPr>
        <w:pStyle w:val="32"/>
        <w:snapToGrid w:val="0"/>
        <w:spacing w:before="120" w:after="120" w:line="240" w:lineRule="auto"/>
        <w:rPr>
          <w:rFonts w:ascii="仿宋" w:hAnsi="仿宋" w:eastAsia="仿宋"/>
          <w:sz w:val="30"/>
          <w:szCs w:val="30"/>
        </w:r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附件2：</w:t>
      </w:r>
    </w:p>
    <w:p>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（投标人名称）</w:t>
      </w:r>
      <w:r>
        <w:rPr>
          <w:rFonts w:hint="eastAsia" w:ascii="仿宋" w:hAnsi="仿宋" w:eastAsia="仿宋"/>
          <w:sz w:val="30"/>
          <w:szCs w:val="30"/>
        </w:rPr>
        <w:t>系中华人民共和国合法企业，经营地址</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（招标项目名称）（编号为</w:t>
      </w:r>
      <w:bookmarkStart w:id="55" w:name="PO_15528_PM001_3"/>
      <w:r>
        <w:rPr>
          <w:rFonts w:hint="eastAsia" w:ascii="仿宋" w:hAnsi="仿宋" w:eastAsia="仿宋"/>
          <w:sz w:val="30"/>
          <w:szCs w:val="30"/>
          <w:u w:val="single"/>
          <w:lang w:eastAsia="zh-CN"/>
        </w:rPr>
        <w:t>ZZCG2022X-GK-138</w:t>
      </w:r>
      <w:bookmarkEnd w:id="55"/>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1.我方已详细审查全部招标文件，同意招标文件的各项要求，包括疫情期间采取的各项应急开标措施。</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ind w:firstLine="150" w:firstLineChars="50"/>
        <w:rPr>
          <w:rFonts w:ascii="仿宋" w:hAnsi="仿宋" w:eastAsia="仿宋"/>
          <w:sz w:val="30"/>
          <w:szCs w:val="30"/>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20" w:beforeLines="50" w:after="50"/>
        <w:jc w:val="center"/>
        <w:rPr>
          <w:rFonts w:ascii="仿宋" w:hAnsi="仿宋" w:eastAsia="仿宋"/>
          <w:b/>
          <w:sz w:val="30"/>
          <w:szCs w:val="30"/>
        </w:rPr>
      </w:pPr>
    </w:p>
    <w:p>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snapToGrid w:val="0"/>
        <w:spacing w:before="120"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为授权代表，以我方的名义参加项目编号：</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120" w:beforeLines="50" w:after="50" w:line="460" w:lineRule="exact"/>
        <w:ind w:firstLine="48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职务：</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邮箱：</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 xml:space="preserve"> 传真：</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ascii="仿宋" w:hAnsi="仿宋" w:eastAsia="仿宋"/>
          <w:sz w:val="30"/>
          <w:szCs w:val="30"/>
          <w:u w:val="single"/>
        </w:rPr>
        <w:t xml:space="preserve">       </w:t>
      </w:r>
      <w:r>
        <w:rPr>
          <w:rFonts w:hint="eastAsia" w:ascii="仿宋" w:hAnsi="仿宋" w:eastAsia="仿宋"/>
          <w:sz w:val="30"/>
          <w:szCs w:val="30"/>
        </w:rPr>
        <w:t>职务：</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ind w:firstLine="6150" w:firstLineChars="205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tabs>
          <w:tab w:val="left" w:pos="606"/>
        </w:tabs>
        <w:rPr>
          <w:rFonts w:ascii="仿宋" w:hAnsi="仿宋" w:eastAsia="仿宋"/>
          <w:spacing w:val="20"/>
          <w:sz w:val="30"/>
          <w:szCs w:val="30"/>
        </w:rPr>
      </w:pPr>
      <w:r>
        <w:rPr>
          <w:rFonts w:hint="eastAsia" w:ascii="仿宋" w:hAnsi="仿宋" w:eastAsia="仿宋"/>
          <w:sz w:val="30"/>
          <w:szCs w:val="30"/>
        </w:rPr>
        <w:t>附件4：</w:t>
      </w:r>
    </w:p>
    <w:p>
      <w:pPr>
        <w:pStyle w:val="19"/>
        <w:overflowPunct w:val="0"/>
        <w:spacing w:line="360" w:lineRule="auto"/>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19"/>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19"/>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9"/>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附件5：</w:t>
      </w:r>
    </w:p>
    <w:p>
      <w:pPr>
        <w:pStyle w:val="19"/>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pPr>
        <w:pStyle w:val="19"/>
        <w:overflowPunct w:val="0"/>
        <w:spacing w:line="460" w:lineRule="exact"/>
        <w:rPr>
          <w:rFonts w:ascii="仿宋" w:hAnsi="仿宋" w:eastAsia="仿宋"/>
          <w:sz w:val="30"/>
          <w:szCs w:val="30"/>
        </w:rPr>
      </w:pPr>
    </w:p>
    <w:p>
      <w:pPr>
        <w:pStyle w:val="19"/>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与签订的《联合投标协议书》的内容，主办人的法定代表人现授权</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19"/>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19"/>
        <w:overflowPunct w:val="0"/>
        <w:spacing w:line="460" w:lineRule="exact"/>
        <w:rPr>
          <w:rFonts w:ascii="仿宋" w:hAnsi="仿宋" w:eastAsia="仿宋"/>
          <w:sz w:val="30"/>
          <w:szCs w:val="30"/>
        </w:rPr>
      </w:pPr>
    </w:p>
    <w:p>
      <w:pPr>
        <w:pStyle w:val="19"/>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9"/>
        <w:overflowPunct w:val="0"/>
        <w:spacing w:line="460" w:lineRule="exact"/>
        <w:ind w:firstLine="600" w:firstLineChars="200"/>
        <w:rPr>
          <w:rFonts w:ascii="仿宋" w:hAnsi="仿宋" w:eastAsia="仿宋"/>
          <w:sz w:val="30"/>
          <w:szCs w:val="30"/>
        </w:rPr>
      </w:pPr>
    </w:p>
    <w:p>
      <w:pPr>
        <w:pStyle w:val="19"/>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19"/>
        <w:overflowPunct w:val="0"/>
        <w:spacing w:line="460" w:lineRule="exact"/>
        <w:rPr>
          <w:rFonts w:ascii="仿宋" w:hAnsi="仿宋" w:eastAsia="仿宋"/>
          <w:sz w:val="30"/>
          <w:szCs w:val="30"/>
        </w:rPr>
      </w:pPr>
    </w:p>
    <w:p>
      <w:pPr>
        <w:pStyle w:val="19"/>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9"/>
        <w:overflowPunct w:val="0"/>
        <w:spacing w:line="460" w:lineRule="exact"/>
        <w:ind w:firstLine="570" w:firstLineChars="190"/>
        <w:rPr>
          <w:rFonts w:ascii="仿宋" w:hAnsi="仿宋" w:eastAsia="仿宋"/>
          <w:sz w:val="30"/>
          <w:szCs w:val="30"/>
        </w:rPr>
      </w:pPr>
    </w:p>
    <w:p>
      <w:pPr>
        <w:pStyle w:val="19"/>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59"/>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ascii="仿宋" w:hAnsi="仿宋" w:eastAsia="仿宋"/>
          <w:sz w:val="30"/>
          <w:szCs w:val="30"/>
        </w:rPr>
        <w:br w:type="page"/>
      </w:r>
      <w:r>
        <w:rPr>
          <w:rFonts w:hint="eastAsia" w:ascii="仿宋" w:hAnsi="仿宋" w:eastAsia="仿宋"/>
          <w:sz w:val="30"/>
          <w:szCs w:val="30"/>
        </w:rPr>
        <w:t>附件</w:t>
      </w:r>
      <w:r>
        <w:rPr>
          <w:rFonts w:ascii="仿宋" w:hAnsi="仿宋" w:eastAsia="仿宋"/>
          <w:sz w:val="30"/>
          <w:szCs w:val="30"/>
        </w:rPr>
        <w:t>6</w:t>
      </w:r>
      <w:r>
        <w:rPr>
          <w:rFonts w:hint="eastAsia" w:ascii="仿宋" w:hAnsi="仿宋" w:eastAsia="仿宋"/>
          <w:sz w:val="30"/>
          <w:szCs w:val="30"/>
        </w:rPr>
        <w:t>：</w:t>
      </w:r>
    </w:p>
    <w:p>
      <w:pPr>
        <w:spacing w:line="588" w:lineRule="exact"/>
        <w:jc w:val="center"/>
        <w:rPr>
          <w:rFonts w:hint="eastAsia" w:ascii="仿宋_GB2312" w:eastAsia="仿宋_GB2312"/>
          <w:b/>
          <w:spacing w:val="6"/>
          <w:sz w:val="32"/>
          <w:szCs w:val="32"/>
        </w:rPr>
      </w:pPr>
      <w:r>
        <w:rPr>
          <w:rFonts w:hint="eastAsia" w:ascii="仿宋_GB2312" w:eastAsia="仿宋_GB2312"/>
          <w:b/>
          <w:spacing w:val="6"/>
          <w:sz w:val="32"/>
          <w:szCs w:val="32"/>
        </w:rPr>
        <w:t>分包意向协议</w:t>
      </w:r>
    </w:p>
    <w:p>
      <w:pPr>
        <w:pStyle w:val="2"/>
        <w:spacing w:line="400" w:lineRule="exact"/>
        <w:rPr>
          <w:rFonts w:hint="eastAsia"/>
        </w:rPr>
      </w:pPr>
    </w:p>
    <w:p>
      <w:pPr>
        <w:snapToGrid w:val="0"/>
        <w:spacing w:line="400" w:lineRule="exact"/>
        <w:ind w:firstLine="840" w:firstLineChars="300"/>
        <w:rPr>
          <w:rFonts w:hint="eastAsia" w:ascii="仿宋" w:hAnsi="仿宋" w:eastAsia="仿宋"/>
          <w:sz w:val="28"/>
          <w:szCs w:val="28"/>
        </w:rPr>
      </w:pPr>
      <w:r>
        <w:rPr>
          <w:rFonts w:hint="eastAsia" w:ascii="仿宋" w:hAnsi="仿宋" w:eastAsia="仿宋"/>
          <w:sz w:val="28"/>
          <w:szCs w:val="28"/>
        </w:rPr>
        <w:t>（投标人名称    ）</w:t>
      </w:r>
      <w:r>
        <w:rPr>
          <w:rFonts w:hint="eastAsia" w:ascii="仿宋" w:hAnsi="仿宋" w:eastAsia="仿宋"/>
          <w:sz w:val="28"/>
          <w:szCs w:val="28"/>
          <w:lang w:val="zh-CN"/>
        </w:rPr>
        <w:t>若成为</w:t>
      </w:r>
      <w:r>
        <w:rPr>
          <w:rFonts w:hint="eastAsia" w:ascii="仿宋" w:hAnsi="仿宋" w:eastAsia="仿宋"/>
          <w:sz w:val="28"/>
          <w:szCs w:val="28"/>
        </w:rPr>
        <w:t>（项目名称     ）【招标编号：    （采购编号        ）】</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（投标人名称    ）与（所有分包供应商名称    ）达成分包意向协议</w:t>
      </w:r>
      <w:r>
        <w:rPr>
          <w:rFonts w:hint="eastAsia" w:ascii="仿宋" w:hAnsi="仿宋" w:eastAsia="仿宋"/>
          <w:sz w:val="28"/>
          <w:szCs w:val="28"/>
          <w:lang w:val="zh-CN"/>
        </w:rPr>
        <w:t xml:space="preserve">。 </w:t>
      </w:r>
      <w:r>
        <w:rPr>
          <w:rFonts w:hint="eastAsia" w:ascii="仿宋" w:hAnsi="仿宋" w:eastAsia="仿宋"/>
          <w:sz w:val="28"/>
          <w:szCs w:val="28"/>
        </w:rPr>
        <w:t>（投标人名称    ）负责签署投标文件，（投标人名称     ）的所有承诺均认为代表了（所有分包供应商名称       ）意愿。</w:t>
      </w:r>
    </w:p>
    <w:p>
      <w:pPr>
        <w:numPr>
          <w:ilvl w:val="0"/>
          <w:numId w:val="33"/>
        </w:numPr>
        <w:snapToGrid w:val="0"/>
        <w:spacing w:line="400" w:lineRule="exact"/>
        <w:rPr>
          <w:rFonts w:hint="eastAsia" w:ascii="仿宋" w:hAnsi="仿宋" w:eastAsia="仿宋"/>
          <w:sz w:val="28"/>
          <w:szCs w:val="28"/>
          <w:lang w:val="zh-CN"/>
        </w:rPr>
      </w:pPr>
      <w:r>
        <w:rPr>
          <w:rFonts w:hint="eastAsia" w:ascii="仿宋" w:hAnsi="仿宋" w:eastAsia="仿宋"/>
          <w:sz w:val="28"/>
          <w:szCs w:val="28"/>
          <w:lang w:val="zh-CN"/>
        </w:rPr>
        <w:t>分包内容在采购文件分包要求的范围内，并符合相关法律规定等</w:t>
      </w:r>
    </w:p>
    <w:p>
      <w:pPr>
        <w:snapToGrid w:val="0"/>
        <w:spacing w:line="40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400" w:lineRule="exact"/>
        <w:ind w:firstLine="840" w:firstLineChars="300"/>
        <w:rPr>
          <w:rFonts w:hint="eastAsia" w:ascii="仿宋" w:hAnsi="仿宋" w:eastAsia="仿宋"/>
          <w:sz w:val="28"/>
          <w:szCs w:val="28"/>
          <w:lang w:val="zh-CN"/>
        </w:rPr>
      </w:pPr>
      <w:r>
        <w:rPr>
          <w:rFonts w:hint="eastAsia" w:ascii="仿宋" w:hAnsi="仿宋" w:eastAsia="仿宋"/>
          <w:sz w:val="28"/>
          <w:szCs w:val="28"/>
        </w:rPr>
        <w:t>（投标人名称     ）</w:t>
      </w:r>
      <w:r>
        <w:rPr>
          <w:rFonts w:hint="eastAsia" w:ascii="仿宋" w:hAnsi="仿宋" w:eastAsia="仿宋"/>
          <w:sz w:val="28"/>
          <w:szCs w:val="28"/>
          <w:lang w:val="zh-CN"/>
        </w:rPr>
        <w:t>将</w:t>
      </w:r>
      <w:r>
        <w:rPr>
          <w:rFonts w:hint="eastAsia" w:ascii="仿宋" w:hAnsi="仿宋" w:eastAsia="仿宋"/>
          <w:sz w:val="28"/>
          <w:szCs w:val="28"/>
        </w:rPr>
        <w:t xml:space="preserve">   XX工作内容   分包给（某分包供应商名称      ）</w:t>
      </w:r>
      <w:r>
        <w:rPr>
          <w:rFonts w:hint="eastAsia" w:ascii="仿宋" w:hAnsi="仿宋" w:eastAsia="仿宋"/>
          <w:sz w:val="28"/>
          <w:szCs w:val="28"/>
          <w:lang w:val="zh-CN"/>
        </w:rPr>
        <w:t>，</w:t>
      </w:r>
      <w:r>
        <w:rPr>
          <w:rFonts w:hint="eastAsia" w:ascii="仿宋" w:hAnsi="仿宋" w:eastAsia="仿宋"/>
          <w:sz w:val="28"/>
          <w:szCs w:val="28"/>
        </w:rPr>
        <w:t>（某分包供应商名称       ），</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lang w:val="zh-CN"/>
        </w:rPr>
        <w:t>XX工作内容相应资质条件且不得再次分包；</w:t>
      </w:r>
    </w:p>
    <w:p>
      <w:pPr>
        <w:snapToGrid w:val="0"/>
        <w:spacing w:line="400" w:lineRule="exact"/>
        <w:ind w:firstLine="840" w:firstLineChars="300"/>
        <w:rPr>
          <w:rFonts w:hint="eastAsia" w:ascii="仿宋" w:hAnsi="仿宋" w:eastAsia="仿宋"/>
          <w:sz w:val="28"/>
          <w:szCs w:val="28"/>
        </w:rPr>
      </w:pPr>
      <w:r>
        <w:rPr>
          <w:rFonts w:hint="eastAsia" w:ascii="仿宋" w:hAnsi="仿宋" w:eastAsia="仿宋"/>
          <w:sz w:val="28"/>
          <w:szCs w:val="28"/>
        </w:rPr>
        <w:t>……</w:t>
      </w:r>
    </w:p>
    <w:p>
      <w:pPr>
        <w:snapToGrid w:val="0"/>
        <w:spacing w:line="400" w:lineRule="exact"/>
        <w:ind w:left="840"/>
        <w:rPr>
          <w:rFonts w:hint="eastAsia"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400" w:lineRule="exact"/>
        <w:rPr>
          <w:rFonts w:hint="eastAsia" w:ascii="仿宋" w:hAnsi="仿宋" w:eastAsia="仿宋"/>
          <w:sz w:val="28"/>
          <w:szCs w:val="28"/>
        </w:rPr>
      </w:pPr>
      <w:r>
        <w:rPr>
          <w:rFonts w:hint="eastAsia" w:ascii="仿宋" w:hAnsi="仿宋" w:eastAsia="仿宋"/>
          <w:sz w:val="28"/>
          <w:szCs w:val="28"/>
        </w:rPr>
        <w:t xml:space="preserve">                                                                               </w:t>
      </w:r>
    </w:p>
    <w:p>
      <w:pPr>
        <w:numPr>
          <w:ilvl w:val="0"/>
          <w:numId w:val="34"/>
        </w:numPr>
        <w:snapToGrid w:val="0"/>
        <w:spacing w:line="400" w:lineRule="exact"/>
        <w:rPr>
          <w:rFonts w:hint="eastAsia" w:ascii="仿宋" w:hAnsi="仿宋" w:eastAsia="仿宋"/>
          <w:sz w:val="28"/>
          <w:szCs w:val="28"/>
        </w:rPr>
      </w:pPr>
      <w:r>
        <w:rPr>
          <w:rFonts w:hint="eastAsia" w:ascii="仿宋" w:hAnsi="仿宋" w:eastAsia="仿宋"/>
          <w:sz w:val="28"/>
          <w:szCs w:val="28"/>
          <w:lang w:val="zh-CN"/>
        </w:rPr>
        <w:t>质量</w:t>
      </w:r>
      <w:r>
        <w:rPr>
          <w:rFonts w:hint="eastAsia" w:ascii="仿宋" w:hAnsi="仿宋" w:eastAsia="仿宋"/>
          <w:sz w:val="28"/>
          <w:szCs w:val="28"/>
        </w:rPr>
        <w:t xml:space="preserve"> </w:t>
      </w:r>
    </w:p>
    <w:p>
      <w:pPr>
        <w:snapToGrid w:val="0"/>
        <w:spacing w:line="400" w:lineRule="exact"/>
        <w:ind w:left="630" w:leftChars="300"/>
        <w:rPr>
          <w:rFonts w:hint="eastAsia" w:ascii="仿宋" w:hAnsi="仿宋" w:eastAsia="仿宋"/>
          <w:sz w:val="28"/>
          <w:szCs w:val="28"/>
          <w:lang w:val="zh-CN"/>
        </w:rPr>
      </w:pPr>
      <w:r>
        <w:rPr>
          <w:rFonts w:hint="eastAsia" w:ascii="仿宋" w:hAnsi="仿宋" w:eastAsia="仿宋"/>
          <w:sz w:val="28"/>
          <w:szCs w:val="28"/>
        </w:rPr>
        <w:t xml:space="preserve">                                                                                     </w:t>
      </w:r>
    </w:p>
    <w:p>
      <w:pPr>
        <w:snapToGrid w:val="0"/>
        <w:spacing w:line="40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400" w:lineRule="exact"/>
        <w:ind w:firstLine="840" w:firstLineChars="300"/>
        <w:rPr>
          <w:rFonts w:hint="eastAsia" w:ascii="仿宋" w:hAnsi="仿宋" w:eastAsia="仿宋"/>
          <w:sz w:val="28"/>
          <w:szCs w:val="28"/>
          <w:lang w:val="zh-CN"/>
        </w:rPr>
      </w:pPr>
      <w:r>
        <w:rPr>
          <w:rFonts w:hint="eastAsia" w:ascii="仿宋" w:hAnsi="仿宋" w:eastAsia="仿宋"/>
          <w:sz w:val="28"/>
          <w:szCs w:val="28"/>
        </w:rPr>
        <w:t xml:space="preserve">                                                                                     </w:t>
      </w:r>
    </w:p>
    <w:p>
      <w:pPr>
        <w:snapToGrid w:val="0"/>
        <w:spacing w:line="40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六、违约责任</w:t>
      </w:r>
    </w:p>
    <w:p>
      <w:pPr>
        <w:snapToGrid w:val="0"/>
        <w:spacing w:line="400" w:lineRule="exact"/>
        <w:ind w:firstLine="840" w:firstLineChars="300"/>
        <w:rPr>
          <w:rFonts w:hint="eastAsia" w:ascii="仿宋" w:hAnsi="仿宋" w:eastAsia="仿宋"/>
          <w:sz w:val="28"/>
          <w:szCs w:val="28"/>
          <w:lang w:val="zh-CN"/>
        </w:rPr>
      </w:pPr>
      <w:r>
        <w:rPr>
          <w:rFonts w:hint="eastAsia" w:ascii="仿宋" w:hAnsi="仿宋" w:eastAsia="仿宋"/>
          <w:sz w:val="28"/>
          <w:szCs w:val="28"/>
        </w:rPr>
        <w:t xml:space="preserve">                                                                                     </w:t>
      </w:r>
    </w:p>
    <w:p>
      <w:pPr>
        <w:numPr>
          <w:ilvl w:val="0"/>
          <w:numId w:val="35"/>
        </w:numPr>
        <w:snapToGrid w:val="0"/>
        <w:spacing w:line="400" w:lineRule="exact"/>
        <w:rPr>
          <w:rFonts w:hint="eastAsia" w:ascii="仿宋" w:hAnsi="仿宋" w:eastAsia="仿宋"/>
          <w:sz w:val="28"/>
          <w:szCs w:val="28"/>
        </w:rPr>
      </w:pPr>
      <w:r>
        <w:rPr>
          <w:rFonts w:hint="eastAsia" w:ascii="仿宋" w:hAnsi="仿宋" w:eastAsia="仿宋"/>
          <w:sz w:val="28"/>
          <w:szCs w:val="28"/>
          <w:lang w:val="zh-CN"/>
        </w:rPr>
        <w:t>争议解决的办法</w:t>
      </w:r>
      <w:r>
        <w:rPr>
          <w:rFonts w:hint="eastAsia" w:ascii="仿宋" w:hAnsi="仿宋" w:eastAsia="仿宋"/>
          <w:sz w:val="28"/>
          <w:szCs w:val="28"/>
        </w:rPr>
        <w:t xml:space="preserve"> </w:t>
      </w:r>
    </w:p>
    <w:p>
      <w:pPr>
        <w:snapToGrid w:val="0"/>
        <w:spacing w:line="400" w:lineRule="exact"/>
        <w:rPr>
          <w:rFonts w:hint="eastAsia" w:ascii="仿宋" w:hAnsi="仿宋" w:eastAsia="仿宋"/>
          <w:sz w:val="28"/>
          <w:szCs w:val="28"/>
          <w:lang w:val="zh-CN"/>
        </w:rPr>
      </w:pPr>
      <w:r>
        <w:rPr>
          <w:rFonts w:hint="eastAsia" w:ascii="仿宋" w:hAnsi="仿宋" w:eastAsia="仿宋"/>
          <w:sz w:val="28"/>
          <w:szCs w:val="28"/>
        </w:rPr>
        <w:t xml:space="preserve">                                                                               </w:t>
      </w:r>
    </w:p>
    <w:p>
      <w:pPr>
        <w:snapToGrid w:val="0"/>
        <w:spacing w:line="40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八、其他</w:t>
      </w:r>
    </w:p>
    <w:p>
      <w:pPr>
        <w:pStyle w:val="2"/>
        <w:ind w:firstLine="560"/>
        <w:rPr>
          <w:rFonts w:hint="eastAsia" w:ascii="仿宋" w:hAnsi="仿宋" w:eastAsia="仿宋"/>
          <w:b/>
          <w:sz w:val="28"/>
          <w:szCs w:val="28"/>
        </w:rPr>
      </w:pPr>
      <w:r>
        <w:rPr>
          <w:rFonts w:hint="eastAsia" w:ascii="仿宋" w:hAnsi="仿宋" w:eastAsia="仿宋"/>
          <w:sz w:val="28"/>
          <w:szCs w:val="28"/>
        </w:rPr>
        <w:t>（分包供应商名称      ）的合同份额占到合同总金额     %以上。</w:t>
      </w:r>
      <w:r>
        <w:rPr>
          <w:rFonts w:hint="eastAsia" w:ascii="仿宋" w:hAnsi="仿宋" w:eastAsia="仿宋"/>
          <w:b/>
          <w:sz w:val="28"/>
          <w:szCs w:val="28"/>
        </w:rPr>
        <w:t>当分包份额占到合同总金额100%时，视为转包。此情况根据《中华人民共和国政府采购法实施条例》（国务院令第658号）文件第七十二条规定，将依照政府采购法第七十七条第一款的规定追究你公司法律责任。</w:t>
      </w:r>
    </w:p>
    <w:p>
      <w:pPr>
        <w:snapToGrid w:val="0"/>
        <w:spacing w:line="400" w:lineRule="exact"/>
        <w:ind w:firstLine="840" w:firstLineChars="300"/>
        <w:rPr>
          <w:rFonts w:hint="eastAsia" w:ascii="仿宋" w:hAnsi="仿宋" w:eastAsia="仿宋"/>
          <w:sz w:val="28"/>
          <w:szCs w:val="28"/>
          <w:lang w:val="zh-CN"/>
        </w:rPr>
      </w:pPr>
    </w:p>
    <w:p>
      <w:pPr>
        <w:snapToGrid w:val="0"/>
        <w:spacing w:line="40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 xml:space="preserve">   </w:t>
      </w:r>
    </w:p>
    <w:p>
      <w:pPr>
        <w:snapToGrid w:val="0"/>
        <w:spacing w:line="400" w:lineRule="exact"/>
        <w:ind w:firstLine="840" w:firstLineChars="300"/>
        <w:rPr>
          <w:rFonts w:hint="eastAsia"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p>
    <w:p>
      <w:pPr>
        <w:snapToGrid w:val="0"/>
        <w:spacing w:line="400" w:lineRule="exact"/>
        <w:ind w:firstLine="840" w:firstLineChars="300"/>
        <w:rPr>
          <w:rFonts w:hint="eastAsia" w:ascii="仿宋" w:hAnsi="仿宋" w:eastAsia="仿宋"/>
          <w:sz w:val="28"/>
          <w:szCs w:val="28"/>
          <w:lang w:val="zh-CN"/>
        </w:rPr>
      </w:pPr>
    </w:p>
    <w:p>
      <w:pPr>
        <w:snapToGrid w:val="0"/>
        <w:spacing w:line="40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p>
    <w:p>
      <w:pPr>
        <w:snapToGrid w:val="0"/>
        <w:spacing w:line="400" w:lineRule="exact"/>
        <w:ind w:firstLine="840" w:firstLineChars="300"/>
        <w:rPr>
          <w:rFonts w:hint="eastAsia"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pPr>
      <w:r>
        <w:rPr>
          <w:rFonts w:hint="eastAsia" w:ascii="仿宋" w:hAnsi="仿宋" w:eastAsia="仿宋"/>
          <w:sz w:val="28"/>
          <w:szCs w:val="28"/>
          <w:lang w:val="zh-CN"/>
        </w:rPr>
        <w:t xml:space="preserve">                                 日期：  年  月   日</w:t>
      </w:r>
    </w:p>
    <w:p>
      <w:pPr>
        <w:snapToGrid w:val="0"/>
        <w:spacing w:before="50" w:after="50"/>
        <w:jc w:val="center"/>
        <w:rPr>
          <w:rFonts w:ascii="仿宋" w:hAnsi="仿宋" w:eastAsia="仿宋"/>
          <w:b/>
          <w:sz w:val="36"/>
          <w:szCs w:val="36"/>
        </w:rPr>
      </w:pPr>
    </w:p>
    <w:p>
      <w:pPr>
        <w:snapToGrid w:val="0"/>
        <w:spacing w:before="50" w:after="50"/>
        <w:jc w:val="left"/>
        <w:rPr>
          <w:rFonts w:hint="eastAsia" w:ascii="仿宋" w:hAnsi="仿宋" w:eastAsia="仿宋"/>
          <w:sz w:val="30"/>
          <w:szCs w:val="30"/>
        </w:rPr>
      </w:pPr>
    </w:p>
    <w:p>
      <w:pPr>
        <w:snapToGrid w:val="0"/>
        <w:spacing w:before="50" w:after="50"/>
        <w:jc w:val="left"/>
        <w:rPr>
          <w:rFonts w:hint="eastAsia" w:ascii="仿宋" w:hAnsi="仿宋" w:eastAsia="仿宋"/>
          <w:sz w:val="30"/>
          <w:szCs w:val="30"/>
        </w:rPr>
      </w:pPr>
    </w:p>
    <w:p>
      <w:pPr>
        <w:snapToGrid w:val="0"/>
        <w:spacing w:before="50" w:after="50"/>
        <w:jc w:val="left"/>
        <w:rPr>
          <w:rFonts w:hint="eastAsia" w:ascii="仿宋" w:hAnsi="仿宋" w:eastAsia="仿宋"/>
          <w:sz w:val="30"/>
          <w:szCs w:val="30"/>
        </w:rPr>
      </w:pPr>
    </w:p>
    <w:p>
      <w:pPr>
        <w:snapToGrid w:val="0"/>
        <w:spacing w:before="50" w:after="50"/>
        <w:jc w:val="left"/>
        <w:rPr>
          <w:rFonts w:hint="eastAsia" w:ascii="仿宋" w:hAnsi="仿宋" w:eastAsia="仿宋"/>
          <w:sz w:val="30"/>
          <w:szCs w:val="30"/>
        </w:rPr>
      </w:pPr>
    </w:p>
    <w:p>
      <w:pPr>
        <w:snapToGrid w:val="0"/>
        <w:spacing w:before="50" w:after="50"/>
        <w:jc w:val="left"/>
        <w:rPr>
          <w:rFonts w:hint="eastAsia" w:ascii="仿宋" w:hAnsi="仿宋" w:eastAsia="仿宋"/>
          <w:sz w:val="30"/>
          <w:szCs w:val="30"/>
        </w:rPr>
      </w:pPr>
    </w:p>
    <w:p>
      <w:pPr>
        <w:snapToGrid w:val="0"/>
        <w:spacing w:before="50" w:after="50"/>
        <w:jc w:val="left"/>
        <w:rPr>
          <w:rFonts w:hint="eastAsia" w:ascii="仿宋" w:hAnsi="仿宋" w:eastAsia="仿宋"/>
          <w:sz w:val="30"/>
          <w:szCs w:val="30"/>
        </w:rPr>
      </w:pPr>
    </w:p>
    <w:p>
      <w:pPr>
        <w:snapToGrid w:val="0"/>
        <w:spacing w:before="50" w:after="50"/>
        <w:jc w:val="left"/>
        <w:rPr>
          <w:rFonts w:hint="eastAsia" w:ascii="仿宋" w:hAnsi="仿宋" w:eastAsia="仿宋"/>
          <w:sz w:val="30"/>
          <w:szCs w:val="30"/>
        </w:rPr>
      </w:pPr>
    </w:p>
    <w:p>
      <w:pPr>
        <w:snapToGrid w:val="0"/>
        <w:spacing w:before="50" w:after="50"/>
        <w:jc w:val="left"/>
        <w:rPr>
          <w:rFonts w:hint="eastAsia" w:ascii="仿宋" w:hAnsi="仿宋" w:eastAsia="仿宋"/>
          <w:sz w:val="30"/>
          <w:szCs w:val="30"/>
        </w:rPr>
      </w:pPr>
    </w:p>
    <w:p>
      <w:pPr>
        <w:snapToGrid w:val="0"/>
        <w:spacing w:before="50" w:after="50"/>
        <w:jc w:val="left"/>
        <w:rPr>
          <w:rFonts w:hint="eastAsia" w:ascii="仿宋" w:hAnsi="仿宋" w:eastAsia="仿宋"/>
          <w:sz w:val="30"/>
          <w:szCs w:val="30"/>
        </w:rPr>
      </w:pPr>
    </w:p>
    <w:p>
      <w:pPr>
        <w:snapToGrid w:val="0"/>
        <w:spacing w:before="50" w:after="50"/>
        <w:jc w:val="left"/>
        <w:rPr>
          <w:rFonts w:hint="eastAsia" w:ascii="仿宋" w:hAnsi="仿宋" w:eastAsia="仿宋"/>
          <w:sz w:val="30"/>
          <w:szCs w:val="30"/>
        </w:rPr>
      </w:pPr>
    </w:p>
    <w:p>
      <w:pPr>
        <w:snapToGrid w:val="0"/>
        <w:spacing w:before="50" w:after="50"/>
        <w:jc w:val="left"/>
        <w:rPr>
          <w:rFonts w:hint="eastAsia" w:ascii="仿宋" w:hAnsi="仿宋" w:eastAsia="仿宋"/>
          <w:sz w:val="30"/>
          <w:szCs w:val="30"/>
        </w:rPr>
      </w:pPr>
    </w:p>
    <w:p>
      <w:pPr>
        <w:snapToGrid w:val="0"/>
        <w:spacing w:before="50" w:after="50"/>
        <w:jc w:val="left"/>
        <w:rPr>
          <w:rFonts w:hint="eastAsia" w:ascii="仿宋" w:hAnsi="仿宋" w:eastAsia="仿宋"/>
          <w:sz w:val="30"/>
          <w:szCs w:val="30"/>
        </w:rPr>
      </w:pPr>
    </w:p>
    <w:p>
      <w:pPr>
        <w:snapToGrid w:val="0"/>
        <w:spacing w:before="50" w:after="50"/>
        <w:jc w:val="left"/>
        <w:rPr>
          <w:rFonts w:hint="eastAsia" w:ascii="仿宋" w:hAnsi="仿宋" w:eastAsia="仿宋"/>
          <w:sz w:val="30"/>
          <w:szCs w:val="30"/>
        </w:rPr>
      </w:pPr>
    </w:p>
    <w:p>
      <w:pPr>
        <w:snapToGrid w:val="0"/>
        <w:spacing w:before="50" w:after="50"/>
        <w:jc w:val="left"/>
        <w:rPr>
          <w:rFonts w:hint="eastAsia" w:ascii="仿宋" w:hAnsi="仿宋" w:eastAsia="仿宋"/>
          <w:sz w:val="30"/>
          <w:szCs w:val="30"/>
        </w:rPr>
      </w:pPr>
    </w:p>
    <w:p>
      <w:pPr>
        <w:snapToGrid w:val="0"/>
        <w:spacing w:before="50" w:after="50"/>
        <w:jc w:val="left"/>
        <w:rPr>
          <w:rFonts w:hint="eastAsia" w:ascii="仿宋" w:hAnsi="仿宋" w:eastAsia="仿宋"/>
          <w:sz w:val="30"/>
          <w:szCs w:val="30"/>
        </w:rPr>
      </w:pPr>
    </w:p>
    <w:p>
      <w:pPr>
        <w:snapToGrid w:val="0"/>
        <w:spacing w:before="50" w:after="50"/>
        <w:jc w:val="left"/>
        <w:rPr>
          <w:rFonts w:hint="eastAsia" w:ascii="仿宋" w:hAnsi="仿宋" w:eastAsia="仿宋"/>
          <w:sz w:val="30"/>
          <w:szCs w:val="30"/>
        </w:rPr>
      </w:pPr>
    </w:p>
    <w:p>
      <w:pPr>
        <w:snapToGrid w:val="0"/>
        <w:spacing w:before="50" w:after="50"/>
        <w:jc w:val="left"/>
        <w:rPr>
          <w:rFonts w:hint="eastAsia" w:ascii="仿宋" w:hAnsi="仿宋" w:eastAsia="仿宋"/>
          <w:sz w:val="30"/>
          <w:szCs w:val="30"/>
        </w:rPr>
      </w:pPr>
    </w:p>
    <w:p>
      <w:pPr>
        <w:snapToGrid w:val="0"/>
        <w:spacing w:before="50" w:after="50"/>
        <w:jc w:val="left"/>
        <w:rPr>
          <w:rFonts w:hint="eastAsia" w:ascii="仿宋" w:hAnsi="仿宋" w:eastAsia="仿宋"/>
          <w:sz w:val="30"/>
          <w:szCs w:val="30"/>
        </w:rPr>
      </w:pPr>
    </w:p>
    <w:p>
      <w:pPr>
        <w:snapToGrid w:val="0"/>
        <w:spacing w:before="50" w:after="50"/>
        <w:jc w:val="left"/>
        <w:rPr>
          <w:rFonts w:hint="eastAsia" w:ascii="仿宋" w:hAnsi="仿宋" w:eastAsia="仿宋"/>
          <w:sz w:val="30"/>
          <w:szCs w:val="30"/>
        </w:rPr>
      </w:pPr>
    </w:p>
    <w:p>
      <w:pPr>
        <w:snapToGrid w:val="0"/>
        <w:spacing w:before="50" w:after="50"/>
        <w:jc w:val="left"/>
        <w:rPr>
          <w:rFonts w:hint="eastAsia" w:ascii="仿宋" w:hAnsi="仿宋" w:eastAsia="仿宋"/>
          <w:sz w:val="30"/>
          <w:szCs w:val="30"/>
        </w:rPr>
      </w:pPr>
    </w:p>
    <w:p>
      <w:pPr>
        <w:snapToGrid w:val="0"/>
        <w:spacing w:before="50" w:after="50"/>
        <w:jc w:val="left"/>
        <w:rPr>
          <w:rFonts w:hint="eastAsia" w:ascii="仿宋" w:hAnsi="仿宋" w:eastAsia="仿宋"/>
          <w:sz w:val="30"/>
          <w:szCs w:val="30"/>
        </w:rPr>
      </w:pPr>
    </w:p>
    <w:p>
      <w:pPr>
        <w:snapToGrid w:val="0"/>
        <w:spacing w:before="50" w:after="50"/>
        <w:jc w:val="left"/>
        <w:rPr>
          <w:rFonts w:hint="eastAsia" w:ascii="仿宋" w:hAnsi="仿宋" w:eastAsia="仿宋"/>
          <w:sz w:val="30"/>
          <w:szCs w:val="30"/>
        </w:rPr>
      </w:pPr>
    </w:p>
    <w:p>
      <w:pPr>
        <w:snapToGrid w:val="0"/>
        <w:spacing w:before="50" w:after="50"/>
        <w:jc w:val="left"/>
        <w:rPr>
          <w:rFonts w:hint="eastAsia" w:ascii="仿宋" w:hAnsi="仿宋" w:eastAsia="仿宋"/>
          <w:sz w:val="30"/>
          <w:szCs w:val="30"/>
        </w:rPr>
      </w:pPr>
    </w:p>
    <w:p>
      <w:pPr>
        <w:snapToGrid w:val="0"/>
        <w:spacing w:before="50" w:after="50"/>
        <w:jc w:val="left"/>
        <w:rPr>
          <w:rFonts w:hint="eastAsia" w:ascii="仿宋" w:hAnsi="仿宋" w:eastAsia="仿宋"/>
          <w:sz w:val="30"/>
          <w:szCs w:val="30"/>
        </w:rPr>
      </w:pPr>
    </w:p>
    <w:p>
      <w:pPr>
        <w:snapToGrid w:val="0"/>
        <w:spacing w:before="50" w:after="50"/>
        <w:jc w:val="left"/>
        <w:rPr>
          <w:rFonts w:hint="eastAsia" w:ascii="仿宋" w:hAnsi="仿宋" w:eastAsia="仿宋"/>
          <w:sz w:val="30"/>
          <w:szCs w:val="30"/>
        </w:rPr>
      </w:pPr>
    </w:p>
    <w:p>
      <w:pPr>
        <w:snapToGrid w:val="0"/>
        <w:spacing w:before="50" w:after="50"/>
        <w:jc w:val="left"/>
        <w:rPr>
          <w:rFonts w:hint="eastAsia" w:ascii="仿宋" w:hAnsi="仿宋" w:eastAsia="仿宋"/>
          <w:sz w:val="30"/>
          <w:szCs w:val="30"/>
        </w:rPr>
      </w:pPr>
    </w:p>
    <w:p>
      <w:pPr>
        <w:snapToGrid w:val="0"/>
        <w:spacing w:before="50" w:after="50"/>
        <w:jc w:val="left"/>
        <w:rPr>
          <w:rFonts w:hint="eastAsia" w:ascii="仿宋" w:hAnsi="仿宋" w:eastAsia="仿宋"/>
          <w:sz w:val="30"/>
          <w:szCs w:val="30"/>
        </w:rPr>
      </w:pPr>
    </w:p>
    <w:p>
      <w:pPr>
        <w:snapToGrid w:val="0"/>
        <w:spacing w:before="120" w:beforeLines="50" w:after="50"/>
        <w:rPr>
          <w:rFonts w:ascii="仿宋" w:hAnsi="仿宋" w:eastAsia="仿宋"/>
          <w:b/>
          <w:sz w:val="30"/>
          <w:szCs w:val="30"/>
        </w:rPr>
      </w:pPr>
      <w:r>
        <w:rPr>
          <w:rFonts w:hint="eastAsia" w:ascii="仿宋" w:hAnsi="仿宋" w:eastAsia="仿宋"/>
          <w:sz w:val="30"/>
          <w:szCs w:val="30"/>
        </w:rPr>
        <w:t>附件</w:t>
      </w:r>
      <w:r>
        <w:rPr>
          <w:rFonts w:ascii="仿宋" w:hAnsi="仿宋" w:eastAsia="仿宋"/>
          <w:sz w:val="30"/>
          <w:szCs w:val="30"/>
        </w:rPr>
        <w:t>9</w:t>
      </w:r>
      <w:r>
        <w:rPr>
          <w:rFonts w:hint="eastAsia" w:ascii="仿宋" w:hAnsi="仿宋" w:eastAsia="仿宋"/>
          <w:b/>
          <w:sz w:val="30"/>
          <w:szCs w:val="30"/>
        </w:rPr>
        <w:t xml:space="preserve">：                                     </w:t>
      </w:r>
    </w:p>
    <w:p>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56" w:name="PO_1000000445_PM002"/>
      <w:r>
        <w:rPr>
          <w:rFonts w:hint="eastAsia" w:ascii="仿宋" w:hAnsi="仿宋" w:eastAsia="仿宋"/>
          <w:b/>
          <w:color w:val="000000" w:themeColor="text1"/>
          <w:spacing w:val="40"/>
          <w:sz w:val="52"/>
          <w:szCs w:val="52"/>
          <w:lang w:eastAsia="zh-CN"/>
          <w14:textFill>
            <w14:solidFill>
              <w14:schemeClr w14:val="tx1"/>
            </w14:solidFill>
          </w14:textFill>
        </w:rPr>
        <w:t>浙江警察学院云计算平台建设、数据中心机房设备采购及网络运维管理平台建设项目</w:t>
      </w:r>
      <w:bookmarkEnd w:id="56"/>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57" w:name="PO_15528_PM001_4"/>
      <w:r>
        <w:rPr>
          <w:rFonts w:hint="eastAsia" w:ascii="仿宋" w:hAnsi="仿宋" w:eastAsia="仿宋"/>
          <w:sz w:val="36"/>
          <w:szCs w:val="36"/>
          <w:lang w:eastAsia="zh-CN"/>
        </w:rPr>
        <w:t>ZZCG2022X-GK-138</w:t>
      </w:r>
      <w:bookmarkEnd w:id="57"/>
      <w:r>
        <w:rPr>
          <w:rFonts w:hint="eastAsia" w:ascii="仿宋" w:hAnsi="仿宋" w:eastAsia="仿宋"/>
          <w:sz w:val="36"/>
          <w:szCs w:val="36"/>
        </w:rPr>
        <w:t>（标项  ）</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技</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术</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及</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商</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务</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snapToGrid w:val="0"/>
        <w:spacing w:before="50" w:after="50"/>
        <w:rPr>
          <w:rFonts w:ascii="仿宋" w:hAnsi="仿宋" w:eastAsia="仿宋"/>
          <w:b/>
          <w:bCs/>
          <w:sz w:val="36"/>
          <w:szCs w:val="36"/>
        </w:rPr>
      </w:pPr>
      <w:r>
        <w:rPr>
          <w:rFonts w:hint="eastAsia" w:ascii="仿宋" w:hAnsi="仿宋" w:eastAsia="仿宋"/>
          <w:sz w:val="36"/>
          <w:szCs w:val="36"/>
        </w:rPr>
        <w:br w:type="page"/>
      </w:r>
      <w:r>
        <w:rPr>
          <w:rFonts w:hint="eastAsia" w:ascii="仿宋" w:hAnsi="仿宋" w:eastAsia="仿宋"/>
          <w:sz w:val="36"/>
          <w:szCs w:val="36"/>
        </w:rPr>
        <w:t>2、</w:t>
      </w:r>
      <w:r>
        <w:rPr>
          <w:rFonts w:hint="eastAsia" w:ascii="仿宋" w:hAnsi="仿宋" w:eastAsia="仿宋"/>
          <w:b/>
          <w:bCs/>
          <w:sz w:val="36"/>
          <w:szCs w:val="36"/>
        </w:rPr>
        <w:t>技术及商务文件目录</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（2）投标项目明细清单（含货物、服务等）；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（3）技术响应表（格式见附件）；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（6）列入政府采购节能环保清单的证明资料（若有）；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（7）商务响应表（格式见附件）；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（9）技术培训计划（若有）；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（10）投标人履约能力（可包含且不限于技术力量情况、投标人各项能力证书）；</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（11）案例的业绩证明（投标人业绩情况一览表、合同复印件等）；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（12）投标人认为需要的其他文件资料。</w:t>
      </w:r>
    </w:p>
    <w:p>
      <w:pPr>
        <w:snapToGrid w:val="0"/>
        <w:spacing w:before="50" w:after="120" w:afterLines="50"/>
        <w:jc w:val="lef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w:t>
      </w:r>
      <w:r>
        <w:rPr>
          <w:rFonts w:ascii="仿宋" w:hAnsi="仿宋" w:eastAsia="仿宋"/>
          <w:sz w:val="30"/>
          <w:szCs w:val="30"/>
        </w:rPr>
        <w:t>10</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pPr>
        <w:snapToGrid w:val="0"/>
        <w:spacing w:before="50"/>
        <w:jc w:val="center"/>
        <w:rPr>
          <w:rFonts w:ascii="仿宋" w:hAnsi="仿宋" w:eastAsia="仿宋"/>
          <w:b/>
          <w:sz w:val="32"/>
          <w:szCs w:val="32"/>
        </w:rPr>
      </w:pPr>
    </w:p>
    <w:p>
      <w:pPr>
        <w:pStyle w:val="20"/>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w:t>
      </w:r>
      <w:r>
        <w:rPr>
          <w:rFonts w:ascii="仿宋" w:hAnsi="仿宋" w:eastAsia="仿宋"/>
          <w:sz w:val="30"/>
          <w:szCs w:val="30"/>
        </w:rPr>
        <w:t>11</w:t>
      </w:r>
      <w:r>
        <w:rPr>
          <w:rFonts w:hint="eastAsia" w:ascii="仿宋" w:hAnsi="仿宋" w:eastAsia="仿宋"/>
          <w:sz w:val="30"/>
          <w:szCs w:val="30"/>
        </w:rPr>
        <w:t>：</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投标项目明细清单</w:t>
      </w:r>
    </w:p>
    <w:p>
      <w:pPr>
        <w:snapToGrid w:val="0"/>
        <w:spacing w:before="50" w:after="120" w:afterLines="50"/>
        <w:rPr>
          <w:rFonts w:ascii="仿宋" w:hAnsi="仿宋" w:eastAsia="仿宋"/>
          <w:b/>
          <w:spacing w:val="40"/>
          <w:kern w:val="0"/>
          <w:sz w:val="36"/>
          <w:szCs w:val="36"/>
        </w:rPr>
      </w:pPr>
    </w:p>
    <w:p>
      <w:pPr>
        <w:pStyle w:val="20"/>
        <w:snapToGrid w:val="0"/>
        <w:rPr>
          <w:rFonts w:ascii="仿宋" w:hAnsi="仿宋" w:eastAsia="仿宋"/>
          <w:kern w:val="0"/>
          <w:sz w:val="30"/>
          <w:szCs w:val="30"/>
          <w:u w:val="single"/>
        </w:rPr>
      </w:pPr>
      <w:r>
        <w:rPr>
          <w:rFonts w:hint="eastAsia" w:ascii="仿宋" w:hAnsi="仿宋" w:eastAsia="仿宋"/>
          <w:sz w:val="30"/>
          <w:szCs w:val="30"/>
        </w:rPr>
        <w:t>投标人全称（公章）：                标项：</w:t>
      </w:r>
    </w:p>
    <w:p>
      <w:pPr>
        <w:pStyle w:val="20"/>
        <w:snapToGrid w:val="0"/>
        <w:rPr>
          <w:rFonts w:ascii="仿宋" w:hAnsi="仿宋" w:eastAsia="仿宋"/>
          <w:sz w:val="30"/>
          <w:szCs w:val="30"/>
        </w:rPr>
      </w:pPr>
      <w:r>
        <w:rPr>
          <w:rFonts w:hint="eastAsia" w:ascii="仿宋" w:hAnsi="仿宋" w:eastAsia="仿宋"/>
          <w:sz w:val="30"/>
          <w:szCs w:val="30"/>
        </w:rPr>
        <w:t>货物类</w:t>
      </w:r>
    </w:p>
    <w:tbl>
      <w:tblPr>
        <w:tblStyle w:val="59"/>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规格</w:t>
            </w:r>
          </w:p>
          <w:p>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59"/>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注：在填写时，如上表不适合本项目的实际情况，可在确保投标明细内容完整的情况下，根据上表格式自行划表填写。</w:t>
      </w:r>
    </w:p>
    <w:p>
      <w:pPr>
        <w:snapToGrid w:val="0"/>
        <w:spacing w:before="120" w:beforeLines="50"/>
        <w:rPr>
          <w:rFonts w:ascii="仿宋" w:hAnsi="仿宋" w:eastAsia="仿宋"/>
          <w:sz w:val="30"/>
          <w:szCs w:val="30"/>
        </w:rPr>
      </w:pPr>
    </w:p>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w:t>
      </w:r>
      <w:r>
        <w:rPr>
          <w:rFonts w:ascii="仿宋" w:hAnsi="仿宋" w:eastAsia="仿宋"/>
          <w:sz w:val="30"/>
          <w:szCs w:val="30"/>
        </w:rPr>
        <w:t>12</w:t>
      </w:r>
      <w:r>
        <w:rPr>
          <w:rFonts w:hint="eastAsia" w:ascii="仿宋" w:hAnsi="仿宋" w:eastAsia="仿宋"/>
          <w:sz w:val="30"/>
          <w:szCs w:val="30"/>
        </w:rPr>
        <w:t>：</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pPr>
        <w:snapToGrid w:val="0"/>
        <w:spacing w:before="50" w:after="120" w:afterLines="50"/>
        <w:rPr>
          <w:rFonts w:ascii="仿宋" w:hAnsi="仿宋" w:eastAsia="仿宋"/>
          <w:b/>
          <w:sz w:val="32"/>
          <w:szCs w:val="32"/>
        </w:rPr>
      </w:pPr>
    </w:p>
    <w:p>
      <w:pPr>
        <w:pStyle w:val="20"/>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kern w:val="0"/>
                <w:sz w:val="30"/>
                <w:szCs w:val="30"/>
              </w:rPr>
            </w:pPr>
            <w:r>
              <w:rPr>
                <w:rFonts w:hint="eastAsia" w:ascii="仿宋" w:hAnsi="仿宋" w:eastAsia="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pPr>
              <w:pStyle w:val="32"/>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sz w:val="30"/>
                <w:szCs w:val="30"/>
              </w:rPr>
            </w:pPr>
          </w:p>
        </w:tc>
      </w:tr>
    </w:tbl>
    <w:p>
      <w:pPr>
        <w:pStyle w:val="25"/>
        <w:rPr>
          <w:rFonts w:ascii="仿宋" w:hAnsi="仿宋" w:eastAsia="仿宋"/>
          <w:spacing w:val="20"/>
          <w:kern w:val="0"/>
          <w:sz w:val="30"/>
          <w:szCs w:val="30"/>
        </w:rPr>
      </w:pPr>
      <w:r>
        <w:rPr>
          <w:rFonts w:hint="eastAsia" w:ascii="仿宋" w:hAnsi="仿宋" w:eastAsia="仿宋"/>
          <w:sz w:val="30"/>
          <w:szCs w:val="30"/>
        </w:rPr>
        <w:t>注：投标人应根据投标设备的性能指标、对照招标文件要求在“偏离情况”栏注明“正偏离”、“负偏离”或“无偏离”。</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pPr>
        <w:snapToGrid w:val="0"/>
        <w:spacing w:before="50" w:after="120" w:afterLines="50"/>
        <w:jc w:val="left"/>
        <w:rPr>
          <w:rFonts w:ascii="仿宋" w:hAnsi="仿宋" w:eastAsia="仿宋"/>
          <w:sz w:val="30"/>
          <w:szCs w:val="30"/>
        </w:rPr>
      </w:pPr>
    </w:p>
    <w:p>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ascii="仿宋" w:hAnsi="仿宋" w:eastAsia="仿宋"/>
          <w:sz w:val="30"/>
          <w:szCs w:val="30"/>
        </w:rPr>
        <w:t>3</w:t>
      </w:r>
      <w:r>
        <w:rPr>
          <w:rFonts w:hint="eastAsia" w:ascii="仿宋" w:hAnsi="仿宋" w:eastAsia="仿宋"/>
          <w:sz w:val="30"/>
          <w:szCs w:val="30"/>
        </w:rPr>
        <w:t>：</w:t>
      </w:r>
    </w:p>
    <w:p>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pPr>
        <w:snapToGrid w:val="0"/>
        <w:spacing w:before="120" w:beforeLines="50" w:after="50"/>
        <w:rPr>
          <w:rFonts w:ascii="仿宋" w:hAnsi="仿宋" w:eastAsia="仿宋"/>
          <w:b/>
          <w:sz w:val="30"/>
          <w:szCs w:val="30"/>
        </w:rPr>
      </w:pPr>
    </w:p>
    <w:p>
      <w:pPr>
        <w:pStyle w:val="20"/>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35"/>
              <w:snapToGrid w:val="0"/>
              <w:spacing w:before="120" w:beforeLines="50" w:after="50" w:line="460" w:lineRule="exact"/>
              <w:ind w:left="5250"/>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bl>
    <w:p>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sz w:val="30"/>
          <w:szCs w:val="30"/>
        </w:rPr>
      </w:pPr>
    </w:p>
    <w:p>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pPr>
        <w:snapToGrid w:val="0"/>
        <w:spacing w:before="50" w:after="120" w:afterLines="50" w:line="460" w:lineRule="exact"/>
        <w:jc w:val="left"/>
        <w:rPr>
          <w:rFonts w:ascii="仿宋" w:hAnsi="仿宋" w:eastAsia="仿宋"/>
          <w:sz w:val="30"/>
          <w:szCs w:val="30"/>
        </w:rPr>
      </w:pPr>
    </w:p>
    <w:p>
      <w:pPr>
        <w:pStyle w:val="32"/>
        <w:snapToGrid w:val="0"/>
        <w:spacing w:before="120" w:after="120" w:line="460" w:lineRule="exac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ascii="仿宋" w:hAnsi="仿宋" w:eastAsia="仿宋"/>
          <w:sz w:val="30"/>
          <w:szCs w:val="30"/>
        </w:rPr>
        <w:t>4</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pPr>
        <w:snapToGrid w:val="0"/>
        <w:spacing w:before="50"/>
        <w:jc w:val="center"/>
        <w:rPr>
          <w:rFonts w:ascii="仿宋" w:hAnsi="仿宋" w:eastAsia="仿宋"/>
          <w:b/>
          <w:sz w:val="32"/>
          <w:szCs w:val="32"/>
        </w:rPr>
      </w:pPr>
    </w:p>
    <w:p>
      <w:pPr>
        <w:pStyle w:val="20"/>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是否</w:t>
            </w:r>
          </w:p>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widowControl/>
        <w:jc w:val="left"/>
        <w:rPr>
          <w:rFonts w:ascii="仿宋" w:hAnsi="仿宋" w:eastAsia="仿宋"/>
          <w:sz w:val="30"/>
          <w:szCs w:val="30"/>
        </w:rPr>
        <w:sectPr>
          <w:footerReference r:id="rId3" w:type="default"/>
          <w:pgSz w:w="11906" w:h="16838"/>
          <w:pgMar w:top="1474" w:right="1797" w:bottom="1247" w:left="1797" w:header="851" w:footer="851" w:gutter="0"/>
          <w:pgNumType w:fmt="decimal"/>
          <w:cols w:space="720" w:num="1"/>
        </w:sect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附件1</w:t>
      </w:r>
      <w:r>
        <w:rPr>
          <w:rFonts w:ascii="仿宋" w:hAnsi="仿宋" w:eastAsia="仿宋"/>
          <w:sz w:val="30"/>
          <w:szCs w:val="30"/>
        </w:rPr>
        <w:t>5</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投标人业绩情况一览表</w:t>
      </w:r>
    </w:p>
    <w:p>
      <w:pPr>
        <w:pStyle w:val="20"/>
        <w:snapToGrid w:val="0"/>
        <w:rPr>
          <w:rFonts w:ascii="仿宋" w:hAnsi="仿宋" w:eastAsia="仿宋"/>
          <w:sz w:val="30"/>
          <w:szCs w:val="30"/>
          <w:u w:val="single"/>
        </w:rPr>
      </w:pPr>
      <w:r>
        <w:rPr>
          <w:rFonts w:hint="eastAsia" w:ascii="仿宋" w:hAnsi="仿宋" w:eastAsia="仿宋"/>
          <w:sz w:val="30"/>
          <w:szCs w:val="30"/>
        </w:rPr>
        <w:t>投标人全称（公章）：</w:t>
      </w:r>
    </w:p>
    <w:tbl>
      <w:tblPr>
        <w:tblStyle w:val="59"/>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w:t>
            </w:r>
          </w:p>
          <w:p>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合同</w:t>
            </w:r>
          </w:p>
          <w:p>
            <w:pPr>
              <w:snapToGrid w:val="0"/>
              <w:jc w:val="center"/>
              <w:rPr>
                <w:rFonts w:ascii="仿宋" w:hAnsi="仿宋" w:eastAsia="仿宋"/>
                <w:sz w:val="30"/>
                <w:szCs w:val="30"/>
              </w:rPr>
            </w:pPr>
            <w:r>
              <w:rPr>
                <w:rFonts w:hint="eastAsia" w:ascii="仿宋" w:hAnsi="仿宋" w:eastAsia="仿宋"/>
                <w:sz w:val="30"/>
                <w:szCs w:val="30"/>
              </w:rPr>
              <w:t>金额</w:t>
            </w:r>
          </w:p>
          <w:p>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采购单位联系人及</w:t>
            </w:r>
          </w:p>
          <w:p>
            <w:pPr>
              <w:snapToGrid w:val="0"/>
              <w:jc w:val="center"/>
              <w:rPr>
                <w:rFonts w:ascii="仿宋" w:hAnsi="仿宋" w:eastAsia="仿宋"/>
                <w:sz w:val="30"/>
                <w:szCs w:val="30"/>
              </w:rPr>
            </w:pPr>
            <w:r>
              <w:rPr>
                <w:rFonts w:hint="eastAsia" w:ascii="仿宋" w:hAnsi="仿宋" w:eastAsia="仿宋"/>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w:t>
            </w:r>
          </w:p>
          <w:p>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验收</w:t>
            </w:r>
          </w:p>
          <w:p>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提供投标人同类项目合同复印件、用户验收报告（如有）。</w:t>
            </w:r>
          </w:p>
        </w:tc>
      </w:tr>
    </w:tbl>
    <w:p>
      <w:pPr>
        <w:pStyle w:val="20"/>
        <w:snapToGrid w:val="0"/>
        <w:spacing w:before="24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pPr>
        <w:widowControl/>
        <w:jc w:val="left"/>
        <w:rPr>
          <w:rFonts w:ascii="仿宋" w:hAnsi="仿宋" w:eastAsia="仿宋"/>
          <w:sz w:val="30"/>
          <w:szCs w:val="30"/>
        </w:rPr>
        <w:sectPr>
          <w:pgSz w:w="16838" w:h="11906" w:orient="landscape"/>
          <w:pgMar w:top="1797" w:right="1474" w:bottom="1797" w:left="1247" w:header="851" w:footer="851" w:gutter="0"/>
          <w:pgNumType w:fmt="decimal"/>
          <w:cols w:space="720" w:num="1"/>
        </w:sectPr>
      </w:pPr>
    </w:p>
    <w:p>
      <w:pPr>
        <w:snapToGrid w:val="0"/>
        <w:spacing w:before="120" w:beforeLines="50" w:after="50"/>
        <w:rPr>
          <w:rFonts w:ascii="仿宋" w:hAnsi="仿宋" w:eastAsia="仿宋"/>
          <w:b/>
          <w:sz w:val="30"/>
          <w:szCs w:val="30"/>
        </w:rPr>
      </w:pPr>
      <w:r>
        <w:rPr>
          <w:rFonts w:hint="eastAsia" w:ascii="仿宋" w:hAnsi="仿宋" w:eastAsia="仿宋"/>
          <w:sz w:val="30"/>
          <w:szCs w:val="30"/>
        </w:rPr>
        <w:t>附件1</w:t>
      </w:r>
      <w:r>
        <w:rPr>
          <w:rFonts w:ascii="仿宋" w:hAnsi="仿宋" w:eastAsia="仿宋"/>
          <w:sz w:val="30"/>
          <w:szCs w:val="30"/>
        </w:rPr>
        <w:t>6</w:t>
      </w:r>
      <w:r>
        <w:rPr>
          <w:rFonts w:hint="eastAsia" w:ascii="仿宋" w:hAnsi="仿宋" w:eastAsia="仿宋"/>
          <w:b/>
          <w:sz w:val="30"/>
          <w:szCs w:val="30"/>
        </w:rPr>
        <w:t xml:space="preserve">：                                    </w:t>
      </w:r>
    </w:p>
    <w:p>
      <w:pPr>
        <w:spacing w:before="240" w:beforeLines="100" w:line="240" w:lineRule="atLeast"/>
        <w:jc w:val="center"/>
        <w:rPr>
          <w:rFonts w:hint="eastAsia" w:ascii="仿宋" w:hAnsi="仿宋" w:eastAsia="仿宋"/>
          <w:b/>
          <w:color w:val="FF0000"/>
          <w:spacing w:val="40"/>
          <w:sz w:val="52"/>
          <w:szCs w:val="52"/>
          <w:lang w:eastAsia="zh-CN"/>
        </w:rPr>
      </w:pPr>
      <w:bookmarkStart w:id="58" w:name="PO_1000000445_PM002_1"/>
      <w:r>
        <w:rPr>
          <w:rFonts w:hint="eastAsia" w:ascii="仿宋" w:hAnsi="仿宋" w:eastAsia="仿宋"/>
          <w:b/>
          <w:color w:val="000000" w:themeColor="text1"/>
          <w:spacing w:val="40"/>
          <w:sz w:val="52"/>
          <w:szCs w:val="52"/>
          <w:lang w:eastAsia="zh-CN"/>
          <w14:textFill>
            <w14:solidFill>
              <w14:schemeClr w14:val="tx1"/>
            </w14:solidFill>
          </w14:textFill>
        </w:rPr>
        <w:t>浙江警察学院云计算平台建设、数据中心机房设备采购及网络运维管理平台建设项目</w:t>
      </w:r>
      <w:bookmarkEnd w:id="58"/>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59" w:name="PO_1000000445_PM001"/>
      <w:r>
        <w:rPr>
          <w:rFonts w:hint="eastAsia" w:ascii="仿宋" w:hAnsi="仿宋" w:eastAsia="仿宋"/>
          <w:b/>
          <w:color w:val="000000" w:themeColor="text1"/>
          <w:sz w:val="36"/>
          <w:szCs w:val="36"/>
          <w:lang w:eastAsia="zh-CN"/>
          <w14:textFill>
            <w14:solidFill>
              <w14:schemeClr w14:val="tx1"/>
            </w14:solidFill>
          </w14:textFill>
        </w:rPr>
        <w:t>ZZCG2022X-GK-138</w:t>
      </w:r>
      <w:bookmarkEnd w:id="59"/>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84"/>
          <w:szCs w:val="84"/>
        </w:rPr>
      </w:pP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5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pStyle w:val="35"/>
        <w:snapToGrid w:val="0"/>
        <w:ind w:left="0" w:leftChars="0"/>
        <w:rPr>
          <w:rFonts w:ascii="仿宋" w:hAnsi="仿宋" w:eastAsia="仿宋"/>
          <w:b/>
          <w:sz w:val="36"/>
          <w:szCs w:val="36"/>
        </w:rPr>
      </w:pPr>
      <w:r>
        <w:rPr>
          <w:rFonts w:hint="eastAsia" w:ascii="仿宋" w:hAnsi="仿宋" w:eastAsia="仿宋"/>
          <w:kern w:val="0"/>
          <w:sz w:val="36"/>
          <w:szCs w:val="36"/>
        </w:rPr>
        <w:br w:type="page"/>
      </w:r>
      <w:r>
        <w:rPr>
          <w:rFonts w:hint="eastAsia" w:ascii="仿宋" w:hAnsi="仿宋" w:eastAsia="仿宋"/>
          <w:sz w:val="36"/>
          <w:szCs w:val="36"/>
        </w:rPr>
        <w:t>3、</w:t>
      </w:r>
      <w:r>
        <w:rPr>
          <w:rFonts w:hint="eastAsia" w:ascii="仿宋" w:hAnsi="仿宋" w:eastAsia="仿宋"/>
          <w:b/>
          <w:sz w:val="36"/>
          <w:szCs w:val="36"/>
        </w:rPr>
        <w:t>报价文件目录</w:t>
      </w:r>
    </w:p>
    <w:p>
      <w:pPr>
        <w:rPr>
          <w:rFonts w:ascii="仿宋" w:hAnsi="仿宋" w:eastAsia="仿宋"/>
        </w:rPr>
      </w:pPr>
    </w:p>
    <w:p>
      <w:pPr>
        <w:pStyle w:val="35"/>
        <w:snapToGrid w:val="0"/>
        <w:spacing w:line="460" w:lineRule="exact"/>
        <w:ind w:left="0" w:leftChars="0"/>
        <w:rPr>
          <w:rFonts w:ascii="仿宋" w:hAnsi="仿宋" w:eastAsia="仿宋"/>
          <w:sz w:val="30"/>
          <w:szCs w:val="30"/>
        </w:rPr>
      </w:pPr>
      <w:r>
        <w:rPr>
          <w:rFonts w:hint="eastAsia" w:ascii="仿宋" w:hAnsi="仿宋" w:eastAsia="仿宋"/>
          <w:sz w:val="30"/>
          <w:szCs w:val="30"/>
        </w:rPr>
        <w:t>（1）开标一览表（见附件1</w:t>
      </w:r>
      <w:r>
        <w:rPr>
          <w:rFonts w:ascii="仿宋" w:hAnsi="仿宋" w:eastAsia="仿宋"/>
          <w:sz w:val="30"/>
          <w:szCs w:val="30"/>
        </w:rPr>
        <w:t>7</w:t>
      </w:r>
      <w:r>
        <w:rPr>
          <w:rFonts w:hint="eastAsia" w:ascii="仿宋" w:hAnsi="仿宋" w:eastAsia="仿宋"/>
          <w:sz w:val="30"/>
          <w:szCs w:val="30"/>
        </w:rPr>
        <w:t>）；</w:t>
      </w:r>
    </w:p>
    <w:p>
      <w:pPr>
        <w:pStyle w:val="35"/>
        <w:snapToGrid w:val="0"/>
        <w:spacing w:line="460" w:lineRule="exact"/>
        <w:ind w:left="0" w:leftChars="0"/>
        <w:rPr>
          <w:rFonts w:hint="eastAsia" w:ascii="仿宋" w:hAnsi="仿宋" w:eastAsia="仿宋"/>
          <w:sz w:val="30"/>
          <w:szCs w:val="30"/>
        </w:rPr>
      </w:pPr>
      <w:r>
        <w:rPr>
          <w:rFonts w:hint="eastAsia" w:ascii="仿宋" w:hAnsi="仿宋" w:eastAsia="仿宋"/>
          <w:sz w:val="30"/>
          <w:szCs w:val="30"/>
        </w:rPr>
        <w:t>（2）投标人针对报价需要说明的其他文件和说明（格式自拟）；</w:t>
      </w:r>
    </w:p>
    <w:p>
      <w:pPr>
        <w:snapToGrid w:val="0"/>
        <w:spacing w:line="460" w:lineRule="exact"/>
        <w:jc w:val="left"/>
        <w:rPr>
          <w:rFonts w:ascii="仿宋" w:hAnsi="仿宋" w:eastAsia="仿宋"/>
        </w:rPr>
      </w:pPr>
      <w:r>
        <w:rPr>
          <w:rFonts w:hint="eastAsia" w:ascii="仿宋" w:hAnsi="仿宋" w:eastAsia="仿宋"/>
          <w:sz w:val="30"/>
          <w:szCs w:val="30"/>
        </w:rPr>
        <w:t>（</w:t>
      </w:r>
      <w:r>
        <w:rPr>
          <w:rFonts w:hint="eastAsia" w:ascii="仿宋" w:hAnsi="仿宋" w:eastAsia="仿宋"/>
          <w:sz w:val="30"/>
          <w:szCs w:val="30"/>
          <w:lang w:val="en-US" w:eastAsia="zh-CN"/>
        </w:rPr>
        <w:t>3</w:t>
      </w:r>
      <w:r>
        <w:rPr>
          <w:rFonts w:hint="eastAsia" w:ascii="仿宋" w:hAnsi="仿宋" w:eastAsia="仿宋"/>
          <w:sz w:val="30"/>
          <w:szCs w:val="30"/>
        </w:rPr>
        <w:t>）中小企业声明函（若需要，格式见附件</w:t>
      </w:r>
      <w:r>
        <w:rPr>
          <w:rFonts w:hint="eastAsia" w:ascii="仿宋" w:hAnsi="仿宋" w:eastAsia="仿宋"/>
          <w:sz w:val="30"/>
          <w:szCs w:val="30"/>
          <w:lang w:val="en-US" w:eastAsia="zh-CN"/>
        </w:rPr>
        <w:t>18</w:t>
      </w:r>
      <w:r>
        <w:rPr>
          <w:rFonts w:hint="eastAsia" w:ascii="仿宋" w:hAnsi="仿宋" w:eastAsia="仿宋"/>
          <w:sz w:val="30"/>
          <w:szCs w:val="30"/>
        </w:rPr>
        <w:t>）；</w:t>
      </w:r>
    </w:p>
    <w:p>
      <w:r>
        <w:rPr>
          <w:rFonts w:hint="eastAsia" w:ascii="仿宋" w:hAnsi="仿宋" w:eastAsia="仿宋"/>
          <w:sz w:val="30"/>
          <w:szCs w:val="30"/>
        </w:rPr>
        <w:t>（</w:t>
      </w:r>
      <w:r>
        <w:rPr>
          <w:rFonts w:hint="eastAsia" w:ascii="仿宋" w:hAnsi="仿宋" w:eastAsia="仿宋"/>
          <w:sz w:val="30"/>
          <w:szCs w:val="30"/>
          <w:lang w:val="en-US" w:eastAsia="zh-CN"/>
        </w:rPr>
        <w:t>4</w:t>
      </w:r>
      <w:r>
        <w:rPr>
          <w:rFonts w:hint="eastAsia" w:ascii="仿宋" w:hAnsi="仿宋" w:eastAsia="仿宋"/>
          <w:sz w:val="30"/>
          <w:szCs w:val="30"/>
        </w:rPr>
        <w:t>）残疾人福利企业声明函（若需要，格式见附件</w:t>
      </w:r>
      <w:r>
        <w:rPr>
          <w:rFonts w:hint="eastAsia" w:ascii="仿宋" w:hAnsi="仿宋" w:eastAsia="仿宋"/>
          <w:sz w:val="30"/>
          <w:szCs w:val="30"/>
          <w:lang w:val="en-US" w:eastAsia="zh-CN"/>
        </w:rPr>
        <w:t>19</w:t>
      </w:r>
      <w:r>
        <w:rPr>
          <w:rFonts w:hint="eastAsia" w:ascii="仿宋" w:hAnsi="仿宋" w:eastAsia="仿宋"/>
          <w:sz w:val="30"/>
          <w:szCs w:val="30"/>
        </w:rPr>
        <w:t>）；</w:t>
      </w:r>
    </w:p>
    <w:p>
      <w:pPr>
        <w:pStyle w:val="32"/>
        <w:snapToGrid w:val="0"/>
        <w:spacing w:before="120" w:after="120" w:line="240" w:lineRule="auto"/>
        <w:jc w:val="left"/>
        <w:rPr>
          <w:rFonts w:ascii="仿宋" w:hAnsi="仿宋" w:eastAsia="仿宋"/>
          <w:b/>
          <w:sz w:val="36"/>
          <w:szCs w:val="36"/>
        </w:rPr>
      </w:pPr>
      <w:r>
        <w:rPr>
          <w:rFonts w:hint="eastAsia" w:ascii="仿宋" w:hAnsi="仿宋" w:eastAsia="仿宋"/>
          <w:kern w:val="0"/>
          <w:sz w:val="30"/>
          <w:szCs w:val="30"/>
        </w:rPr>
        <w:br w:type="page"/>
      </w:r>
      <w:r>
        <w:rPr>
          <w:rFonts w:hint="eastAsia" w:ascii="仿宋" w:hAnsi="仿宋" w:eastAsia="仿宋"/>
          <w:sz w:val="30"/>
          <w:szCs w:val="30"/>
        </w:rPr>
        <w:t>附件1</w:t>
      </w:r>
      <w:r>
        <w:rPr>
          <w:rFonts w:ascii="仿宋" w:hAnsi="仿宋" w:eastAsia="仿宋"/>
          <w:sz w:val="30"/>
          <w:szCs w:val="30"/>
        </w:rPr>
        <w:t>7</w:t>
      </w:r>
      <w:r>
        <w:rPr>
          <w:rFonts w:hint="eastAsia" w:ascii="仿宋" w:hAnsi="仿宋" w:eastAsia="仿宋"/>
          <w:sz w:val="30"/>
          <w:szCs w:val="30"/>
        </w:rPr>
        <w:t>：</w:t>
      </w:r>
    </w:p>
    <w:p>
      <w:pPr>
        <w:pStyle w:val="32"/>
        <w:snapToGrid w:val="0"/>
        <w:spacing w:before="120" w:after="120" w:line="240" w:lineRule="auto"/>
        <w:ind w:firstLine="1084" w:firstLineChars="300"/>
        <w:jc w:val="center"/>
        <w:rPr>
          <w:rFonts w:hAnsi="宋体"/>
          <w:b/>
          <w:sz w:val="36"/>
          <w:szCs w:val="36"/>
        </w:rPr>
      </w:pPr>
      <w:r>
        <w:rPr>
          <w:rFonts w:hint="eastAsia" w:hAnsi="宋体"/>
          <w:b/>
          <w:sz w:val="36"/>
          <w:szCs w:val="36"/>
        </w:rPr>
        <w:t>开 标 一 览 表</w:t>
      </w:r>
    </w:p>
    <w:p>
      <w:pPr>
        <w:pStyle w:val="32"/>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u w:val="single"/>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b/>
          <w:sz w:val="24"/>
          <w:szCs w:val="24"/>
          <w:u w:val="single"/>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Cs w:val="21"/>
              </w:rPr>
              <w:t>是否中小企业</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3.报价中不允许出现报价优惠等字样（明细出现“0”元，视同赠送）,投标总价合计金额应与明细报价汇总相等。</w:t>
            </w:r>
          </w:p>
          <w:p>
            <w:pPr>
              <w:snapToGrid w:val="0"/>
              <w:rPr>
                <w:rFonts w:ascii="仿宋" w:hAnsi="仿宋" w:eastAsia="仿宋"/>
                <w:sz w:val="24"/>
                <w:szCs w:val="24"/>
              </w:rPr>
            </w:pPr>
            <w:r>
              <w:rPr>
                <w:rFonts w:ascii="仿宋" w:hAnsi="仿宋" w:eastAsia="仿宋"/>
                <w:sz w:val="24"/>
                <w:szCs w:val="24"/>
              </w:rPr>
              <w:t>4</w:t>
            </w:r>
            <w:r>
              <w:rPr>
                <w:rFonts w:hint="eastAsia" w:ascii="仿宋" w:hAnsi="仿宋" w:eastAsia="仿宋"/>
                <w:b/>
                <w:sz w:val="24"/>
                <w:szCs w:val="24"/>
              </w:rPr>
              <w:t>.开标时，招标方在电子交易平台公开投标人的报价信息，投标人对报价信息进行确认。投标人对报价信息不予确认的不影响后续评标过程。</w:t>
            </w:r>
          </w:p>
        </w:tc>
      </w:tr>
    </w:tbl>
    <w:p>
      <w:pPr>
        <w:snapToGrid w:val="0"/>
        <w:spacing w:line="400" w:lineRule="exact"/>
        <w:jc w:val="left"/>
        <w:rPr>
          <w:rFonts w:ascii="仿宋" w:hAnsi="仿宋" w:eastAsia="仿宋"/>
          <w:sz w:val="24"/>
          <w:szCs w:val="24"/>
        </w:rPr>
      </w:pPr>
    </w:p>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line="360" w:lineRule="auto"/>
        <w:rPr>
          <w:rFonts w:ascii="仿宋" w:hAnsi="仿宋" w:eastAsia="仿宋"/>
          <w:sz w:val="30"/>
          <w:szCs w:val="30"/>
        </w:rPr>
      </w:pPr>
      <w:r>
        <w:rPr>
          <w:rFonts w:ascii="仿宋" w:hAnsi="仿宋" w:eastAsia="仿宋"/>
          <w:sz w:val="30"/>
          <w:szCs w:val="30"/>
        </w:rPr>
        <w:br w:type="page"/>
      </w:r>
    </w:p>
    <w:p>
      <w:pPr>
        <w:pStyle w:val="32"/>
        <w:snapToGrid w:val="0"/>
        <w:spacing w:before="120" w:after="120" w:line="240" w:lineRule="auto"/>
        <w:ind w:firstLine="1084" w:firstLineChars="300"/>
        <w:jc w:val="center"/>
        <w:rPr>
          <w:rFonts w:hAnsi="宋体"/>
          <w:b/>
          <w:sz w:val="36"/>
          <w:szCs w:val="36"/>
        </w:rPr>
      </w:pPr>
      <w:r>
        <w:rPr>
          <w:rFonts w:hint="eastAsia" w:hAnsi="宋体"/>
          <w:b/>
          <w:sz w:val="36"/>
          <w:szCs w:val="36"/>
        </w:rPr>
        <w:t>开 标 一 览 表</w:t>
      </w:r>
    </w:p>
    <w:p>
      <w:pPr>
        <w:pStyle w:val="32"/>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u w:val="single"/>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line="360" w:lineRule="auto"/>
        <w:rPr>
          <w:rFonts w:ascii="仿宋" w:hAnsi="仿宋" w:eastAsia="仿宋"/>
          <w:sz w:val="30"/>
          <w:szCs w:val="30"/>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1845"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r>
              <w:rPr>
                <w:rFonts w:hint="eastAsia" w:ascii="仿宋" w:hAnsi="仿宋" w:eastAsia="仿宋"/>
                <w:b/>
                <w:sz w:val="24"/>
                <w:szCs w:val="24"/>
                <w:lang w:val="en-US" w:eastAsia="zh-CN"/>
              </w:rPr>
              <w:t>/人/天</w:t>
            </w:r>
            <w:r>
              <w:rPr>
                <w:rFonts w:hint="eastAsia" w:ascii="仿宋" w:hAnsi="仿宋" w:eastAsia="仿宋"/>
                <w:b/>
                <w:sz w:val="24"/>
                <w:szCs w:val="24"/>
              </w:rPr>
              <w:t>）</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845"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是否中小企业承接</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13"/>
                <w:szCs w:val="13"/>
              </w:rPr>
            </w:pPr>
            <w:r>
              <w:rPr>
                <w:rFonts w:ascii="仿宋" w:hAnsi="仿宋" w:eastAsia="仿宋"/>
                <w:b/>
                <w:sz w:val="13"/>
                <w:szCs w:val="13"/>
              </w:rPr>
              <w:t>服务人员是否依照</w:t>
            </w:r>
            <w:r>
              <w:rPr>
                <w:rFonts w:hint="eastAsia" w:ascii="仿宋" w:hAnsi="仿宋" w:eastAsia="仿宋"/>
                <w:b/>
                <w:sz w:val="13"/>
                <w:szCs w:val="13"/>
              </w:rPr>
              <w:t>《中华人民共和国劳动合同法》订立劳动合同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18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3.报价中不允许出现报价优惠等字样（明细出现“0”元，视同赠送）,投标总价合计金额应与明细报价汇总相等。</w:t>
            </w:r>
          </w:p>
          <w:p>
            <w:pPr>
              <w:snapToGrid w:val="0"/>
              <w:rPr>
                <w:rFonts w:ascii="仿宋" w:hAnsi="仿宋" w:eastAsia="仿宋"/>
                <w:sz w:val="24"/>
                <w:szCs w:val="24"/>
              </w:rPr>
            </w:pPr>
            <w:r>
              <w:rPr>
                <w:rFonts w:ascii="仿宋" w:hAnsi="仿宋" w:eastAsia="仿宋"/>
                <w:b/>
                <w:sz w:val="24"/>
              </w:rPr>
              <w:t>4</w:t>
            </w:r>
            <w:r>
              <w:rPr>
                <w:rFonts w:hint="eastAsia" w:ascii="仿宋" w:hAnsi="仿宋" w:eastAsia="仿宋"/>
                <w:b/>
                <w:sz w:val="24"/>
                <w:szCs w:val="24"/>
              </w:rPr>
              <w:t>.开标时，招标方在电子交易平台公开投标人的报价信息，投标人对报价信息进行确认。投标人对报价信息不予确认的不影响后续评标过程。</w:t>
            </w:r>
          </w:p>
        </w:tc>
      </w:tr>
    </w:tbl>
    <w:p>
      <w:pPr>
        <w:snapToGrid w:val="0"/>
        <w:spacing w:line="360" w:lineRule="auto"/>
        <w:rPr>
          <w:rFonts w:ascii="仿宋" w:hAnsi="仿宋" w:eastAsia="仿宋"/>
          <w:sz w:val="30"/>
          <w:szCs w:val="30"/>
        </w:rPr>
      </w:pPr>
    </w:p>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line="360" w:lineRule="auto"/>
        <w:rPr>
          <w:rFonts w:ascii="仿宋" w:hAnsi="仿宋" w:eastAsia="仿宋"/>
          <w:sz w:val="30"/>
          <w:szCs w:val="30"/>
        </w:rPr>
      </w:pPr>
      <w:r>
        <w:rPr>
          <w:rFonts w:ascii="仿宋" w:hAnsi="仿宋" w:eastAsia="仿宋"/>
          <w:sz w:val="30"/>
          <w:szCs w:val="30"/>
        </w:rPr>
        <w:br w:type="page"/>
      </w:r>
    </w:p>
    <w:p>
      <w:pPr>
        <w:pStyle w:val="32"/>
        <w:snapToGrid w:val="0"/>
        <w:spacing w:before="120" w:after="120" w:line="240" w:lineRule="auto"/>
        <w:jc w:val="center"/>
        <w:rPr>
          <w:rFonts w:hAnsi="宋体"/>
          <w:b/>
          <w:sz w:val="36"/>
          <w:szCs w:val="36"/>
        </w:rPr>
      </w:pPr>
      <w:r>
        <w:rPr>
          <w:rFonts w:hint="eastAsia" w:hAnsi="宋体"/>
          <w:b/>
          <w:sz w:val="36"/>
          <w:szCs w:val="36"/>
        </w:rPr>
        <w:t>开 标 一 览 表</w:t>
      </w:r>
    </w:p>
    <w:p>
      <w:pPr>
        <w:pStyle w:val="32"/>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u w:val="single"/>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b/>
          <w:sz w:val="24"/>
          <w:szCs w:val="24"/>
          <w:u w:val="single"/>
        </w:rPr>
      </w:pPr>
    </w:p>
    <w:tbl>
      <w:tblPr>
        <w:tblStyle w:val="59"/>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997"/>
        <w:gridCol w:w="992"/>
        <w:gridCol w:w="992"/>
        <w:gridCol w:w="851"/>
        <w:gridCol w:w="142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9"/>
            <w:tcBorders>
              <w:top w:val="single" w:color="auto" w:sz="4" w:space="0"/>
              <w:bottom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宋体" w:hAnsi="宋体" w:cs="宋体"/>
                <w:kern w:val="0"/>
                <w:sz w:val="24"/>
              </w:rPr>
              <w:t>工程项目名称</w:t>
            </w:r>
          </w:p>
        </w:tc>
        <w:tc>
          <w:tcPr>
            <w:tcW w:w="997"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ascii="仿宋" w:hAnsi="仿宋" w:eastAsia="仿宋"/>
                <w:b/>
                <w:sz w:val="24"/>
                <w:szCs w:val="24"/>
              </w:rPr>
              <w:t>施工范围</w:t>
            </w:r>
          </w:p>
        </w:tc>
        <w:tc>
          <w:tcPr>
            <w:tcW w:w="99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具体内容</w:t>
            </w:r>
          </w:p>
        </w:tc>
        <w:tc>
          <w:tcPr>
            <w:tcW w:w="99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ascii="仿宋" w:hAnsi="仿宋" w:eastAsia="仿宋"/>
                <w:b/>
                <w:sz w:val="24"/>
                <w:szCs w:val="24"/>
              </w:rPr>
              <w:t>施工工期</w:t>
            </w:r>
          </w:p>
        </w:tc>
        <w:tc>
          <w:tcPr>
            <w:tcW w:w="85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单价（元）</w:t>
            </w:r>
          </w:p>
        </w:tc>
        <w:tc>
          <w:tcPr>
            <w:tcW w:w="142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696" w:type="dxa"/>
            <w:gridSpan w:val="2"/>
            <w:tcBorders>
              <w:top w:val="single" w:color="auto" w:sz="4" w:space="0"/>
              <w:left w:val="single" w:color="auto" w:sz="4" w:space="0"/>
              <w:bottom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承建工程的企业情况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997"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42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是否中小企业</w:t>
            </w:r>
          </w:p>
        </w:tc>
        <w:tc>
          <w:tcPr>
            <w:tcW w:w="1419" w:type="dxa"/>
            <w:tcBorders>
              <w:top w:val="single" w:color="auto" w:sz="4" w:space="0"/>
              <w:left w:val="single" w:color="auto" w:sz="4" w:space="0"/>
              <w:bottom w:val="nil"/>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tcBorders>
              <w:top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7"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42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nil"/>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9"/>
            <w:tcBorders>
              <w:top w:val="single" w:color="auto" w:sz="4" w:space="0"/>
              <w:bottom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512" w:type="dxa"/>
            <w:gridSpan w:val="8"/>
            <w:tcBorders>
              <w:top w:val="single" w:color="auto" w:sz="4" w:space="0"/>
              <w:left w:val="single" w:color="auto" w:sz="4" w:space="0"/>
              <w:bottom w:val="single" w:color="auto" w:sz="4" w:space="0"/>
            </w:tcBorders>
            <w:vAlign w:val="center"/>
          </w:tcPr>
          <w:p>
            <w:pPr>
              <w:snapToGrid w:val="0"/>
              <w:jc w:val="lef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此表应按项目的明细情况列项填报</w:t>
            </w:r>
            <w:r>
              <w:rPr>
                <w:rFonts w:ascii="仿宋" w:hAnsi="仿宋" w:eastAsia="仿宋"/>
                <w:sz w:val="24"/>
                <w:szCs w:val="24"/>
              </w:rPr>
              <w:t>,</w:t>
            </w:r>
            <w:r>
              <w:rPr>
                <w:rFonts w:hint="eastAsia" w:ascii="仿宋" w:hAnsi="仿宋" w:eastAsia="仿宋"/>
                <w:sz w:val="24"/>
                <w:szCs w:val="24"/>
              </w:rPr>
              <w:t>在填写时，如上表不适合本项目的实际情况，可在确保投标明细内容完整的情况下，根据上表格式自行划表填写。</w:t>
            </w:r>
          </w:p>
          <w:p>
            <w:pPr>
              <w:snapToGrid w:val="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报价要求：项目费用包括项目实施所需的工程费、工时费、服务费、运输费、安装调试费、税费及其他一切费用。</w:t>
            </w:r>
          </w:p>
          <w:p>
            <w:pPr>
              <w:snapToGrid w:val="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报价中不允许出现报价优惠等字样（明细出现“</w:t>
            </w:r>
            <w:r>
              <w:rPr>
                <w:rFonts w:ascii="仿宋" w:hAnsi="仿宋" w:eastAsia="仿宋"/>
                <w:sz w:val="24"/>
                <w:szCs w:val="24"/>
              </w:rPr>
              <w:t>0</w:t>
            </w:r>
            <w:r>
              <w:rPr>
                <w:rFonts w:hint="eastAsia" w:ascii="仿宋" w:hAnsi="仿宋" w:eastAsia="仿宋"/>
                <w:sz w:val="24"/>
                <w:szCs w:val="24"/>
              </w:rPr>
              <w:t>”元，视同赠送）</w:t>
            </w:r>
            <w:r>
              <w:rPr>
                <w:rFonts w:ascii="仿宋" w:hAnsi="仿宋" w:eastAsia="仿宋"/>
                <w:sz w:val="24"/>
                <w:szCs w:val="24"/>
              </w:rPr>
              <w:t>,</w:t>
            </w:r>
            <w:r>
              <w:rPr>
                <w:rFonts w:hint="eastAsia" w:ascii="仿宋" w:hAnsi="仿宋" w:eastAsia="仿宋"/>
                <w:sz w:val="24"/>
                <w:szCs w:val="24"/>
              </w:rPr>
              <w:t>投标总价合计金额应与明细报价汇总相等。</w:t>
            </w:r>
          </w:p>
          <w:p>
            <w:pPr>
              <w:snapToGrid w:val="0"/>
              <w:rPr>
                <w:rFonts w:ascii="仿宋" w:hAnsi="仿宋" w:eastAsia="仿宋"/>
                <w:sz w:val="24"/>
                <w:szCs w:val="24"/>
              </w:rPr>
            </w:pPr>
            <w:r>
              <w:rPr>
                <w:rFonts w:ascii="仿宋" w:hAnsi="仿宋" w:eastAsia="仿宋"/>
                <w:b/>
                <w:sz w:val="24"/>
              </w:rPr>
              <w:t>4.</w:t>
            </w:r>
            <w:r>
              <w:rPr>
                <w:rFonts w:hint="eastAsia" w:ascii="仿宋" w:hAnsi="仿宋" w:eastAsia="仿宋"/>
                <w:sz w:val="24"/>
                <w:szCs w:val="24"/>
              </w:rPr>
              <w:t>开标时，现场工作人员当众拆封，并宣布投标人名称、投标总价合计金额。</w:t>
            </w:r>
          </w:p>
        </w:tc>
      </w:tr>
    </w:tbl>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widowControl/>
        <w:tabs>
          <w:tab w:val="center" w:pos="4755"/>
          <w:tab w:val="right" w:pos="9070"/>
        </w:tabs>
        <w:jc w:val="left"/>
        <w:rPr>
          <w:rFonts w:ascii="宋体" w:cs="Arial"/>
          <w:kern w:val="0"/>
          <w:sz w:val="18"/>
          <w:szCs w:val="18"/>
        </w:rPr>
      </w:pPr>
    </w:p>
    <w:p>
      <w:pPr>
        <w:pStyle w:val="41"/>
      </w:pPr>
    </w:p>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pStyle w:val="2"/>
        <w:rPr>
          <w:rFonts w:ascii="仿宋" w:hAnsi="仿宋" w:eastAsia="仿宋"/>
          <w:sz w:val="30"/>
          <w:szCs w:val="30"/>
        </w:rPr>
      </w:pPr>
    </w:p>
    <w:p>
      <w:pPr>
        <w:pStyle w:val="2"/>
        <w:rPr>
          <w:rFonts w:ascii="仿宋" w:hAnsi="仿宋" w:eastAsia="仿宋"/>
          <w:sz w:val="30"/>
          <w:szCs w:val="30"/>
        </w:rPr>
      </w:pPr>
    </w:p>
    <w:p>
      <w:pPr>
        <w:pStyle w:val="2"/>
        <w:rPr>
          <w:rFonts w:ascii="仿宋" w:hAnsi="仿宋" w:eastAsia="仿宋"/>
          <w:sz w:val="30"/>
          <w:szCs w:val="30"/>
        </w:rPr>
      </w:pPr>
    </w:p>
    <w:p>
      <w:pPr>
        <w:pStyle w:val="2"/>
        <w:rPr>
          <w:rFonts w:ascii="仿宋" w:hAnsi="仿宋" w:eastAsia="仿宋"/>
          <w:sz w:val="30"/>
          <w:szCs w:val="30"/>
        </w:rPr>
      </w:pPr>
    </w:p>
    <w:p>
      <w:pPr>
        <w:snapToGrid w:val="0"/>
        <w:spacing w:before="50" w:after="50"/>
        <w:jc w:val="left"/>
        <w:rPr>
          <w:rFonts w:ascii="仿宋" w:hAnsi="仿宋" w:eastAsia="仿宋"/>
          <w:sz w:val="30"/>
          <w:szCs w:val="30"/>
        </w:rPr>
      </w:pPr>
      <w:r>
        <w:rPr>
          <w:rFonts w:hint="eastAsia" w:ascii="仿宋" w:hAnsi="仿宋" w:eastAsia="仿宋"/>
          <w:sz w:val="30"/>
          <w:szCs w:val="30"/>
        </w:rPr>
        <w:t>附件</w:t>
      </w:r>
      <w:r>
        <w:rPr>
          <w:rFonts w:hint="eastAsia" w:ascii="仿宋" w:hAnsi="仿宋" w:eastAsia="仿宋"/>
          <w:sz w:val="30"/>
          <w:szCs w:val="30"/>
          <w:lang w:val="en-US" w:eastAsia="zh-CN"/>
        </w:rPr>
        <w:t>18</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pPr>
        <w:snapToGrid w:val="0"/>
        <w:spacing w:line="360" w:lineRule="auto"/>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本公司（联合体）郑重声明，根据《政府采购促进中小企业发展管理办法》（财库﹝2020﹞46 号）的规定，本公司（联合体）参加</w:t>
      </w:r>
      <w:r>
        <w:rPr>
          <w:rFonts w:ascii="仿宋" w:hAnsi="仿宋" w:eastAsia="仿宋"/>
          <w:sz w:val="28"/>
          <w:szCs w:val="28"/>
          <w:u w:val="single"/>
        </w:rPr>
        <w:t>（单位名称）</w:t>
      </w:r>
      <w:r>
        <w:rPr>
          <w:rFonts w:ascii="仿宋" w:hAnsi="仿宋" w:eastAsia="仿宋"/>
          <w:sz w:val="28"/>
          <w:szCs w:val="28"/>
        </w:rPr>
        <w:t>的</w:t>
      </w:r>
      <w:r>
        <w:rPr>
          <w:rFonts w:ascii="仿宋" w:hAnsi="仿宋" w:eastAsia="仿宋"/>
          <w:sz w:val="28"/>
          <w:szCs w:val="28"/>
          <w:u w:val="single"/>
        </w:rPr>
        <w:t>（项目名称）</w:t>
      </w:r>
      <w:r>
        <w:rPr>
          <w:rFonts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1.</w:t>
      </w:r>
      <w:r>
        <w:rPr>
          <w:rFonts w:ascii="仿宋" w:hAnsi="仿宋" w:eastAsia="仿宋"/>
          <w:sz w:val="28"/>
          <w:szCs w:val="28"/>
          <w:u w:val="single"/>
        </w:rPr>
        <w:t>（标的名称）</w:t>
      </w:r>
      <w:r>
        <w:rPr>
          <w:rFonts w:ascii="仿宋" w:hAnsi="仿宋" w:eastAsia="仿宋"/>
          <w:sz w:val="28"/>
          <w:szCs w:val="28"/>
        </w:rPr>
        <w:t>，属于</w:t>
      </w:r>
      <w:r>
        <w:rPr>
          <w:rFonts w:ascii="仿宋" w:hAnsi="仿宋" w:eastAsia="仿宋"/>
          <w:sz w:val="28"/>
          <w:szCs w:val="28"/>
          <w:u w:val="single"/>
        </w:rPr>
        <w:t>（采购文件中明确的所属行业） 行业</w:t>
      </w:r>
      <w:r>
        <w:rPr>
          <w:rFonts w:ascii="仿宋" w:hAnsi="仿宋" w:eastAsia="仿宋"/>
          <w:sz w:val="28"/>
          <w:szCs w:val="28"/>
        </w:rPr>
        <w:t>；制造商为</w:t>
      </w:r>
      <w:r>
        <w:rPr>
          <w:rFonts w:ascii="仿宋" w:hAnsi="仿宋" w:eastAsia="仿宋"/>
          <w:sz w:val="28"/>
          <w:szCs w:val="28"/>
          <w:u w:val="single"/>
        </w:rPr>
        <w:t>（企业名称）</w:t>
      </w:r>
      <w:r>
        <w:rPr>
          <w:rFonts w:ascii="仿宋" w:hAnsi="仿宋" w:eastAsia="仿宋"/>
          <w:sz w:val="28"/>
          <w:szCs w:val="28"/>
        </w:rPr>
        <w:t>，从业人员</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人，营业收入为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万元，资产总额为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w:t>
      </w:r>
      <w:r>
        <w:rPr>
          <w:rFonts w:ascii="仿宋" w:hAnsi="仿宋" w:eastAsia="仿宋"/>
          <w:sz w:val="28"/>
          <w:szCs w:val="28"/>
          <w:vertAlign w:val="superscript"/>
        </w:rPr>
        <w:t xml:space="preserve"> 1</w:t>
      </w:r>
      <w:r>
        <w:rPr>
          <w:rFonts w:ascii="仿宋" w:hAnsi="仿宋" w:eastAsia="仿宋"/>
          <w:sz w:val="28"/>
          <w:szCs w:val="28"/>
        </w:rPr>
        <w:t>，属于</w:t>
      </w:r>
      <w:r>
        <w:rPr>
          <w:rFonts w:ascii="仿宋" w:hAnsi="仿宋" w:eastAsia="仿宋"/>
          <w:sz w:val="28"/>
          <w:szCs w:val="28"/>
          <w:u w:val="single"/>
        </w:rPr>
        <w:t>（中型企业、小型企业、微型企业）</w:t>
      </w:r>
      <w:r>
        <w:rPr>
          <w:rFonts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2.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 xml:space="preserve">采购文件中明确的所属行业） </w:t>
      </w:r>
      <w:r>
        <w:rPr>
          <w:rFonts w:ascii="仿宋" w:hAnsi="仿宋" w:eastAsia="仿宋"/>
          <w:sz w:val="28"/>
          <w:szCs w:val="28"/>
        </w:rPr>
        <w:t>行业；制造商为</w:t>
      </w:r>
      <w:r>
        <w:rPr>
          <w:rFonts w:ascii="仿宋" w:hAnsi="仿宋" w:eastAsia="仿宋"/>
          <w:sz w:val="28"/>
          <w:szCs w:val="28"/>
          <w:u w:val="single"/>
        </w:rPr>
        <w:t>（企业名称）</w:t>
      </w:r>
      <w:r>
        <w:rPr>
          <w:rFonts w:ascii="仿宋" w:hAnsi="仿宋" w:eastAsia="仿宋"/>
          <w:sz w:val="28"/>
          <w:szCs w:val="28"/>
        </w:rPr>
        <w:t>，从业人员</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人，营业收入为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万元，资产总额为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万元，属于</w:t>
      </w:r>
      <w:r>
        <w:rPr>
          <w:rFonts w:ascii="仿宋" w:hAnsi="仿宋" w:eastAsia="仿宋"/>
          <w:sz w:val="28"/>
          <w:szCs w:val="28"/>
          <w:u w:val="single"/>
        </w:rPr>
        <w:t>（中型企业、小型企业、微型企业）</w:t>
      </w:r>
      <w:r>
        <w:rPr>
          <w:rFonts w:ascii="仿宋" w:hAnsi="仿宋" w:eastAsia="仿宋"/>
          <w:sz w:val="28"/>
          <w:szCs w:val="28"/>
        </w:rPr>
        <w:t>；</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本企业对上述声明内容的真实性负责。如有虚假，将依法承担相应责任。</w:t>
      </w:r>
    </w:p>
    <w:p>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ascii="仿宋" w:hAnsi="仿宋" w:eastAsia="仿宋"/>
          <w:sz w:val="28"/>
          <w:szCs w:val="28"/>
          <w:u w:val="single"/>
        </w:rPr>
        <w:t xml:space="preserve">         </w:t>
      </w:r>
    </w:p>
    <w:p>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pStyle w:val="32"/>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60" w:lineRule="auto"/>
        <w:jc w:val="right"/>
        <w:rPr>
          <w:rFonts w:ascii="仿宋" w:hAnsi="仿宋" w:eastAsia="仿宋"/>
          <w:sz w:val="28"/>
          <w:szCs w:val="28"/>
        </w:rPr>
      </w:pPr>
    </w:p>
    <w:p>
      <w:pPr>
        <w:widowControl/>
        <w:jc w:val="left"/>
        <w:rPr>
          <w:rFonts w:ascii="仿宋" w:hAnsi="仿宋" w:eastAsia="仿宋"/>
          <w:b/>
          <w:sz w:val="36"/>
          <w:szCs w:val="36"/>
        </w:rPr>
      </w:pPr>
      <w:r>
        <w:rPr>
          <w:rFonts w:ascii="仿宋" w:hAnsi="仿宋" w:eastAsia="仿宋"/>
          <w:b/>
          <w:sz w:val="36"/>
          <w:szCs w:val="36"/>
        </w:rPr>
        <w:br w:type="page"/>
      </w:r>
    </w:p>
    <w:p>
      <w:pPr>
        <w:snapToGrid w:val="0"/>
        <w:spacing w:before="50" w:after="50"/>
        <w:jc w:val="center"/>
        <w:rPr>
          <w:rFonts w:ascii="仿宋" w:hAnsi="仿宋" w:eastAsia="仿宋"/>
          <w:b/>
          <w:sz w:val="36"/>
          <w:szCs w:val="36"/>
        </w:rPr>
      </w:pPr>
      <w:r>
        <w:rPr>
          <w:rFonts w:ascii="仿宋" w:hAnsi="仿宋" w:eastAsia="仿宋"/>
          <w:b/>
          <w:sz w:val="36"/>
          <w:szCs w:val="36"/>
        </w:rPr>
        <w:t>中小企业声明函（工程、服务）</w:t>
      </w:r>
    </w:p>
    <w:p>
      <w:pPr>
        <w:snapToGrid w:val="0"/>
        <w:spacing w:line="312" w:lineRule="auto"/>
        <w:ind w:firstLine="560" w:firstLineChars="200"/>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本公司（联合体）郑重声明，根据《政府采购促进中小企业发展管理办法》（财库﹝2020﹞46 号）的规定，本公司（联合体）参加</w:t>
      </w:r>
      <w:r>
        <w:rPr>
          <w:rFonts w:ascii="仿宋" w:hAnsi="仿宋" w:eastAsia="仿宋"/>
          <w:sz w:val="28"/>
          <w:szCs w:val="28"/>
          <w:u w:val="single"/>
        </w:rPr>
        <w:t>（单位名称）</w:t>
      </w:r>
      <w:r>
        <w:rPr>
          <w:rFonts w:ascii="仿宋" w:hAnsi="仿宋" w:eastAsia="仿宋"/>
          <w:sz w:val="28"/>
          <w:szCs w:val="28"/>
        </w:rPr>
        <w:t>的</w:t>
      </w:r>
      <w:r>
        <w:rPr>
          <w:rFonts w:ascii="仿宋" w:hAnsi="仿宋" w:eastAsia="仿宋"/>
          <w:sz w:val="28"/>
          <w:szCs w:val="28"/>
          <w:u w:val="single"/>
        </w:rPr>
        <w:t>（项目名称）</w:t>
      </w:r>
      <w:r>
        <w:rPr>
          <w:rFonts w:ascii="仿宋" w:hAnsi="仿宋" w:eastAsia="仿宋"/>
          <w:sz w:val="28"/>
          <w:szCs w:val="28"/>
        </w:rPr>
        <w:t>采购活动，工程的施工单位全部为符合政策要求的中小企业（或者：服务全部由符合政策要求的中小企业承接</w:t>
      </w:r>
      <w:r>
        <w:rPr>
          <w:rFonts w:hint="eastAsia" w:ascii="仿宋" w:hAnsi="仿宋" w:eastAsia="仿宋"/>
          <w:sz w:val="28"/>
          <w:szCs w:val="28"/>
        </w:rPr>
        <w:t>，即提供服务的人员为中小企业依照《中华人民共和国劳动合同法》订立劳动合同的从业人员</w:t>
      </w:r>
      <w:r>
        <w:rPr>
          <w:rFonts w:ascii="仿宋" w:hAnsi="仿宋" w:eastAsia="仿宋"/>
          <w:sz w:val="28"/>
          <w:szCs w:val="28"/>
        </w:rPr>
        <w:t xml:space="preserve">）。相关企业（含联合体中的中小企业、签订分包意向协议的中小企业）的具体情况如下：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1.</w:t>
      </w:r>
      <w:r>
        <w:rPr>
          <w:rFonts w:ascii="仿宋" w:hAnsi="仿宋" w:eastAsia="仿宋"/>
          <w:sz w:val="28"/>
          <w:szCs w:val="28"/>
          <w:u w:val="single"/>
        </w:rPr>
        <w:t>（标的名称）</w:t>
      </w:r>
      <w:r>
        <w:rPr>
          <w:rFonts w:ascii="仿宋" w:hAnsi="仿宋" w:eastAsia="仿宋"/>
          <w:sz w:val="28"/>
          <w:szCs w:val="28"/>
        </w:rPr>
        <w:t>，属于</w:t>
      </w:r>
      <w:r>
        <w:rPr>
          <w:rFonts w:ascii="仿宋" w:hAnsi="仿宋" w:eastAsia="仿宋"/>
          <w:sz w:val="28"/>
          <w:szCs w:val="28"/>
          <w:u w:val="single"/>
        </w:rPr>
        <w:t>（采购文件中明确的所属行业）</w:t>
      </w:r>
      <w:r>
        <w:rPr>
          <w:rFonts w:ascii="仿宋" w:hAnsi="仿宋" w:eastAsia="仿宋"/>
          <w:sz w:val="28"/>
          <w:szCs w:val="28"/>
        </w:rPr>
        <w:t>； 承建（承接）企业为</w:t>
      </w:r>
      <w:r>
        <w:rPr>
          <w:rFonts w:ascii="仿宋" w:hAnsi="仿宋" w:eastAsia="仿宋"/>
          <w:sz w:val="28"/>
          <w:szCs w:val="28"/>
          <w:u w:val="single"/>
        </w:rPr>
        <w:t>（企业名称）</w:t>
      </w:r>
      <w:r>
        <w:rPr>
          <w:rFonts w:ascii="仿宋" w:hAnsi="仿宋" w:eastAsia="仿宋"/>
          <w:sz w:val="28"/>
          <w:szCs w:val="28"/>
        </w:rPr>
        <w:t>，从业人员</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人，营业收入为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万元，资产总额为</w:t>
      </w:r>
      <w:r>
        <w:rPr>
          <w:rFonts w:ascii="仿宋" w:hAnsi="仿宋" w:eastAsia="仿宋"/>
          <w:sz w:val="28"/>
          <w:szCs w:val="28"/>
          <w:u w:val="single"/>
        </w:rPr>
        <w:t xml:space="preserve">       </w:t>
      </w:r>
      <w:r>
        <w:rPr>
          <w:rFonts w:ascii="仿宋" w:hAnsi="仿宋" w:eastAsia="仿宋"/>
          <w:sz w:val="28"/>
          <w:szCs w:val="28"/>
        </w:rPr>
        <w:t>万元</w:t>
      </w:r>
      <w:r>
        <w:rPr>
          <w:rFonts w:ascii="仿宋" w:hAnsi="仿宋" w:eastAsia="仿宋"/>
          <w:sz w:val="28"/>
          <w:szCs w:val="28"/>
          <w:vertAlign w:val="superscript"/>
        </w:rPr>
        <w:t xml:space="preserve"> 1</w:t>
      </w:r>
      <w:r>
        <w:rPr>
          <w:rFonts w:ascii="仿宋" w:hAnsi="仿宋" w:eastAsia="仿宋"/>
          <w:sz w:val="28"/>
          <w:szCs w:val="28"/>
        </w:rPr>
        <w:t>，属于</w:t>
      </w:r>
      <w:r>
        <w:rPr>
          <w:rFonts w:ascii="仿宋" w:hAnsi="仿宋" w:eastAsia="仿宋"/>
          <w:sz w:val="28"/>
          <w:szCs w:val="28"/>
          <w:u w:val="single"/>
        </w:rPr>
        <w:t>（中型企业、小型企业、微型企业）</w:t>
      </w:r>
      <w:r>
        <w:rPr>
          <w:rFonts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2.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（采购文件中明确的所属行业）</w:t>
      </w:r>
      <w:r>
        <w:rPr>
          <w:rFonts w:ascii="仿宋" w:hAnsi="仿宋" w:eastAsia="仿宋"/>
          <w:sz w:val="28"/>
          <w:szCs w:val="28"/>
        </w:rPr>
        <w:t>；承建（承接）企业为</w:t>
      </w:r>
      <w:r>
        <w:rPr>
          <w:rFonts w:ascii="仿宋" w:hAnsi="仿宋" w:eastAsia="仿宋"/>
          <w:sz w:val="28"/>
          <w:szCs w:val="28"/>
          <w:u w:val="single"/>
        </w:rPr>
        <w:t>（企业名称）</w:t>
      </w:r>
      <w:r>
        <w:rPr>
          <w:rFonts w:ascii="仿宋" w:hAnsi="仿宋" w:eastAsia="仿宋"/>
          <w:sz w:val="28"/>
          <w:szCs w:val="28"/>
        </w:rPr>
        <w:t>，从业人员</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人，营业收入为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万元，资产总额为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万元，属于</w:t>
      </w:r>
      <w:r>
        <w:rPr>
          <w:rFonts w:ascii="仿宋" w:hAnsi="仿宋" w:eastAsia="仿宋"/>
          <w:sz w:val="28"/>
          <w:szCs w:val="28"/>
          <w:u w:val="single"/>
        </w:rPr>
        <w:t>（中型企业、小型企业、微型企业）</w:t>
      </w:r>
      <w:r>
        <w:rPr>
          <w:rFonts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以上企业，不属于大企业的分支机构，不存在控股股东为大企业的情形，也不存在与大企业的负责人为同一人的情形。</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本企业对上述声明内容的真实性负责。如有虚假，将依法承担相应责任。 </w:t>
      </w:r>
    </w:p>
    <w:p>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w:t>
      </w:r>
      <w:r>
        <w:rPr>
          <w:rFonts w:ascii="仿宋" w:hAnsi="仿宋" w:eastAsia="仿宋"/>
          <w:sz w:val="28"/>
          <w:szCs w:val="28"/>
        </w:rPr>
        <w:t>名称（盖章）：</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 xml:space="preserve"> </w:t>
      </w:r>
    </w:p>
    <w:p>
      <w:pPr>
        <w:snapToGrid w:val="0"/>
        <w:spacing w:line="312" w:lineRule="auto"/>
        <w:ind w:firstLine="4620" w:firstLineChars="1650"/>
        <w:rPr>
          <w:rFonts w:ascii="仿宋" w:hAnsi="仿宋" w:eastAsia="仿宋"/>
          <w:sz w:val="28"/>
          <w:szCs w:val="28"/>
          <w:u w:val="single"/>
        </w:rPr>
      </w:pPr>
      <w:r>
        <w:rPr>
          <w:rFonts w:ascii="仿宋" w:hAnsi="仿宋" w:eastAsia="仿宋"/>
          <w:sz w:val="28"/>
          <w:szCs w:val="28"/>
        </w:rPr>
        <w:t>日 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pStyle w:val="32"/>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12" w:lineRule="auto"/>
        <w:ind w:firstLine="4620" w:firstLineChars="1650"/>
        <w:rPr>
          <w:rFonts w:ascii="仿宋" w:hAnsi="仿宋" w:eastAsia="仿宋"/>
          <w:sz w:val="28"/>
          <w:szCs w:val="28"/>
        </w:rPr>
      </w:pPr>
    </w:p>
    <w:p>
      <w:pPr>
        <w:snapToGrid w:val="0"/>
        <w:spacing w:line="312" w:lineRule="auto"/>
        <w:ind w:firstLine="753" w:firstLineChars="250"/>
        <w:jc w:val="center"/>
        <w:rPr>
          <w:rFonts w:ascii="仿宋" w:hAnsi="仿宋" w:eastAsia="仿宋"/>
          <w:b/>
          <w:sz w:val="30"/>
          <w:szCs w:val="30"/>
        </w:rPr>
      </w:pPr>
    </w:p>
    <w:p>
      <w:pPr>
        <w:jc w:val="left"/>
        <w:rPr>
          <w:rFonts w:hint="eastAsia" w:ascii="仿宋" w:hAnsi="仿宋" w:eastAsia="仿宋"/>
          <w:sz w:val="30"/>
          <w:szCs w:val="30"/>
        </w:rPr>
      </w:pPr>
    </w:p>
    <w:p>
      <w:pPr>
        <w:jc w:val="left"/>
        <w:rPr>
          <w:rFonts w:hint="eastAsia" w:ascii="仿宋" w:hAnsi="仿宋" w:eastAsia="仿宋"/>
          <w:sz w:val="30"/>
          <w:szCs w:val="30"/>
        </w:rPr>
      </w:pPr>
    </w:p>
    <w:p>
      <w:pPr>
        <w:jc w:val="left"/>
        <w:rPr>
          <w:rFonts w:hint="eastAsia" w:ascii="仿宋" w:hAnsi="仿宋" w:eastAsia="仿宋"/>
          <w:sz w:val="30"/>
          <w:szCs w:val="30"/>
        </w:rPr>
      </w:pPr>
    </w:p>
    <w:p>
      <w:pPr>
        <w:jc w:val="left"/>
        <w:rPr>
          <w:rFonts w:ascii="仿宋" w:hAnsi="仿宋" w:eastAsia="仿宋"/>
        </w:rPr>
      </w:pPr>
      <w:r>
        <w:rPr>
          <w:rFonts w:hint="eastAsia" w:ascii="仿宋" w:hAnsi="仿宋" w:eastAsia="仿宋"/>
          <w:sz w:val="30"/>
          <w:szCs w:val="30"/>
        </w:rPr>
        <w:t>附件</w:t>
      </w:r>
      <w:r>
        <w:rPr>
          <w:rFonts w:hint="eastAsia" w:ascii="仿宋" w:hAnsi="仿宋" w:eastAsia="仿宋"/>
          <w:sz w:val="30"/>
          <w:szCs w:val="30"/>
          <w:lang w:val="en-US" w:eastAsia="zh-CN"/>
        </w:rPr>
        <w:t>19</w:t>
      </w:r>
      <w:r>
        <w:rPr>
          <w:rFonts w:hint="eastAsia" w:ascii="仿宋" w:hAnsi="仿宋" w:eastAsia="仿宋"/>
          <w:sz w:val="30"/>
          <w:szCs w:val="30"/>
        </w:rPr>
        <w:t>：</w:t>
      </w:r>
    </w:p>
    <w:p>
      <w:pPr>
        <w:rPr>
          <w:rFonts w:ascii="仿宋" w:hAnsi="仿宋" w:eastAsia="仿宋"/>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
    <w:p>
      <w:pPr>
        <w:widowControl/>
        <w:jc w:val="left"/>
        <w:rPr>
          <w:rFonts w:ascii="仿宋" w:hAnsi="仿宋" w:eastAsia="仿宋"/>
          <w:sz w:val="30"/>
          <w:szCs w:val="30"/>
        </w:rPr>
      </w:pPr>
    </w:p>
    <w:p>
      <w:pPr>
        <w:widowControl/>
        <w:jc w:val="left"/>
      </w:pPr>
    </w:p>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right="720" w:firstLine="180" w:firstLineChars="10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outside" w:y="1"/>
      <w:rPr>
        <w:rStyle w:val="66"/>
      </w:rPr>
    </w:pPr>
    <w:r>
      <w:fldChar w:fldCharType="begin"/>
    </w:r>
    <w:r>
      <w:rPr>
        <w:rStyle w:val="66"/>
      </w:rPr>
      <w:instrText xml:space="preserve">PAGE  </w:instrText>
    </w:r>
    <w:r>
      <w:fldChar w:fldCharType="end"/>
    </w:r>
  </w:p>
  <w:p>
    <w:pPr>
      <w:pStyle w:val="3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7"/>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3"/>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7"/>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6"/>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8">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9">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0">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2">
    <w:nsid w:val="50517980"/>
    <w:multiLevelType w:val="multilevel"/>
    <w:tmpl w:val="50517980"/>
    <w:lvl w:ilvl="0" w:tentative="0">
      <w:start w:val="7"/>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3">
    <w:nsid w:val="53966095"/>
    <w:multiLevelType w:val="multilevel"/>
    <w:tmpl w:val="53966095"/>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4">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5">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6">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5F534888"/>
    <w:multiLevelType w:val="multilevel"/>
    <w:tmpl w:val="5F534888"/>
    <w:lvl w:ilvl="0" w:tentative="0">
      <w:start w:val="1"/>
      <w:numFmt w:val="bullet"/>
      <w:pStyle w:val="981"/>
      <w:lvlText w:val=""/>
      <w:lvlJc w:val="left"/>
      <w:pPr>
        <w:ind w:left="6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4945FB8"/>
    <w:multiLevelType w:val="multilevel"/>
    <w:tmpl w:val="64945FB8"/>
    <w:lvl w:ilvl="0" w:tentative="0">
      <w:start w:val="4"/>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9">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30">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1">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2">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3">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4">
    <w:nsid w:val="7A5818B4"/>
    <w:multiLevelType w:val="singleLevel"/>
    <w:tmpl w:val="7A5818B4"/>
    <w:lvl w:ilvl="0" w:tentative="0">
      <w:start w:val="10"/>
      <w:numFmt w:val="decimal"/>
      <w:lvlText w:val="%1."/>
      <w:lvlJc w:val="left"/>
      <w:pPr>
        <w:tabs>
          <w:tab w:val="left" w:pos="312"/>
        </w:tabs>
      </w:p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33"/>
  </w:num>
  <w:num w:numId="8">
    <w:abstractNumId w:val="21"/>
  </w:num>
  <w:num w:numId="9">
    <w:abstractNumId w:val="30"/>
    <w:lvlOverride w:ilvl="0">
      <w:startOverride w:val="1"/>
    </w:lvlOverride>
  </w:num>
  <w:num w:numId="10">
    <w:abstractNumId w:val="8"/>
  </w:num>
  <w:num w:numId="1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26"/>
  </w:num>
  <w:num w:numId="15">
    <w:abstractNumId w:val="18"/>
  </w:num>
  <w:num w:numId="16">
    <w:abstractNumId w:val="15"/>
  </w:num>
  <w:num w:numId="17">
    <w:abstractNumId w:val="4"/>
  </w:num>
  <w:num w:numId="18">
    <w:abstractNumId w:val="24"/>
  </w:num>
  <w:num w:numId="19">
    <w:abstractNumId w:val="6"/>
  </w:num>
  <w:num w:numId="20">
    <w:abstractNumId w:val="13"/>
  </w:num>
  <w:num w:numId="21">
    <w:abstractNumId w:val="11"/>
  </w:num>
  <w:num w:numId="22">
    <w:abstractNumId w:val="19"/>
  </w:num>
  <w:num w:numId="23">
    <w:abstractNumId w:val="7"/>
  </w:num>
  <w:num w:numId="24">
    <w:abstractNumId w:val="32"/>
  </w:num>
  <w:num w:numId="25">
    <w:abstractNumId w:val="3"/>
  </w:num>
  <w:num w:numId="26">
    <w:abstractNumId w:val="29"/>
  </w:num>
  <w:num w:numId="27">
    <w:abstractNumId w:val="20"/>
  </w:num>
  <w:num w:numId="28">
    <w:abstractNumId w:val="10"/>
  </w:num>
  <w:num w:numId="29">
    <w:abstractNumId w:val="25"/>
  </w:num>
  <w:num w:numId="30">
    <w:abstractNumId w:val="27"/>
  </w:num>
  <w:num w:numId="31">
    <w:abstractNumId w:val="31"/>
  </w:num>
  <w:num w:numId="32">
    <w:abstractNumId w:val="34"/>
  </w:num>
  <w:num w:numId="33">
    <w:abstractNumId w:val="23"/>
  </w:num>
  <w:num w:numId="34">
    <w:abstractNumId w:val="28"/>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54C"/>
    <w:rsid w:val="00011F26"/>
    <w:rsid w:val="00027C35"/>
    <w:rsid w:val="00027C43"/>
    <w:rsid w:val="000558DD"/>
    <w:rsid w:val="0005715E"/>
    <w:rsid w:val="00067C0B"/>
    <w:rsid w:val="000761E3"/>
    <w:rsid w:val="00077CB2"/>
    <w:rsid w:val="000869A0"/>
    <w:rsid w:val="00090337"/>
    <w:rsid w:val="00093C30"/>
    <w:rsid w:val="00094C22"/>
    <w:rsid w:val="00097B32"/>
    <w:rsid w:val="000A0C44"/>
    <w:rsid w:val="000E67D3"/>
    <w:rsid w:val="000F7EE7"/>
    <w:rsid w:val="00106319"/>
    <w:rsid w:val="00107339"/>
    <w:rsid w:val="0011294A"/>
    <w:rsid w:val="0012017A"/>
    <w:rsid w:val="00122BE2"/>
    <w:rsid w:val="0012623F"/>
    <w:rsid w:val="00137556"/>
    <w:rsid w:val="0014543F"/>
    <w:rsid w:val="00146404"/>
    <w:rsid w:val="00150DAE"/>
    <w:rsid w:val="00154DE9"/>
    <w:rsid w:val="00154E34"/>
    <w:rsid w:val="00162FF4"/>
    <w:rsid w:val="0016687B"/>
    <w:rsid w:val="0017520E"/>
    <w:rsid w:val="001817FD"/>
    <w:rsid w:val="0019410D"/>
    <w:rsid w:val="001A46E4"/>
    <w:rsid w:val="001B3980"/>
    <w:rsid w:val="001D0E9A"/>
    <w:rsid w:val="001D4E39"/>
    <w:rsid w:val="001E31FD"/>
    <w:rsid w:val="001E414A"/>
    <w:rsid w:val="00212302"/>
    <w:rsid w:val="00215FE1"/>
    <w:rsid w:val="00235230"/>
    <w:rsid w:val="0026018F"/>
    <w:rsid w:val="002641A2"/>
    <w:rsid w:val="0027352A"/>
    <w:rsid w:val="00277F9B"/>
    <w:rsid w:val="002828E7"/>
    <w:rsid w:val="002A7CE7"/>
    <w:rsid w:val="002C0058"/>
    <w:rsid w:val="002C2B8B"/>
    <w:rsid w:val="002F2E60"/>
    <w:rsid w:val="00317A1E"/>
    <w:rsid w:val="003325FB"/>
    <w:rsid w:val="003329BE"/>
    <w:rsid w:val="0034148E"/>
    <w:rsid w:val="00342A34"/>
    <w:rsid w:val="00344912"/>
    <w:rsid w:val="00360F0E"/>
    <w:rsid w:val="0036152B"/>
    <w:rsid w:val="00385C93"/>
    <w:rsid w:val="003A0E93"/>
    <w:rsid w:val="003C09C0"/>
    <w:rsid w:val="003C3D38"/>
    <w:rsid w:val="003C6E81"/>
    <w:rsid w:val="003D360E"/>
    <w:rsid w:val="003D653B"/>
    <w:rsid w:val="003E2398"/>
    <w:rsid w:val="003E3F11"/>
    <w:rsid w:val="003F6688"/>
    <w:rsid w:val="003F7362"/>
    <w:rsid w:val="003F7F23"/>
    <w:rsid w:val="00407842"/>
    <w:rsid w:val="00407987"/>
    <w:rsid w:val="00411BA0"/>
    <w:rsid w:val="00443AA3"/>
    <w:rsid w:val="00473394"/>
    <w:rsid w:val="004825F5"/>
    <w:rsid w:val="0048376B"/>
    <w:rsid w:val="0049675C"/>
    <w:rsid w:val="004A290E"/>
    <w:rsid w:val="004A5B3C"/>
    <w:rsid w:val="004A5C90"/>
    <w:rsid w:val="004B659A"/>
    <w:rsid w:val="004C0111"/>
    <w:rsid w:val="004C6130"/>
    <w:rsid w:val="005041FC"/>
    <w:rsid w:val="005145F8"/>
    <w:rsid w:val="00553015"/>
    <w:rsid w:val="005648AE"/>
    <w:rsid w:val="00572BCB"/>
    <w:rsid w:val="005825D8"/>
    <w:rsid w:val="005855C1"/>
    <w:rsid w:val="00590AF8"/>
    <w:rsid w:val="005B70EA"/>
    <w:rsid w:val="005B7985"/>
    <w:rsid w:val="005C254C"/>
    <w:rsid w:val="005D1EAF"/>
    <w:rsid w:val="005D263A"/>
    <w:rsid w:val="005F1705"/>
    <w:rsid w:val="005F25FA"/>
    <w:rsid w:val="006111E0"/>
    <w:rsid w:val="006228C9"/>
    <w:rsid w:val="006326F3"/>
    <w:rsid w:val="00635E67"/>
    <w:rsid w:val="00642B82"/>
    <w:rsid w:val="00647E42"/>
    <w:rsid w:val="006540D2"/>
    <w:rsid w:val="0065516D"/>
    <w:rsid w:val="006A0A89"/>
    <w:rsid w:val="006A75FB"/>
    <w:rsid w:val="006B0911"/>
    <w:rsid w:val="006B13B7"/>
    <w:rsid w:val="006B2E5D"/>
    <w:rsid w:val="006C0BD8"/>
    <w:rsid w:val="006D7075"/>
    <w:rsid w:val="006E1042"/>
    <w:rsid w:val="006E782C"/>
    <w:rsid w:val="006F2BA9"/>
    <w:rsid w:val="006F3E5C"/>
    <w:rsid w:val="00721C7D"/>
    <w:rsid w:val="007456F9"/>
    <w:rsid w:val="00756C25"/>
    <w:rsid w:val="00763A4D"/>
    <w:rsid w:val="00776685"/>
    <w:rsid w:val="007827F7"/>
    <w:rsid w:val="0079512C"/>
    <w:rsid w:val="007B0264"/>
    <w:rsid w:val="007B33D8"/>
    <w:rsid w:val="007B39CD"/>
    <w:rsid w:val="007B3D1A"/>
    <w:rsid w:val="007B697B"/>
    <w:rsid w:val="007C0648"/>
    <w:rsid w:val="007F1C18"/>
    <w:rsid w:val="007F4708"/>
    <w:rsid w:val="007F673D"/>
    <w:rsid w:val="008010EC"/>
    <w:rsid w:val="00803731"/>
    <w:rsid w:val="008048E5"/>
    <w:rsid w:val="008058FE"/>
    <w:rsid w:val="008062F2"/>
    <w:rsid w:val="00807BF9"/>
    <w:rsid w:val="008139C8"/>
    <w:rsid w:val="00814262"/>
    <w:rsid w:val="00816520"/>
    <w:rsid w:val="00821D8F"/>
    <w:rsid w:val="0084546F"/>
    <w:rsid w:val="00856E3D"/>
    <w:rsid w:val="00857AAB"/>
    <w:rsid w:val="008735B0"/>
    <w:rsid w:val="00881ED1"/>
    <w:rsid w:val="00884032"/>
    <w:rsid w:val="00892675"/>
    <w:rsid w:val="008B789C"/>
    <w:rsid w:val="008C5CC6"/>
    <w:rsid w:val="008E1B9C"/>
    <w:rsid w:val="008F6F56"/>
    <w:rsid w:val="009020F3"/>
    <w:rsid w:val="00902C2A"/>
    <w:rsid w:val="00927C0F"/>
    <w:rsid w:val="00932213"/>
    <w:rsid w:val="0093516E"/>
    <w:rsid w:val="00935B2B"/>
    <w:rsid w:val="009412E7"/>
    <w:rsid w:val="009475A8"/>
    <w:rsid w:val="00966169"/>
    <w:rsid w:val="00967842"/>
    <w:rsid w:val="00983B9D"/>
    <w:rsid w:val="009A098E"/>
    <w:rsid w:val="009A1F91"/>
    <w:rsid w:val="009A31CC"/>
    <w:rsid w:val="009C10A1"/>
    <w:rsid w:val="009C11B4"/>
    <w:rsid w:val="009C5B7F"/>
    <w:rsid w:val="009D3237"/>
    <w:rsid w:val="009E16C1"/>
    <w:rsid w:val="009E537A"/>
    <w:rsid w:val="009F00A7"/>
    <w:rsid w:val="00A2541C"/>
    <w:rsid w:val="00A45A96"/>
    <w:rsid w:val="00A51F2B"/>
    <w:rsid w:val="00A66EA1"/>
    <w:rsid w:val="00A73F25"/>
    <w:rsid w:val="00A76567"/>
    <w:rsid w:val="00A8293F"/>
    <w:rsid w:val="00A9015D"/>
    <w:rsid w:val="00AA06E8"/>
    <w:rsid w:val="00AA3F35"/>
    <w:rsid w:val="00AC7ADA"/>
    <w:rsid w:val="00AD2CC9"/>
    <w:rsid w:val="00AD31D5"/>
    <w:rsid w:val="00AE108B"/>
    <w:rsid w:val="00AE1438"/>
    <w:rsid w:val="00AE38A5"/>
    <w:rsid w:val="00AE7939"/>
    <w:rsid w:val="00AF0810"/>
    <w:rsid w:val="00B06CDB"/>
    <w:rsid w:val="00B314E1"/>
    <w:rsid w:val="00B32EBF"/>
    <w:rsid w:val="00B4243E"/>
    <w:rsid w:val="00B52739"/>
    <w:rsid w:val="00B53BD6"/>
    <w:rsid w:val="00B72616"/>
    <w:rsid w:val="00B81671"/>
    <w:rsid w:val="00BB04E9"/>
    <w:rsid w:val="00BB32FC"/>
    <w:rsid w:val="00BB7101"/>
    <w:rsid w:val="00BC424A"/>
    <w:rsid w:val="00BD5BD6"/>
    <w:rsid w:val="00BE56D1"/>
    <w:rsid w:val="00BF76D9"/>
    <w:rsid w:val="00C21114"/>
    <w:rsid w:val="00C22B7F"/>
    <w:rsid w:val="00C373E2"/>
    <w:rsid w:val="00C37614"/>
    <w:rsid w:val="00C42BF5"/>
    <w:rsid w:val="00C50CB8"/>
    <w:rsid w:val="00C71DBA"/>
    <w:rsid w:val="00C8441C"/>
    <w:rsid w:val="00CA40A9"/>
    <w:rsid w:val="00CA5D65"/>
    <w:rsid w:val="00CB10A0"/>
    <w:rsid w:val="00CB2420"/>
    <w:rsid w:val="00CC16EA"/>
    <w:rsid w:val="00CD6786"/>
    <w:rsid w:val="00CD7E3B"/>
    <w:rsid w:val="00CF7379"/>
    <w:rsid w:val="00D03467"/>
    <w:rsid w:val="00D06379"/>
    <w:rsid w:val="00D34D4C"/>
    <w:rsid w:val="00D44872"/>
    <w:rsid w:val="00D6308C"/>
    <w:rsid w:val="00D67996"/>
    <w:rsid w:val="00D96106"/>
    <w:rsid w:val="00D96A0C"/>
    <w:rsid w:val="00DA11B7"/>
    <w:rsid w:val="00DA29C9"/>
    <w:rsid w:val="00DB219B"/>
    <w:rsid w:val="00DD7B8C"/>
    <w:rsid w:val="00E05EDB"/>
    <w:rsid w:val="00E067E5"/>
    <w:rsid w:val="00E201D7"/>
    <w:rsid w:val="00E46FFF"/>
    <w:rsid w:val="00EA67ED"/>
    <w:rsid w:val="00EB408E"/>
    <w:rsid w:val="00EB4162"/>
    <w:rsid w:val="00EB669E"/>
    <w:rsid w:val="00EC58A7"/>
    <w:rsid w:val="00ED4653"/>
    <w:rsid w:val="00EE6377"/>
    <w:rsid w:val="00EF085D"/>
    <w:rsid w:val="00EF1BE1"/>
    <w:rsid w:val="00F211C0"/>
    <w:rsid w:val="00F26784"/>
    <w:rsid w:val="00F65755"/>
    <w:rsid w:val="00F66C93"/>
    <w:rsid w:val="00F755C8"/>
    <w:rsid w:val="00FA5512"/>
    <w:rsid w:val="00FB463D"/>
    <w:rsid w:val="00FC29AB"/>
    <w:rsid w:val="00FC4EAB"/>
    <w:rsid w:val="00FD55EC"/>
    <w:rsid w:val="00FD7182"/>
    <w:rsid w:val="00FD72A0"/>
    <w:rsid w:val="00FE7535"/>
    <w:rsid w:val="00FF3F20"/>
    <w:rsid w:val="011C546E"/>
    <w:rsid w:val="0147516C"/>
    <w:rsid w:val="02744354"/>
    <w:rsid w:val="028B10E0"/>
    <w:rsid w:val="03933C84"/>
    <w:rsid w:val="03B3376C"/>
    <w:rsid w:val="043D7403"/>
    <w:rsid w:val="04481BEF"/>
    <w:rsid w:val="05286C5C"/>
    <w:rsid w:val="05B02463"/>
    <w:rsid w:val="05F31065"/>
    <w:rsid w:val="0664528B"/>
    <w:rsid w:val="070A4100"/>
    <w:rsid w:val="073F6B17"/>
    <w:rsid w:val="08491653"/>
    <w:rsid w:val="086F614F"/>
    <w:rsid w:val="087B2FDF"/>
    <w:rsid w:val="08A252A6"/>
    <w:rsid w:val="0AB06869"/>
    <w:rsid w:val="0B1179FA"/>
    <w:rsid w:val="0B670B18"/>
    <w:rsid w:val="0B9A130A"/>
    <w:rsid w:val="0BCB2764"/>
    <w:rsid w:val="0BED3902"/>
    <w:rsid w:val="0BF97D4F"/>
    <w:rsid w:val="0CBB09AA"/>
    <w:rsid w:val="0D495E17"/>
    <w:rsid w:val="0E9A1008"/>
    <w:rsid w:val="0E9D100B"/>
    <w:rsid w:val="0EBB5F9C"/>
    <w:rsid w:val="0FA64613"/>
    <w:rsid w:val="104A764D"/>
    <w:rsid w:val="10906298"/>
    <w:rsid w:val="109074BD"/>
    <w:rsid w:val="10FF162C"/>
    <w:rsid w:val="11476630"/>
    <w:rsid w:val="121D2E95"/>
    <w:rsid w:val="12CF6E75"/>
    <w:rsid w:val="136C771A"/>
    <w:rsid w:val="144B6889"/>
    <w:rsid w:val="15195F66"/>
    <w:rsid w:val="155F5D26"/>
    <w:rsid w:val="157E67A9"/>
    <w:rsid w:val="163B11FB"/>
    <w:rsid w:val="172C7B6B"/>
    <w:rsid w:val="175341EC"/>
    <w:rsid w:val="1828072D"/>
    <w:rsid w:val="187E6991"/>
    <w:rsid w:val="1F0623EB"/>
    <w:rsid w:val="1F385027"/>
    <w:rsid w:val="201C3673"/>
    <w:rsid w:val="20486EB0"/>
    <w:rsid w:val="20D72C6B"/>
    <w:rsid w:val="21D30254"/>
    <w:rsid w:val="22610926"/>
    <w:rsid w:val="22731EF1"/>
    <w:rsid w:val="2292252C"/>
    <w:rsid w:val="26A632A5"/>
    <w:rsid w:val="26E26D0D"/>
    <w:rsid w:val="27F5006D"/>
    <w:rsid w:val="28001E14"/>
    <w:rsid w:val="283D5DD0"/>
    <w:rsid w:val="298F31DD"/>
    <w:rsid w:val="2B8011C3"/>
    <w:rsid w:val="2FF65780"/>
    <w:rsid w:val="32177E66"/>
    <w:rsid w:val="33501EBC"/>
    <w:rsid w:val="37BF1E48"/>
    <w:rsid w:val="383360A6"/>
    <w:rsid w:val="38E43AAD"/>
    <w:rsid w:val="394F7A84"/>
    <w:rsid w:val="3968202E"/>
    <w:rsid w:val="39A9547B"/>
    <w:rsid w:val="3AF62F6E"/>
    <w:rsid w:val="3B2E0AFF"/>
    <w:rsid w:val="3B5A029B"/>
    <w:rsid w:val="3BF31A27"/>
    <w:rsid w:val="3CA179E0"/>
    <w:rsid w:val="3FDE0F63"/>
    <w:rsid w:val="404D27E7"/>
    <w:rsid w:val="413475CD"/>
    <w:rsid w:val="41E26F48"/>
    <w:rsid w:val="4269128C"/>
    <w:rsid w:val="43135BA1"/>
    <w:rsid w:val="434308E0"/>
    <w:rsid w:val="441E6876"/>
    <w:rsid w:val="44C22560"/>
    <w:rsid w:val="45C80354"/>
    <w:rsid w:val="46BB4C61"/>
    <w:rsid w:val="46CA18EC"/>
    <w:rsid w:val="46FE6DA0"/>
    <w:rsid w:val="47D4105D"/>
    <w:rsid w:val="48125BF1"/>
    <w:rsid w:val="4BC845BA"/>
    <w:rsid w:val="4C0F0439"/>
    <w:rsid w:val="4C24104C"/>
    <w:rsid w:val="4D444EE2"/>
    <w:rsid w:val="4E4A4A27"/>
    <w:rsid w:val="4E944B48"/>
    <w:rsid w:val="50620517"/>
    <w:rsid w:val="50622232"/>
    <w:rsid w:val="5096018A"/>
    <w:rsid w:val="510014C0"/>
    <w:rsid w:val="51763831"/>
    <w:rsid w:val="51EE1595"/>
    <w:rsid w:val="52DE06D5"/>
    <w:rsid w:val="52EA4E0E"/>
    <w:rsid w:val="531C0235"/>
    <w:rsid w:val="55EA2050"/>
    <w:rsid w:val="56060A9C"/>
    <w:rsid w:val="567A623C"/>
    <w:rsid w:val="57D612D4"/>
    <w:rsid w:val="58FE314D"/>
    <w:rsid w:val="59BC2AF5"/>
    <w:rsid w:val="59E0153C"/>
    <w:rsid w:val="5A622445"/>
    <w:rsid w:val="5B3C2B2B"/>
    <w:rsid w:val="5B4120C3"/>
    <w:rsid w:val="5B6F1659"/>
    <w:rsid w:val="5DB44A35"/>
    <w:rsid w:val="5E285FAD"/>
    <w:rsid w:val="5E634138"/>
    <w:rsid w:val="5EAD45B5"/>
    <w:rsid w:val="5F212A85"/>
    <w:rsid w:val="60146252"/>
    <w:rsid w:val="60D52403"/>
    <w:rsid w:val="61A22EF3"/>
    <w:rsid w:val="61A81ADA"/>
    <w:rsid w:val="61E12671"/>
    <w:rsid w:val="61FA12B8"/>
    <w:rsid w:val="62605C3B"/>
    <w:rsid w:val="62DA335F"/>
    <w:rsid w:val="631B3C3E"/>
    <w:rsid w:val="6355569A"/>
    <w:rsid w:val="63EB7FC5"/>
    <w:rsid w:val="64551B8E"/>
    <w:rsid w:val="64906E31"/>
    <w:rsid w:val="64992302"/>
    <w:rsid w:val="64BC3D95"/>
    <w:rsid w:val="650872EE"/>
    <w:rsid w:val="651B0D0A"/>
    <w:rsid w:val="65452047"/>
    <w:rsid w:val="67413905"/>
    <w:rsid w:val="6796356D"/>
    <w:rsid w:val="687F0E69"/>
    <w:rsid w:val="699D4E89"/>
    <w:rsid w:val="69A01D46"/>
    <w:rsid w:val="69CE2957"/>
    <w:rsid w:val="6AB246FD"/>
    <w:rsid w:val="6B411F98"/>
    <w:rsid w:val="6C071A63"/>
    <w:rsid w:val="6D90706A"/>
    <w:rsid w:val="6DC608C8"/>
    <w:rsid w:val="6E157B81"/>
    <w:rsid w:val="6E946BF8"/>
    <w:rsid w:val="6EE45EFC"/>
    <w:rsid w:val="6F201FBF"/>
    <w:rsid w:val="6F6F5722"/>
    <w:rsid w:val="700C2CB9"/>
    <w:rsid w:val="70CA115B"/>
    <w:rsid w:val="7157011A"/>
    <w:rsid w:val="722217A9"/>
    <w:rsid w:val="72393BF5"/>
    <w:rsid w:val="767C6C5F"/>
    <w:rsid w:val="76BE4146"/>
    <w:rsid w:val="76C22869"/>
    <w:rsid w:val="76F7160C"/>
    <w:rsid w:val="789E775C"/>
    <w:rsid w:val="7A4B5E5F"/>
    <w:rsid w:val="7BE61E1D"/>
    <w:rsid w:val="7C4C4A95"/>
    <w:rsid w:val="7D1968F8"/>
    <w:rsid w:val="7DB9769F"/>
    <w:rsid w:val="7E407BFD"/>
    <w:rsid w:val="7E907B94"/>
    <w:rsid w:val="7F106973"/>
    <w:rsid w:val="7FA81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qFormat="1"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qFormat="1" w:uiPriority="99" w:name="endnote text"/>
    <w:lsdException w:qFormat="1" w:uiPriority="99" w:name="table of authorities"/>
    <w:lsdException w:uiPriority="99" w:name="macro"/>
    <w:lsdException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uiPriority="99" w:name="List 4"/>
    <w:lsdException w:uiPriority="99" w:name="List 5"/>
    <w:lsdException w:qFormat="1" w:uiPriority="99" w:name="List Bullet 2"/>
    <w:lsdException w:uiPriority="99" w:name="List Bullet 3"/>
    <w:lsdException w:qFormat="1" w:uiPriority="99" w:name="List Bullet 4"/>
    <w:lsdException w:qFormat="1" w:uiPriority="99" w:name="List Bullet 5"/>
    <w:lsdException w:qFormat="1"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iPriority="99" w:name="Body Text Indent"/>
    <w:lsdException w:uiPriority="99" w:name="List Continue"/>
    <w:lsdException w:qFormat="1"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qFormat="1" w:uiPriority="99" w:name="Date"/>
    <w:lsdException w:qFormat="1" w:unhideWhenUsed="0" w:uiPriority="0" w:semiHidden="0" w:name="Body Text First Indent"/>
    <w:lsdException w:qFormat="1"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name="annotation subject"/>
    <w:lsdException w:qFormat="1"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iPriority="99" w:name="Placeholder Text"/>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72"/>
    <w:qFormat/>
    <w:uiPriority w:val="0"/>
    <w:pPr>
      <w:autoSpaceDE w:val="0"/>
      <w:autoSpaceDN w:val="0"/>
      <w:adjustRightInd w:val="0"/>
      <w:spacing w:line="360" w:lineRule="auto"/>
      <w:jc w:val="center"/>
      <w:outlineLvl w:val="0"/>
    </w:pPr>
    <w:rPr>
      <w:rFonts w:eastAsia="隶书"/>
      <w:b/>
      <w:bCs/>
      <w:kern w:val="0"/>
      <w:sz w:val="36"/>
      <w:szCs w:val="36"/>
    </w:rPr>
  </w:style>
  <w:style w:type="paragraph" w:styleId="5">
    <w:name w:val="heading 2"/>
    <w:basedOn w:val="1"/>
    <w:next w:val="1"/>
    <w:link w:val="229"/>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74"/>
    <w:qFormat/>
    <w:uiPriority w:val="9"/>
    <w:pPr>
      <w:keepNext/>
      <w:keepLines/>
      <w:spacing w:before="260" w:after="260" w:line="416" w:lineRule="auto"/>
      <w:outlineLvl w:val="2"/>
    </w:pPr>
    <w:rPr>
      <w:b/>
      <w:bCs/>
      <w:sz w:val="32"/>
      <w:szCs w:val="32"/>
    </w:rPr>
  </w:style>
  <w:style w:type="paragraph" w:styleId="7">
    <w:name w:val="heading 4"/>
    <w:basedOn w:val="1"/>
    <w:next w:val="1"/>
    <w:link w:val="75"/>
    <w:semiHidden/>
    <w:unhideWhenUsed/>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76"/>
    <w:semiHidden/>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9">
    <w:name w:val="heading 6"/>
    <w:basedOn w:val="1"/>
    <w:next w:val="1"/>
    <w:link w:val="77"/>
    <w:semiHidden/>
    <w:unhideWhenUsed/>
    <w:qFormat/>
    <w:uiPriority w:val="9"/>
    <w:pPr>
      <w:keepNext/>
      <w:keepLines/>
      <w:spacing w:before="240" w:after="64" w:line="320" w:lineRule="auto"/>
      <w:outlineLvl w:val="5"/>
    </w:pPr>
    <w:rPr>
      <w:rFonts w:ascii="Arial" w:hAnsi="Arial" w:eastAsia="黑体"/>
      <w:b/>
      <w:bCs/>
      <w:sz w:val="24"/>
      <w:szCs w:val="24"/>
    </w:rPr>
  </w:style>
  <w:style w:type="paragraph" w:styleId="10">
    <w:name w:val="heading 7"/>
    <w:basedOn w:val="1"/>
    <w:next w:val="1"/>
    <w:link w:val="78"/>
    <w:semiHidden/>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11">
    <w:name w:val="heading 8"/>
    <w:basedOn w:val="1"/>
    <w:next w:val="1"/>
    <w:link w:val="79"/>
    <w:semiHidden/>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2">
    <w:name w:val="heading 9"/>
    <w:basedOn w:val="1"/>
    <w:next w:val="1"/>
    <w:link w:val="80"/>
    <w:semiHidden/>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qFormat/>
    <w:uiPriority w:val="0"/>
  </w:style>
  <w:style w:type="table" w:default="1" w:styleId="59">
    <w:name w:val="Normal Table"/>
    <w:unhideWhenUsed/>
    <w:qFormat/>
    <w:uiPriority w:val="99"/>
    <w:tblPr>
      <w:tblCellMar>
        <w:top w:w="0" w:type="dxa"/>
        <w:left w:w="108" w:type="dxa"/>
        <w:bottom w:w="0" w:type="dxa"/>
        <w:right w:w="108" w:type="dxa"/>
      </w:tblCellMar>
    </w:tblPr>
  </w:style>
  <w:style w:type="paragraph" w:styleId="2">
    <w:name w:val="Body Text First Indent 2"/>
    <w:basedOn w:val="3"/>
    <w:link w:val="964"/>
    <w:semiHidden/>
    <w:unhideWhenUsed/>
    <w:qFormat/>
    <w:uiPriority w:val="99"/>
    <w:pPr>
      <w:spacing w:after="120" w:line="240" w:lineRule="auto"/>
      <w:ind w:left="420" w:leftChars="200" w:firstLine="420" w:firstLineChars="200"/>
    </w:pPr>
    <w:rPr>
      <w:rFonts w:ascii="Times New Roman" w:hAnsi="Times New Roman"/>
      <w:spacing w:val="0"/>
      <w:sz w:val="21"/>
    </w:rPr>
  </w:style>
  <w:style w:type="paragraph" w:styleId="3">
    <w:name w:val="Body Text Indent"/>
    <w:basedOn w:val="1"/>
    <w:link w:val="86"/>
    <w:semiHidden/>
    <w:unhideWhenUsed/>
    <w:qFormat/>
    <w:uiPriority w:val="99"/>
    <w:pPr>
      <w:spacing w:line="200" w:lineRule="exact"/>
      <w:ind w:firstLine="301"/>
    </w:pPr>
    <w:rPr>
      <w:rFonts w:ascii="宋体" w:hAnsi="Courier New"/>
      <w:spacing w:val="-4"/>
      <w:sz w:val="18"/>
      <w:szCs w:val="20"/>
    </w:rPr>
  </w:style>
  <w:style w:type="paragraph" w:styleId="13">
    <w:name w:val="List 3"/>
    <w:basedOn w:val="1"/>
    <w:semiHidden/>
    <w:unhideWhenUsed/>
    <w:qFormat/>
    <w:uiPriority w:val="99"/>
    <w:pPr>
      <w:ind w:left="100" w:leftChars="400" w:hanging="200" w:hangingChars="200"/>
    </w:pPr>
    <w:rPr>
      <w:rFonts w:ascii="Times New Roman" w:hAnsi="Times New Roman"/>
      <w:szCs w:val="20"/>
    </w:rPr>
  </w:style>
  <w:style w:type="paragraph" w:styleId="14">
    <w:name w:val="toc 7"/>
    <w:basedOn w:val="1"/>
    <w:next w:val="1"/>
    <w:unhideWhenUsed/>
    <w:qFormat/>
    <w:uiPriority w:val="39"/>
    <w:pPr>
      <w:ind w:left="1260"/>
      <w:jc w:val="left"/>
    </w:pPr>
    <w:rPr>
      <w:rFonts w:ascii="Times New Roman" w:hAnsi="Times New Roman"/>
      <w:sz w:val="18"/>
      <w:szCs w:val="18"/>
    </w:rPr>
  </w:style>
  <w:style w:type="paragraph" w:styleId="15">
    <w:name w:val="List Number 2"/>
    <w:basedOn w:val="1"/>
    <w:semiHidden/>
    <w:unhideWhenUsed/>
    <w:qFormat/>
    <w:uiPriority w:val="99"/>
    <w:pPr>
      <w:tabs>
        <w:tab w:val="left" w:pos="432"/>
        <w:tab w:val="left" w:pos="567"/>
      </w:tabs>
      <w:ind w:left="432" w:hanging="432"/>
    </w:pPr>
    <w:rPr>
      <w:rFonts w:ascii="Times New Roman" w:hAnsi="Times New Roman"/>
      <w:sz w:val="28"/>
      <w:szCs w:val="20"/>
    </w:rPr>
  </w:style>
  <w:style w:type="paragraph" w:styleId="16">
    <w:name w:val="table of authorities"/>
    <w:basedOn w:val="1"/>
    <w:next w:val="1"/>
    <w:semiHidden/>
    <w:unhideWhenUsed/>
    <w:qFormat/>
    <w:uiPriority w:val="99"/>
    <w:pPr>
      <w:numPr>
        <w:ilvl w:val="0"/>
        <w:numId w:val="1"/>
      </w:numPr>
      <w:ind w:left="200" w:leftChars="200"/>
    </w:pPr>
    <w:rPr>
      <w:rFonts w:ascii="Times New Roman" w:hAnsi="Times New Roman"/>
      <w:sz w:val="18"/>
      <w:szCs w:val="24"/>
    </w:rPr>
  </w:style>
  <w:style w:type="paragraph" w:styleId="17">
    <w:name w:val="List Bullet 4"/>
    <w:basedOn w:val="1"/>
    <w:semiHidden/>
    <w:unhideWhenUsed/>
    <w:qFormat/>
    <w:uiPriority w:val="99"/>
    <w:pPr>
      <w:numPr>
        <w:ilvl w:val="0"/>
        <w:numId w:val="2"/>
      </w:numPr>
    </w:pPr>
    <w:rPr>
      <w:rFonts w:ascii="Times New Roman" w:hAnsi="Times New Roman"/>
      <w:szCs w:val="24"/>
    </w:rPr>
  </w:style>
  <w:style w:type="paragraph" w:styleId="18">
    <w:name w:val="List Number"/>
    <w:basedOn w:val="1"/>
    <w:semiHidden/>
    <w:unhideWhenUsed/>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9">
    <w:name w:val="Normal Indent"/>
    <w:basedOn w:val="1"/>
    <w:link w:val="372"/>
    <w:unhideWhenUsed/>
    <w:qFormat/>
    <w:uiPriority w:val="99"/>
    <w:pPr>
      <w:ind w:firstLine="420"/>
    </w:pPr>
    <w:rPr>
      <w:szCs w:val="20"/>
    </w:rPr>
  </w:style>
  <w:style w:type="paragraph" w:styleId="20">
    <w:name w:val="caption"/>
    <w:basedOn w:val="1"/>
    <w:next w:val="1"/>
    <w:link w:val="107"/>
    <w:semiHidden/>
    <w:unhideWhenUsed/>
    <w:qFormat/>
    <w:uiPriority w:val="35"/>
    <w:pPr>
      <w:spacing w:before="152" w:after="160"/>
    </w:pPr>
    <w:rPr>
      <w:rFonts w:ascii="Arial" w:hAnsi="Arial" w:eastAsia="黑体"/>
      <w:sz w:val="20"/>
      <w:szCs w:val="20"/>
    </w:rPr>
  </w:style>
  <w:style w:type="paragraph" w:styleId="21">
    <w:name w:val="List Bullet"/>
    <w:basedOn w:val="1"/>
    <w:semiHidden/>
    <w:unhideWhenUsed/>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2">
    <w:name w:val="Document Map"/>
    <w:basedOn w:val="1"/>
    <w:link w:val="81"/>
    <w:semiHidden/>
    <w:unhideWhenUsed/>
    <w:qFormat/>
    <w:uiPriority w:val="99"/>
    <w:rPr>
      <w:rFonts w:ascii="宋体"/>
      <w:sz w:val="18"/>
      <w:szCs w:val="18"/>
    </w:rPr>
  </w:style>
  <w:style w:type="paragraph" w:styleId="23">
    <w:name w:val="annotation text"/>
    <w:basedOn w:val="1"/>
    <w:link w:val="82"/>
    <w:semiHidden/>
    <w:unhideWhenUsed/>
    <w:qFormat/>
    <w:uiPriority w:val="99"/>
    <w:pPr>
      <w:jc w:val="left"/>
    </w:pPr>
  </w:style>
  <w:style w:type="paragraph" w:styleId="24">
    <w:name w:val="Salutation"/>
    <w:basedOn w:val="1"/>
    <w:next w:val="1"/>
    <w:link w:val="83"/>
    <w:semiHidden/>
    <w:unhideWhenUsed/>
    <w:qFormat/>
    <w:uiPriority w:val="99"/>
    <w:rPr>
      <w:rFonts w:ascii="宋体" w:hAnsi="Times New Roman"/>
      <w:b/>
      <w:sz w:val="28"/>
      <w:szCs w:val="20"/>
    </w:rPr>
  </w:style>
  <w:style w:type="paragraph" w:styleId="25">
    <w:name w:val="Body Text 3"/>
    <w:basedOn w:val="1"/>
    <w:link w:val="84"/>
    <w:semiHidden/>
    <w:unhideWhenUsed/>
    <w:qFormat/>
    <w:uiPriority w:val="99"/>
    <w:pPr>
      <w:snapToGrid w:val="0"/>
      <w:spacing w:before="50" w:after="50"/>
    </w:pPr>
    <w:rPr>
      <w:rFonts w:ascii="Times New Roman" w:hAnsi="宋体" w:eastAsia="仿宋_GB2312"/>
      <w:b/>
      <w:bCs/>
      <w:sz w:val="24"/>
      <w:szCs w:val="20"/>
    </w:rPr>
  </w:style>
  <w:style w:type="paragraph" w:styleId="26">
    <w:name w:val="Body Text"/>
    <w:basedOn w:val="1"/>
    <w:link w:val="85"/>
    <w:qFormat/>
    <w:uiPriority w:val="0"/>
    <w:pPr>
      <w:spacing w:after="120"/>
    </w:pPr>
    <w:rPr>
      <w:sz w:val="28"/>
      <w:szCs w:val="24"/>
    </w:rPr>
  </w:style>
  <w:style w:type="paragraph" w:styleId="27">
    <w:name w:val="List Number 3"/>
    <w:basedOn w:val="1"/>
    <w:semiHidden/>
    <w:unhideWhenUsed/>
    <w:qFormat/>
    <w:uiPriority w:val="99"/>
    <w:pPr>
      <w:numPr>
        <w:ilvl w:val="0"/>
        <w:numId w:val="3"/>
      </w:numPr>
    </w:pPr>
    <w:rPr>
      <w:rFonts w:ascii="Times New Roman" w:hAnsi="Times New Roman"/>
      <w:szCs w:val="24"/>
    </w:rPr>
  </w:style>
  <w:style w:type="paragraph" w:styleId="28">
    <w:name w:val="List 2"/>
    <w:basedOn w:val="1"/>
    <w:semiHidden/>
    <w:unhideWhenUsed/>
    <w:qFormat/>
    <w:uiPriority w:val="99"/>
    <w:pPr>
      <w:ind w:left="100" w:leftChars="200" w:hanging="200" w:hangingChars="200"/>
    </w:pPr>
    <w:rPr>
      <w:rFonts w:ascii="Times New Roman" w:hAnsi="Times New Roman"/>
      <w:sz w:val="28"/>
      <w:szCs w:val="24"/>
    </w:rPr>
  </w:style>
  <w:style w:type="paragraph" w:styleId="29">
    <w:name w:val="List Bullet 2"/>
    <w:basedOn w:val="1"/>
    <w:semiHidden/>
    <w:unhideWhenUsed/>
    <w:qFormat/>
    <w:uiPriority w:val="99"/>
    <w:pPr>
      <w:tabs>
        <w:tab w:val="left" w:pos="780"/>
      </w:tabs>
      <w:ind w:left="780" w:leftChars="200" w:hanging="360" w:hangingChars="200"/>
    </w:pPr>
    <w:rPr>
      <w:rFonts w:ascii="Times New Roman" w:hAnsi="Times New Roman"/>
      <w:szCs w:val="24"/>
    </w:rPr>
  </w:style>
  <w:style w:type="paragraph" w:styleId="30">
    <w:name w:val="toc 5"/>
    <w:basedOn w:val="1"/>
    <w:next w:val="1"/>
    <w:unhideWhenUsed/>
    <w:qFormat/>
    <w:uiPriority w:val="39"/>
    <w:pPr>
      <w:spacing w:afterLines="50"/>
      <w:ind w:left="840"/>
      <w:jc w:val="left"/>
    </w:pPr>
    <w:rPr>
      <w:rFonts w:ascii="Times New Roman" w:hAnsi="Times New Roman"/>
      <w:snapToGrid w:val="0"/>
      <w:kern w:val="0"/>
      <w:sz w:val="18"/>
      <w:szCs w:val="18"/>
    </w:rPr>
  </w:style>
  <w:style w:type="paragraph" w:styleId="31">
    <w:name w:val="toc 3"/>
    <w:basedOn w:val="1"/>
    <w:next w:val="1"/>
    <w:unhideWhenUsed/>
    <w:qFormat/>
    <w:uiPriority w:val="39"/>
    <w:pPr>
      <w:ind w:left="840" w:leftChars="400"/>
    </w:pPr>
  </w:style>
  <w:style w:type="paragraph" w:styleId="32">
    <w:name w:val="Plain Text"/>
    <w:basedOn w:val="1"/>
    <w:link w:val="87"/>
    <w:qFormat/>
    <w:uiPriority w:val="0"/>
    <w:pPr>
      <w:spacing w:beforeLines="50" w:afterLines="50" w:line="400" w:lineRule="exact"/>
    </w:pPr>
    <w:rPr>
      <w:rFonts w:ascii="宋体" w:hAnsi="Courier New"/>
      <w:sz w:val="24"/>
      <w:szCs w:val="24"/>
    </w:rPr>
  </w:style>
  <w:style w:type="paragraph" w:styleId="33">
    <w:name w:val="List Bullet 5"/>
    <w:basedOn w:val="1"/>
    <w:semiHidden/>
    <w:unhideWhenUsed/>
    <w:qFormat/>
    <w:uiPriority w:val="99"/>
    <w:pPr>
      <w:numPr>
        <w:ilvl w:val="0"/>
        <w:numId w:val="4"/>
      </w:numPr>
    </w:pPr>
    <w:rPr>
      <w:rFonts w:ascii="Times New Roman" w:hAnsi="Times New Roman"/>
      <w:szCs w:val="24"/>
    </w:rPr>
  </w:style>
  <w:style w:type="paragraph" w:styleId="34">
    <w:name w:val="toc 8"/>
    <w:basedOn w:val="1"/>
    <w:next w:val="1"/>
    <w:unhideWhenUsed/>
    <w:qFormat/>
    <w:uiPriority w:val="39"/>
    <w:pPr>
      <w:spacing w:afterLines="50"/>
      <w:ind w:left="1470"/>
      <w:jc w:val="left"/>
    </w:pPr>
    <w:rPr>
      <w:rFonts w:ascii="Times New Roman" w:hAnsi="Times New Roman"/>
      <w:snapToGrid w:val="0"/>
      <w:kern w:val="0"/>
      <w:sz w:val="18"/>
      <w:szCs w:val="18"/>
    </w:rPr>
  </w:style>
  <w:style w:type="paragraph" w:styleId="35">
    <w:name w:val="Date"/>
    <w:basedOn w:val="1"/>
    <w:next w:val="1"/>
    <w:link w:val="88"/>
    <w:semiHidden/>
    <w:unhideWhenUsed/>
    <w:qFormat/>
    <w:uiPriority w:val="99"/>
    <w:pPr>
      <w:ind w:left="2500" w:leftChars="2500"/>
    </w:pPr>
    <w:rPr>
      <w:rFonts w:eastAsia="楷体_GB2312"/>
      <w:sz w:val="32"/>
      <w:szCs w:val="20"/>
    </w:rPr>
  </w:style>
  <w:style w:type="paragraph" w:styleId="36">
    <w:name w:val="Body Text Indent 2"/>
    <w:basedOn w:val="1"/>
    <w:link w:val="89"/>
    <w:semiHidden/>
    <w:unhideWhenUsed/>
    <w:qFormat/>
    <w:uiPriority w:val="99"/>
    <w:pPr>
      <w:snapToGrid w:val="0"/>
      <w:ind w:firstLine="542" w:firstLineChars="225"/>
    </w:pPr>
    <w:rPr>
      <w:rFonts w:ascii="仿宋_GB2312" w:hAnsi="宋体"/>
      <w:b/>
      <w:bCs/>
      <w:color w:val="000000"/>
      <w:sz w:val="24"/>
      <w:szCs w:val="24"/>
    </w:rPr>
  </w:style>
  <w:style w:type="paragraph" w:styleId="37">
    <w:name w:val="endnote text"/>
    <w:basedOn w:val="1"/>
    <w:link w:val="90"/>
    <w:semiHidden/>
    <w:unhideWhenUsed/>
    <w:qFormat/>
    <w:uiPriority w:val="99"/>
    <w:pPr>
      <w:numPr>
        <w:ilvl w:val="0"/>
        <w:numId w:val="5"/>
      </w:numPr>
      <w:snapToGrid w:val="0"/>
      <w:spacing w:afterLines="50"/>
      <w:jc w:val="left"/>
    </w:pPr>
    <w:rPr>
      <w:rFonts w:ascii="宋体"/>
      <w:snapToGrid w:val="0"/>
      <w:kern w:val="0"/>
      <w:szCs w:val="20"/>
    </w:rPr>
  </w:style>
  <w:style w:type="paragraph" w:styleId="38">
    <w:name w:val="Balloon Text"/>
    <w:basedOn w:val="1"/>
    <w:link w:val="91"/>
    <w:semiHidden/>
    <w:unhideWhenUsed/>
    <w:qFormat/>
    <w:uiPriority w:val="99"/>
    <w:rPr>
      <w:sz w:val="18"/>
      <w:szCs w:val="18"/>
    </w:rPr>
  </w:style>
  <w:style w:type="paragraph" w:styleId="39">
    <w:name w:val="footer"/>
    <w:basedOn w:val="1"/>
    <w:link w:val="245"/>
    <w:qFormat/>
    <w:uiPriority w:val="0"/>
    <w:pPr>
      <w:tabs>
        <w:tab w:val="center" w:pos="4153"/>
        <w:tab w:val="right" w:pos="8306"/>
      </w:tabs>
      <w:snapToGrid w:val="0"/>
      <w:jc w:val="left"/>
    </w:pPr>
    <w:rPr>
      <w:sz w:val="18"/>
      <w:szCs w:val="18"/>
    </w:rPr>
  </w:style>
  <w:style w:type="paragraph" w:styleId="40">
    <w:name w:val="header"/>
    <w:basedOn w:val="1"/>
    <w:link w:val="379"/>
    <w:qFormat/>
    <w:uiPriority w:val="0"/>
    <w:pPr>
      <w:pBdr>
        <w:bottom w:val="single" w:color="auto" w:sz="6" w:space="1"/>
      </w:pBdr>
      <w:tabs>
        <w:tab w:val="center" w:pos="4153"/>
        <w:tab w:val="right" w:pos="8306"/>
      </w:tabs>
      <w:snapToGrid w:val="0"/>
      <w:jc w:val="center"/>
    </w:pPr>
    <w:rPr>
      <w:sz w:val="18"/>
      <w:szCs w:val="18"/>
    </w:rPr>
  </w:style>
  <w:style w:type="paragraph" w:styleId="41">
    <w:name w:val="toc 1"/>
    <w:basedOn w:val="1"/>
    <w:next w:val="1"/>
    <w:unhideWhenUsed/>
    <w:qFormat/>
    <w:uiPriority w:val="39"/>
    <w:pPr>
      <w:spacing w:before="240" w:after="240"/>
    </w:pPr>
    <w:rPr>
      <w:rFonts w:ascii="Times New Roman" w:hAnsi="Times New Roman" w:eastAsia="仿宋"/>
      <w:sz w:val="36"/>
      <w:szCs w:val="24"/>
    </w:rPr>
  </w:style>
  <w:style w:type="paragraph" w:styleId="42">
    <w:name w:val="toc 4"/>
    <w:basedOn w:val="1"/>
    <w:next w:val="1"/>
    <w:unhideWhenUsed/>
    <w:qFormat/>
    <w:uiPriority w:val="39"/>
    <w:pPr>
      <w:ind w:left="1260" w:leftChars="600"/>
    </w:pPr>
  </w:style>
  <w:style w:type="paragraph" w:styleId="43">
    <w:name w:val="Subtitle"/>
    <w:basedOn w:val="1"/>
    <w:link w:val="94"/>
    <w:qFormat/>
    <w:uiPriority w:val="11"/>
    <w:pPr>
      <w:spacing w:afterLines="50"/>
      <w:jc w:val="center"/>
    </w:pPr>
    <w:rPr>
      <w:rFonts w:ascii="Times New Roman" w:hAnsi="Times New Roman" w:eastAsia="Times New Roman"/>
      <w:sz w:val="18"/>
      <w:szCs w:val="18"/>
    </w:rPr>
  </w:style>
  <w:style w:type="paragraph" w:styleId="44">
    <w:name w:val="List"/>
    <w:basedOn w:val="1"/>
    <w:semiHidden/>
    <w:unhideWhenUsed/>
    <w:qFormat/>
    <w:uiPriority w:val="99"/>
    <w:pPr>
      <w:ind w:left="200" w:hanging="200" w:hangingChars="200"/>
    </w:pPr>
    <w:rPr>
      <w:rFonts w:ascii="Times New Roman" w:hAnsi="Times New Roman"/>
      <w:sz w:val="28"/>
      <w:szCs w:val="24"/>
    </w:rPr>
  </w:style>
  <w:style w:type="paragraph" w:styleId="45">
    <w:name w:val="footnote text"/>
    <w:basedOn w:val="1"/>
    <w:link w:val="95"/>
    <w:semiHidden/>
    <w:unhideWhenUsed/>
    <w:qFormat/>
    <w:uiPriority w:val="99"/>
    <w:pPr>
      <w:snapToGrid w:val="0"/>
      <w:jc w:val="left"/>
    </w:pPr>
    <w:rPr>
      <w:sz w:val="18"/>
      <w:szCs w:val="18"/>
    </w:rPr>
  </w:style>
  <w:style w:type="paragraph" w:styleId="46">
    <w:name w:val="toc 6"/>
    <w:basedOn w:val="1"/>
    <w:next w:val="1"/>
    <w:unhideWhenUsed/>
    <w:qFormat/>
    <w:uiPriority w:val="39"/>
    <w:pPr>
      <w:ind w:left="1050"/>
      <w:jc w:val="left"/>
    </w:pPr>
    <w:rPr>
      <w:rFonts w:ascii="Times New Roman" w:hAnsi="Times New Roman"/>
      <w:sz w:val="18"/>
      <w:szCs w:val="18"/>
    </w:rPr>
  </w:style>
  <w:style w:type="paragraph" w:styleId="47">
    <w:name w:val="Body Text Indent 3"/>
    <w:basedOn w:val="1"/>
    <w:link w:val="96"/>
    <w:semiHidden/>
    <w:unhideWhenUsed/>
    <w:qFormat/>
    <w:uiPriority w:val="99"/>
    <w:pPr>
      <w:snapToGrid w:val="0"/>
      <w:ind w:firstLine="480" w:firstLineChars="200"/>
      <w:jc w:val="left"/>
    </w:pPr>
    <w:rPr>
      <w:rFonts w:ascii="仿宋_GB2312" w:hAnsi="宋体" w:eastAsia="仿宋_GB2312"/>
      <w:color w:val="000000"/>
      <w:sz w:val="24"/>
      <w:szCs w:val="24"/>
    </w:rPr>
  </w:style>
  <w:style w:type="paragraph" w:styleId="48">
    <w:name w:val="table of figures"/>
    <w:basedOn w:val="1"/>
    <w:next w:val="1"/>
    <w:semiHidden/>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49">
    <w:name w:val="toc 2"/>
    <w:basedOn w:val="1"/>
    <w:next w:val="1"/>
    <w:unhideWhenUsed/>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0">
    <w:name w:val="toc 9"/>
    <w:basedOn w:val="1"/>
    <w:next w:val="1"/>
    <w:unhideWhenUsed/>
    <w:qFormat/>
    <w:uiPriority w:val="39"/>
    <w:pPr>
      <w:ind w:left="1680"/>
      <w:jc w:val="left"/>
    </w:pPr>
    <w:rPr>
      <w:rFonts w:ascii="Times New Roman" w:hAnsi="Times New Roman"/>
      <w:sz w:val="18"/>
      <w:szCs w:val="18"/>
    </w:rPr>
  </w:style>
  <w:style w:type="paragraph" w:styleId="51">
    <w:name w:val="Body Text 2"/>
    <w:basedOn w:val="1"/>
    <w:link w:val="97"/>
    <w:semiHidden/>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52">
    <w:name w:val="List Continue 2"/>
    <w:basedOn w:val="1"/>
    <w:semiHidden/>
    <w:unhideWhenUsed/>
    <w:qFormat/>
    <w:uiPriority w:val="99"/>
    <w:pPr>
      <w:widowControl/>
      <w:spacing w:after="120"/>
      <w:ind w:left="840" w:leftChars="400"/>
      <w:jc w:val="left"/>
    </w:pPr>
    <w:rPr>
      <w:rFonts w:ascii="Times New Roman" w:hAnsi="Times New Roman" w:cs="宋体"/>
      <w:kern w:val="0"/>
      <w:sz w:val="24"/>
      <w:szCs w:val="24"/>
    </w:rPr>
  </w:style>
  <w:style w:type="paragraph" w:styleId="53">
    <w:name w:val="HTML Preformatted"/>
    <w:basedOn w:val="1"/>
    <w:link w:val="98"/>
    <w:semiHidden/>
    <w:unhideWhenUsed/>
    <w:qFormat/>
    <w:uiPriority w:val="99"/>
    <w:rPr>
      <w:rFonts w:ascii="Courier New" w:hAnsi="Courier New"/>
      <w:sz w:val="20"/>
      <w:szCs w:val="20"/>
    </w:rPr>
  </w:style>
  <w:style w:type="paragraph" w:styleId="5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55">
    <w:name w:val="index 1"/>
    <w:basedOn w:val="1"/>
    <w:next w:val="1"/>
    <w:semiHidden/>
    <w:unhideWhenUsed/>
    <w:qFormat/>
    <w:uiPriority w:val="99"/>
    <w:rPr>
      <w:rFonts w:ascii="Times New Roman" w:hAnsi="Times New Roman"/>
      <w:szCs w:val="20"/>
    </w:rPr>
  </w:style>
  <w:style w:type="paragraph" w:styleId="56">
    <w:name w:val="Title"/>
    <w:basedOn w:val="1"/>
    <w:next w:val="1"/>
    <w:link w:val="99"/>
    <w:qFormat/>
    <w:uiPriority w:val="10"/>
    <w:pPr>
      <w:spacing w:before="240" w:after="60"/>
      <w:jc w:val="center"/>
      <w:outlineLvl w:val="0"/>
    </w:pPr>
    <w:rPr>
      <w:rFonts w:ascii="Arial" w:hAnsi="Arial"/>
      <w:b/>
      <w:bCs/>
      <w:sz w:val="32"/>
      <w:szCs w:val="32"/>
    </w:rPr>
  </w:style>
  <w:style w:type="paragraph" w:styleId="57">
    <w:name w:val="annotation subject"/>
    <w:basedOn w:val="23"/>
    <w:next w:val="23"/>
    <w:link w:val="963"/>
    <w:semiHidden/>
    <w:unhideWhenUsed/>
    <w:qFormat/>
    <w:uiPriority w:val="99"/>
    <w:rPr>
      <w:b/>
      <w:bCs/>
    </w:rPr>
  </w:style>
  <w:style w:type="paragraph" w:styleId="58">
    <w:name w:val="Body Text First Indent"/>
    <w:basedOn w:val="26"/>
    <w:link w:val="102"/>
    <w:qFormat/>
    <w:uiPriority w:val="0"/>
    <w:pPr>
      <w:ind w:firstLine="420" w:firstLineChars="100"/>
    </w:pPr>
    <w:rPr>
      <w:sz w:val="21"/>
      <w:szCs w:val="22"/>
    </w:rPr>
  </w:style>
  <w:style w:type="table" w:styleId="60">
    <w:name w:val="Table Grid"/>
    <w:basedOn w:val="59"/>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61"/>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unhideWhenUsed/>
    <w:qFormat/>
    <w:uiPriority w:val="99"/>
    <w:rPr>
      <w:color w:val="800080"/>
      <w:u w:val="single"/>
    </w:rPr>
  </w:style>
  <w:style w:type="character" w:styleId="68">
    <w:name w:val="Emphasis"/>
    <w:qFormat/>
    <w:uiPriority w:val="20"/>
    <w:rPr>
      <w:color w:val="CC0033"/>
    </w:rPr>
  </w:style>
  <w:style w:type="character" w:styleId="69">
    <w:name w:val="Hyperlink"/>
    <w:unhideWhenUsed/>
    <w:qFormat/>
    <w:uiPriority w:val="99"/>
    <w:rPr>
      <w:color w:val="0000FF"/>
      <w:u w:val="single"/>
    </w:rPr>
  </w:style>
  <w:style w:type="character" w:styleId="70">
    <w:name w:val="annotation reference"/>
    <w:semiHidden/>
    <w:unhideWhenUsed/>
    <w:qFormat/>
    <w:uiPriority w:val="99"/>
    <w:rPr>
      <w:sz w:val="21"/>
      <w:szCs w:val="21"/>
    </w:rPr>
  </w:style>
  <w:style w:type="character" w:styleId="71">
    <w:name w:val="footnote reference"/>
    <w:semiHidden/>
    <w:unhideWhenUsed/>
    <w:qFormat/>
    <w:uiPriority w:val="99"/>
    <w:rPr>
      <w:vertAlign w:val="superscript"/>
    </w:rPr>
  </w:style>
  <w:style w:type="character" w:customStyle="1" w:styleId="72">
    <w:name w:val="标题 1 字符"/>
    <w:basedOn w:val="64"/>
    <w:link w:val="4"/>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6"/>
    <w:qFormat/>
    <w:uiPriority w:val="9"/>
    <w:rPr>
      <w:rFonts w:ascii="Calibri" w:hAnsi="Calibri" w:eastAsia="宋体" w:cs="Times New Roman"/>
      <w:b/>
      <w:bCs/>
      <w:sz w:val="32"/>
      <w:szCs w:val="32"/>
    </w:rPr>
  </w:style>
  <w:style w:type="character" w:customStyle="1" w:styleId="75">
    <w:name w:val="标题 4 字符"/>
    <w:basedOn w:val="64"/>
    <w:link w:val="7"/>
    <w:qFormat/>
    <w:uiPriority w:val="0"/>
    <w:rPr>
      <w:rFonts w:ascii="Arial" w:hAnsi="Arial" w:eastAsia="黑体" w:cs="Times New Roman"/>
      <w:b/>
      <w:bCs/>
      <w:sz w:val="28"/>
      <w:szCs w:val="28"/>
    </w:rPr>
  </w:style>
  <w:style w:type="character" w:customStyle="1" w:styleId="76">
    <w:name w:val="标题 5 字符"/>
    <w:basedOn w:val="64"/>
    <w:link w:val="8"/>
    <w:qFormat/>
    <w:uiPriority w:val="0"/>
    <w:rPr>
      <w:rFonts w:ascii="Calibri" w:hAnsi="Calibri" w:eastAsia="宋体" w:cs="Times New Roman"/>
      <w:b/>
      <w:bCs/>
      <w:sz w:val="28"/>
      <w:szCs w:val="28"/>
    </w:rPr>
  </w:style>
  <w:style w:type="character" w:customStyle="1" w:styleId="77">
    <w:name w:val="标题 6 字符"/>
    <w:basedOn w:val="64"/>
    <w:link w:val="9"/>
    <w:qFormat/>
    <w:uiPriority w:val="0"/>
    <w:rPr>
      <w:rFonts w:ascii="Arial" w:hAnsi="Arial" w:eastAsia="黑体" w:cs="Times New Roman"/>
      <w:b/>
      <w:bCs/>
      <w:sz w:val="24"/>
      <w:szCs w:val="24"/>
    </w:rPr>
  </w:style>
  <w:style w:type="character" w:customStyle="1" w:styleId="78">
    <w:name w:val="标题 7 字符"/>
    <w:basedOn w:val="64"/>
    <w:link w:val="10"/>
    <w:qFormat/>
    <w:uiPriority w:val="0"/>
    <w:rPr>
      <w:rFonts w:ascii="Calibri" w:hAnsi="Calibri" w:eastAsia="宋体" w:cs="Times New Roman"/>
      <w:b/>
      <w:bCs/>
      <w:sz w:val="24"/>
      <w:szCs w:val="24"/>
    </w:rPr>
  </w:style>
  <w:style w:type="character" w:customStyle="1" w:styleId="79">
    <w:name w:val="标题 8 字符"/>
    <w:basedOn w:val="64"/>
    <w:link w:val="11"/>
    <w:qFormat/>
    <w:uiPriority w:val="0"/>
    <w:rPr>
      <w:rFonts w:ascii="Cambria" w:hAnsi="Cambria" w:eastAsia="宋体" w:cs="Times New Roman"/>
      <w:sz w:val="24"/>
      <w:szCs w:val="24"/>
    </w:rPr>
  </w:style>
  <w:style w:type="character" w:customStyle="1" w:styleId="80">
    <w:name w:val="标题 9 字符"/>
    <w:basedOn w:val="64"/>
    <w:link w:val="12"/>
    <w:qFormat/>
    <w:uiPriority w:val="0"/>
    <w:rPr>
      <w:rFonts w:ascii="Cambria" w:hAnsi="Cambria" w:eastAsia="宋体" w:cs="Times New Roman"/>
      <w:szCs w:val="21"/>
    </w:rPr>
  </w:style>
  <w:style w:type="character" w:customStyle="1" w:styleId="81">
    <w:name w:val="文档结构图 字符"/>
    <w:basedOn w:val="64"/>
    <w:link w:val="22"/>
    <w:qFormat/>
    <w:uiPriority w:val="99"/>
    <w:rPr>
      <w:rFonts w:ascii="宋体" w:hAnsi="Calibri" w:eastAsia="宋体" w:cs="Times New Roman"/>
      <w:sz w:val="18"/>
      <w:szCs w:val="18"/>
    </w:rPr>
  </w:style>
  <w:style w:type="character" w:customStyle="1" w:styleId="82">
    <w:name w:val="批注文字 字符1"/>
    <w:basedOn w:val="64"/>
    <w:link w:val="23"/>
    <w:qFormat/>
    <w:uiPriority w:val="99"/>
    <w:rPr>
      <w:rFonts w:ascii="Calibri" w:hAnsi="Calibri" w:eastAsia="宋体" w:cs="Times New Roman"/>
    </w:rPr>
  </w:style>
  <w:style w:type="character" w:customStyle="1" w:styleId="83">
    <w:name w:val="称呼 字符"/>
    <w:basedOn w:val="64"/>
    <w:link w:val="24"/>
    <w:qFormat/>
    <w:uiPriority w:val="0"/>
    <w:rPr>
      <w:rFonts w:ascii="宋体" w:hAnsi="Times New Roman" w:eastAsia="宋体" w:cs="Times New Roman"/>
      <w:b/>
      <w:sz w:val="28"/>
      <w:szCs w:val="20"/>
    </w:rPr>
  </w:style>
  <w:style w:type="character" w:customStyle="1" w:styleId="84">
    <w:name w:val="正文文本 3 字符"/>
    <w:basedOn w:val="64"/>
    <w:link w:val="25"/>
    <w:qFormat/>
    <w:uiPriority w:val="0"/>
    <w:rPr>
      <w:rFonts w:ascii="Times New Roman" w:hAnsi="宋体" w:eastAsia="仿宋_GB2312" w:cs="Times New Roman"/>
      <w:b/>
      <w:bCs/>
      <w:sz w:val="24"/>
      <w:szCs w:val="20"/>
    </w:rPr>
  </w:style>
  <w:style w:type="character" w:customStyle="1" w:styleId="85">
    <w:name w:val="正文文本 字符1"/>
    <w:basedOn w:val="64"/>
    <w:link w:val="26"/>
    <w:qFormat/>
    <w:uiPriority w:val="0"/>
    <w:rPr>
      <w:rFonts w:ascii="Calibri" w:hAnsi="Calibri" w:eastAsia="宋体" w:cs="Times New Roman"/>
      <w:sz w:val="28"/>
      <w:szCs w:val="24"/>
    </w:rPr>
  </w:style>
  <w:style w:type="character" w:customStyle="1" w:styleId="86">
    <w:name w:val="正文文本缩进 字符1"/>
    <w:basedOn w:val="64"/>
    <w:link w:val="3"/>
    <w:qFormat/>
    <w:uiPriority w:val="0"/>
    <w:rPr>
      <w:rFonts w:ascii="宋体" w:hAnsi="Courier New" w:eastAsia="宋体" w:cs="Times New Roman"/>
      <w:spacing w:val="-4"/>
      <w:sz w:val="18"/>
      <w:szCs w:val="20"/>
    </w:rPr>
  </w:style>
  <w:style w:type="character" w:customStyle="1" w:styleId="87">
    <w:name w:val="纯文本 字符"/>
    <w:basedOn w:val="64"/>
    <w:link w:val="32"/>
    <w:qFormat/>
    <w:uiPriority w:val="0"/>
    <w:rPr>
      <w:rFonts w:ascii="宋体" w:hAnsi="Courier New" w:eastAsia="宋体" w:cs="Times New Roman"/>
      <w:sz w:val="24"/>
      <w:szCs w:val="24"/>
    </w:rPr>
  </w:style>
  <w:style w:type="character" w:customStyle="1" w:styleId="88">
    <w:name w:val="日期 字符"/>
    <w:basedOn w:val="64"/>
    <w:link w:val="35"/>
    <w:qFormat/>
    <w:uiPriority w:val="0"/>
    <w:rPr>
      <w:rFonts w:ascii="Calibri" w:hAnsi="Calibri" w:eastAsia="楷体_GB2312" w:cs="Times New Roman"/>
      <w:sz w:val="32"/>
      <w:szCs w:val="20"/>
    </w:rPr>
  </w:style>
  <w:style w:type="character" w:customStyle="1" w:styleId="89">
    <w:name w:val="正文文本缩进 2 字符"/>
    <w:basedOn w:val="64"/>
    <w:link w:val="36"/>
    <w:qFormat/>
    <w:uiPriority w:val="0"/>
    <w:rPr>
      <w:rFonts w:ascii="仿宋_GB2312" w:hAnsi="宋体" w:eastAsia="宋体" w:cs="Times New Roman"/>
      <w:b/>
      <w:bCs/>
      <w:color w:val="000000"/>
      <w:sz w:val="24"/>
      <w:szCs w:val="24"/>
    </w:rPr>
  </w:style>
  <w:style w:type="character" w:customStyle="1" w:styleId="90">
    <w:name w:val="尾注文本 字符"/>
    <w:basedOn w:val="64"/>
    <w:link w:val="37"/>
    <w:qFormat/>
    <w:uiPriority w:val="0"/>
    <w:rPr>
      <w:rFonts w:ascii="宋体" w:hAnsi="Calibri" w:eastAsia="宋体" w:cs="Times New Roman"/>
      <w:snapToGrid w:val="0"/>
      <w:kern w:val="0"/>
      <w:szCs w:val="20"/>
    </w:rPr>
  </w:style>
  <w:style w:type="character" w:customStyle="1" w:styleId="91">
    <w:name w:val="批注框文本 字符"/>
    <w:basedOn w:val="64"/>
    <w:link w:val="38"/>
    <w:qFormat/>
    <w:uiPriority w:val="0"/>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3"/>
    <w:qFormat/>
    <w:uiPriority w:val="11"/>
    <w:rPr>
      <w:rFonts w:ascii="Times New Roman" w:hAnsi="Times New Roman" w:eastAsia="Times New Roman" w:cs="Times New Roman"/>
      <w:sz w:val="18"/>
      <w:szCs w:val="18"/>
    </w:rPr>
  </w:style>
  <w:style w:type="character" w:customStyle="1" w:styleId="95">
    <w:name w:val="脚注文本 字符"/>
    <w:basedOn w:val="64"/>
    <w:link w:val="45"/>
    <w:qFormat/>
    <w:uiPriority w:val="99"/>
    <w:rPr>
      <w:rFonts w:ascii="Calibri" w:hAnsi="Calibri" w:eastAsia="宋体" w:cs="Times New Roman"/>
      <w:sz w:val="18"/>
      <w:szCs w:val="18"/>
    </w:rPr>
  </w:style>
  <w:style w:type="character" w:customStyle="1" w:styleId="96">
    <w:name w:val="正文文本缩进 3 字符"/>
    <w:basedOn w:val="64"/>
    <w:link w:val="47"/>
    <w:qFormat/>
    <w:uiPriority w:val="0"/>
    <w:rPr>
      <w:rFonts w:ascii="仿宋_GB2312" w:hAnsi="宋体" w:eastAsia="仿宋_GB2312" w:cs="Times New Roman"/>
      <w:color w:val="000000"/>
      <w:sz w:val="24"/>
      <w:szCs w:val="24"/>
    </w:rPr>
  </w:style>
  <w:style w:type="character" w:customStyle="1" w:styleId="97">
    <w:name w:val="正文文本 2 字符"/>
    <w:basedOn w:val="64"/>
    <w:link w:val="51"/>
    <w:qFormat/>
    <w:uiPriority w:val="0"/>
    <w:rPr>
      <w:rFonts w:ascii="宋体" w:hAnsi="宋体" w:eastAsia="宋体" w:cs="Times New Roman"/>
      <w:color w:val="000000"/>
      <w:sz w:val="24"/>
      <w:szCs w:val="24"/>
    </w:rPr>
  </w:style>
  <w:style w:type="character" w:customStyle="1" w:styleId="98">
    <w:name w:val="HTML 预设格式 字符"/>
    <w:basedOn w:val="64"/>
    <w:link w:val="53"/>
    <w:qFormat/>
    <w:uiPriority w:val="99"/>
    <w:rPr>
      <w:rFonts w:ascii="Courier New" w:hAnsi="Courier New" w:eastAsia="宋体" w:cs="Times New Roman"/>
      <w:sz w:val="20"/>
      <w:szCs w:val="20"/>
    </w:rPr>
  </w:style>
  <w:style w:type="character" w:customStyle="1" w:styleId="99">
    <w:name w:val="标题 字符"/>
    <w:basedOn w:val="64"/>
    <w:link w:val="56"/>
    <w:qFormat/>
    <w:uiPriority w:val="0"/>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3"/>
    <w:next w:val="23"/>
    <w:link w:val="100"/>
    <w:qFormat/>
    <w:uiPriority w:val="99"/>
    <w:rPr>
      <w:b/>
      <w:bCs/>
    </w:rPr>
  </w:style>
  <w:style w:type="character" w:customStyle="1" w:styleId="102">
    <w:name w:val="正文首行缩进 字符"/>
    <w:basedOn w:val="85"/>
    <w:link w:val="58"/>
    <w:qFormat/>
    <w:uiPriority w:val="0"/>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0"/>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20"/>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20"/>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7"/>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34"/>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0"/>
    <w:rPr>
      <w:rFonts w:ascii="Arial" w:hAnsi="Arial"/>
      <w:sz w:val="18"/>
      <w:szCs w:val="18"/>
    </w:rPr>
  </w:style>
  <w:style w:type="paragraph" w:customStyle="1" w:styleId="213">
    <w:name w:val="Item List in Table"/>
    <w:link w:val="212"/>
    <w:qFormat/>
    <w:uiPriority w:val="0"/>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10"/>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5"/>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9"/>
    <w:qFormat/>
    <w:uiPriority w:val="0"/>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0"/>
    <w:rPr>
      <w:rFonts w:ascii="Calibri" w:hAnsi="Calibri"/>
      <w:sz w:val="24"/>
      <w:szCs w:val="24"/>
    </w:rPr>
  </w:style>
  <w:style w:type="paragraph" w:customStyle="1" w:styleId="254">
    <w:name w:val="正文4"/>
    <w:basedOn w:val="1"/>
    <w:link w:val="253"/>
    <w:qFormat/>
    <w:uiPriority w:val="0"/>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0"/>
    <w:rPr>
      <w:rFonts w:ascii="仿宋" w:hAnsi="仿宋" w:eastAsia="仿宋"/>
      <w:sz w:val="28"/>
      <w:szCs w:val="21"/>
    </w:rPr>
  </w:style>
  <w:style w:type="paragraph" w:customStyle="1" w:styleId="263">
    <w:name w:val="列表1、"/>
    <w:basedOn w:val="126"/>
    <w:link w:val="262"/>
    <w:qFormat/>
    <w:uiPriority w:val="0"/>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9"/>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semiHidden/>
    <w:unhideWhenUsed/>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0"/>
    <w:rPr>
      <w:rFonts w:ascii="Arial" w:hAnsi="Arial" w:eastAsia="仿宋_GB2312"/>
      <w:b/>
      <w:bCs/>
      <w:sz w:val="28"/>
      <w:szCs w:val="28"/>
    </w:rPr>
  </w:style>
  <w:style w:type="paragraph" w:customStyle="1" w:styleId="336">
    <w:name w:val="ZJGIS-四级标题"/>
    <w:basedOn w:val="7"/>
    <w:link w:val="335"/>
    <w:qFormat/>
    <w:uiPriority w:val="0"/>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0"/>
    <w:rPr>
      <w:rFonts w:ascii="宋体" w:hAnsi="宋体"/>
      <w:bCs/>
      <w:color w:val="000000"/>
      <w:sz w:val="24"/>
      <w:szCs w:val="24"/>
    </w:rPr>
  </w:style>
  <w:style w:type="paragraph" w:customStyle="1" w:styleId="350">
    <w:name w:val="样式 首行缩进:  2 字符"/>
    <w:basedOn w:val="1"/>
    <w:link w:val="349"/>
    <w:qFormat/>
    <w:uiPriority w:val="0"/>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9"/>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40"/>
    <w:qFormat/>
    <w:uiPriority w:val="0"/>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0"/>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5"/>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94">
    <w:name w:val="沈标题四"/>
    <w:basedOn w:val="7"/>
    <w:next w:val="1"/>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6"/>
    <w:qFormat/>
    <w:uiPriority w:val="0"/>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0"/>
    <w:pPr>
      <w:ind w:firstLine="480" w:firstLineChars="200"/>
    </w:pPr>
  </w:style>
  <w:style w:type="paragraph" w:customStyle="1" w:styleId="397">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0"/>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0"/>
    <w:pPr>
      <w:ind w:firstLine="420" w:firstLineChars="200"/>
    </w:pPr>
  </w:style>
  <w:style w:type="paragraph" w:customStyle="1" w:styleId="400">
    <w:name w:val="15"/>
    <w:basedOn w:val="1"/>
    <w:qFormat/>
    <w:uiPriority w:val="0"/>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0"/>
    <w:pPr>
      <w:spacing w:line="288" w:lineRule="auto"/>
      <w:jc w:val="center"/>
    </w:pPr>
    <w:rPr>
      <w:rFonts w:ascii="新宋体" w:hAnsi="Times New Roman" w:eastAsia="新宋体"/>
      <w:sz w:val="24"/>
      <w:szCs w:val="24"/>
    </w:rPr>
  </w:style>
  <w:style w:type="paragraph" w:customStyle="1" w:styleId="402">
    <w:name w:val="xl76"/>
    <w:basedOn w:val="1"/>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0"/>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0"/>
    <w:pPr>
      <w:spacing w:line="360" w:lineRule="auto"/>
    </w:pPr>
    <w:rPr>
      <w:rFonts w:ascii="Times New Roman" w:hAnsi="Times New Roman"/>
      <w:b/>
      <w:i/>
      <w:sz w:val="24"/>
      <w:szCs w:val="24"/>
      <w:u w:val="single"/>
    </w:rPr>
  </w:style>
  <w:style w:type="paragraph" w:customStyle="1" w:styleId="40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0"/>
    <w:pPr>
      <w:spacing w:after="120"/>
    </w:pPr>
    <w:rPr>
      <w:rFonts w:ascii="Times New Roman" w:hAnsi="Times New Roman"/>
      <w:sz w:val="28"/>
      <w:szCs w:val="24"/>
    </w:rPr>
  </w:style>
  <w:style w:type="paragraph" w:customStyle="1" w:styleId="407">
    <w:name w:val="xl70"/>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0"/>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0"/>
    <w:pPr>
      <w:spacing w:line="360" w:lineRule="auto"/>
      <w:jc w:val="center"/>
    </w:pPr>
    <w:rPr>
      <w:rFonts w:ascii="宋体" w:hAnsi="宋体"/>
      <w:b/>
      <w:sz w:val="24"/>
      <w:szCs w:val="24"/>
    </w:rPr>
  </w:style>
  <w:style w:type="paragraph" w:customStyle="1" w:styleId="412">
    <w:name w:val="Char"/>
    <w:basedOn w:val="1"/>
    <w:qFormat/>
    <w:uiPriority w:val="0"/>
    <w:rPr>
      <w:rFonts w:ascii="仿宋_GB2312" w:hAnsi="Times New Roman" w:eastAsia="仿宋_GB2312"/>
      <w:b/>
      <w:sz w:val="32"/>
      <w:szCs w:val="32"/>
    </w:rPr>
  </w:style>
  <w:style w:type="paragraph" w:customStyle="1" w:styleId="413">
    <w:name w:val="font11"/>
    <w:basedOn w:val="1"/>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0"/>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0"/>
    <w:pPr>
      <w:adjustRightInd w:val="0"/>
      <w:snapToGrid w:val="0"/>
      <w:jc w:val="center"/>
    </w:pPr>
    <w:rPr>
      <w:rFonts w:ascii="宋体" w:hAnsi="宋体"/>
      <w:szCs w:val="21"/>
    </w:rPr>
  </w:style>
  <w:style w:type="paragraph" w:customStyle="1" w:styleId="416">
    <w:name w:val="正文浙江中烟安全"/>
    <w:basedOn w:val="1"/>
    <w:qFormat/>
    <w:uiPriority w:val="0"/>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0"/>
    <w:pPr>
      <w:ind w:firstLine="480" w:firstLineChars="200"/>
    </w:pPr>
  </w:style>
  <w:style w:type="paragraph" w:customStyle="1" w:styleId="420">
    <w:name w:val="样式 正文文本缩进 + 仿宋_GB2312 小四 首行缩进:  0 厘米 行距: 1.5 倍行距"/>
    <w:basedOn w:val="3"/>
    <w:qFormat/>
    <w:uiPriority w:val="0"/>
    <w:pPr>
      <w:spacing w:line="360" w:lineRule="auto"/>
      <w:ind w:firstLine="0"/>
    </w:pPr>
    <w:rPr>
      <w:rFonts w:ascii="仿宋_GB2312" w:hAnsi="Times New Roman" w:eastAsia="新宋体"/>
      <w:spacing w:val="0"/>
      <w:sz w:val="24"/>
    </w:rPr>
  </w:style>
  <w:style w:type="paragraph" w:customStyle="1" w:styleId="421">
    <w:name w:val="xl8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0"/>
    <w:pPr>
      <w:ind w:firstLine="562"/>
    </w:pPr>
    <w:rPr>
      <w:rFonts w:ascii="仿宋_GB2312" w:eastAsia="仿宋_GB2312"/>
      <w:b/>
      <w:sz w:val="28"/>
      <w:szCs w:val="28"/>
    </w:rPr>
  </w:style>
  <w:style w:type="paragraph" w:customStyle="1" w:styleId="423">
    <w:name w:val="图名"/>
    <w:basedOn w:val="20"/>
    <w:qFormat/>
    <w:uiPriority w:val="0"/>
    <w:pPr>
      <w:spacing w:beforeLines="50" w:afterLines="50"/>
      <w:jc w:val="center"/>
    </w:pPr>
    <w:rPr>
      <w:rFonts w:ascii="Times New Roman" w:hAnsi="Times New Roman"/>
      <w:kern w:val="0"/>
      <w:sz w:val="24"/>
      <w:szCs w:val="24"/>
    </w:rPr>
  </w:style>
  <w:style w:type="paragraph" w:styleId="424">
    <w:name w:val="No Spacing"/>
    <w:semiHidden/>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20"/>
    <w:qFormat/>
    <w:uiPriority w:val="0"/>
    <w:pPr>
      <w:spacing w:beforeLines="50" w:afterLines="50"/>
      <w:jc w:val="center"/>
    </w:pPr>
    <w:rPr>
      <w:rFonts w:ascii="黑体"/>
      <w:kern w:val="0"/>
      <w:sz w:val="24"/>
      <w:szCs w:val="24"/>
    </w:rPr>
  </w:style>
  <w:style w:type="paragraph" w:customStyle="1" w:styleId="434">
    <w:name w:val="Char Char Char"/>
    <w:basedOn w:val="1"/>
    <w:qFormat/>
    <w:uiPriority w:val="0"/>
    <w:rPr>
      <w:rFonts w:ascii="Tahoma" w:hAnsi="Tahoma"/>
      <w:sz w:val="24"/>
      <w:szCs w:val="20"/>
    </w:rPr>
  </w:style>
  <w:style w:type="paragraph" w:customStyle="1" w:styleId="435">
    <w:name w:val="样式 样式 标题 4 + 段后: 0.5 行1"/>
    <w:basedOn w:val="436"/>
    <w:next w:val="37"/>
    <w:qFormat/>
    <w:uiPriority w:val="0"/>
    <w:pPr>
      <w:numPr>
        <w:ilvl w:val="1"/>
        <w:numId w:val="5"/>
      </w:numPr>
      <w:tabs>
        <w:tab w:val="left" w:pos="2040"/>
      </w:tabs>
      <w:spacing w:after="120"/>
      <w:ind w:left="0" w:firstLine="0"/>
    </w:pPr>
  </w:style>
  <w:style w:type="paragraph" w:customStyle="1" w:styleId="436">
    <w:name w:val="样式 标题 4 + 段后: 0.5 行"/>
    <w:basedOn w:val="7"/>
    <w:qFormat/>
    <w:uiPriority w:val="0"/>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5"/>
    <w:next w:val="1"/>
    <w:qFormat/>
    <w:uiPriority w:val="0"/>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0"/>
    <w:pPr>
      <w:ind w:left="1890" w:leftChars="900"/>
    </w:pPr>
    <w:rPr>
      <w:rFonts w:ascii="Times New Roman" w:hAnsi="Times New Roman"/>
      <w:sz w:val="24"/>
      <w:szCs w:val="24"/>
    </w:rPr>
  </w:style>
  <w:style w:type="paragraph" w:customStyle="1" w:styleId="440">
    <w:name w:val="linyang-正文"/>
    <w:basedOn w:val="1"/>
    <w:qFormat/>
    <w:uiPriority w:val="0"/>
    <w:pPr>
      <w:spacing w:before="120" w:after="120" w:line="400" w:lineRule="exact"/>
      <w:ind w:firstLine="200" w:firstLineChars="200"/>
    </w:pPr>
    <w:rPr>
      <w:rFonts w:ascii="Times New Roman" w:hAnsi="Times New Roman"/>
      <w:sz w:val="24"/>
      <w:szCs w:val="24"/>
    </w:rPr>
  </w:style>
  <w:style w:type="paragraph" w:customStyle="1" w:styleId="441">
    <w:name w:val="标题2"/>
    <w:basedOn w:val="5"/>
    <w:next w:val="6"/>
    <w:qFormat/>
    <w:uiPriority w:val="0"/>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2"/>
    <w:next w:val="1"/>
    <w:qFormat/>
    <w:uiPriority w:val="0"/>
    <w:pPr>
      <w:shd w:val="clear" w:color="auto" w:fill="000080"/>
    </w:pPr>
    <w:rPr>
      <w:rFonts w:ascii="Tahoma" w:hAnsi="Tahoma" w:cs="Tahoma"/>
      <w:kern w:val="0"/>
      <w:szCs w:val="24"/>
    </w:rPr>
  </w:style>
  <w:style w:type="paragraph" w:customStyle="1" w:styleId="44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6"/>
    <w:qFormat/>
    <w:uiPriority w:val="0"/>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0"/>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0"/>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0"/>
    <w:pPr>
      <w:spacing w:after="120" w:line="360" w:lineRule="auto"/>
      <w:jc w:val="center"/>
    </w:pPr>
    <w:rPr>
      <w:rFonts w:ascii="Times New Roman" w:hAnsi="Times New Roman"/>
      <w:szCs w:val="21"/>
    </w:rPr>
  </w:style>
  <w:style w:type="paragraph" w:customStyle="1" w:styleId="452">
    <w:name w:val="P2"/>
    <w:basedOn w:val="1"/>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2"/>
    <w:qFormat/>
    <w:uiPriority w:val="0"/>
    <w:pPr>
      <w:spacing w:beforeLines="0" w:afterLines="0" w:line="360" w:lineRule="auto"/>
    </w:pPr>
    <w:rPr>
      <w:b/>
      <w:sz w:val="30"/>
      <w:szCs w:val="20"/>
    </w:rPr>
  </w:style>
  <w:style w:type="paragraph" w:customStyle="1" w:styleId="455">
    <w:name w:val="Normal0"/>
    <w:qFormat/>
    <w:uiPriority w:val="0"/>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0"/>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6"/>
    <w:qFormat/>
    <w:uiPriority w:val="0"/>
    <w:rPr>
      <w:rFonts w:ascii="Arial" w:hAnsi="Arial"/>
      <w:sz w:val="30"/>
    </w:rPr>
  </w:style>
  <w:style w:type="paragraph" w:customStyle="1" w:styleId="458">
    <w:name w:val="书籍标题3"/>
    <w:basedOn w:val="1"/>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0"/>
    <w:pPr>
      <w:spacing w:beforeLines="20" w:afterLines="20"/>
    </w:pPr>
    <w:rPr>
      <w:rFonts w:ascii="楷体_GB2312" w:hAnsi="宋体" w:eastAsia="楷体_GB2312" w:cs="Arial"/>
      <w:kern w:val="0"/>
      <w:sz w:val="24"/>
      <w:szCs w:val="24"/>
    </w:rPr>
  </w:style>
  <w:style w:type="paragraph" w:customStyle="1" w:styleId="46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0"/>
    <w:pPr>
      <w:ind w:firstLine="420"/>
    </w:pPr>
    <w:rPr>
      <w:rFonts w:ascii="Times New Roman" w:hAnsi="Times New Roman"/>
      <w:szCs w:val="20"/>
    </w:rPr>
  </w:style>
  <w:style w:type="paragraph" w:customStyle="1" w:styleId="469">
    <w:name w:val="pa-17"/>
    <w:basedOn w:val="1"/>
    <w:qFormat/>
    <w:uiPriority w:val="0"/>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71">
    <w:name w:val="Char9"/>
    <w:basedOn w:val="1"/>
    <w:qFormat/>
    <w:uiPriority w:val="0"/>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9"/>
    <w:qFormat/>
    <w:uiPriority w:val="0"/>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3"/>
    <w:next w:val="23"/>
    <w:qFormat/>
    <w:uiPriority w:val="99"/>
    <w:rPr>
      <w:b/>
      <w:bCs/>
      <w:kern w:val="0"/>
      <w:sz w:val="20"/>
      <w:szCs w:val="20"/>
    </w:rPr>
  </w:style>
  <w:style w:type="paragraph" w:customStyle="1" w:styleId="47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0"/>
    <w:pPr>
      <w:tabs>
        <w:tab w:val="left" w:pos="1140"/>
      </w:tabs>
      <w:spacing w:after="120"/>
    </w:pPr>
    <w:rPr>
      <w:bCs/>
    </w:rPr>
  </w:style>
  <w:style w:type="paragraph" w:customStyle="1" w:styleId="476">
    <w:name w:val="样式 标题1"/>
    <w:basedOn w:val="477"/>
    <w:next w:val="478"/>
    <w:qFormat/>
    <w:uiPriority w:val="0"/>
    <w:pPr>
      <w:tabs>
        <w:tab w:val="left" w:pos="1140"/>
      </w:tabs>
      <w:spacing w:after="50"/>
      <w:ind w:left="1140" w:hanging="720"/>
    </w:pPr>
    <w:rPr>
      <w:bCs w:val="0"/>
      <w:sz w:val="32"/>
    </w:rPr>
  </w:style>
  <w:style w:type="paragraph" w:customStyle="1" w:styleId="477">
    <w:name w:val="样式 标题 1 + 段后: 0.5 行"/>
    <w:basedOn w:val="4"/>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0"/>
    <w:pPr>
      <w:spacing w:after="120"/>
    </w:pPr>
  </w:style>
  <w:style w:type="paragraph" w:customStyle="1" w:styleId="479">
    <w:name w:val="样式 标题 2"/>
    <w:basedOn w:val="5"/>
    <w:next w:val="480"/>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6"/>
    <w:next w:val="482"/>
    <w:qFormat/>
    <w:uiPriority w:val="0"/>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0"/>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0"/>
    <w:pPr>
      <w:numPr>
        <w:numId w:val="0"/>
      </w:numPr>
      <w:tabs>
        <w:tab w:val="left" w:pos="864"/>
      </w:tabs>
      <w:spacing w:after="120"/>
      <w:ind w:left="864" w:hanging="864"/>
    </w:pPr>
  </w:style>
  <w:style w:type="paragraph" w:customStyle="1" w:styleId="485">
    <w:name w:val="样式 正文"/>
    <w:basedOn w:val="1"/>
    <w:next w:val="1"/>
    <w:qFormat/>
    <w:uiPriority w:val="0"/>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4"/>
    <w:qFormat/>
    <w:uiPriority w:val="0"/>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0"/>
    <w:pPr>
      <w:spacing w:before="80" w:afterLines="50"/>
    </w:pPr>
    <w:rPr>
      <w:rFonts w:ascii="宋体" w:hAnsi="Times New Roman"/>
      <w:snapToGrid w:val="0"/>
      <w:kern w:val="0"/>
      <w:szCs w:val="20"/>
    </w:rPr>
  </w:style>
  <w:style w:type="paragraph" w:customStyle="1" w:styleId="490">
    <w:name w:val="4"/>
    <w:basedOn w:val="1"/>
    <w:qFormat/>
    <w:uiPriority w:val="0"/>
  </w:style>
  <w:style w:type="paragraph" w:customStyle="1" w:styleId="491">
    <w:name w:val="ZJGIS-一级标题"/>
    <w:basedOn w:val="4"/>
    <w:qFormat/>
    <w:uiPriority w:val="0"/>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0"/>
    <w:pPr>
      <w:tabs>
        <w:tab w:val="left" w:pos="432"/>
      </w:tabs>
      <w:ind w:left="432" w:hanging="432"/>
    </w:pPr>
    <w:rPr>
      <w:rFonts w:ascii="Times New Roman" w:hAnsi="Times New Roman"/>
      <w:sz w:val="24"/>
      <w:szCs w:val="24"/>
    </w:rPr>
  </w:style>
  <w:style w:type="paragraph" w:customStyle="1" w:styleId="50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0"/>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0"/>
    <w:pPr>
      <w:widowControl/>
      <w:spacing w:before="360" w:after="360"/>
      <w:jc w:val="center"/>
    </w:pPr>
    <w:rPr>
      <w:rFonts w:ascii="宋体" w:hAnsi="宋体" w:cs="宋体"/>
      <w:kern w:val="0"/>
      <w:sz w:val="24"/>
      <w:szCs w:val="24"/>
    </w:rPr>
  </w:style>
  <w:style w:type="paragraph" w:customStyle="1" w:styleId="506">
    <w:name w:val="pbullet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0"/>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513">
    <w:name w:val="圆点"/>
    <w:basedOn w:val="1"/>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0"/>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0"/>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4"/>
    <w:qFormat/>
    <w:uiPriority w:val="0"/>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0"/>
    <w:rPr>
      <w:rFonts w:ascii="仿宋_GB2312" w:hAnsi="Times New Roman" w:eastAsia="仿宋_GB2312"/>
      <w:b/>
      <w:sz w:val="32"/>
      <w:szCs w:val="32"/>
    </w:rPr>
  </w:style>
  <w:style w:type="paragraph" w:customStyle="1" w:styleId="519">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8"/>
    <w:qFormat/>
    <w:uiPriority w:val="0"/>
    <w:pPr>
      <w:spacing w:after="60"/>
      <w:ind w:left="420" w:firstLine="200" w:firstLineChars="200"/>
    </w:pPr>
    <w:rPr>
      <w:rFonts w:ascii="Times New Roman" w:hAnsi="Times New Roman"/>
      <w:szCs w:val="24"/>
    </w:rPr>
  </w:style>
  <w:style w:type="paragraph" w:customStyle="1" w:styleId="521">
    <w:name w:val="xl114"/>
    <w:basedOn w:val="1"/>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0"/>
    <w:pPr>
      <w:numPr>
        <w:ilvl w:val="0"/>
        <w:numId w:val="14"/>
      </w:numPr>
      <w:spacing w:line="400" w:lineRule="exact"/>
    </w:pPr>
    <w:rPr>
      <w:rFonts w:ascii="Arial" w:hAnsi="Arial"/>
      <w:szCs w:val="24"/>
    </w:rPr>
  </w:style>
  <w:style w:type="paragraph" w:customStyle="1" w:styleId="523">
    <w:name w:val="GP有序编号2级"/>
    <w:basedOn w:val="1"/>
    <w:qFormat/>
    <w:uiPriority w:val="0"/>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0"/>
    <w:pPr>
      <w:spacing w:after="120"/>
    </w:pPr>
  </w:style>
  <w:style w:type="paragraph" w:customStyle="1" w:styleId="526">
    <w:name w:val="标题 3Chapter X.X.X. + 段后: 0.5 行 + 段后: 0.5 行 + 段后: 0.5 行1"/>
    <w:basedOn w:val="527"/>
    <w:qFormat/>
    <w:uiPriority w:val="0"/>
  </w:style>
  <w:style w:type="paragraph" w:customStyle="1" w:styleId="527">
    <w:name w:val="样式 样式 标题 3Chapter X.X.X. + 段后: 0.5 行 + 段后: 0.5 行"/>
    <w:basedOn w:val="528"/>
    <w:qFormat/>
    <w:uiPriority w:val="0"/>
  </w:style>
  <w:style w:type="paragraph" w:customStyle="1" w:styleId="528">
    <w:name w:val="样式 标题 3Chapter X.X.X. + 段后: 0.5 行"/>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0"/>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0"/>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0"/>
    <w:pPr>
      <w:tabs>
        <w:tab w:val="left" w:pos="720"/>
      </w:tabs>
      <w:ind w:hanging="720"/>
    </w:pPr>
  </w:style>
  <w:style w:type="paragraph" w:customStyle="1" w:styleId="535">
    <w:name w:val="S4-L15"/>
    <w:basedOn w:val="1"/>
    <w:qFormat/>
    <w:uiPriority w:val="0"/>
    <w:pPr>
      <w:spacing w:after="120" w:line="360" w:lineRule="auto"/>
      <w:ind w:left="720" w:firstLine="392"/>
    </w:pPr>
    <w:rPr>
      <w:rFonts w:ascii="Times New Roman" w:hAnsi="Times New Roman"/>
      <w:szCs w:val="21"/>
      <w:lang w:val="fr-FR"/>
    </w:rPr>
  </w:style>
  <w:style w:type="paragraph" w:customStyle="1" w:styleId="536">
    <w:name w:val="a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6"/>
    <w:next w:val="1"/>
    <w:qFormat/>
    <w:uiPriority w:val="0"/>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0"/>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0"/>
    <w:pPr>
      <w:tabs>
        <w:tab w:val="left" w:pos="432"/>
      </w:tabs>
      <w:ind w:left="432" w:hanging="432"/>
    </w:pPr>
    <w:rPr>
      <w:rFonts w:ascii="Tahoma" w:hAnsi="Tahoma"/>
      <w:sz w:val="24"/>
      <w:szCs w:val="20"/>
    </w:rPr>
  </w:style>
  <w:style w:type="paragraph" w:customStyle="1" w:styleId="542">
    <w:name w:val="Bullet2"/>
    <w:basedOn w:val="1"/>
    <w:qFormat/>
    <w:uiPriority w:val="0"/>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0"/>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0"/>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0"/>
    <w:pPr>
      <w:spacing w:line="0" w:lineRule="atLeast"/>
    </w:pPr>
    <w:rPr>
      <w:rFonts w:ascii="Times New Roman" w:hAnsi="Times New Roman" w:eastAsia="仿宋_GB2312"/>
      <w:sz w:val="22"/>
      <w:szCs w:val="24"/>
    </w:rPr>
  </w:style>
  <w:style w:type="paragraph" w:customStyle="1" w:styleId="547">
    <w:name w:val="Char3"/>
    <w:basedOn w:val="1"/>
    <w:qFormat/>
    <w:uiPriority w:val="0"/>
    <w:rPr>
      <w:rFonts w:ascii="仿宋_GB2312" w:hAnsi="Times New Roman" w:eastAsia="仿宋_GB2312"/>
      <w:b/>
      <w:sz w:val="32"/>
      <w:szCs w:val="20"/>
    </w:rPr>
  </w:style>
  <w:style w:type="paragraph" w:customStyle="1" w:styleId="548">
    <w:name w:val="此正文"/>
    <w:basedOn w:val="1"/>
    <w:qFormat/>
    <w:uiPriority w:val="0"/>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0"/>
    <w:pPr>
      <w:tabs>
        <w:tab w:val="left" w:pos="360"/>
      </w:tabs>
      <w:ind w:firstLine="420" w:firstLineChars="150"/>
    </w:pPr>
    <w:rPr>
      <w:rFonts w:ascii="Times New Roman" w:hAnsi="Times New Roman"/>
      <w:szCs w:val="20"/>
    </w:rPr>
  </w:style>
  <w:style w:type="paragraph" w:customStyle="1" w:styleId="551">
    <w:name w:val="Bullet 2"/>
    <w:basedOn w:val="26"/>
    <w:qFormat/>
    <w:uiPriority w:val="0"/>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0"/>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0"/>
    <w:pPr>
      <w:keepNext/>
      <w:widowControl/>
      <w:spacing w:before="80" w:after="80"/>
      <w:jc w:val="center"/>
    </w:pPr>
    <w:rPr>
      <w:rFonts w:ascii="Times New Roman" w:hAnsi="Times New Roman"/>
      <w:szCs w:val="20"/>
    </w:rPr>
  </w:style>
  <w:style w:type="paragraph" w:customStyle="1" w:styleId="556">
    <w:name w:val="Char Char1 Char111"/>
    <w:basedOn w:val="1"/>
    <w:qFormat/>
    <w:uiPriority w:val="0"/>
    <w:rPr>
      <w:rFonts w:ascii="仿宋_GB2312" w:hAnsi="Times New Roman" w:eastAsia="仿宋_GB2312"/>
      <w:b/>
      <w:sz w:val="32"/>
      <w:szCs w:val="32"/>
    </w:rPr>
  </w:style>
  <w:style w:type="paragraph" w:customStyle="1" w:styleId="557">
    <w:name w:val="xl73"/>
    <w:basedOn w:val="1"/>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0"/>
    <w:rPr>
      <w:rFonts w:ascii="Tahoma" w:hAnsi="Tahoma"/>
      <w:sz w:val="24"/>
      <w:szCs w:val="20"/>
    </w:rPr>
  </w:style>
  <w:style w:type="paragraph" w:customStyle="1" w:styleId="559">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560">
    <w:name w:val="样式2"/>
    <w:basedOn w:val="5"/>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0"/>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0"/>
  </w:style>
  <w:style w:type="paragraph" w:customStyle="1" w:styleId="564">
    <w:name w:val="标准有序列表（L1）"/>
    <w:basedOn w:val="19"/>
    <w:qFormat/>
    <w:uiPriority w:val="0"/>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0"/>
    <w:pPr>
      <w:jc w:val="center"/>
    </w:pPr>
    <w:rPr>
      <w:rFonts w:ascii="Times New Roman" w:hAnsi="Times New Roman" w:eastAsia="幼圆" w:cs="宋体"/>
      <w:b/>
      <w:sz w:val="28"/>
      <w:szCs w:val="28"/>
    </w:rPr>
  </w:style>
  <w:style w:type="paragraph" w:customStyle="1" w:styleId="566">
    <w:name w:val="_Style 11811"/>
    <w:basedOn w:val="1"/>
    <w:qFormat/>
    <w:uiPriority w:val="0"/>
  </w:style>
  <w:style w:type="paragraph" w:customStyle="1" w:styleId="567">
    <w:name w:val="Char Char Char Char Char Char Char Char"/>
    <w:basedOn w:val="1"/>
    <w:qFormat/>
    <w:uiPriority w:val="0"/>
    <w:pPr>
      <w:tabs>
        <w:tab w:val="left" w:pos="360"/>
      </w:tabs>
    </w:pPr>
    <w:rPr>
      <w:rFonts w:ascii="Times New Roman" w:hAnsi="Times New Roman"/>
      <w:sz w:val="24"/>
      <w:szCs w:val="24"/>
    </w:rPr>
  </w:style>
  <w:style w:type="paragraph" w:customStyle="1" w:styleId="568">
    <w:name w:val="xl66"/>
    <w:basedOn w:val="1"/>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0"/>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0"/>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0"/>
    <w:pPr>
      <w:ind w:firstLine="420" w:firstLineChars="200"/>
    </w:pPr>
    <w:rPr>
      <w:szCs w:val="24"/>
    </w:rPr>
  </w:style>
  <w:style w:type="paragraph" w:customStyle="1" w:styleId="576">
    <w:name w:val="样式 标题 2 + 五号"/>
    <w:basedOn w:val="5"/>
    <w:qFormat/>
    <w:uiPriority w:val="0"/>
    <w:pPr>
      <w:spacing w:before="0" w:after="0" w:line="240" w:lineRule="auto"/>
    </w:pPr>
    <w:rPr>
      <w:rFonts w:ascii="宋体" w:hAnsi="宋体" w:eastAsia="宋体"/>
      <w:sz w:val="21"/>
    </w:rPr>
  </w:style>
  <w:style w:type="paragraph" w:customStyle="1" w:styleId="57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9"/>
    <w:qFormat/>
    <w:uiPriority w:val="0"/>
    <w:pPr>
      <w:spacing w:line="360" w:lineRule="auto"/>
    </w:pPr>
    <w:rPr>
      <w:sz w:val="24"/>
      <w:szCs w:val="24"/>
    </w:rPr>
  </w:style>
  <w:style w:type="paragraph" w:customStyle="1" w:styleId="579">
    <w:name w:val="Style-正文"/>
    <w:basedOn w:val="1"/>
    <w:qFormat/>
    <w:uiPriority w:val="0"/>
    <w:pPr>
      <w:spacing w:line="360" w:lineRule="auto"/>
      <w:ind w:firstLine="420"/>
    </w:pPr>
    <w:rPr>
      <w:rFonts w:ascii="宋体" w:hAnsi="宋体"/>
      <w:sz w:val="24"/>
      <w:szCs w:val="24"/>
    </w:rPr>
  </w:style>
  <w:style w:type="paragraph" w:customStyle="1" w:styleId="580">
    <w:name w:val="金保文档标准正文 Char"/>
    <w:basedOn w:val="1"/>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4"/>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0"/>
    <w:rPr>
      <w:rFonts w:ascii="Times New Roman" w:hAnsi="Times New Roman"/>
      <w:szCs w:val="24"/>
    </w:rPr>
  </w:style>
  <w:style w:type="paragraph" w:customStyle="1" w:styleId="583">
    <w:name w:val="样式 标题 1 + 五号"/>
    <w:basedOn w:val="4"/>
    <w:qFormat/>
    <w:uiPriority w:val="0"/>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0"/>
    <w:rPr>
      <w:rFonts w:ascii="宋体" w:hAnsi="Courier New"/>
      <w:szCs w:val="20"/>
    </w:rPr>
  </w:style>
  <w:style w:type="paragraph" w:customStyle="1" w:styleId="586">
    <w:name w:val="S4-I-U-L15-No-dot"/>
    <w:basedOn w:val="1"/>
    <w:qFormat/>
    <w:uiPriority w:val="0"/>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4"/>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0"/>
    <w:rPr>
      <w:rFonts w:ascii="Tahoma" w:hAnsi="Tahoma"/>
      <w:sz w:val="24"/>
      <w:szCs w:val="20"/>
    </w:rPr>
  </w:style>
  <w:style w:type="paragraph" w:customStyle="1" w:styleId="590">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0"/>
    <w:pPr>
      <w:spacing w:after="120"/>
    </w:pPr>
  </w:style>
  <w:style w:type="paragraph" w:customStyle="1" w:styleId="592">
    <w:name w:val="样式 标题 2 + 宋体 小四 段前: 0 磅 段后: 0 磅 行距: 1.5 倍行距"/>
    <w:basedOn w:val="5"/>
    <w:qFormat/>
    <w:uiPriority w:val="0"/>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594">
    <w:name w:val="二级标题"/>
    <w:basedOn w:val="5"/>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0"/>
    <w:rPr>
      <w:rFonts w:ascii="宋体"/>
      <w:kern w:val="0"/>
      <w:sz w:val="18"/>
      <w:szCs w:val="18"/>
    </w:rPr>
  </w:style>
  <w:style w:type="paragraph" w:customStyle="1" w:styleId="596">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0"/>
    <w:pPr>
      <w:tabs>
        <w:tab w:val="left" w:pos="432"/>
      </w:tabs>
      <w:ind w:left="432" w:hanging="432"/>
    </w:pPr>
    <w:rPr>
      <w:rFonts w:ascii="Tahoma" w:hAnsi="Tahoma"/>
      <w:sz w:val="24"/>
      <w:szCs w:val="20"/>
    </w:rPr>
  </w:style>
  <w:style w:type="paragraph" w:customStyle="1" w:styleId="598">
    <w:name w:val="正文文本 New New"/>
    <w:basedOn w:val="524"/>
    <w:qFormat/>
    <w:uiPriority w:val="0"/>
    <w:pPr>
      <w:spacing w:after="120"/>
    </w:pPr>
    <w:rPr>
      <w:sz w:val="28"/>
      <w:szCs w:val="24"/>
    </w:rPr>
  </w:style>
  <w:style w:type="paragraph" w:customStyle="1" w:styleId="599">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0"/>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0"/>
    <w:rPr>
      <w:rFonts w:ascii="宋体" w:hAnsi="宋体" w:eastAsia="宋体" w:cs="Times New Roman"/>
      <w:kern w:val="0"/>
      <w:sz w:val="24"/>
      <w:szCs w:val="20"/>
      <w:lang w:val="zh-CN" w:eastAsia="zh-CN" w:bidi="ar-SA"/>
    </w:rPr>
  </w:style>
  <w:style w:type="paragraph" w:customStyle="1" w:styleId="603">
    <w:name w:val="SZF表"/>
    <w:basedOn w:val="604"/>
    <w:qFormat/>
    <w:uiPriority w:val="0"/>
    <w:rPr>
      <w:rFonts w:ascii="宋体" w:hAnsi="宋体"/>
      <w:bCs/>
      <w:szCs w:val="21"/>
    </w:rPr>
  </w:style>
  <w:style w:type="paragraph" w:customStyle="1" w:styleId="604">
    <w:name w:val="SZF图"/>
    <w:basedOn w:val="1"/>
    <w:qFormat/>
    <w:uiPriority w:val="0"/>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0"/>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0"/>
    <w:rPr>
      <w:rFonts w:ascii="Tahoma" w:hAnsi="Tahoma"/>
      <w:sz w:val="24"/>
      <w:szCs w:val="20"/>
    </w:rPr>
  </w:style>
  <w:style w:type="paragraph" w:customStyle="1" w:styleId="608">
    <w:name w:val="文档结构图2"/>
    <w:basedOn w:val="1"/>
    <w:qFormat/>
    <w:uiPriority w:val="0"/>
    <w:rPr>
      <w:rFonts w:ascii="宋体"/>
      <w:kern w:val="0"/>
      <w:sz w:val="18"/>
      <w:szCs w:val="18"/>
    </w:rPr>
  </w:style>
  <w:style w:type="paragraph" w:customStyle="1" w:styleId="609">
    <w:name w:val="xl72"/>
    <w:basedOn w:val="1"/>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0"/>
    <w:pPr>
      <w:ind w:firstLine="480" w:firstLineChars="200"/>
    </w:pPr>
  </w:style>
  <w:style w:type="paragraph" w:customStyle="1" w:styleId="611">
    <w:name w:val="大汉正文"/>
    <w:basedOn w:val="1"/>
    <w:qFormat/>
    <w:uiPriority w:val="0"/>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0"/>
    <w:rPr>
      <w:sz w:val="18"/>
    </w:rPr>
  </w:style>
  <w:style w:type="paragraph" w:customStyle="1" w:styleId="613">
    <w:name w:val="IBM 正文"/>
    <w:basedOn w:val="1"/>
    <w:qFormat/>
    <w:uiPriority w:val="0"/>
    <w:pPr>
      <w:spacing w:line="360" w:lineRule="atLeast"/>
    </w:pPr>
    <w:rPr>
      <w:rFonts w:ascii="Times New Roman" w:hAnsi="Times New Roman"/>
      <w:sz w:val="24"/>
      <w:szCs w:val="20"/>
    </w:rPr>
  </w:style>
  <w:style w:type="paragraph" w:customStyle="1" w:styleId="614">
    <w:name w:val="Char Char1 Char1"/>
    <w:basedOn w:val="1"/>
    <w:qFormat/>
    <w:uiPriority w:val="0"/>
    <w:rPr>
      <w:rFonts w:ascii="仿宋_GB2312" w:hAnsi="Times New Roman" w:eastAsia="仿宋_GB2312"/>
      <w:b/>
      <w:sz w:val="32"/>
      <w:szCs w:val="32"/>
    </w:rPr>
  </w:style>
  <w:style w:type="paragraph" w:customStyle="1" w:styleId="61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0"/>
    <w:pPr>
      <w:tabs>
        <w:tab w:val="left" w:pos="432"/>
      </w:tabs>
      <w:ind w:left="432" w:hanging="432"/>
    </w:pPr>
    <w:rPr>
      <w:rFonts w:ascii="Tahoma" w:hAnsi="Tahoma"/>
      <w:sz w:val="24"/>
      <w:szCs w:val="20"/>
    </w:rPr>
  </w:style>
  <w:style w:type="paragraph" w:customStyle="1" w:styleId="617">
    <w:name w:val="页眉1"/>
    <w:basedOn w:val="1"/>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619">
    <w:name w:val="Tabletext"/>
    <w:basedOn w:val="1"/>
    <w:qFormat/>
    <w:uiPriority w:val="0"/>
    <w:pPr>
      <w:keepLines/>
      <w:spacing w:afterLines="50"/>
      <w:jc w:val="left"/>
    </w:pPr>
    <w:rPr>
      <w:rFonts w:ascii="宋体" w:hAnsi="Times New Roman"/>
      <w:snapToGrid w:val="0"/>
      <w:kern w:val="0"/>
      <w:szCs w:val="20"/>
    </w:rPr>
  </w:style>
  <w:style w:type="paragraph" w:customStyle="1" w:styleId="620">
    <w:name w:val="P3"/>
    <w:basedOn w:val="1"/>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6"/>
    <w:qFormat/>
    <w:uiPriority w:val="0"/>
    <w:pPr>
      <w:tabs>
        <w:tab w:val="left" w:pos="1050"/>
      </w:tabs>
      <w:spacing w:line="240" w:lineRule="auto"/>
      <w:ind w:left="-258" w:leftChars="-258"/>
    </w:pPr>
    <w:rPr>
      <w:rFonts w:eastAsia="仿宋_GB2312"/>
      <w:sz w:val="28"/>
    </w:rPr>
  </w:style>
  <w:style w:type="paragraph" w:customStyle="1" w:styleId="622">
    <w:name w:val="大表 mt"/>
    <w:basedOn w:val="1"/>
    <w:qFormat/>
    <w:uiPriority w:val="0"/>
    <w:pPr>
      <w:widowControl/>
      <w:jc w:val="left"/>
    </w:pPr>
    <w:rPr>
      <w:rFonts w:ascii="宋体" w:hAnsi="宋体" w:cs="宋体"/>
      <w:kern w:val="0"/>
      <w:szCs w:val="21"/>
    </w:rPr>
  </w:style>
  <w:style w:type="paragraph" w:customStyle="1" w:styleId="623">
    <w:name w:val="Char Char Char111"/>
    <w:basedOn w:val="1"/>
    <w:qFormat/>
    <w:uiPriority w:val="0"/>
  </w:style>
  <w:style w:type="paragraph" w:customStyle="1" w:styleId="624">
    <w:name w:val="段落正文"/>
    <w:basedOn w:val="1"/>
    <w:qFormat/>
    <w:uiPriority w:val="0"/>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0"/>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0"/>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0"/>
    <w:pPr>
      <w:spacing w:line="360" w:lineRule="auto"/>
      <w:ind w:firstLine="0"/>
    </w:pPr>
    <w:rPr>
      <w:rFonts w:ascii="宋体" w:hAnsi="宋体" w:cs="宋体"/>
      <w:kern w:val="0"/>
    </w:rPr>
  </w:style>
  <w:style w:type="paragraph" w:customStyle="1" w:styleId="631">
    <w:name w:val="graytext"/>
    <w:basedOn w:val="1"/>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63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0"/>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0"/>
    <w:pPr>
      <w:numPr>
        <w:numId w:val="0"/>
      </w:numPr>
      <w:tabs>
        <w:tab w:val="left" w:pos="864"/>
      </w:tabs>
      <w:ind w:left="425" w:hanging="425"/>
    </w:pPr>
    <w:rPr>
      <w:szCs w:val="21"/>
    </w:rPr>
  </w:style>
  <w:style w:type="paragraph" w:customStyle="1" w:styleId="643">
    <w:name w:val="样式 标题 4Chapter X.X.X. + 段后: 0.5 行1"/>
    <w:basedOn w:val="7"/>
    <w:next w:val="7"/>
    <w:qFormat/>
    <w:uiPriority w:val="0"/>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8"/>
    <w:qFormat/>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4"/>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0"/>
    <w:rPr>
      <w:rFonts w:ascii="仿宋_GB2312" w:hAnsi="Times New Roman" w:eastAsia="仿宋_GB2312"/>
      <w:b/>
      <w:sz w:val="32"/>
      <w:szCs w:val="32"/>
    </w:rPr>
  </w:style>
  <w:style w:type="paragraph" w:customStyle="1" w:styleId="650">
    <w:name w:val="正文文本 21"/>
    <w:basedOn w:val="1"/>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0"/>
    <w:pPr>
      <w:spacing w:line="360" w:lineRule="auto"/>
      <w:ind w:firstLine="200" w:firstLineChars="200"/>
    </w:pPr>
    <w:rPr>
      <w:rFonts w:ascii="Times New Roman" w:hAnsi="Times New Roman"/>
      <w:sz w:val="24"/>
      <w:szCs w:val="24"/>
    </w:rPr>
  </w:style>
  <w:style w:type="paragraph" w:customStyle="1" w:styleId="65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0"/>
    <w:pPr>
      <w:ind w:firstLine="420" w:firstLineChars="200"/>
    </w:pPr>
  </w:style>
  <w:style w:type="paragraph" w:customStyle="1" w:styleId="65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0"/>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6"/>
    <w:qFormat/>
    <w:uiPriority w:val="0"/>
    <w:pPr>
      <w:suppressLineNumbers/>
      <w:suppressAutoHyphens/>
    </w:pPr>
    <w:rPr>
      <w:kern w:val="1"/>
      <w:sz w:val="21"/>
      <w:lang w:eastAsia="ar-SA"/>
    </w:rPr>
  </w:style>
  <w:style w:type="paragraph" w:customStyle="1" w:styleId="661">
    <w:name w:val="样式　标题4"/>
    <w:basedOn w:val="643"/>
    <w:next w:val="1"/>
    <w:qFormat/>
    <w:uiPriority w:val="0"/>
    <w:pPr>
      <w:numPr>
        <w:ilvl w:val="0"/>
        <w:numId w:val="0"/>
      </w:numPr>
      <w:ind w:left="425" w:hanging="425"/>
    </w:pPr>
  </w:style>
  <w:style w:type="paragraph" w:customStyle="1" w:styleId="662">
    <w:name w:val="Char2 Char Char Char"/>
    <w:basedOn w:val="1"/>
    <w:qFormat/>
    <w:uiPriority w:val="0"/>
    <w:rPr>
      <w:rFonts w:ascii="仿宋_GB2312" w:hAnsi="Times New Roman" w:eastAsia="仿宋_GB2312"/>
      <w:b/>
      <w:sz w:val="32"/>
      <w:szCs w:val="32"/>
    </w:rPr>
  </w:style>
  <w:style w:type="paragraph" w:customStyle="1" w:styleId="663">
    <w:name w:val="Paragraph4"/>
    <w:basedOn w:val="1"/>
    <w:qFormat/>
    <w:uiPriority w:val="0"/>
    <w:pPr>
      <w:spacing w:before="80" w:afterLines="50"/>
      <w:ind w:left="2250"/>
    </w:pPr>
    <w:rPr>
      <w:rFonts w:ascii="宋体" w:hAnsi="Times New Roman"/>
      <w:snapToGrid w:val="0"/>
      <w:kern w:val="0"/>
      <w:szCs w:val="20"/>
    </w:rPr>
  </w:style>
  <w:style w:type="paragraph" w:customStyle="1" w:styleId="664">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6"/>
    <w:qFormat/>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67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0"/>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0"/>
    <w:rPr>
      <w:rFonts w:ascii="Tahoma" w:hAnsi="Tahoma"/>
      <w:sz w:val="24"/>
      <w:szCs w:val="20"/>
    </w:rPr>
  </w:style>
  <w:style w:type="paragraph" w:customStyle="1" w:styleId="676">
    <w:name w:val="样式1"/>
    <w:basedOn w:val="1"/>
    <w:qFormat/>
    <w:uiPriority w:val="0"/>
    <w:pPr>
      <w:pBdr>
        <w:bottom w:val="single" w:color="auto" w:sz="4" w:space="1"/>
      </w:pBdr>
    </w:pPr>
    <w:rPr>
      <w:rFonts w:ascii="Times New Roman" w:hAnsi="Times New Roman"/>
      <w:szCs w:val="24"/>
    </w:rPr>
  </w:style>
  <w:style w:type="paragraph" w:customStyle="1" w:styleId="67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0"/>
    <w:rPr>
      <w:rFonts w:ascii="仿宋_GB2312" w:hAnsi="Times New Roman" w:eastAsia="仿宋_GB2312"/>
      <w:b/>
      <w:sz w:val="32"/>
      <w:szCs w:val="32"/>
    </w:rPr>
  </w:style>
  <w:style w:type="paragraph" w:customStyle="1" w:styleId="679">
    <w:name w:val="要点2"/>
    <w:basedOn w:val="1"/>
    <w:qFormat/>
    <w:uiPriority w:val="0"/>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0"/>
    <w:pPr>
      <w:widowControl/>
      <w:spacing w:before="60" w:afterLines="50"/>
      <w:jc w:val="left"/>
    </w:pPr>
    <w:rPr>
      <w:rFonts w:ascii="Times New Roman" w:hAnsi="Times New Roman"/>
      <w:kern w:val="0"/>
      <w:szCs w:val="20"/>
      <w:lang w:eastAsia="en-US"/>
    </w:rPr>
  </w:style>
  <w:style w:type="paragraph" w:customStyle="1" w:styleId="681">
    <w:name w:val="Item List"/>
    <w:qFormat/>
    <w:uiPriority w:val="0"/>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0"/>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0"/>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0"/>
    <w:pPr>
      <w:spacing w:after="120"/>
      <w:ind w:left="420" w:leftChars="200"/>
    </w:pPr>
    <w:rPr>
      <w:rFonts w:cs="黑体"/>
    </w:rPr>
  </w:style>
  <w:style w:type="paragraph" w:customStyle="1" w:styleId="686">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0"/>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0"/>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0"/>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0"/>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2"/>
    <w:qFormat/>
    <w:uiPriority w:val="0"/>
    <w:pPr>
      <w:spacing w:beforeLines="0" w:afterLines="0" w:line="360" w:lineRule="auto"/>
      <w:jc w:val="left"/>
    </w:pPr>
    <w:rPr>
      <w:rFonts w:eastAsia="仿宋_GB2312" w:cs="Arial"/>
      <w:sz w:val="28"/>
      <w:szCs w:val="20"/>
    </w:rPr>
  </w:style>
  <w:style w:type="paragraph" w:customStyle="1" w:styleId="694">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0"/>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6"/>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0"/>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0"/>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0"/>
    <w:pPr>
      <w:widowControl/>
      <w:ind w:left="75"/>
      <w:jc w:val="left"/>
    </w:pPr>
    <w:rPr>
      <w:rFonts w:ascii="Arial" w:hAnsi="Arial" w:cs="Arial"/>
      <w:b/>
      <w:bCs/>
      <w:kern w:val="0"/>
      <w:sz w:val="20"/>
      <w:szCs w:val="20"/>
    </w:rPr>
  </w:style>
  <w:style w:type="paragraph" w:customStyle="1" w:styleId="703">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0"/>
    <w:pPr>
      <w:tabs>
        <w:tab w:val="left" w:pos="432"/>
      </w:tabs>
      <w:ind w:left="432" w:hanging="432"/>
    </w:pPr>
    <w:rPr>
      <w:rFonts w:ascii="Times New Roman" w:hAnsi="Times New Roman"/>
      <w:sz w:val="24"/>
      <w:szCs w:val="24"/>
    </w:rPr>
  </w:style>
  <w:style w:type="paragraph" w:customStyle="1" w:styleId="705">
    <w:name w:val="二级."/>
    <w:basedOn w:val="5"/>
    <w:qFormat/>
    <w:uiPriority w:val="0"/>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0"/>
    <w:pPr>
      <w:spacing w:line="360" w:lineRule="auto"/>
      <w:ind w:firstLine="480" w:firstLineChars="200"/>
    </w:pPr>
    <w:rPr>
      <w:rFonts w:ascii="Arial" w:hAnsi="Arial"/>
      <w:sz w:val="24"/>
      <w:szCs w:val="21"/>
    </w:rPr>
  </w:style>
  <w:style w:type="paragraph" w:customStyle="1" w:styleId="707">
    <w:name w:val="xl65"/>
    <w:basedOn w:val="1"/>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0"/>
    <w:rPr>
      <w:rFonts w:ascii="仿宋_GB2312" w:hAnsi="Times New Roman" w:eastAsia="仿宋_GB2312"/>
      <w:b/>
      <w:sz w:val="32"/>
      <w:szCs w:val="32"/>
    </w:rPr>
  </w:style>
  <w:style w:type="paragraph" w:customStyle="1" w:styleId="70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0"/>
    <w:pPr>
      <w:ind w:firstLine="420" w:firstLineChars="200"/>
    </w:pPr>
  </w:style>
  <w:style w:type="paragraph" w:customStyle="1" w:styleId="711">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0"/>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0"/>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0"/>
    <w:rPr>
      <w:rFonts w:ascii="Times New Roman" w:hAnsi="Times New Roman" w:eastAsia="仿宋_GB2312" w:cs="宋体"/>
      <w:szCs w:val="20"/>
    </w:rPr>
  </w:style>
  <w:style w:type="paragraph" w:customStyle="1" w:styleId="720">
    <w:name w:val="样式 标题 2Chapter X.X. Statementh22Header 2l2Level 2 Headhea...1"/>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0"/>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0"/>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0"/>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8"/>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8"/>
    <w:qFormat/>
    <w:uiPriority w:val="0"/>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0"/>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0"/>
    <w:pPr>
      <w:spacing w:line="360" w:lineRule="auto"/>
    </w:pPr>
    <w:rPr>
      <w:rFonts w:ascii="Times New Roman" w:hAnsi="Times New Roman"/>
      <w:b/>
      <w:bCs/>
      <w:sz w:val="24"/>
      <w:szCs w:val="24"/>
    </w:rPr>
  </w:style>
  <w:style w:type="paragraph" w:customStyle="1" w:styleId="729">
    <w:name w:val="GP标题1"/>
    <w:basedOn w:val="1"/>
    <w:next w:val="1"/>
    <w:qFormat/>
    <w:uiPriority w:val="0"/>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0"/>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0"/>
    <w:rPr>
      <w:rFonts w:ascii="Tahoma" w:hAnsi="Tahoma"/>
      <w:sz w:val="24"/>
      <w:szCs w:val="20"/>
    </w:rPr>
  </w:style>
  <w:style w:type="paragraph" w:customStyle="1" w:styleId="733">
    <w:name w:val="列表（编号二级）（绿盟科技）"/>
    <w:basedOn w:val="656"/>
    <w:qFormat/>
    <w:uiPriority w:val="0"/>
    <w:pPr>
      <w:numPr>
        <w:ilvl w:val="1"/>
      </w:numPr>
      <w:spacing w:beforeLines="0"/>
      <w:ind w:left="1260"/>
    </w:pPr>
  </w:style>
  <w:style w:type="paragraph" w:customStyle="1" w:styleId="734">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0"/>
    <w:pPr>
      <w:spacing w:before="80" w:afterLines="50"/>
      <w:ind w:left="1530"/>
    </w:pPr>
    <w:rPr>
      <w:rFonts w:ascii="宋体" w:hAnsi="Times New Roman"/>
      <w:snapToGrid w:val="0"/>
      <w:kern w:val="0"/>
      <w:szCs w:val="20"/>
    </w:rPr>
  </w:style>
  <w:style w:type="paragraph" w:customStyle="1" w:styleId="737">
    <w:name w:val="正文样式"/>
    <w:basedOn w:val="1"/>
    <w:qFormat/>
    <w:uiPriority w:val="0"/>
    <w:pPr>
      <w:spacing w:line="360" w:lineRule="auto"/>
      <w:ind w:firstLine="200" w:firstLineChars="200"/>
    </w:pPr>
    <w:rPr>
      <w:rFonts w:ascii="宋体" w:hAnsi="Times New Roman"/>
      <w:sz w:val="24"/>
      <w:szCs w:val="24"/>
    </w:rPr>
  </w:style>
  <w:style w:type="paragraph" w:customStyle="1" w:styleId="73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5"/>
    <w:qFormat/>
    <w:uiPriority w:val="0"/>
    <w:pPr>
      <w:spacing w:after="0" w:line="415" w:lineRule="auto"/>
    </w:pPr>
    <w:rPr>
      <w:sz w:val="28"/>
      <w:szCs w:val="20"/>
    </w:rPr>
  </w:style>
  <w:style w:type="paragraph" w:customStyle="1" w:styleId="740">
    <w:name w:val="表格标题"/>
    <w:basedOn w:val="660"/>
    <w:qFormat/>
    <w:uiPriority w:val="0"/>
    <w:pPr>
      <w:numPr>
        <w:ilvl w:val="0"/>
        <w:numId w:val="26"/>
      </w:numPr>
      <w:tabs>
        <w:tab w:val="clear" w:pos="360"/>
      </w:tabs>
      <w:ind w:left="0" w:firstLine="0"/>
      <w:jc w:val="center"/>
    </w:pPr>
    <w:rPr>
      <w:b/>
      <w:bCs/>
      <w:i/>
      <w:iCs/>
    </w:rPr>
  </w:style>
  <w:style w:type="paragraph" w:customStyle="1" w:styleId="741">
    <w:name w:val="_Style 1181"/>
    <w:basedOn w:val="1"/>
    <w:qFormat/>
    <w:uiPriority w:val="0"/>
  </w:style>
  <w:style w:type="paragraph" w:customStyle="1" w:styleId="742">
    <w:name w:val="Char2"/>
    <w:basedOn w:val="1"/>
    <w:qFormat/>
    <w:uiPriority w:val="0"/>
    <w:rPr>
      <w:rFonts w:ascii="仿宋_GB2312" w:hAnsi="Times New Roman" w:eastAsia="仿宋_GB2312"/>
      <w:b/>
      <w:sz w:val="32"/>
      <w:szCs w:val="20"/>
    </w:rPr>
  </w:style>
  <w:style w:type="paragraph" w:customStyle="1" w:styleId="743">
    <w:name w:val="ZJGIS-三级标题"/>
    <w:basedOn w:val="6"/>
    <w:qFormat/>
    <w:uiPriority w:val="0"/>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0"/>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0"/>
    <w:rPr>
      <w:rFonts w:ascii="Tahoma" w:hAnsi="Tahoma"/>
      <w:sz w:val="24"/>
      <w:szCs w:val="20"/>
    </w:rPr>
  </w:style>
  <w:style w:type="paragraph" w:customStyle="1" w:styleId="74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0"/>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0"/>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0"/>
    <w:pPr>
      <w:widowControl/>
      <w:spacing w:before="150" w:after="150"/>
      <w:jc w:val="left"/>
    </w:pPr>
    <w:rPr>
      <w:rFonts w:ascii="宋体" w:hAnsi="宋体" w:cs="宋体"/>
      <w:kern w:val="0"/>
      <w:sz w:val="24"/>
      <w:szCs w:val="24"/>
    </w:rPr>
  </w:style>
  <w:style w:type="paragraph" w:customStyle="1" w:styleId="753">
    <w:name w:val="表格_内容"/>
    <w:basedOn w:val="1"/>
    <w:qFormat/>
    <w:uiPriority w:val="0"/>
    <w:rPr>
      <w:rFonts w:ascii="宋体" w:hAnsi="宋体"/>
      <w:szCs w:val="21"/>
    </w:rPr>
  </w:style>
  <w:style w:type="paragraph" w:customStyle="1" w:styleId="754">
    <w:name w:val="MM Title"/>
    <w:basedOn w:val="56"/>
    <w:qFormat/>
    <w:uiPriority w:val="0"/>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756">
    <w:name w:val="xl79"/>
    <w:basedOn w:val="1"/>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0"/>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0"/>
    <w:pPr>
      <w:spacing w:beforeLines="800"/>
      <w:jc w:val="center"/>
    </w:pPr>
    <w:rPr>
      <w:rFonts w:ascii="Arial" w:hAnsi="Arial" w:eastAsia="黑体" w:cs="宋体"/>
      <w:b/>
      <w:sz w:val="72"/>
      <w:szCs w:val="72"/>
    </w:rPr>
  </w:style>
  <w:style w:type="paragraph" w:customStyle="1" w:styleId="760">
    <w:name w:val="xl12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9"/>
    <w:qFormat/>
    <w:uiPriority w:val="0"/>
    <w:pPr>
      <w:numPr>
        <w:ilvl w:val="4"/>
        <w:numId w:val="29"/>
      </w:numPr>
    </w:pPr>
    <w:rPr>
      <w:rFonts w:eastAsia="黑体"/>
      <w:kern w:val="0"/>
      <w:sz w:val="24"/>
      <w:szCs w:val="20"/>
    </w:rPr>
  </w:style>
  <w:style w:type="paragraph" w:customStyle="1" w:styleId="763">
    <w:name w:val="Body"/>
    <w:basedOn w:val="1"/>
    <w:qFormat/>
    <w:uiPriority w:val="0"/>
    <w:pPr>
      <w:widowControl/>
      <w:spacing w:before="120" w:afterLines="50"/>
    </w:pPr>
    <w:rPr>
      <w:rFonts w:ascii="宋体" w:hAnsi="Times New Roman"/>
      <w:snapToGrid w:val="0"/>
      <w:kern w:val="0"/>
      <w:szCs w:val="20"/>
    </w:rPr>
  </w:style>
  <w:style w:type="paragraph" w:customStyle="1" w:styleId="764">
    <w:name w:val="标准标题2"/>
    <w:basedOn w:val="5"/>
    <w:qFormat/>
    <w:uiPriority w:val="0"/>
    <w:pPr>
      <w:spacing w:line="360" w:lineRule="auto"/>
    </w:pPr>
    <w:rPr>
      <w:rFonts w:eastAsia="仿宋_GB2312"/>
      <w:bCs w:val="0"/>
      <w:sz w:val="28"/>
    </w:rPr>
  </w:style>
  <w:style w:type="paragraph" w:customStyle="1" w:styleId="765">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6"/>
    <w:qFormat/>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0"/>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0"/>
    <w:rPr>
      <w:rFonts w:ascii="Times New Roman" w:hAnsi="Times New Roman"/>
      <w:szCs w:val="20"/>
    </w:rPr>
  </w:style>
  <w:style w:type="paragraph" w:customStyle="1" w:styleId="776">
    <w:name w:val="GP公文标题1"/>
    <w:basedOn w:val="1"/>
    <w:next w:val="1"/>
    <w:qFormat/>
    <w:uiPriority w:val="0"/>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0"/>
    <w:pPr>
      <w:tabs>
        <w:tab w:val="left" w:pos="432"/>
      </w:tabs>
      <w:ind w:left="432" w:hanging="432"/>
    </w:pPr>
    <w:rPr>
      <w:rFonts w:ascii="Tahoma" w:hAnsi="Tahoma"/>
      <w:sz w:val="24"/>
      <w:szCs w:val="20"/>
    </w:rPr>
  </w:style>
  <w:style w:type="paragraph" w:customStyle="1" w:styleId="779">
    <w:name w:val="Table Text"/>
    <w:basedOn w:val="1"/>
    <w:qFormat/>
    <w:uiPriority w:val="0"/>
    <w:pPr>
      <w:widowControl/>
      <w:spacing w:before="60" w:after="60"/>
      <w:jc w:val="left"/>
    </w:pPr>
    <w:rPr>
      <w:rFonts w:ascii="Times New Roman" w:hAnsi="Times New Roman"/>
      <w:kern w:val="0"/>
      <w:sz w:val="24"/>
      <w:szCs w:val="24"/>
    </w:rPr>
  </w:style>
  <w:style w:type="paragraph" w:customStyle="1" w:styleId="780">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0"/>
    <w:pPr>
      <w:tabs>
        <w:tab w:val="left" w:pos="1200"/>
      </w:tabs>
      <w:ind w:left="1200" w:hanging="360"/>
    </w:pPr>
  </w:style>
  <w:style w:type="paragraph" w:customStyle="1" w:styleId="784">
    <w:name w:val="封面2级标题"/>
    <w:basedOn w:val="1"/>
    <w:next w:val="280"/>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6"/>
    <w:qFormat/>
    <w:uiPriority w:val="0"/>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5"/>
    <w:qFormat/>
    <w:uiPriority w:val="0"/>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0"/>
    <w:pPr>
      <w:widowControl/>
      <w:spacing w:before="150" w:after="150"/>
      <w:jc w:val="left"/>
    </w:pPr>
    <w:rPr>
      <w:rFonts w:ascii="宋体" w:hAnsi="宋体" w:cs="宋体"/>
      <w:kern w:val="0"/>
      <w:sz w:val="24"/>
      <w:szCs w:val="24"/>
    </w:rPr>
  </w:style>
  <w:style w:type="paragraph" w:customStyle="1" w:styleId="789">
    <w:name w:val="注意事项"/>
    <w:basedOn w:val="1"/>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0"/>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0"/>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7"/>
    <w:qFormat/>
    <w:uiPriority w:val="0"/>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0"/>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0"/>
    <w:pPr>
      <w:spacing w:line="360" w:lineRule="auto"/>
      <w:ind w:firstLine="0"/>
    </w:pPr>
    <w:rPr>
      <w:rFonts w:ascii="宋体" w:hAnsi="宋体" w:cs="宋体"/>
      <w:kern w:val="0"/>
    </w:rPr>
  </w:style>
  <w:style w:type="paragraph" w:customStyle="1" w:styleId="798">
    <w:name w:val="Char8"/>
    <w:basedOn w:val="1"/>
    <w:qFormat/>
    <w:uiPriority w:val="0"/>
    <w:pPr>
      <w:tabs>
        <w:tab w:val="left" w:pos="432"/>
      </w:tabs>
      <w:ind w:left="432" w:hanging="432"/>
    </w:pPr>
    <w:rPr>
      <w:rFonts w:ascii="Times New Roman" w:hAnsi="Times New Roman"/>
      <w:sz w:val="24"/>
      <w:szCs w:val="24"/>
    </w:rPr>
  </w:style>
  <w:style w:type="paragraph" w:customStyle="1" w:styleId="799">
    <w:name w:val="Char Char Char1"/>
    <w:basedOn w:val="1"/>
    <w:qFormat/>
    <w:uiPriority w:val="0"/>
    <w:rPr>
      <w:rFonts w:ascii="Times New Roman" w:hAnsi="Times New Roman" w:eastAsia="仿宋_GB2312" w:cs="宋体"/>
      <w:sz w:val="24"/>
      <w:szCs w:val="20"/>
    </w:rPr>
  </w:style>
  <w:style w:type="paragraph" w:customStyle="1" w:styleId="800">
    <w:name w:val="ZJGIS-五级标题"/>
    <w:basedOn w:val="8"/>
    <w:qFormat/>
    <w:uiPriority w:val="0"/>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0"/>
    <w:pPr>
      <w:jc w:val="center"/>
    </w:pPr>
    <w:rPr>
      <w:rFonts w:ascii="Arial" w:hAnsi="Arial" w:eastAsia="黑体"/>
      <w:b/>
    </w:rPr>
  </w:style>
  <w:style w:type="paragraph" w:customStyle="1" w:styleId="803">
    <w:name w:val="吉奥封面(黑体小初)"/>
    <w:basedOn w:val="191"/>
    <w:qFormat/>
    <w:uiPriority w:val="0"/>
    <w:pPr>
      <w:spacing w:before="480"/>
      <w:ind w:firstLine="0" w:firstLineChars="0"/>
      <w:jc w:val="center"/>
    </w:pPr>
    <w:rPr>
      <w:rFonts w:eastAsia="黑体"/>
      <w:sz w:val="72"/>
      <w:szCs w:val="72"/>
    </w:rPr>
  </w:style>
  <w:style w:type="paragraph" w:customStyle="1" w:styleId="804">
    <w:name w:val="样式 标题 3 + 首行缩进:  2 字符1"/>
    <w:basedOn w:val="6"/>
    <w:qFormat/>
    <w:uiPriority w:val="0"/>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2"/>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0"/>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0"/>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0"/>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0"/>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0"/>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0"/>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3"/>
    <w:next w:val="23"/>
    <w:qFormat/>
    <w:uiPriority w:val="0"/>
    <w:rPr>
      <w:b/>
      <w:bCs/>
      <w:kern w:val="0"/>
      <w:sz w:val="20"/>
      <w:szCs w:val="20"/>
    </w:rPr>
  </w:style>
  <w:style w:type="paragraph" w:customStyle="1" w:styleId="872">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0"/>
    <w:rPr>
      <w:rFonts w:ascii="仿宋_GB2312" w:hAnsi="Times New Roman" w:eastAsia="仿宋_GB2312"/>
      <w:b/>
      <w:sz w:val="32"/>
      <w:szCs w:val="32"/>
    </w:rPr>
  </w:style>
  <w:style w:type="paragraph" w:customStyle="1" w:styleId="874">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4"/>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0"/>
    <w:pPr>
      <w:tabs>
        <w:tab w:val="left" w:pos="432"/>
      </w:tabs>
      <w:ind w:left="432" w:hanging="432"/>
    </w:pPr>
    <w:rPr>
      <w:rFonts w:ascii="Tahoma" w:hAnsi="Tahoma"/>
      <w:sz w:val="24"/>
      <w:szCs w:val="20"/>
    </w:rPr>
  </w:style>
  <w:style w:type="paragraph" w:customStyle="1" w:styleId="877">
    <w:name w:val="Char Char Char11"/>
    <w:basedOn w:val="1"/>
    <w:qFormat/>
    <w:uiPriority w:val="0"/>
  </w:style>
  <w:style w:type="paragraph" w:customStyle="1" w:styleId="878">
    <w:name w:val="Char111"/>
    <w:basedOn w:val="1"/>
    <w:qFormat/>
    <w:uiPriority w:val="0"/>
    <w:rPr>
      <w:rFonts w:ascii="仿宋_GB2312" w:hAnsi="Times New Roman" w:eastAsia="仿宋_GB2312"/>
      <w:b/>
      <w:sz w:val="32"/>
      <w:szCs w:val="32"/>
    </w:rPr>
  </w:style>
  <w:style w:type="paragraph" w:customStyle="1" w:styleId="879">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0"/>
    <w:rPr>
      <w:rFonts w:ascii="仿宋_GB2312" w:hAnsi="Times New Roman" w:eastAsia="仿宋_GB2312"/>
      <w:b/>
      <w:sz w:val="32"/>
      <w:szCs w:val="32"/>
    </w:rPr>
  </w:style>
  <w:style w:type="paragraph" w:customStyle="1" w:styleId="883">
    <w:name w:val="正文文本缩进11"/>
    <w:basedOn w:val="1"/>
    <w:qFormat/>
    <w:uiPriority w:val="0"/>
    <w:pPr>
      <w:spacing w:after="120"/>
      <w:ind w:left="420" w:leftChars="200"/>
    </w:pPr>
    <w:rPr>
      <w:rFonts w:cs="黑体"/>
    </w:rPr>
  </w:style>
  <w:style w:type="paragraph" w:customStyle="1" w:styleId="884">
    <w:name w:val="Char Char Char Char Char Char Char Char Char Char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0"/>
    <w:rPr>
      <w:rFonts w:ascii="仿宋_GB2312" w:hAnsi="Times New Roman" w:eastAsia="仿宋_GB2312"/>
      <w:b/>
      <w:sz w:val="32"/>
      <w:szCs w:val="32"/>
    </w:rPr>
  </w:style>
  <w:style w:type="paragraph" w:customStyle="1" w:styleId="886">
    <w:name w:val="列出段落12"/>
    <w:basedOn w:val="1"/>
    <w:qFormat/>
    <w:uiPriority w:val="0"/>
    <w:pPr>
      <w:ind w:firstLine="420" w:firstLineChars="200"/>
    </w:pPr>
  </w:style>
  <w:style w:type="paragraph" w:customStyle="1" w:styleId="887">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0"/>
    <w:rPr>
      <w:rFonts w:ascii="Tahoma" w:hAnsi="Tahoma"/>
      <w:sz w:val="24"/>
      <w:szCs w:val="20"/>
    </w:rPr>
  </w:style>
  <w:style w:type="paragraph" w:customStyle="1" w:styleId="889">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0"/>
    <w:rPr>
      <w:rFonts w:ascii="Tahoma" w:hAnsi="Tahoma"/>
      <w:sz w:val="24"/>
      <w:szCs w:val="20"/>
    </w:rPr>
  </w:style>
  <w:style w:type="paragraph" w:customStyle="1" w:styleId="891">
    <w:name w:val="Char Char Char Char3"/>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0"/>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4"/>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0"/>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0"/>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0"/>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0"/>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0"/>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0"/>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0"/>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0"/>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0"/>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0"/>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0"/>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0"/>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0"/>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0"/>
    <w:pPr>
      <w:outlineLvl w:val="9"/>
    </w:pPr>
  </w:style>
  <w:style w:type="paragraph" w:customStyle="1" w:styleId="956">
    <w:name w:val="xl22"/>
    <w:basedOn w:val="1"/>
    <w:qFormat/>
    <w:uiPriority w:val="0"/>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0"/>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7"/>
    <w:qFormat/>
    <w:uiPriority w:val="99"/>
    <w:rPr>
      <w:rFonts w:ascii="Calibri" w:hAnsi="Calibri" w:eastAsia="宋体" w:cs="Times New Roman"/>
      <w:b/>
      <w:bCs/>
    </w:rPr>
  </w:style>
  <w:style w:type="character" w:customStyle="1" w:styleId="964">
    <w:name w:val="正文首行缩进 2 字符"/>
    <w:basedOn w:val="86"/>
    <w:link w:val="2"/>
    <w:qFormat/>
    <w:uiPriority w:val="0"/>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0"/>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0"/>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0"/>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0"/>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4"/>
    <w:next w:val="1"/>
    <w:qFormat/>
    <w:uiPriority w:val="0"/>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paragraph" w:customStyle="1" w:styleId="981">
    <w:name w:val="项目标号"/>
    <w:basedOn w:val="1"/>
    <w:next w:val="1"/>
    <w:qFormat/>
    <w:uiPriority w:val="0"/>
    <w:pPr>
      <w:numPr>
        <w:ilvl w:val="0"/>
        <w:numId w:val="30"/>
      </w:numPr>
      <w:ind w:left="0" w:firstLine="0" w:firstLineChars="0"/>
      <w:jc w:val="left"/>
    </w:pPr>
    <w:rPr>
      <w:rFonts w:ascii="Arial" w:hAnsi="Arial" w:cs="宋体" w:eastAsiaTheme="minorEastAsia"/>
      <w:szCs w:val="20"/>
    </w:rPr>
  </w:style>
  <w:style w:type="paragraph" w:customStyle="1" w:styleId="982">
    <w:name w:val="Body Text First Indent1"/>
    <w:basedOn w:val="26"/>
    <w:qFormat/>
    <w:uiPriority w:val="0"/>
    <w:pPr>
      <w:spacing w:line="312" w:lineRule="auto"/>
      <w:ind w:firstLine="420"/>
    </w:pPr>
    <w:rPr>
      <w:rFonts w:ascii="Calibri" w:hAnsi="Calibri" w:eastAsia="宋体" w:cs="Times New Roman"/>
      <w:sz w:val="32"/>
      <w:szCs w:val="24"/>
    </w:rPr>
  </w:style>
  <w:style w:type="paragraph" w:customStyle="1" w:styleId="983">
    <w:name w:val="*正文"/>
    <w:basedOn w:val="1"/>
    <w:qFormat/>
    <w:uiPriority w:val="0"/>
    <w:pPr>
      <w:spacing w:line="360" w:lineRule="auto"/>
      <w:ind w:firstLine="482" w:firstLineChars="0"/>
    </w:pPr>
    <w:rPr>
      <w:rFonts w:ascii="宋体" w:hAnsi="宋体" w:eastAsia="仿宋" w:cs="仿宋_GB2312"/>
      <w:sz w:val="28"/>
      <w:szCs w:val="20"/>
    </w:rPr>
  </w:style>
  <w:style w:type="paragraph" w:customStyle="1" w:styleId="984">
    <w:name w:val="WPSOffice手动目录 1"/>
    <w:qFormat/>
    <w:uiPriority w:val="0"/>
    <w:rPr>
      <w:rFonts w:ascii="Calibri" w:hAnsi="Calibri" w:eastAsia="宋体" w:cs="Times New Roman"/>
      <w:lang w:val="en-US" w:eastAsia="zh-CN" w:bidi="ar-SA"/>
    </w:rPr>
  </w:style>
  <w:style w:type="paragraph" w:customStyle="1" w:styleId="985">
    <w:name w:val="_Style 984"/>
    <w:basedOn w:val="4"/>
    <w:next w:val="1"/>
    <w:qFormat/>
    <w:uiPriority w:val="39"/>
    <w:pPr>
      <w:keepNext/>
      <w:keepLines/>
      <w:widowControl/>
      <w:numPr>
        <w:ilvl w:val="0"/>
        <w:numId w:val="0"/>
      </w:numPr>
      <w:autoSpaceDE/>
      <w:autoSpaceDN/>
      <w:adjustRightInd/>
      <w:spacing w:before="480" w:after="0" w:line="276" w:lineRule="auto"/>
      <w:jc w:val="left"/>
      <w:outlineLvl w:val="9"/>
    </w:pPr>
    <w:rPr>
      <w:rFonts w:ascii="等线 Light" w:hAnsi="等线 Light" w:eastAsia="等线 Light" w:cs="Times New Roman"/>
      <w:b w:val="0"/>
      <w:bCs w:val="0"/>
      <w:color w:val="2F5496"/>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108</Pages>
  <Words>60369</Words>
  <Characters>67913</Characters>
  <Lines>0</Lines>
  <Paragraphs>0</Paragraphs>
  <TotalTime>0</TotalTime>
  <ScaleCrop>false</ScaleCrop>
  <LinksUpToDate>false</LinksUpToDate>
  <CharactersWithSpaces>70380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2022-05-14T08:34:00Z</dcterms:created>
  <dc:creator>tta</dc:creator>
  <cp:lastModifiedBy>yang</cp:lastModifiedBy>
  <cp:lastPrinted>2021-01-25T02:12:00Z</cp:lastPrinted>
  <dcterms:modified xsi:type="dcterms:W3CDTF">2022-07-04T01:01:05Z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7566C328CFC84544B6866612E8650035</vt:lpwstr>
  </property>
</Properties>
</file>