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b/>
          <w:bCs/>
          <w:sz w:val="44"/>
          <w:szCs w:val="44"/>
          <w:lang w:eastAsia="zh-CN"/>
        </w:rPr>
      </w:pPr>
      <w:bookmarkStart w:id="0" w:name="PO_15528_PM002_1"/>
      <w:bookmarkStart w:id="60" w:name="_GoBack"/>
      <w:bookmarkEnd w:id="60"/>
      <w:r>
        <w:rPr>
          <w:rFonts w:hint="eastAsia" w:ascii="宋体" w:hAnsi="宋体"/>
          <w:b/>
          <w:bCs/>
          <w:sz w:val="44"/>
          <w:szCs w:val="44"/>
          <w:lang w:eastAsia="zh-CN"/>
        </w:rPr>
        <w:t>浙江警察学院云计算平台建设、数据中心机房设备采购及网络运维管理平台建设项目</w:t>
      </w:r>
      <w:bookmarkEnd w:id="0"/>
    </w:p>
    <w:p>
      <w:pPr>
        <w:spacing w:before="240" w:beforeLines="100" w:line="360" w:lineRule="auto"/>
        <w:ind w:right="-108"/>
        <w:jc w:val="center"/>
        <w:rPr>
          <w:rFonts w:hint="eastAsia" w:ascii="宋体" w:hAnsi="宋体"/>
          <w:sz w:val="36"/>
          <w:szCs w:val="36"/>
          <w:lang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ZZCG2022X-GK-138</w:t>
      </w:r>
      <w:bookmarkEnd w:id="1"/>
    </w:p>
    <w:p>
      <w:pPr>
        <w:pStyle w:val="19"/>
        <w:rPr>
          <w:rFonts w:hint="eastAsia" w:ascii="宋体" w:hAnsi="宋体"/>
          <w:sz w:val="36"/>
          <w:szCs w:val="36"/>
          <w:lang w:eastAsia="zh-CN"/>
        </w:rPr>
      </w:pPr>
    </w:p>
    <w:p>
      <w:pPr>
        <w:pStyle w:val="19"/>
        <w:rPr>
          <w:rFonts w:hint="eastAsia" w:ascii="宋体" w:hAnsi="宋体"/>
          <w:sz w:val="36"/>
          <w:szCs w:val="36"/>
          <w:lang w:eastAsia="zh-CN"/>
        </w:rPr>
      </w:pPr>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2"/>
        <w:spacing w:before="120" w:after="120" w:line="360" w:lineRule="auto"/>
        <w:jc w:val="center"/>
        <w:rPr>
          <w:rFonts w:hAnsi="宋体" w:eastAsia="仿宋_GB2312"/>
          <w:sz w:val="32"/>
          <w:szCs w:val="32"/>
        </w:rPr>
      </w:pPr>
    </w:p>
    <w:p>
      <w:pPr>
        <w:pStyle w:val="41"/>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color w:val="auto"/>
        </w:rPr>
        <w:t>第二章投标人须知</w:t>
      </w:r>
      <w:r>
        <w:tab/>
      </w:r>
      <w:r>
        <w:t>6</w:t>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color w:val="auto"/>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25</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color w:val="auto"/>
        </w:rPr>
        <w:t>第六章投标文件格式附件</w:t>
      </w:r>
      <w:r>
        <w:tab/>
      </w:r>
      <w:r>
        <w:fldChar w:fldCharType="begin"/>
      </w:r>
      <w:r>
        <w:instrText xml:space="preserve"> PAGEREF _Toc496796640 \h </w:instrText>
      </w:r>
      <w:r>
        <w:fldChar w:fldCharType="separate"/>
      </w:r>
      <w:r>
        <w:t>32</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2"/>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ZZCG2022X-GK-138</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0"/>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80"/>
        <w:gridCol w:w="780"/>
        <w:gridCol w:w="870"/>
        <w:gridCol w:w="163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25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7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87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1635"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c>
          <w:tcPr>
            <w:tcW w:w="19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25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云计算平台建设项目</w:t>
            </w:r>
          </w:p>
        </w:tc>
        <w:tc>
          <w:tcPr>
            <w:tcW w:w="7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87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1635"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615.2</w:t>
            </w:r>
          </w:p>
        </w:tc>
        <w:tc>
          <w:tcPr>
            <w:tcW w:w="19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w:t>
            </w:r>
          </w:p>
        </w:tc>
        <w:tc>
          <w:tcPr>
            <w:tcW w:w="25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数据中心机房设备采购及网络运维管理平台建设项目</w:t>
            </w:r>
          </w:p>
        </w:tc>
        <w:tc>
          <w:tcPr>
            <w:tcW w:w="7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87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1635"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268.474494</w:t>
            </w:r>
          </w:p>
        </w:tc>
        <w:tc>
          <w:tcPr>
            <w:tcW w:w="198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详见招标文件</w:t>
            </w:r>
          </w:p>
        </w:tc>
      </w:tr>
    </w:tbl>
    <w:p>
      <w:pPr>
        <w:snapToGrid w:val="0"/>
        <w:spacing w:after="120" w:afterLines="50" w:line="460" w:lineRule="exact"/>
        <w:ind w:firstLine="562" w:firstLineChars="200"/>
        <w:rPr>
          <w:rFonts w:hint="eastAsia" w:ascii="仿宋" w:hAnsi="仿宋" w:eastAsia="仿宋" w:cs="Arial"/>
          <w:b/>
          <w:sz w:val="28"/>
          <w:szCs w:val="28"/>
          <w:lang w:eastAsia="zh-CN"/>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sz w:val="30"/>
          <w:szCs w:val="30"/>
          <w:lang w:val="en-US" w:eastAsia="zh-CN"/>
        </w:rPr>
      </w:pPr>
      <w:r>
        <w:rPr>
          <w:rFonts w:hint="eastAsia" w:ascii="仿宋" w:hAnsi="仿宋" w:eastAsia="仿宋" w:cs="Arial"/>
          <w:b/>
          <w:bCs/>
          <w:sz w:val="30"/>
          <w:szCs w:val="30"/>
        </w:rPr>
        <w:t>投标人的特定条件：</w:t>
      </w:r>
      <w:r>
        <w:rPr>
          <w:rFonts w:hint="eastAsia" w:ascii="仿宋" w:hAnsi="仿宋" w:eastAsia="仿宋" w:cs="Arial"/>
          <w:b/>
          <w:bCs/>
          <w:sz w:val="30"/>
          <w:szCs w:val="30"/>
          <w:lang w:val="en-US" w:eastAsia="zh-CN"/>
        </w:rPr>
        <w:t>无</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5" w:name="PO_15528_PM009"/>
      <w:r>
        <w:rPr>
          <w:rFonts w:hint="eastAsia" w:ascii="仿宋" w:hAnsi="仿宋" w:eastAsia="仿宋"/>
          <w:kern w:val="0"/>
          <w:sz w:val="30"/>
          <w:szCs w:val="30"/>
          <w:lang w:eastAsia="zh-CN"/>
        </w:rPr>
        <w:t>2022-07-25 10:00:00</w:t>
      </w:r>
      <w:bookmarkEnd w:id="5"/>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2"/>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6" w:name="PO_15528_PM015"/>
      <w:r>
        <w:rPr>
          <w:rFonts w:hint="eastAsia" w:ascii="仿宋" w:hAnsi="仿宋" w:eastAsia="仿宋" w:cs="Arial"/>
          <w:color w:val="000000"/>
          <w:sz w:val="30"/>
          <w:szCs w:val="30"/>
          <w:lang w:eastAsia="zh-CN"/>
        </w:rPr>
        <w:t>2022-07-25 10:00:00</w:t>
      </w:r>
      <w:bookmarkEnd w:id="6"/>
      <w:r>
        <w:rPr>
          <w:rFonts w:hint="eastAsia" w:hAnsi="宋体"/>
          <w:b/>
          <w:kern w:val="0"/>
          <w:sz w:val="28"/>
          <w:szCs w:val="28"/>
        </w:rPr>
        <w:t>。</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投标文件收件填写人：</w:t>
      </w:r>
      <w:r>
        <w:rPr>
          <w:rFonts w:hint="eastAsia" w:hAnsi="宋体"/>
          <w:kern w:val="0"/>
          <w:sz w:val="28"/>
          <w:szCs w:val="28"/>
          <w:lang w:val="en-US" w:eastAsia="zh-CN"/>
        </w:rPr>
        <w:t>陶老师</w:t>
      </w:r>
      <w:r>
        <w:rPr>
          <w:rFonts w:hint="eastAsia" w:hAnsi="宋体"/>
          <w:kern w:val="0"/>
          <w:sz w:val="28"/>
          <w:szCs w:val="28"/>
        </w:rPr>
        <w:t>，联系方式：</w:t>
      </w:r>
      <w:r>
        <w:rPr>
          <w:rFonts w:hint="eastAsia" w:hAnsi="宋体"/>
          <w:kern w:val="0"/>
          <w:sz w:val="28"/>
          <w:szCs w:val="28"/>
          <w:lang w:val="en-US" w:eastAsia="zh-CN"/>
        </w:rPr>
        <w:t>0571-88901836</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2"/>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7" w:name="PO_15528_PM015_1"/>
      <w:r>
        <w:rPr>
          <w:rFonts w:hint="eastAsia" w:ascii="宋体" w:hAnsi="宋体" w:cs="Arial"/>
          <w:b/>
          <w:sz w:val="28"/>
          <w:szCs w:val="28"/>
          <w:lang w:eastAsia="zh-CN"/>
        </w:rPr>
        <w:t>2022-07-25 10:00:00</w:t>
      </w:r>
      <w:bookmarkEnd w:id="7"/>
      <w:r>
        <w:rPr>
          <w:rFonts w:hint="eastAsia" w:ascii="宋体" w:hAnsi="宋体" w:cs="Arial"/>
          <w:b/>
          <w:sz w:val="28"/>
          <w:szCs w:val="28"/>
        </w:rPr>
        <w:t>时整在</w:t>
      </w:r>
      <w:bookmarkStart w:id="8" w:name="PO_15528_PM016_1"/>
      <w:r>
        <w:rPr>
          <w:rFonts w:hint="eastAsia" w:ascii="宋体" w:hAnsi="宋体" w:cs="Arial"/>
          <w:b/>
          <w:sz w:val="28"/>
          <w:szCs w:val="28"/>
          <w:lang w:eastAsia="zh-CN"/>
        </w:rPr>
        <w:t>拱墅区杭州市环城北路305号耀江发展中心 3A（四楼）06开标室</w:t>
      </w:r>
      <w:bookmarkEnd w:id="8"/>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60"/>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开标现场咨询电话</w:t>
            </w:r>
          </w:p>
        </w:tc>
        <w:tc>
          <w:tcPr>
            <w:tcW w:w="3444"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201开标室（大）：0</w:t>
            </w:r>
            <w:r>
              <w:rPr>
                <w:rFonts w:hAnsi="宋体"/>
                <w:kern w:val="0"/>
                <w:sz w:val="28"/>
                <w:szCs w:val="28"/>
              </w:rPr>
              <w:t>571-</w:t>
            </w:r>
            <w:r>
              <w:rPr>
                <w:rFonts w:hint="eastAsia" w:hAnsi="宋体"/>
                <w:kern w:val="0"/>
                <w:sz w:val="28"/>
                <w:szCs w:val="28"/>
              </w:rPr>
              <w:t>8</w:t>
            </w:r>
            <w:r>
              <w:rPr>
                <w:rFonts w:hAnsi="宋体"/>
                <w:kern w:val="0"/>
                <w:sz w:val="28"/>
                <w:szCs w:val="28"/>
              </w:rPr>
              <w:t>8907719</w:t>
            </w:r>
          </w:p>
        </w:tc>
        <w:tc>
          <w:tcPr>
            <w:tcW w:w="3445"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202评标室（小）：0</w:t>
            </w:r>
            <w:r>
              <w:rPr>
                <w:rFonts w:hAnsi="宋体"/>
                <w:kern w:val="0"/>
                <w:sz w:val="28"/>
                <w:szCs w:val="28"/>
              </w:rPr>
              <w:t>571-</w:t>
            </w:r>
            <w:r>
              <w:rPr>
                <w:rFonts w:hint="eastAsia" w:hAnsi="宋体"/>
                <w:kern w:val="0"/>
                <w:sz w:val="28"/>
                <w:szCs w:val="28"/>
              </w:rPr>
              <w:t>8</w:t>
            </w:r>
            <w:r>
              <w:rPr>
                <w:rFonts w:hAnsi="宋体"/>
                <w:kern w:val="0"/>
                <w:sz w:val="28"/>
                <w:szCs w:val="28"/>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2"/>
              <w:adjustRightInd w:val="0"/>
              <w:snapToGrid w:val="0"/>
              <w:spacing w:beforeLines="0" w:afterLines="0" w:line="500" w:lineRule="exact"/>
              <w:ind w:firstLine="562" w:firstLineChars="201"/>
              <w:rPr>
                <w:rFonts w:hAnsi="宋体"/>
                <w:kern w:val="0"/>
                <w:sz w:val="28"/>
                <w:szCs w:val="28"/>
              </w:rPr>
            </w:pPr>
          </w:p>
        </w:tc>
        <w:tc>
          <w:tcPr>
            <w:tcW w:w="3444"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3A（四楼）05评标室：0</w:t>
            </w:r>
            <w:r>
              <w:rPr>
                <w:rFonts w:hAnsi="宋体"/>
                <w:kern w:val="0"/>
                <w:sz w:val="28"/>
                <w:szCs w:val="28"/>
              </w:rPr>
              <w:t>571-</w:t>
            </w:r>
            <w:r>
              <w:rPr>
                <w:rFonts w:hint="eastAsia" w:hAnsi="宋体"/>
                <w:kern w:val="0"/>
                <w:sz w:val="28"/>
                <w:szCs w:val="28"/>
              </w:rPr>
              <w:t>8</w:t>
            </w:r>
            <w:r>
              <w:rPr>
                <w:rFonts w:hAnsi="宋体"/>
                <w:kern w:val="0"/>
                <w:sz w:val="28"/>
                <w:szCs w:val="28"/>
              </w:rPr>
              <w:t>8907792</w:t>
            </w:r>
          </w:p>
        </w:tc>
        <w:tc>
          <w:tcPr>
            <w:tcW w:w="3445"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3A（四楼）06开标室：</w:t>
            </w:r>
            <w:r>
              <w:rPr>
                <w:rFonts w:hAnsi="宋体"/>
                <w:kern w:val="0"/>
                <w:sz w:val="28"/>
                <w:szCs w:val="28"/>
              </w:rPr>
              <w:t>0571-</w:t>
            </w:r>
            <w:r>
              <w:rPr>
                <w:rFonts w:hint="eastAsia" w:hAnsi="宋体"/>
                <w:kern w:val="0"/>
                <w:sz w:val="28"/>
                <w:szCs w:val="28"/>
              </w:rPr>
              <w:t>8</w:t>
            </w:r>
            <w:r>
              <w:rPr>
                <w:rFonts w:hAnsi="宋体"/>
                <w:kern w:val="0"/>
                <w:sz w:val="28"/>
                <w:szCs w:val="28"/>
              </w:rPr>
              <w:t>8907791</w:t>
            </w: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9" w:name="PO_15528_PM032"/>
            <w:r>
              <w:rPr>
                <w:rFonts w:hint="eastAsia" w:ascii="仿宋" w:hAnsi="仿宋" w:eastAsia="仿宋" w:cs="仿宋"/>
                <w:sz w:val="28"/>
                <w:szCs w:val="28"/>
              </w:rPr>
              <w:t>柯泓</w:t>
            </w:r>
            <w:bookmarkEnd w:id="9"/>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0" w:name="PO_15528_PM033"/>
            <w:r>
              <w:rPr>
                <w:rFonts w:hint="eastAsia" w:ascii="仿宋" w:hAnsi="仿宋" w:eastAsia="仿宋" w:cs="仿宋"/>
                <w:sz w:val="28"/>
                <w:szCs w:val="28"/>
              </w:rPr>
              <w:t>0571-88901833</w:t>
            </w:r>
            <w:bookmarkEnd w:id="10"/>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hint="eastAsia" w:ascii="仿宋" w:hAnsi="仿宋" w:eastAsia="仿宋" w:cs="Arial"/>
          <w:b/>
          <w:bCs/>
          <w:sz w:val="30"/>
          <w:szCs w:val="30"/>
        </w:rPr>
      </w:pPr>
    </w:p>
    <w:p>
      <w:pPr>
        <w:snapToGrid w:val="0"/>
        <w:spacing w:line="360" w:lineRule="auto"/>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jc w:val="both"/>
        <w:rPr>
          <w:rFonts w:hint="eastAsia" w:ascii="仿宋_GB2312" w:hAnsi="仿宋" w:eastAsia="仿宋_GB2312"/>
          <w:sz w:val="30"/>
          <w:szCs w:val="30"/>
          <w:vertAlign w:val="baseline"/>
          <w:lang w:eastAsia="zh-CN"/>
        </w:rPr>
      </w:pPr>
      <w:bookmarkStart w:id="11" w:name="PO_TDCUS_ITEM_PRC_TITLE_1"/>
      <w:r>
        <w:rPr>
          <w:rFonts w:hint="eastAsia" w:ascii="仿宋_GB2312" w:hAnsi="仿宋" w:eastAsia="仿宋_GB2312"/>
          <w:sz w:val="30"/>
          <w:szCs w:val="30"/>
          <w:lang w:eastAsia="zh-CN"/>
        </w:rPr>
        <w:t xml:space="preserve">标项1 </w:t>
      </w:r>
      <w:bookmarkStart w:id="12" w:name="PO_TDCUS_ITEM_PRC_TITLE_2"/>
      <w:r>
        <w:rPr>
          <w:rFonts w:hint="eastAsia" w:ascii="仿宋_GB2312" w:hAnsi="仿宋" w:eastAsia="仿宋_GB2312"/>
          <w:sz w:val="30"/>
          <w:szCs w:val="30"/>
          <w:lang w:val="en-US" w:eastAsia="zh-CN"/>
        </w:rPr>
        <w:t>和</w:t>
      </w:r>
      <w:r>
        <w:rPr>
          <w:rFonts w:hint="eastAsia" w:ascii="仿宋_GB2312" w:hAnsi="仿宋" w:eastAsia="仿宋_GB2312"/>
          <w:sz w:val="30"/>
          <w:szCs w:val="30"/>
          <w:lang w:eastAsia="zh-CN"/>
        </w:rPr>
        <w:t>标项2</w:t>
      </w:r>
      <w:bookmarkEnd w:id="11"/>
      <w:bookmarkEnd w:id="12"/>
      <w:bookmarkStart w:id="13" w:name="PO_TDCUS_ITEM_PRC_TABLE_1_1"/>
    </w:p>
    <w:tbl>
      <w:tblPr>
        <w:tblStyle w:val="6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采购单位</w:t>
            </w:r>
          </w:p>
        </w:tc>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浙江警察学院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浙江省杭州市滨江区滨文路555号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汤天啊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0571-87787048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传真</w:t>
            </w:r>
          </w:p>
        </w:tc>
        <w:tc>
          <w:tcPr>
            <w:tcW w:w="4264" w:type="dxa"/>
          </w:tcPr>
          <w:p>
            <w:pPr>
              <w:snapToGrid w:val="0"/>
              <w:spacing w:line="440" w:lineRule="exact"/>
              <w:jc w:val="center"/>
              <w:rPr>
                <w:rFonts w:hint="eastAsia" w:ascii="仿宋_GB2312" w:hAnsi="仿宋" w:eastAsia="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备注</w:t>
            </w:r>
          </w:p>
        </w:tc>
        <w:tc>
          <w:tcPr>
            <w:tcW w:w="4264" w:type="dxa"/>
          </w:tcPr>
          <w:p>
            <w:pPr>
              <w:snapToGrid w:val="0"/>
              <w:spacing w:line="440" w:lineRule="exact"/>
              <w:jc w:val="center"/>
              <w:rPr>
                <w:rFonts w:hint="eastAsia" w:ascii="仿宋_GB2312" w:hAnsi="仿宋" w:eastAsia="仿宋_GB2312"/>
                <w:sz w:val="30"/>
                <w:szCs w:val="30"/>
                <w:vertAlign w:val="baseline"/>
                <w:lang w:eastAsia="zh-CN"/>
              </w:rPr>
            </w:pPr>
          </w:p>
        </w:tc>
      </w:tr>
      <w:bookmarkEnd w:id="13"/>
    </w:tbl>
    <w:p>
      <w:pPr>
        <w:snapToGrid w:val="0"/>
        <w:spacing w:line="440" w:lineRule="exact"/>
        <w:ind w:firstLine="600" w:firstLineChars="200"/>
        <w:jc w:val="center"/>
        <w:rPr>
          <w:rFonts w:hint="eastAsia" w:ascii="仿宋_GB2312" w:hAnsi="仿宋" w:eastAsia="仿宋_GB2312"/>
          <w:sz w:val="30"/>
          <w:szCs w:val="30"/>
          <w:vertAlign w:val="baseline"/>
          <w:lang w:eastAsia="zh-CN"/>
        </w:rPr>
      </w:pPr>
      <w:bookmarkStart w:id="14" w:name="PO_TDCUS_ITEM_PRC_TABLE_2_1"/>
      <w:r>
        <w:rPr>
          <w:rFonts w:hint="eastAsia" w:ascii="仿宋_GB2312" w:hAnsi="仿宋" w:eastAsia="仿宋_GB2312"/>
          <w:sz w:val="30"/>
          <w:szCs w:val="30"/>
          <w:lang w:eastAsia="zh-CN"/>
        </w:rPr>
        <w:t xml:space="preserve"> </w:t>
      </w:r>
    </w:p>
    <w:bookmarkEnd w:id="14"/>
    <w:p>
      <w:pPr>
        <w:pStyle w:val="32"/>
        <w:spacing w:before="120" w:after="120" w:line="360" w:lineRule="auto"/>
        <w:jc w:val="center"/>
        <w:outlineLvl w:val="0"/>
        <w:rPr>
          <w:rFonts w:hAnsi="宋体"/>
          <w:b/>
          <w:sz w:val="36"/>
          <w:szCs w:val="36"/>
        </w:rPr>
      </w:pPr>
      <w:r>
        <w:rPr>
          <w:rFonts w:ascii="仿宋" w:hAnsi="仿宋" w:eastAsia="仿宋"/>
          <w:b/>
          <w:sz w:val="36"/>
          <w:szCs w:val="36"/>
        </w:rPr>
        <w:br w:type="page"/>
      </w:r>
      <w:bookmarkStart w:id="15" w:name="_Toc496796636"/>
      <w:r>
        <w:rPr>
          <w:rFonts w:hint="eastAsia" w:ascii="仿宋" w:hAnsi="仿宋" w:eastAsia="仿宋"/>
          <w:b/>
          <w:sz w:val="36"/>
          <w:szCs w:val="36"/>
        </w:rPr>
        <w:t>第二章 投标人须知</w:t>
      </w:r>
      <w:bookmarkEnd w:id="15"/>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lang w:val="en-US" w:eastAsia="zh-CN"/>
              </w:rPr>
              <w:t>标项1和标项2</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1"/>
              </w:numPr>
              <w:snapToGrid w:val="0"/>
              <w:spacing w:line="360" w:lineRule="auto"/>
              <w:ind w:firstLineChars="0"/>
              <w:rPr>
                <w:rFonts w:ascii="仿宋" w:hAnsi="仿宋" w:eastAsia="仿宋"/>
                <w:b/>
                <w:sz w:val="24"/>
                <w:szCs w:val="24"/>
                <w:u w:val="single"/>
              </w:rPr>
            </w:pPr>
            <w:r>
              <w:rPr>
                <w:rFonts w:hint="eastAsia" w:ascii="仿宋" w:hAnsi="仿宋" w:eastAsia="仿宋"/>
                <w:b/>
                <w:sz w:val="24"/>
                <w:szCs w:val="24"/>
              </w:rPr>
              <w:t>项目属性（货物类）</w:t>
            </w:r>
          </w:p>
          <w:p>
            <w:pPr>
              <w:pStyle w:val="182"/>
              <w:numPr>
                <w:ilvl w:val="0"/>
                <w:numId w:val="31"/>
              </w:numPr>
              <w:snapToGrid w:val="0"/>
              <w:spacing w:line="360" w:lineRule="auto"/>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360" w:lineRule="auto"/>
              <w:ind w:left="600"/>
              <w:rPr>
                <w:rFonts w:hint="eastAsia" w:ascii="仿宋" w:hAnsi="仿宋" w:eastAsia="仿宋"/>
                <w:b/>
                <w:sz w:val="24"/>
                <w:szCs w:val="24"/>
                <w:lang w:val="en-US" w:eastAsia="zh-CN"/>
              </w:rPr>
            </w:pPr>
            <w:r>
              <w:rPr>
                <w:rFonts w:hint="eastAsia" w:ascii="仿宋" w:hAnsi="仿宋" w:eastAsia="仿宋"/>
                <w:b/>
                <w:sz w:val="24"/>
                <w:szCs w:val="24"/>
              </w:rPr>
              <w:t>采购标的：</w:t>
            </w:r>
            <w:r>
              <w:rPr>
                <w:rFonts w:hint="eastAsia" w:ascii="仿宋" w:hAnsi="仿宋" w:eastAsia="仿宋"/>
                <w:b/>
                <w:sz w:val="24"/>
                <w:szCs w:val="24"/>
                <w:lang w:val="en-US" w:eastAsia="zh-CN"/>
              </w:rPr>
              <w:t>标项1：云计算平台建设项目；标项2：数据中心机房设备采购及网络运维管理平台建设项目，</w:t>
            </w:r>
            <w:r>
              <w:rPr>
                <w:rFonts w:hint="eastAsia" w:ascii="仿宋" w:hAnsi="仿宋" w:eastAsia="仿宋"/>
                <w:b/>
                <w:sz w:val="24"/>
                <w:szCs w:val="24"/>
              </w:rPr>
              <w:t>所属行业：</w:t>
            </w:r>
            <w:r>
              <w:rPr>
                <w:rFonts w:hint="eastAsia" w:ascii="仿宋" w:hAnsi="仿宋" w:eastAsia="仿宋"/>
                <w:b/>
                <w:sz w:val="24"/>
                <w:szCs w:val="24"/>
                <w:lang w:val="en-US" w:eastAsia="zh-CN"/>
              </w:rPr>
              <w:t>工业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 xml:space="preserve"> </w:t>
            </w:r>
            <w:r>
              <w:rPr>
                <w:rFonts w:ascii="仿宋" w:hAnsi="仿宋" w:eastAsia="仿宋"/>
                <w:b/>
                <w:sz w:val="24"/>
                <w:szCs w:val="24"/>
                <w:u w:val="single"/>
              </w:rPr>
              <w:t xml:space="preserve"> </w:t>
            </w:r>
            <w:r>
              <w:rPr>
                <w:rFonts w:hint="eastAsia" w:ascii="仿宋" w:hAnsi="仿宋" w:eastAsia="仿宋"/>
                <w:b/>
                <w:sz w:val="24"/>
                <w:szCs w:val="24"/>
                <w:u w:val="single"/>
                <w:lang w:val="en-US" w:eastAsia="zh-CN"/>
              </w:rPr>
              <w:t>20%</w:t>
            </w:r>
            <w:r>
              <w:rPr>
                <w:rFonts w:ascii="仿宋" w:hAnsi="仿宋" w:eastAsia="仿宋"/>
                <w:b/>
                <w:sz w:val="24"/>
                <w:szCs w:val="24"/>
                <w:u w:val="single"/>
              </w:rPr>
              <w:t xml:space="preserve">  </w:t>
            </w:r>
            <w:r>
              <w:rPr>
                <w:rFonts w:hint="eastAsia" w:ascii="仿宋" w:hAnsi="仿宋" w:eastAsia="仿宋"/>
                <w:b/>
                <w:sz w:val="24"/>
                <w:szCs w:val="24"/>
              </w:rPr>
              <w:t>（</w:t>
            </w:r>
            <w:r>
              <w:rPr>
                <w:rFonts w:ascii="仿宋" w:hAnsi="仿宋" w:eastAsia="仿宋"/>
                <w:b/>
                <w:sz w:val="24"/>
                <w:szCs w:val="24"/>
              </w:rPr>
              <w:t>10</w:t>
            </w:r>
            <w:r>
              <w:rPr>
                <w:rFonts w:hint="eastAsia" w:ascii="仿宋" w:hAnsi="仿宋" w:eastAsia="仿宋"/>
                <w:b/>
                <w:sz w:val="24"/>
                <w:szCs w:val="24"/>
              </w:rPr>
              <w:t>%-</w:t>
            </w:r>
            <w:r>
              <w:rPr>
                <w:rFonts w:ascii="仿宋" w:hAnsi="仿宋" w:eastAsia="仿宋"/>
                <w:b/>
                <w:sz w:val="24"/>
                <w:szCs w:val="24"/>
              </w:rPr>
              <w:t>20</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ascii="仿宋" w:hAnsi="仿宋" w:eastAsia="仿宋"/>
                <w:b/>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ascii="仿宋" w:hAnsi="仿宋" w:eastAsia="仿宋"/>
                <w:b/>
                <w:sz w:val="24"/>
                <w:szCs w:val="24"/>
                <w:u w:val="single"/>
              </w:rPr>
              <w:t xml:space="preserve">  </w:t>
            </w:r>
            <w:r>
              <w:rPr>
                <w:rFonts w:hint="eastAsia" w:ascii="仿宋" w:hAnsi="仿宋" w:eastAsia="仿宋"/>
                <w:b/>
                <w:sz w:val="24"/>
                <w:szCs w:val="24"/>
                <w:u w:val="single"/>
                <w:lang w:val="en-US" w:eastAsia="zh-CN"/>
              </w:rPr>
              <w:t>6%</w:t>
            </w:r>
            <w:r>
              <w:rPr>
                <w:rFonts w:ascii="仿宋" w:hAnsi="仿宋" w:eastAsia="仿宋"/>
                <w:b/>
                <w:sz w:val="24"/>
                <w:szCs w:val="24"/>
                <w:u w:val="single"/>
              </w:rPr>
              <w:t xml:space="preserve">  </w:t>
            </w:r>
            <w:r>
              <w:rPr>
                <w:rFonts w:hint="eastAsia" w:ascii="仿宋" w:hAnsi="仿宋" w:eastAsia="仿宋"/>
                <w:b/>
                <w:sz w:val="24"/>
                <w:szCs w:val="24"/>
              </w:rPr>
              <w:t>(</w:t>
            </w:r>
            <w:r>
              <w:rPr>
                <w:rFonts w:ascii="仿宋" w:hAnsi="仿宋" w:eastAsia="仿宋"/>
                <w:b/>
                <w:sz w:val="24"/>
                <w:szCs w:val="24"/>
              </w:rPr>
              <w:t>4</w:t>
            </w:r>
            <w:r>
              <w:rPr>
                <w:rFonts w:hint="eastAsia" w:ascii="仿宋" w:hAnsi="仿宋" w:eastAsia="仿宋"/>
                <w:b/>
                <w:sz w:val="24"/>
                <w:szCs w:val="24"/>
              </w:rPr>
              <w:t>%-</w:t>
            </w:r>
            <w:r>
              <w:rPr>
                <w:rFonts w:ascii="仿宋" w:hAnsi="仿宋" w:eastAsia="仿宋"/>
                <w:b/>
                <w:sz w:val="24"/>
                <w:szCs w:val="24"/>
              </w:rPr>
              <w:t>6</w:t>
            </w:r>
            <w:r>
              <w:rPr>
                <w:rFonts w:hint="eastAsia" w:ascii="仿宋" w:hAnsi="仿宋" w:eastAsia="仿宋"/>
                <w:b/>
                <w:sz w:val="24"/>
                <w:szCs w:val="24"/>
              </w:rPr>
              <w:t>%)</w:t>
            </w:r>
            <w:r>
              <w:rPr>
                <w:rFonts w:ascii="仿宋" w:hAnsi="仿宋" w:eastAsia="仿宋"/>
                <w:b/>
                <w:sz w:val="24"/>
                <w:szCs w:val="24"/>
              </w:rPr>
              <w:t>的扣除，用扣除后的价格参加评审。</w:t>
            </w:r>
          </w:p>
          <w:p>
            <w:pPr>
              <w:snapToGrid w:val="0"/>
              <w:spacing w:line="360" w:lineRule="auto"/>
              <w:ind w:firstLine="602" w:firstLineChars="250"/>
              <w:rPr>
                <w:rFonts w:ascii="仿宋" w:hAnsi="仿宋" w:eastAsia="仿宋"/>
                <w:b/>
                <w:sz w:val="24"/>
                <w:szCs w:val="24"/>
              </w:rPr>
            </w:pPr>
            <w:r>
              <w:rPr>
                <w:rFonts w:ascii="仿宋" w:hAnsi="仿宋" w:eastAsia="仿宋"/>
                <w:b/>
                <w:sz w:val="24"/>
                <w:szCs w:val="24"/>
              </w:rPr>
              <w:t>组成联合体或者接受分包 的小微企业与联合体内其他企业、分包企业之间存在直接控 股、管理关系的，不享受价格扣除优惠政策。</w:t>
            </w:r>
          </w:p>
          <w:p>
            <w:pPr>
              <w:snapToGrid w:val="0"/>
              <w:spacing w:line="360" w:lineRule="auto"/>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360" w:lineRule="auto"/>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spacing w:line="360" w:lineRule="auto"/>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360" w:lineRule="auto"/>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600" w:firstLineChars="250"/>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Pr>
                <w:rFonts w:hint="eastAsia" w:ascii="仿宋" w:hAnsi="仿宋" w:eastAsia="仿宋"/>
                <w:sz w:val="24"/>
                <w:szCs w:val="24"/>
              </w:rPr>
              <w:t>招标方</w:t>
            </w:r>
            <w:r>
              <w:rPr>
                <w:rFonts w:ascii="仿宋" w:hAnsi="仿宋" w:eastAsia="仿宋"/>
                <w:sz w:val="24"/>
                <w:szCs w:val="24"/>
              </w:rPr>
              <w:t>提出质疑</w:t>
            </w:r>
            <w:r>
              <w:rPr>
                <w:rFonts w:hint="eastAsia" w:ascii="仿宋" w:hAnsi="仿宋" w:eastAsia="仿宋"/>
                <w:sz w:val="24"/>
                <w:szCs w:val="24"/>
              </w:rPr>
              <w:t>，格式及内容要求详见总则（五）质疑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bookmarkStart w:id="16" w:name="PO_15528_PM042"/>
            <w:r>
              <w:rPr>
                <w:rFonts w:hint="eastAsia" w:ascii="仿宋" w:hAnsi="仿宋" w:eastAsia="仿宋"/>
                <w:sz w:val="24"/>
                <w:szCs w:val="24"/>
                <w:lang w:eastAsia="zh-CN"/>
              </w:rPr>
              <w:t>不允许进口产品</w:t>
            </w:r>
            <w:bookmarkEnd w:id="16"/>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转包：否</w:t>
            </w:r>
          </w:p>
          <w:p>
            <w:p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分包：</w:t>
            </w:r>
            <w:bookmarkStart w:id="17" w:name="PO_15528_PM044"/>
            <w:r>
              <w:rPr>
                <w:rFonts w:hint="eastAsia" w:ascii="仿宋" w:hAnsi="仿宋" w:eastAsia="仿宋"/>
                <w:sz w:val="24"/>
                <w:szCs w:val="24"/>
                <w:lang w:val="en-US" w:eastAsia="zh-CN"/>
              </w:rPr>
              <w:t>允许分包</w:t>
            </w:r>
            <w:bookmarkEnd w:id="17"/>
            <w:r>
              <w:rPr>
                <w:rFonts w:hint="eastAsia" w:ascii="仿宋" w:hAnsi="仿宋" w:eastAsia="仿宋"/>
                <w:sz w:val="24"/>
                <w:szCs w:val="24"/>
                <w:lang w:val="en-US" w:eastAsia="zh-CN"/>
              </w:rPr>
              <w:t>。</w:t>
            </w:r>
          </w:p>
          <w:p>
            <w:pPr>
              <w:spacing w:line="360" w:lineRule="auto"/>
              <w:jc w:val="left"/>
            </w:pPr>
            <w:r>
              <w:rPr>
                <w:rFonts w:hint="eastAsia" w:ascii="仿宋" w:hAnsi="仿宋" w:eastAsia="仿宋"/>
                <w:sz w:val="24"/>
                <w:szCs w:val="24"/>
                <w:lang w:val="en-US" w:eastAsia="zh-CN"/>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bookmarkStart w:id="18" w:name="PO_15528_PM007_1"/>
            <w:r>
              <w:rPr>
                <w:rFonts w:hint="eastAsia" w:ascii="仿宋" w:hAnsi="仿宋" w:eastAsia="仿宋"/>
                <w:sz w:val="24"/>
                <w:szCs w:val="24"/>
                <w:lang w:eastAsia="zh-CN"/>
              </w:rPr>
              <w:t>标项1</w:t>
            </w:r>
            <w:r>
              <w:rPr>
                <w:rFonts w:hint="eastAsia" w:ascii="仿宋" w:hAnsi="仿宋" w:eastAsia="仿宋"/>
                <w:sz w:val="24"/>
                <w:szCs w:val="24"/>
                <w:lang w:val="en-US" w:eastAsia="zh-CN"/>
              </w:rPr>
              <w:t>和</w:t>
            </w:r>
            <w:r>
              <w:rPr>
                <w:rFonts w:hint="eastAsia" w:ascii="仿宋" w:hAnsi="仿宋" w:eastAsia="仿宋"/>
                <w:sz w:val="24"/>
                <w:szCs w:val="24"/>
                <w:lang w:eastAsia="zh-CN"/>
              </w:rPr>
              <w:t>标项2:允许联合体投标</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bookmarkStart w:id="19" w:name="PO_15528_PM040"/>
            <w:r>
              <w:rPr>
                <w:rFonts w:hint="eastAsia" w:ascii="仿宋" w:hAnsi="仿宋" w:eastAsia="仿宋"/>
                <w:sz w:val="24"/>
                <w:szCs w:val="24"/>
                <w:lang w:eastAsia="zh-CN"/>
              </w:rPr>
              <w:t>不组织现场踏勘</w:t>
            </w:r>
            <w:bookmarkEnd w:id="19"/>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bookmarkStart w:id="20" w:name="PO_1000000445_PM041"/>
            <w:r>
              <w:rPr>
                <w:rFonts w:hint="eastAsia" w:ascii="仿宋" w:hAnsi="仿宋" w:eastAsia="仿宋"/>
                <w:sz w:val="24"/>
                <w:szCs w:val="24"/>
                <w:lang w:eastAsia="zh-CN"/>
              </w:rPr>
              <w:t>不进行演示</w:t>
            </w:r>
            <w:bookmarkEnd w:id="20"/>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bookmarkStart w:id="21"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21"/>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360" w:lineRule="auto"/>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b/>
                <w:sz w:val="24"/>
                <w:szCs w:val="24"/>
              </w:rPr>
            </w:pPr>
            <w:r>
              <w:rPr>
                <w:rFonts w:hint="eastAsia" w:ascii="仿宋" w:hAnsi="仿宋" w:eastAsia="仿宋"/>
                <w:b/>
                <w:sz w:val="24"/>
                <w:szCs w:val="24"/>
              </w:rPr>
              <w:t>第一步：供应商注册</w:t>
            </w:r>
          </w:p>
          <w:p>
            <w:pPr>
              <w:spacing w:line="360" w:lineRule="auto"/>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360" w:lineRule="auto"/>
              <w:jc w:val="left"/>
              <w:rPr>
                <w:rFonts w:ascii="仿宋" w:hAnsi="仿宋" w:eastAsia="仿宋"/>
                <w:b/>
                <w:sz w:val="24"/>
                <w:szCs w:val="24"/>
              </w:rPr>
            </w:pPr>
            <w:r>
              <w:rPr>
                <w:rFonts w:hint="eastAsia" w:ascii="仿宋" w:hAnsi="仿宋" w:eastAsia="仿宋"/>
                <w:b/>
                <w:sz w:val="24"/>
                <w:szCs w:val="24"/>
              </w:rPr>
              <w:t>第二步：申请CA</w:t>
            </w:r>
          </w:p>
          <w:p>
            <w:pPr>
              <w:spacing w:line="360" w:lineRule="auto"/>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360" w:lineRule="auto"/>
              <w:jc w:val="left"/>
              <w:rPr>
                <w:rFonts w:ascii="仿宋" w:hAnsi="仿宋" w:eastAsia="仿宋"/>
                <w:b/>
                <w:sz w:val="24"/>
                <w:szCs w:val="24"/>
              </w:rPr>
            </w:pPr>
            <w:r>
              <w:rPr>
                <w:rFonts w:hint="eastAsia" w:ascii="仿宋" w:hAnsi="仿宋" w:eastAsia="仿宋"/>
                <w:b/>
                <w:sz w:val="24"/>
                <w:szCs w:val="24"/>
              </w:rPr>
              <w:t>第三步：下载客户端</w:t>
            </w:r>
          </w:p>
          <w:p>
            <w:pPr>
              <w:spacing w:line="360" w:lineRule="auto"/>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360" w:lineRule="auto"/>
              <w:jc w:val="left"/>
              <w:rPr>
                <w:rFonts w:ascii="仿宋" w:hAnsi="仿宋" w:eastAsia="仿宋"/>
                <w:b/>
                <w:sz w:val="24"/>
                <w:szCs w:val="24"/>
              </w:rPr>
            </w:pPr>
            <w:r>
              <w:rPr>
                <w:rFonts w:hint="eastAsia" w:ascii="仿宋" w:hAnsi="仿宋" w:eastAsia="仿宋"/>
                <w:b/>
                <w:sz w:val="24"/>
                <w:szCs w:val="24"/>
              </w:rPr>
              <w:t>第四步：具体流程</w:t>
            </w:r>
          </w:p>
          <w:p>
            <w:pPr>
              <w:spacing w:line="360" w:lineRule="auto"/>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360" w:lineRule="auto"/>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360" w:lineRule="auto"/>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360" w:lineRule="auto"/>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360" w:lineRule="auto"/>
              <w:jc w:val="left"/>
              <w:rPr>
                <w:rFonts w:ascii="仿宋" w:hAnsi="仿宋" w:eastAsia="仿宋"/>
                <w:b/>
                <w:sz w:val="24"/>
                <w:szCs w:val="24"/>
              </w:rPr>
            </w:pPr>
            <w:r>
              <w:rPr>
                <w:rFonts w:hint="eastAsia" w:ascii="仿宋" w:hAnsi="仿宋" w:eastAsia="仿宋"/>
                <w:b/>
                <w:sz w:val="24"/>
                <w:szCs w:val="24"/>
              </w:rPr>
              <w:t>1、未按规定密封或标记的；</w:t>
            </w:r>
          </w:p>
          <w:p>
            <w:pPr>
              <w:spacing w:line="360" w:lineRule="auto"/>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360" w:lineRule="auto"/>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国库集中支付（采购人自行支付）详见各标项的商务要求表。</w:t>
            </w:r>
          </w:p>
          <w:p>
            <w:pPr>
              <w:spacing w:line="360" w:lineRule="auto"/>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2"/>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2"/>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2"/>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2"/>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2"/>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1"/>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widowControl w:val="0"/>
        <w:numPr>
          <w:ilvl w:val="0"/>
          <w:numId w:val="0"/>
        </w:numPr>
        <w:tabs>
          <w:tab w:val="clear" w:pos="454"/>
        </w:tabs>
        <w:snapToGrid w:val="0"/>
        <w:spacing w:before="120" w:beforeLines="50" w:after="120" w:line="460" w:lineRule="exact"/>
        <w:ind w:firstLine="560" w:firstLineChars="200"/>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8"/>
        <w:widowControl w:val="0"/>
        <w:numPr>
          <w:ilvl w:val="0"/>
          <w:numId w:val="0"/>
        </w:numPr>
        <w:tabs>
          <w:tab w:val="clear" w:pos="454"/>
        </w:tabs>
        <w:snapToGrid w:val="0"/>
        <w:spacing w:before="120" w:beforeLines="50" w:after="120" w:line="460" w:lineRule="exact"/>
        <w:ind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8"/>
        <w:widowControl w:val="0"/>
        <w:numPr>
          <w:ilvl w:val="0"/>
          <w:numId w:val="0"/>
        </w:numPr>
        <w:tabs>
          <w:tab w:val="clear" w:pos="454"/>
        </w:tabs>
        <w:snapToGrid w:val="0"/>
        <w:spacing w:before="120" w:beforeLines="50" w:after="120" w:line="460" w:lineRule="exact"/>
        <w:ind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2"/>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2"/>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2"/>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2"/>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2"/>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2"/>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2"/>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2"/>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2"/>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2"/>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2"/>
        <w:spacing w:before="120" w:after="120" w:line="240" w:lineRule="auto"/>
        <w:ind w:firstLine="560" w:firstLineChars="200"/>
        <w:rPr>
          <w:rFonts w:hint="eastAsia" w:ascii="仿宋" w:hAnsi="仿宋" w:eastAsia="仿宋" w:cs="Times New Roman"/>
          <w:b/>
          <w:bCs/>
          <w:kern w:val="2"/>
          <w:sz w:val="28"/>
          <w:szCs w:val="28"/>
          <w:lang w:val="en-US" w:eastAsia="zh-CN" w:bidi="ar-SA"/>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2"/>
        <w:spacing w:before="120" w:after="120" w:line="360" w:lineRule="auto"/>
        <w:jc w:val="center"/>
        <w:rPr>
          <w:rFonts w:ascii="仿宋" w:hAnsi="仿宋" w:eastAsia="仿宋"/>
          <w:b/>
          <w:sz w:val="28"/>
          <w:szCs w:val="28"/>
        </w:rPr>
      </w:pPr>
    </w:p>
    <w:p>
      <w:pPr>
        <w:pStyle w:val="32"/>
        <w:snapToGrid w:val="0"/>
        <w:spacing w:before="120" w:after="120" w:line="240" w:lineRule="auto"/>
        <w:ind w:firstLine="600" w:firstLineChars="200"/>
        <w:rPr>
          <w:rFonts w:ascii="仿宋_GB2312" w:hAnsi="仿宋" w:eastAsia="仿宋_GB2312"/>
          <w:sz w:val="30"/>
          <w:szCs w:val="30"/>
        </w:rPr>
      </w:pPr>
    </w:p>
    <w:p>
      <w:pPr>
        <w:pStyle w:val="32"/>
        <w:spacing w:before="120" w:after="120" w:line="360" w:lineRule="auto"/>
        <w:jc w:val="center"/>
        <w:outlineLvl w:val="0"/>
        <w:rPr>
          <w:rFonts w:hAnsi="宋体"/>
          <w:b/>
          <w:sz w:val="36"/>
          <w:szCs w:val="36"/>
        </w:rPr>
      </w:pPr>
      <w:r>
        <w:rPr>
          <w:rFonts w:hAnsi="宋体"/>
          <w:b/>
          <w:sz w:val="36"/>
          <w:szCs w:val="36"/>
        </w:rPr>
        <w:br w:type="page"/>
      </w:r>
      <w:bookmarkStart w:id="22" w:name="_Toc496796637"/>
      <w:r>
        <w:rPr>
          <w:rFonts w:hint="eastAsia" w:hAnsi="宋体"/>
          <w:b/>
          <w:sz w:val="36"/>
          <w:szCs w:val="36"/>
        </w:rPr>
        <w:t>第三章 评标办法及评分标准</w:t>
      </w:r>
      <w:bookmarkEnd w:id="22"/>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480" w:lineRule="auto"/>
        <w:rPr>
          <w:rFonts w:hAnsi="宋体"/>
          <w:b/>
          <w:sz w:val="36"/>
          <w:szCs w:val="36"/>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3" w:name="_Toc496796638"/>
    </w:p>
    <w:p>
      <w:pPr>
        <w:spacing w:before="120" w:beforeLines="50" w:after="120" w:afterLines="50" w:line="340" w:lineRule="exact"/>
        <w:rPr>
          <w:rFonts w:hint="eastAsia" w:ascii="仿宋_GB2312" w:hAnsi="宋体" w:eastAsia="仿宋_GB2312"/>
          <w:b/>
          <w:sz w:val="32"/>
          <w:szCs w:val="32"/>
          <w:lang w:eastAsia="zh-CN"/>
        </w:rPr>
      </w:pPr>
      <w:bookmarkStart w:id="24" w:name="PO_15528_PM051"/>
      <w:r>
        <w:rPr>
          <w:rFonts w:hint="eastAsia" w:ascii="仿宋_GB2312" w:hAnsi="宋体" w:eastAsia="仿宋_GB2312"/>
          <w:b/>
          <w:sz w:val="32"/>
          <w:szCs w:val="32"/>
          <w:lang w:eastAsia="zh-CN"/>
        </w:rPr>
        <w:t xml:space="preserve"> </w:t>
      </w:r>
      <w:bookmarkEnd w:id="24"/>
      <w:bookmarkStart w:id="25" w:name="PO_TDCUS_ITEM_SM_TITLE_1"/>
      <w:r>
        <w:rPr>
          <w:rFonts w:hint="eastAsia" w:ascii="仿宋_GB2312" w:hAnsi="宋体" w:eastAsia="仿宋_GB2312"/>
          <w:b/>
          <w:sz w:val="32"/>
          <w:szCs w:val="32"/>
          <w:lang w:eastAsia="zh-CN"/>
        </w:rPr>
        <w:t>标项1的评分方法</w:t>
      </w:r>
      <w:bookmarkEnd w:id="25"/>
      <w:bookmarkStart w:id="26" w:name="PO_TDCUS_ITEM_SM_TABLE_1"/>
      <w:r>
        <w:rPr>
          <w:rFonts w:hint="eastAsia" w:ascii="仿宋_GB2312" w:hAnsi="宋体" w:eastAsia="仿宋_GB2312"/>
          <w:b/>
          <w:sz w:val="32"/>
          <w:szCs w:val="32"/>
          <w:lang w:eastAsia="zh-CN"/>
        </w:rPr>
        <w:t xml:space="preserve"> </w:t>
      </w:r>
    </w:p>
    <w:tbl>
      <w:tblPr>
        <w:tblStyle w:val="6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831"/>
        <w:gridCol w:w="4067"/>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序号</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highlight w:val="none"/>
              </w:rPr>
              <w:t>符合明确指标参数得2</w:t>
            </w:r>
            <w:r>
              <w:rPr>
                <w:rFonts w:hint="eastAsia" w:ascii="仿宋_GB2312" w:hAnsi="宋体" w:eastAsia="仿宋_GB2312"/>
                <w:b/>
                <w:sz w:val="32"/>
                <w:szCs w:val="32"/>
                <w:highlight w:val="none"/>
                <w:lang w:val="en-US" w:eastAsia="zh-CN"/>
              </w:rPr>
              <w:t>4</w:t>
            </w:r>
            <w:r>
              <w:rPr>
                <w:rFonts w:hint="eastAsia" w:ascii="仿宋_GB2312" w:hAnsi="宋体" w:eastAsia="仿宋_GB2312"/>
                <w:b/>
                <w:sz w:val="32"/>
                <w:szCs w:val="32"/>
                <w:highlight w:val="none"/>
              </w:rPr>
              <w:t>分。</w:t>
            </w:r>
            <w:r>
              <w:rPr>
                <w:rFonts w:hint="eastAsia" w:ascii="仿宋_GB2312" w:hAnsi="宋体" w:eastAsia="仿宋_GB2312"/>
                <w:b/>
                <w:sz w:val="32"/>
                <w:szCs w:val="32"/>
                <w:vertAlign w:val="baseline"/>
                <w:lang w:eastAsia="zh-CN"/>
              </w:rPr>
              <w:t>标有</w:t>
            </w:r>
            <w:r>
              <w:rPr>
                <w:rFonts w:hint="eastAsia" w:ascii="仿宋_GB2312" w:hAnsi="宋体" w:eastAsia="仿宋_GB2312"/>
                <w:b/>
                <w:sz w:val="32"/>
                <w:szCs w:val="32"/>
                <w:highlight w:val="none"/>
              </w:rPr>
              <w:t>“★”的，属负偏离或缺漏项的每项扣3分；</w:t>
            </w:r>
            <w:r>
              <w:rPr>
                <w:rFonts w:hint="eastAsia" w:ascii="仿宋_GB2312" w:hAnsi="宋体" w:eastAsia="仿宋_GB2312"/>
                <w:b/>
                <w:sz w:val="32"/>
                <w:szCs w:val="32"/>
                <w:highlight w:val="none"/>
                <w:lang w:val="en-US" w:eastAsia="zh-CN"/>
              </w:rPr>
              <w:t>未标</w:t>
            </w:r>
            <w:r>
              <w:rPr>
                <w:rFonts w:hint="eastAsia" w:ascii="仿宋_GB2312" w:hAnsi="宋体" w:eastAsia="仿宋_GB2312"/>
                <w:b/>
                <w:sz w:val="32"/>
                <w:szCs w:val="32"/>
                <w:highlight w:val="none"/>
              </w:rPr>
              <w:t>“★”的</w:t>
            </w:r>
            <w:r>
              <w:rPr>
                <w:rFonts w:hint="eastAsia" w:ascii="仿宋_GB2312" w:hAnsi="宋体" w:eastAsia="仿宋_GB2312"/>
                <w:b/>
                <w:sz w:val="32"/>
                <w:szCs w:val="32"/>
                <w:highlight w:val="none"/>
                <w:lang w:eastAsia="zh-CN"/>
              </w:rPr>
              <w:t>，</w:t>
            </w:r>
            <w:r>
              <w:rPr>
                <w:rFonts w:hint="eastAsia" w:ascii="仿宋_GB2312" w:hAnsi="宋体" w:eastAsia="仿宋_GB2312"/>
                <w:b/>
                <w:sz w:val="32"/>
                <w:szCs w:val="32"/>
                <w:highlight w:val="none"/>
              </w:rPr>
              <w:t>属负偏离或缺漏项的每项扣2分；</w:t>
            </w:r>
            <w:r>
              <w:rPr>
                <w:rFonts w:hint="eastAsia" w:ascii="仿宋_GB2312" w:hAnsi="宋体" w:eastAsia="仿宋_GB2312"/>
                <w:b/>
                <w:sz w:val="32"/>
                <w:szCs w:val="32"/>
                <w:vertAlign w:val="baseline"/>
                <w:lang w:eastAsia="zh-CN"/>
              </w:rPr>
              <w:t>标有</w:t>
            </w:r>
            <w:r>
              <w:rPr>
                <w:rFonts w:hint="eastAsia" w:ascii="仿宋_GB2312" w:hAnsi="宋体" w:eastAsia="仿宋_GB2312"/>
                <w:b/>
                <w:sz w:val="32"/>
                <w:szCs w:val="32"/>
                <w:highlight w:val="none"/>
              </w:rPr>
              <w:t>“★”的和</w:t>
            </w:r>
            <w:r>
              <w:rPr>
                <w:rFonts w:hint="eastAsia" w:ascii="仿宋_GB2312" w:hAnsi="宋体" w:eastAsia="仿宋_GB2312"/>
                <w:b/>
                <w:sz w:val="32"/>
                <w:szCs w:val="32"/>
                <w:highlight w:val="none"/>
                <w:lang w:val="en-US" w:eastAsia="zh-CN"/>
              </w:rPr>
              <w:t>未标</w:t>
            </w:r>
            <w:r>
              <w:rPr>
                <w:rFonts w:hint="eastAsia" w:ascii="仿宋_GB2312" w:hAnsi="宋体" w:eastAsia="仿宋_GB2312"/>
                <w:b/>
                <w:sz w:val="32"/>
                <w:szCs w:val="32"/>
                <w:highlight w:val="none"/>
              </w:rPr>
              <w:t>“★”的</w:t>
            </w:r>
            <w:r>
              <w:rPr>
                <w:rFonts w:hint="eastAsia" w:ascii="仿宋_GB2312" w:hAnsi="宋体" w:eastAsia="仿宋_GB2312"/>
                <w:b/>
                <w:sz w:val="32"/>
                <w:szCs w:val="32"/>
                <w:highlight w:val="none"/>
                <w:lang w:eastAsia="zh-CN"/>
              </w:rPr>
              <w:t>，</w:t>
            </w:r>
            <w:r>
              <w:rPr>
                <w:rFonts w:hint="eastAsia" w:ascii="仿宋_GB2312" w:hAnsi="宋体" w:eastAsia="仿宋_GB2312"/>
                <w:b/>
                <w:sz w:val="32"/>
                <w:szCs w:val="32"/>
                <w:highlight w:val="none"/>
              </w:rPr>
              <w:t>负偏离</w:t>
            </w:r>
            <w:r>
              <w:rPr>
                <w:rFonts w:hint="eastAsia" w:ascii="仿宋_GB2312" w:hAnsi="宋体" w:eastAsia="仿宋_GB2312"/>
                <w:b/>
                <w:sz w:val="32"/>
                <w:szCs w:val="32"/>
                <w:highlight w:val="none"/>
                <w:lang w:val="en-US" w:eastAsia="zh-CN"/>
              </w:rPr>
              <w:t>共</w:t>
            </w:r>
            <w:r>
              <w:rPr>
                <w:rFonts w:hint="eastAsia" w:ascii="仿宋_GB2312" w:hAnsi="宋体" w:eastAsia="仿宋_GB2312"/>
                <w:b/>
                <w:sz w:val="32"/>
                <w:szCs w:val="32"/>
                <w:highlight w:val="none"/>
              </w:rPr>
              <w:t>达到5个及以上的按重大偏离处理。</w:t>
            </w:r>
          </w:p>
        </w:tc>
        <w:tc>
          <w:tcPr>
            <w:tcW w:w="1601" w:type="dxa"/>
          </w:tcPr>
          <w:p>
            <w:pPr>
              <w:spacing w:before="120" w:beforeLines="50" w:after="120" w:afterLines="50" w:line="340" w:lineRule="exact"/>
              <w:rPr>
                <w:rFonts w:hint="default" w:ascii="仿宋_GB2312" w:hAnsi="宋体" w:eastAsia="仿宋_GB2312"/>
                <w:b/>
                <w:sz w:val="32"/>
                <w:szCs w:val="32"/>
                <w:vertAlign w:val="baseline"/>
                <w:lang w:val="en-US" w:eastAsia="zh-CN"/>
              </w:rPr>
            </w:pPr>
            <w:r>
              <w:rPr>
                <w:rFonts w:hint="eastAsia" w:ascii="仿宋_GB2312" w:hAnsi="宋体" w:eastAsia="仿宋_GB2312"/>
                <w:b/>
                <w:sz w:val="32"/>
                <w:szCs w:val="32"/>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 xml:space="preserve"> 2</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对性能指标、技术参数属正偏或高配的、有先进程度的正偏离每项加1分（最高分为5分），无实质性意义的正偏离不加分。</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所投产品的技术先进性。</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系统集成的具体技术解决方案。</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项目系统集成具体实施计划。</w:t>
            </w:r>
          </w:p>
        </w:tc>
        <w:tc>
          <w:tcPr>
            <w:tcW w:w="1601"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7</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系统集成项目组实施人员能力（详见招标需求）。</w:t>
            </w:r>
          </w:p>
        </w:tc>
        <w:tc>
          <w:tcPr>
            <w:tcW w:w="1601"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项目维护计划（驻点人员安排，定期巡检，备品备件等情况）的有效性等。</w:t>
            </w:r>
          </w:p>
        </w:tc>
        <w:tc>
          <w:tcPr>
            <w:tcW w:w="1601"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9</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售后服务的响应情况（对用户故障响应、处理等）。</w:t>
            </w:r>
          </w:p>
        </w:tc>
        <w:tc>
          <w:tcPr>
            <w:tcW w:w="1601"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培训方案、计划的可行性及合理性。</w:t>
            </w:r>
          </w:p>
        </w:tc>
        <w:tc>
          <w:tcPr>
            <w:tcW w:w="1601"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11</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eastAsia="zh-CN"/>
              </w:rPr>
              <w:t>公司技术力量情况（详见商务要求表）。</w:t>
            </w:r>
          </w:p>
        </w:tc>
        <w:tc>
          <w:tcPr>
            <w:tcW w:w="1601" w:type="dxa"/>
          </w:tcPr>
          <w:p>
            <w:pPr>
              <w:spacing w:before="120" w:beforeLines="50" w:after="120" w:afterLines="50" w:line="340" w:lineRule="exact"/>
              <w:rPr>
                <w:rFonts w:hint="eastAsia" w:ascii="仿宋_GB2312" w:hAnsi="宋体" w:eastAsia="仿宋_GB2312"/>
                <w:b/>
                <w:color w:val="auto"/>
                <w:sz w:val="32"/>
                <w:szCs w:val="32"/>
                <w:vertAlign w:val="baseline"/>
                <w:lang w:eastAsia="zh-CN"/>
              </w:rPr>
            </w:pPr>
            <w:r>
              <w:rPr>
                <w:rFonts w:hint="eastAsia" w:ascii="仿宋_GB2312" w:hAnsi="宋体" w:eastAsia="仿宋_GB2312"/>
                <w:b/>
                <w:color w:val="auto"/>
                <w:sz w:val="32"/>
                <w:szCs w:val="3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12</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经验及业绩（详见商务要求表）。</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val="en-US" w:eastAsia="zh-CN"/>
              </w:rPr>
              <w:t>3</w:t>
            </w:r>
          </w:p>
        </w:tc>
      </w:tr>
    </w:tbl>
    <w:p>
      <w:pPr>
        <w:pStyle w:val="2"/>
        <w:rPr>
          <w:rFonts w:hint="eastAsia"/>
          <w:lang w:eastAsia="zh-CN"/>
        </w:rPr>
      </w:pPr>
    </w:p>
    <w:p>
      <w:pPr>
        <w:spacing w:before="120" w:beforeLines="50" w:after="120" w:afterLines="50" w:line="340" w:lineRule="exact"/>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p>
    <w:p>
      <w:pPr>
        <w:spacing w:before="120" w:beforeLines="50" w:after="120" w:afterLines="50" w:line="240" w:lineRule="auto"/>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26"/>
      <w:bookmarkStart w:id="27" w:name="PO_TDCUS_ITEM_SM_TITLE_2"/>
      <w:r>
        <w:rPr>
          <w:rFonts w:hint="eastAsia" w:ascii="仿宋_GB2312" w:hAnsi="宋体" w:eastAsia="仿宋_GB2312"/>
          <w:b/>
          <w:sz w:val="32"/>
          <w:szCs w:val="32"/>
          <w:lang w:eastAsia="zh-CN"/>
        </w:rPr>
        <w:t>标项2的评分方法</w:t>
      </w:r>
      <w:bookmarkEnd w:id="27"/>
      <w:bookmarkStart w:id="28" w:name="PO_TDCUS_ITEM_SM_TABLE_2"/>
      <w:r>
        <w:rPr>
          <w:rFonts w:hint="eastAsia" w:ascii="仿宋_GB2312" w:hAnsi="宋体" w:eastAsia="仿宋_GB2312"/>
          <w:b/>
          <w:sz w:val="32"/>
          <w:szCs w:val="32"/>
          <w:lang w:eastAsia="zh-CN"/>
        </w:rPr>
        <w:t xml:space="preserve"> </w:t>
      </w:r>
    </w:p>
    <w:tbl>
      <w:tblPr>
        <w:tblStyle w:val="6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831"/>
        <w:gridCol w:w="4067"/>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序号</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符合明确指标参数得2</w:t>
            </w:r>
            <w:r>
              <w:rPr>
                <w:rFonts w:hint="eastAsia" w:ascii="仿宋_GB2312" w:hAnsi="宋体" w:eastAsia="仿宋_GB2312"/>
                <w:b/>
                <w:sz w:val="32"/>
                <w:szCs w:val="32"/>
                <w:vertAlign w:val="baseline"/>
                <w:lang w:val="en-US" w:eastAsia="zh-CN"/>
              </w:rPr>
              <w:t>4</w:t>
            </w:r>
            <w:r>
              <w:rPr>
                <w:rFonts w:hint="eastAsia" w:ascii="仿宋_GB2312" w:hAnsi="宋体" w:eastAsia="仿宋_GB2312"/>
                <w:b/>
                <w:sz w:val="32"/>
                <w:szCs w:val="32"/>
                <w:vertAlign w:val="baseline"/>
                <w:lang w:eastAsia="zh-CN"/>
              </w:rPr>
              <w:t>分。对非关键的性能指标及技术参数属负偏离或缺漏项的每项扣3分（若负偏或缺漏项5个及以上的按重大偏离处理）。</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r>
              <w:rPr>
                <w:rFonts w:hint="eastAsia" w:ascii="仿宋_GB2312" w:hAnsi="宋体" w:eastAsia="仿宋_GB2312"/>
                <w:b/>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对性能指标、技术参数属正偏或高配的、有先进程度的正偏离每项加1分（最高分为5分），无实质性意义的正偏离不加分。</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所投产品的技术先进性。</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系统集成的具体技术解决方案。</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项目系统集成具体实施计划。</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7</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系统集成项目组实施人员能力（详见招标需求）。</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项目维护计划（驻点人员安排，定期巡检，备品备件等情况）的有效性等。</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9</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售后服务的响应情况（对用户故障响应、处理等）。</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培训方案、计划的可行性及合理性。</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11</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公司技术力量情况（详见商务要求表）。</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12</w:t>
            </w:r>
          </w:p>
        </w:tc>
        <w:tc>
          <w:tcPr>
            <w:tcW w:w="183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4067"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经验及业绩（详见商务要求表）。</w:t>
            </w:r>
          </w:p>
        </w:tc>
        <w:tc>
          <w:tcPr>
            <w:tcW w:w="1601" w:type="dxa"/>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val="en-US" w:eastAsia="zh-CN"/>
              </w:rPr>
              <w:t>3</w:t>
            </w:r>
          </w:p>
        </w:tc>
      </w:tr>
    </w:tbl>
    <w:p>
      <w:pPr>
        <w:pStyle w:val="2"/>
        <w:rPr>
          <w:rFonts w:hint="eastAsia"/>
          <w:lang w:eastAsia="zh-CN"/>
        </w:rPr>
      </w:pPr>
    </w:p>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28"/>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both"/>
        <w:outlineLvl w:val="0"/>
        <w:rPr>
          <w:rFonts w:hAnsi="宋体"/>
          <w:b/>
          <w:sz w:val="36"/>
          <w:szCs w:val="36"/>
        </w:rPr>
      </w:pPr>
    </w:p>
    <w:p>
      <w:pPr>
        <w:spacing w:after="240" w:afterLines="100" w:line="340" w:lineRule="exact"/>
        <w:jc w:val="both"/>
        <w:outlineLvl w:val="0"/>
        <w:rPr>
          <w:rFonts w:hAnsi="宋体"/>
          <w:b/>
          <w:sz w:val="36"/>
          <w:szCs w:val="36"/>
        </w:rPr>
      </w:pPr>
    </w:p>
    <w:p>
      <w:pPr>
        <w:spacing w:after="240" w:afterLines="100" w:line="240" w:lineRule="auto"/>
        <w:jc w:val="center"/>
        <w:outlineLvl w:val="0"/>
        <w:rPr>
          <w:rFonts w:hAnsi="宋体"/>
          <w:b/>
          <w:sz w:val="36"/>
          <w:szCs w:val="36"/>
        </w:rPr>
      </w:pPr>
      <w:r>
        <w:rPr>
          <w:rFonts w:hint="eastAsia" w:hAnsi="宋体"/>
          <w:b/>
          <w:sz w:val="36"/>
          <w:szCs w:val="36"/>
        </w:rPr>
        <w:t>第四章</w:t>
      </w:r>
      <w:r>
        <w:rPr>
          <w:rFonts w:hint="eastAsia" w:hAnsi="宋体"/>
          <w:b/>
          <w:sz w:val="36"/>
          <w:szCs w:val="36"/>
          <w:lang w:val="en-US" w:eastAsia="zh-CN"/>
        </w:rPr>
        <w:t xml:space="preserve"> </w:t>
      </w:r>
      <w:r>
        <w:rPr>
          <w:rFonts w:hint="eastAsia" w:hAnsi="宋体"/>
          <w:b/>
          <w:sz w:val="36"/>
          <w:szCs w:val="36"/>
        </w:rPr>
        <w:t>招标需求</w:t>
      </w:r>
      <w:bookmarkEnd w:id="23"/>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4"/>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2"/>
        <w:spacing w:before="120" w:after="120" w:line="360" w:lineRule="auto"/>
        <w:rPr>
          <w:rFonts w:ascii="仿宋" w:hAnsi="仿宋" w:eastAsia="仿宋" w:cs="Arial"/>
          <w:b/>
          <w:sz w:val="28"/>
          <w:szCs w:val="28"/>
        </w:rPr>
      </w:pPr>
      <w:bookmarkStart w:id="29" w:name="_Toc496796639"/>
    </w:p>
    <w:p>
      <w:pPr>
        <w:jc w:val="center"/>
        <w:rPr>
          <w:rFonts w:hint="eastAsia" w:hAnsi="宋体"/>
          <w:b/>
          <w:sz w:val="36"/>
          <w:szCs w:val="36"/>
          <w:lang w:eastAsia="zh-CN"/>
        </w:rPr>
      </w:pPr>
      <w:bookmarkStart w:id="30" w:name="PO_416_PM050"/>
      <w:r>
        <w:rPr>
          <w:rFonts w:hint="eastAsia" w:hAnsi="宋体"/>
          <w:b/>
          <w:sz w:val="36"/>
          <w:szCs w:val="36"/>
          <w:lang w:eastAsia="zh-CN"/>
        </w:rPr>
        <w:t xml:space="preserve"> </w:t>
      </w:r>
      <w:bookmarkEnd w:id="30"/>
      <w:bookmarkStart w:id="31" w:name="PO_TDCUS_ITEM_PB_REQ_TITLE_1"/>
    </w:p>
    <w:p>
      <w:pPr>
        <w:jc w:val="center"/>
        <w:rPr>
          <w:rFonts w:hint="eastAsia" w:hAnsi="宋体"/>
          <w:b/>
          <w:sz w:val="36"/>
          <w:szCs w:val="36"/>
          <w:lang w:eastAsia="zh-CN"/>
        </w:rPr>
      </w:pPr>
    </w:p>
    <w:p>
      <w:pPr>
        <w:jc w:val="center"/>
        <w:rPr>
          <w:rFonts w:hint="eastAsia" w:hAnsi="宋体"/>
          <w:b/>
          <w:sz w:val="36"/>
          <w:szCs w:val="36"/>
          <w:lang w:eastAsia="zh-CN"/>
        </w:rPr>
      </w:pPr>
    </w:p>
    <w:p>
      <w:pPr>
        <w:jc w:val="center"/>
        <w:rPr>
          <w:rFonts w:hint="eastAsia" w:hAnsi="宋体"/>
          <w:b/>
          <w:sz w:val="36"/>
          <w:szCs w:val="36"/>
          <w:lang w:eastAsia="zh-CN"/>
        </w:rPr>
      </w:pPr>
    </w:p>
    <w:p>
      <w:pPr>
        <w:jc w:val="center"/>
        <w:rPr>
          <w:rFonts w:hint="eastAsia" w:hAnsi="宋体"/>
          <w:b/>
          <w:sz w:val="36"/>
          <w:szCs w:val="36"/>
          <w:lang w:eastAsia="zh-CN"/>
        </w:rPr>
      </w:pPr>
    </w:p>
    <w:p>
      <w:pPr>
        <w:jc w:val="center"/>
        <w:rPr>
          <w:rFonts w:hint="eastAsia" w:hAnsi="宋体"/>
          <w:b/>
          <w:sz w:val="36"/>
          <w:szCs w:val="36"/>
          <w:lang w:eastAsia="zh-CN"/>
        </w:rPr>
      </w:pPr>
    </w:p>
    <w:p>
      <w:pPr>
        <w:jc w:val="center"/>
        <w:rPr>
          <w:rFonts w:hint="eastAsia" w:hAnsi="宋体"/>
          <w:b/>
          <w:sz w:val="36"/>
          <w:szCs w:val="36"/>
          <w:lang w:eastAsia="zh-CN"/>
        </w:rPr>
      </w:pPr>
    </w:p>
    <w:p>
      <w:pPr>
        <w:jc w:val="center"/>
        <w:rPr>
          <w:rFonts w:hint="eastAsia" w:hAnsi="宋体"/>
          <w:b/>
          <w:sz w:val="36"/>
          <w:szCs w:val="36"/>
          <w:lang w:eastAsia="zh-CN"/>
        </w:rPr>
      </w:pPr>
    </w:p>
    <w:p>
      <w:pPr>
        <w:jc w:val="center"/>
        <w:rPr>
          <w:rFonts w:hint="eastAsia" w:hAnsi="宋体"/>
          <w:b/>
          <w:sz w:val="36"/>
          <w:szCs w:val="36"/>
          <w:lang w:eastAsia="zh-CN"/>
        </w:rPr>
      </w:pPr>
    </w:p>
    <w:p>
      <w:pPr>
        <w:spacing w:line="360" w:lineRule="auto"/>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标项1:</w:t>
      </w:r>
      <w:bookmarkEnd w:id="31"/>
      <w:bookmarkStart w:id="32" w:name="PO_TDCUS_ITEM_PB_REQ_FILE_1_1"/>
      <w:r>
        <w:rPr>
          <w:rFonts w:hint="eastAsia" w:ascii="仿宋" w:hAnsi="仿宋" w:eastAsia="仿宋"/>
          <w:b/>
          <w:sz w:val="32"/>
          <w:szCs w:val="32"/>
          <w:lang w:val="en-US" w:eastAsia="zh-CN"/>
        </w:rPr>
        <w:t>云计算平台建设项目</w:t>
      </w:r>
    </w:p>
    <w:p>
      <w:pPr>
        <w:rPr>
          <w:rFonts w:ascii="宋体" w:hAnsi="宋体" w:eastAsia="宋体" w:cs="宋体"/>
          <w:sz w:val="24"/>
          <w:szCs w:val="24"/>
        </w:rPr>
      </w:pPr>
    </w:p>
    <w:p>
      <w:pPr>
        <w:pStyle w:val="5"/>
        <w:numPr>
          <w:ilvl w:val="1"/>
          <w:numId w:val="0"/>
        </w:numPr>
        <w:ind w:leftChars="0"/>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一、</w:t>
      </w:r>
      <w:r>
        <w:rPr>
          <w:rFonts w:hint="eastAsia"/>
          <w:color w:val="000000" w:themeColor="text1"/>
          <w:sz w:val="28"/>
          <w:szCs w:val="28"/>
          <w14:textFill>
            <w14:solidFill>
              <w14:schemeClr w14:val="tx1"/>
            </w14:solidFill>
          </w14:textFill>
        </w:rPr>
        <w:t>项目背景</w:t>
      </w:r>
    </w:p>
    <w:p>
      <w:pPr>
        <w:ind w:firstLine="42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引入云计算模式已经成为高校数字化管理的必然发展趋势。解决现有数据中心在服务保障教学过程中遇到的实际问题，突破传统计算中心的瓶颈，是我校数据中心建设发展迫切的需求。国务院《“十四五”数字经济发展规划》指出，云计算发展进一步提速，助力智能转型升级。《浙江警察学院“十四五”信息化建设发展规划》指出，学校的基础设施体系建设应遵循规划、架构、标准、建设、管理、运维“六个统一”，非必要各部门、系部不再单独建设。本项目拟在滨江校区搭建云计算平台，通过硬件集群的方式更好地整合包括计算，存储，网络等IT资源，实现基础设施统建共享,软硬件资源按需自动发放,业务应用快速部署上线，达到建设成本和管理成本有效控制的目标。</w:t>
      </w:r>
    </w:p>
    <w:p>
      <w:pPr>
        <w:rPr>
          <w:rFonts w:ascii="宋体" w:hAnsi="宋体" w:eastAsia="宋体" w:cs="宋体"/>
          <w:sz w:val="24"/>
          <w:szCs w:val="24"/>
        </w:rPr>
      </w:pPr>
    </w:p>
    <w:p>
      <w:pPr>
        <w:pStyle w:val="5"/>
        <w:numPr>
          <w:ilvl w:val="1"/>
          <w:numId w:val="0"/>
        </w:numPr>
        <w:ind w:leftChars="0"/>
        <w:rPr>
          <w:rFonts w:hint="eastAsia"/>
          <w:color w:val="000000" w:themeColor="text1"/>
          <w:sz w:val="28"/>
          <w:szCs w:val="28"/>
          <w:lang w:val="en-US" w:eastAsia="zh-CN"/>
          <w14:textFill>
            <w14:solidFill>
              <w14:schemeClr w14:val="tx1"/>
            </w14:solidFill>
          </w14:textFill>
        </w:rPr>
      </w:pPr>
      <w:bookmarkStart w:id="33" w:name="_Toc98434329"/>
      <w:r>
        <w:rPr>
          <w:rFonts w:hint="eastAsia"/>
          <w:color w:val="000000" w:themeColor="text1"/>
          <w:sz w:val="28"/>
          <w:szCs w:val="28"/>
          <w:lang w:val="en-US" w:eastAsia="zh-CN"/>
          <w14:textFill>
            <w14:solidFill>
              <w14:schemeClr w14:val="tx1"/>
            </w14:solidFill>
          </w14:textFill>
        </w:rPr>
        <w:t>二、采购清单</w:t>
      </w:r>
      <w:bookmarkEnd w:id="33"/>
    </w:p>
    <w:p>
      <w:pPr>
        <w:ind w:firstLine="42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本次专有云采购主要由专有云平台服务器、和专有云平台软件及运维部署服务</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部分组成。清单如下：</w:t>
      </w:r>
    </w:p>
    <w:tbl>
      <w:tblPr>
        <w:tblStyle w:val="59"/>
        <w:tblW w:w="8301" w:type="dxa"/>
        <w:tblInd w:w="-5" w:type="dxa"/>
        <w:tblLayout w:type="fixed"/>
        <w:tblCellMar>
          <w:top w:w="0" w:type="dxa"/>
          <w:left w:w="108" w:type="dxa"/>
          <w:bottom w:w="0" w:type="dxa"/>
          <w:right w:w="108" w:type="dxa"/>
        </w:tblCellMar>
      </w:tblPr>
      <w:tblGrid>
        <w:gridCol w:w="616"/>
        <w:gridCol w:w="1652"/>
        <w:gridCol w:w="4253"/>
        <w:gridCol w:w="992"/>
        <w:gridCol w:w="788"/>
      </w:tblGrid>
      <w:tr>
        <w:tblPrEx>
          <w:tblCellMar>
            <w:top w:w="0" w:type="dxa"/>
            <w:left w:w="108" w:type="dxa"/>
            <w:bottom w:w="0" w:type="dxa"/>
            <w:right w:w="108" w:type="dxa"/>
          </w:tblCellMar>
        </w:tblPrEx>
        <w:trPr>
          <w:trHeight w:val="270"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序号</w:t>
            </w: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名称</w:t>
            </w:r>
          </w:p>
        </w:tc>
        <w:tc>
          <w:tcPr>
            <w:tcW w:w="42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hAnsi="宋体" w:cs="宋体" w:eastAsiaTheme="minorEastAsia"/>
                <w:color w:val="000000"/>
                <w:kern w:val="0"/>
                <w:sz w:val="20"/>
                <w:szCs w:val="20"/>
                <w:lang w:val="en-US" w:eastAsia="zh-CN"/>
              </w:rPr>
            </w:pPr>
            <w:r>
              <w:rPr>
                <w:rFonts w:hint="eastAsia" w:hAnsi="宋体" w:cs="宋体"/>
                <w:color w:val="000000"/>
                <w:kern w:val="0"/>
                <w:sz w:val="20"/>
                <w:szCs w:val="20"/>
                <w:lang w:val="en-US" w:eastAsia="zh-CN"/>
              </w:rPr>
              <w:t>参数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数量</w:t>
            </w:r>
          </w:p>
        </w:tc>
        <w:tc>
          <w:tcPr>
            <w:tcW w:w="7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单位</w:t>
            </w:r>
          </w:p>
        </w:tc>
      </w:tr>
      <w:tr>
        <w:tblPrEx>
          <w:tblCellMar>
            <w:top w:w="0" w:type="dxa"/>
            <w:left w:w="108" w:type="dxa"/>
            <w:bottom w:w="0" w:type="dxa"/>
            <w:right w:w="108" w:type="dxa"/>
          </w:tblCellMar>
        </w:tblPrEx>
        <w:trPr>
          <w:trHeight w:val="270" w:hRule="atLeast"/>
        </w:trPr>
        <w:tc>
          <w:tcPr>
            <w:tcW w:w="83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一、云平台服务器</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服务器型号1</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hAnsi="宋体" w:cs="宋体" w:eastAsiaTheme="minorEastAsia"/>
                <w:color w:val="000000"/>
                <w:kern w:val="0"/>
                <w:sz w:val="20"/>
                <w:szCs w:val="20"/>
                <w:lang w:val="en-US" w:eastAsia="zh-CN"/>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服务器型号2</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服务器型号3</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服务器型号4</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服务器型号5</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6</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服务器型号6</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7</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服务器型号7</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8</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服务器型号8</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6</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9</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服务器型号9</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6</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9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10</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服务器型号10</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8</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11</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服务器型号11</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10</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12</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服务器型号12</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lang w:val="en-US" w:eastAsia="zh-CN"/>
              </w:rPr>
              <w:t>见</w:t>
            </w:r>
            <w:r>
              <w:rPr>
                <w:rFonts w:hint="eastAsia"/>
                <w:color w:val="000000" w:themeColor="text1"/>
                <w14:textFill>
                  <w14:solidFill>
                    <w14:schemeClr w14:val="tx1"/>
                  </w14:solidFill>
                </w14:textFill>
              </w:rPr>
              <w:t>产品详细技术要求</w:t>
            </w:r>
            <w:r>
              <w:rPr>
                <w:rFonts w:hint="eastAsia"/>
                <w:color w:val="000000" w:themeColor="text1"/>
                <w:lang w:val="en-US" w:eastAsia="zh-CN"/>
                <w14:textFill>
                  <w14:solidFill>
                    <w14:schemeClr w14:val="tx1"/>
                  </w14:solidFill>
                </w14:textFill>
              </w:rPr>
              <w:t>(</w:t>
            </w:r>
            <w:r>
              <w:rPr>
                <w:rFonts w:hint="eastAsia" w:hAnsi="宋体" w:cs="宋体"/>
                <w:b/>
                <w:bCs/>
                <w:color w:val="FF0000"/>
                <w:kern w:val="0"/>
                <w:sz w:val="20"/>
                <w:szCs w:val="20"/>
                <w:lang w:val="en-US" w:eastAsia="zh-CN"/>
              </w:rPr>
              <w:t>核心产品</w:t>
            </w:r>
            <w:r>
              <w:rPr>
                <w:rFonts w:hint="eastAsia"/>
                <w:color w:val="FF0000"/>
                <w:lang w:val="en-US" w:eastAsia="zh-CN"/>
              </w:rPr>
              <w:t>)</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12</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83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二、云平台软件</w:t>
            </w:r>
          </w:p>
        </w:tc>
      </w:tr>
      <w:tr>
        <w:tblPrEx>
          <w:tblCellMar>
            <w:top w:w="0" w:type="dxa"/>
            <w:left w:w="108" w:type="dxa"/>
            <w:bottom w:w="0" w:type="dxa"/>
            <w:right w:w="108" w:type="dxa"/>
          </w:tblCellMar>
        </w:tblPrEx>
        <w:trPr>
          <w:trHeight w:val="270"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序号</w:t>
            </w: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名称</w:t>
            </w:r>
          </w:p>
        </w:tc>
        <w:tc>
          <w:tcPr>
            <w:tcW w:w="42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hAnsi="宋体" w:cs="宋体" w:eastAsiaTheme="minorEastAsia"/>
                <w:color w:val="000000"/>
                <w:kern w:val="0"/>
                <w:sz w:val="20"/>
                <w:szCs w:val="20"/>
                <w:lang w:eastAsia="zh-CN"/>
              </w:rPr>
            </w:pPr>
            <w:r>
              <w:rPr>
                <w:rFonts w:hint="eastAsia" w:hAnsi="宋体" w:cs="宋体"/>
                <w:color w:val="000000"/>
                <w:kern w:val="0"/>
                <w:sz w:val="20"/>
                <w:szCs w:val="20"/>
                <w:lang w:val="en-US" w:eastAsia="zh-CN"/>
              </w:rPr>
              <w:t>功能</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数量</w:t>
            </w:r>
          </w:p>
        </w:tc>
        <w:tc>
          <w:tcPr>
            <w:tcW w:w="7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单位</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云服务器</w:t>
            </w:r>
          </w:p>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云服务器计算集群</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512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弹性伸缩功能</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512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资源编排</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512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云存储</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块存储</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432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TB</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对象存储</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432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TB</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6</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备份服务</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专有云云服务器整机备份</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7</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专有云DNS</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DNS轻量化基础版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8</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负载均衡</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负载均衡 (专有云)基础软件包-物理机版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9</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虚拟专有网络</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专有网络(专有云)基础网络服务包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10</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专有网络(专有云)云服务器虚拟网络特性包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512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11</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大数据展示平台</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大数据展示平台</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12</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大数据开发平台</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迁移助手-标准版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13</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调度/数据集成资源组</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64</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14</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数据服务资源组</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8</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15</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用户服务器</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16</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数据开发-调度引擎扩容包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17</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数据开发-标准版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18</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数据资产治理-标准版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19</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数据集成-标准版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20</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数据稳定性治理-标准版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21</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数据服务-标准版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22</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w:t>
            </w:r>
          </w:p>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大数据计算服务基础功能</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520</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23</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大数据计算服务联合计算增强包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520</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24</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大数据计算服务高性能离线加速增强包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520</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25</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 Mars科学计算增强包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520</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26</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大数据计算服务智能元数据软件增强包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520</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27</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大数据计算服务数据迁移备份工具</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28</w:t>
            </w:r>
          </w:p>
        </w:tc>
        <w:tc>
          <w:tcPr>
            <w:tcW w:w="1652" w:type="dxa"/>
            <w:vMerge w:val="continue"/>
            <w:tcBorders>
              <w:left w:val="nil"/>
              <w:right w:val="single" w:color="auto" w:sz="4" w:space="0"/>
            </w:tcBorders>
            <w:shd w:val="clear" w:color="auto" w:fill="auto"/>
            <w:vAlign w:val="center"/>
          </w:tcPr>
          <w:p>
            <w:pPr>
              <w:spacing w:line="240" w:lineRule="auto"/>
              <w:ind w:firstLine="40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大数据计算服务智能存储增强包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520</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29</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大数据计算服务实时计算增强包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520</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30</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大数据管理平台</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通用运维-轻量版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31</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通用运维-标准版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台</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32</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实时计算</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实时计算企业版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72</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core</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33</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API网关软件</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API网关专有云轻量版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34</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容器服务</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容器服务 基础版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35</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容器镜像服务标准版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36</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灾备管理中心</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ASR备份和恢复版</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37</w:t>
            </w:r>
          </w:p>
        </w:tc>
        <w:tc>
          <w:tcPr>
            <w:tcW w:w="1652" w:type="dxa"/>
            <w:tcBorders>
              <w:top w:val="nil"/>
              <w:left w:val="nil"/>
              <w:bottom w:val="single" w:color="auto" w:sz="4" w:space="0"/>
              <w:right w:val="single" w:color="auto" w:sz="4" w:space="0"/>
            </w:tcBorders>
            <w:shd w:val="clear" w:color="000000" w:fill="FFFFFF"/>
            <w:vAlign w:val="bottom"/>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混合云管平台</w:t>
            </w:r>
          </w:p>
        </w:tc>
        <w:tc>
          <w:tcPr>
            <w:tcW w:w="4253" w:type="dxa"/>
            <w:tcBorders>
              <w:top w:val="nil"/>
              <w:left w:val="nil"/>
              <w:bottom w:val="single" w:color="auto" w:sz="4" w:space="0"/>
              <w:right w:val="single" w:color="auto" w:sz="4" w:space="0"/>
            </w:tcBorders>
            <w:shd w:val="clear" w:color="000000" w:fill="FFFFFF"/>
            <w:vAlign w:val="bottom"/>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混合云运营管理</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38</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专有云管理平台</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专有云管理平台标准版软件</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39</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专有云管理平台标准版软件扩容包</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40</w:t>
            </w:r>
          </w:p>
        </w:tc>
        <w:tc>
          <w:tcPr>
            <w:tcW w:w="1652" w:type="dxa"/>
            <w:vMerge w:val="restart"/>
            <w:tcBorders>
              <w:top w:val="nil"/>
              <w:left w:val="nil"/>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专有云运维平台</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专有云统一运维软件（含50节点license授权）</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41</w:t>
            </w:r>
          </w:p>
        </w:tc>
        <w:tc>
          <w:tcPr>
            <w:tcW w:w="1652" w:type="dxa"/>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专有云统一运维软件（增加50节点license授权）</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42</w:t>
            </w:r>
          </w:p>
        </w:tc>
        <w:tc>
          <w:tcPr>
            <w:tcW w:w="16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日志服务</w:t>
            </w:r>
          </w:p>
        </w:tc>
        <w:tc>
          <w:tcPr>
            <w:tcW w:w="425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kern w:val="0"/>
                <w:sz w:val="20"/>
                <w:szCs w:val="20"/>
              </w:rPr>
            </w:pPr>
            <w:r>
              <w:rPr>
                <w:rFonts w:hint="eastAsia" w:hAnsi="宋体" w:cs="宋体"/>
                <w:kern w:val="0"/>
                <w:sz w:val="20"/>
                <w:szCs w:val="20"/>
              </w:rPr>
              <w:t>底座用日志引擎</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套</w:t>
            </w:r>
          </w:p>
        </w:tc>
      </w:tr>
      <w:tr>
        <w:tblPrEx>
          <w:tblCellMar>
            <w:top w:w="0" w:type="dxa"/>
            <w:left w:w="108" w:type="dxa"/>
            <w:bottom w:w="0" w:type="dxa"/>
            <w:right w:w="108" w:type="dxa"/>
          </w:tblCellMar>
        </w:tblPrEx>
        <w:trPr>
          <w:trHeight w:val="270" w:hRule="atLeast"/>
        </w:trPr>
        <w:tc>
          <w:tcPr>
            <w:tcW w:w="8301"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 xml:space="preserve">  三、运维部署服务</w:t>
            </w:r>
          </w:p>
        </w:tc>
      </w:tr>
      <w:tr>
        <w:tblPrEx>
          <w:tblCellMar>
            <w:top w:w="0" w:type="dxa"/>
            <w:left w:w="108" w:type="dxa"/>
            <w:bottom w:w="0" w:type="dxa"/>
            <w:right w:w="108" w:type="dxa"/>
          </w:tblCellMar>
        </w:tblPrEx>
        <w:trPr>
          <w:trHeight w:val="27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5905"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0"/>
                <w:szCs w:val="20"/>
              </w:rPr>
            </w:pPr>
            <w:r>
              <w:rPr>
                <w:rFonts w:hint="eastAsia" w:hAnsi="宋体" w:cs="宋体"/>
                <w:color w:val="000000"/>
                <w:kern w:val="0"/>
                <w:sz w:val="20"/>
                <w:szCs w:val="20"/>
              </w:rPr>
              <w:t>机房工勘、方案设计、平台部署，测试，项目管理等一系列集成服务内容。</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1</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0"/>
                <w:szCs w:val="20"/>
              </w:rPr>
            </w:pPr>
            <w:r>
              <w:rPr>
                <w:rFonts w:hint="eastAsia" w:hAnsi="宋体" w:cs="宋体"/>
                <w:color w:val="000000"/>
                <w:kern w:val="0"/>
                <w:sz w:val="20"/>
                <w:szCs w:val="20"/>
              </w:rPr>
              <w:t>批</w:t>
            </w:r>
          </w:p>
        </w:tc>
      </w:tr>
    </w:tbl>
    <w:p>
      <w:pPr>
        <w:rPr>
          <w:color w:val="000000" w:themeColor="text1"/>
          <w14:textFill>
            <w14:solidFill>
              <w14:schemeClr w14:val="tx1"/>
            </w14:solidFill>
          </w14:textFill>
        </w:rPr>
      </w:pPr>
    </w:p>
    <w:p>
      <w:pPr>
        <w:pStyle w:val="5"/>
        <w:numPr>
          <w:ilvl w:val="1"/>
          <w:numId w:val="0"/>
        </w:numPr>
        <w:ind w:leftChars="0"/>
        <w:rPr>
          <w:color w:val="000000" w:themeColor="text1"/>
          <w:sz w:val="28"/>
          <w:szCs w:val="28"/>
          <w14:textFill>
            <w14:solidFill>
              <w14:schemeClr w14:val="tx1"/>
            </w14:solidFill>
          </w14:textFill>
        </w:rPr>
      </w:pPr>
      <w:bookmarkStart w:id="34" w:name="_Toc98434330"/>
      <w:r>
        <w:rPr>
          <w:rFonts w:hint="eastAsia"/>
          <w:color w:val="000000" w:themeColor="text1"/>
          <w:sz w:val="28"/>
          <w:szCs w:val="28"/>
          <w:lang w:val="en-US" w:eastAsia="zh-CN"/>
          <w14:textFill>
            <w14:solidFill>
              <w14:schemeClr w14:val="tx1"/>
            </w14:solidFill>
          </w14:textFill>
        </w:rPr>
        <w:t xml:space="preserve">2.1 </w:t>
      </w:r>
      <w:r>
        <w:rPr>
          <w:rFonts w:hint="eastAsia"/>
          <w:color w:val="000000" w:themeColor="text1"/>
          <w:sz w:val="28"/>
          <w:szCs w:val="28"/>
          <w14:textFill>
            <w14:solidFill>
              <w14:schemeClr w14:val="tx1"/>
            </w14:solidFill>
          </w14:textFill>
        </w:rPr>
        <w:t>主要服务能力要求</w:t>
      </w:r>
      <w:bookmarkEnd w:id="34"/>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为满足本次项目建设，主要服务能力需要满足以下要求：</w:t>
      </w:r>
    </w:p>
    <w:tbl>
      <w:tblPr>
        <w:tblStyle w:val="59"/>
        <w:tblW w:w="8359" w:type="dxa"/>
        <w:tblInd w:w="0" w:type="dxa"/>
        <w:tblLayout w:type="fixed"/>
        <w:tblCellMar>
          <w:top w:w="0" w:type="dxa"/>
          <w:left w:w="108" w:type="dxa"/>
          <w:bottom w:w="0" w:type="dxa"/>
          <w:right w:w="108" w:type="dxa"/>
        </w:tblCellMar>
      </w:tblPr>
      <w:tblGrid>
        <w:gridCol w:w="2263"/>
        <w:gridCol w:w="6096"/>
      </w:tblGrid>
      <w:tr>
        <w:tblPrEx>
          <w:tblCellMar>
            <w:top w:w="0" w:type="dxa"/>
            <w:left w:w="108" w:type="dxa"/>
            <w:bottom w:w="0" w:type="dxa"/>
            <w:right w:w="108" w:type="dxa"/>
          </w:tblCellMar>
        </w:tblPrEx>
        <w:trPr>
          <w:trHeight w:val="300" w:hRule="atLeast"/>
        </w:trPr>
        <w:tc>
          <w:tcPr>
            <w:tcW w:w="226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产品名称</w:t>
            </w:r>
          </w:p>
        </w:tc>
        <w:tc>
          <w:tcPr>
            <w:tcW w:w="6096" w:type="dxa"/>
            <w:tcBorders>
              <w:top w:val="single" w:color="auto" w:sz="4" w:space="0"/>
              <w:left w:val="nil"/>
              <w:bottom w:val="single" w:color="auto" w:sz="4" w:space="0"/>
              <w:right w:val="single" w:color="auto" w:sz="4" w:space="0"/>
            </w:tcBorders>
            <w:shd w:val="clear" w:color="FFFFFF" w:fill="FFFFFF"/>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服务能力要求</w:t>
            </w:r>
          </w:p>
        </w:tc>
      </w:tr>
      <w:tr>
        <w:tblPrEx>
          <w:tblCellMar>
            <w:top w:w="0" w:type="dxa"/>
            <w:left w:w="108" w:type="dxa"/>
            <w:bottom w:w="0" w:type="dxa"/>
            <w:right w:w="108" w:type="dxa"/>
          </w:tblCellMar>
        </w:tblPrEx>
        <w:trPr>
          <w:trHeight w:val="720" w:hRule="atLeast"/>
        </w:trPr>
        <w:tc>
          <w:tcPr>
            <w:tcW w:w="226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云服务器</w:t>
            </w:r>
          </w:p>
        </w:tc>
        <w:tc>
          <w:tcPr>
            <w:tcW w:w="60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snapToGrid w:val="0"/>
                <w:color w:val="000000" w:themeColor="text1"/>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t>共享模式可用核数≥3500核</w:t>
            </w:r>
            <w:r>
              <w:rPr>
                <w:rFonts w:hint="eastAsia" w:hAnsi="宋体" w:cs="宋体"/>
                <w:color w:val="000000" w:themeColor="text1"/>
                <w:kern w:val="0"/>
                <w:sz w:val="20"/>
                <w:szCs w:val="20"/>
                <w14:textFill>
                  <w14:solidFill>
                    <w14:schemeClr w14:val="tx1"/>
                  </w14:solidFill>
                </w14:textFill>
              </w:rPr>
              <w:br w:type="textWrapping"/>
            </w:r>
            <w:r>
              <w:rPr>
                <w:rFonts w:hint="eastAsia"/>
                <w:snapToGrid w:val="0"/>
                <w:color w:val="000000" w:themeColor="text1"/>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t>独享模式可用核数≥900核</w:t>
            </w:r>
            <w:r>
              <w:rPr>
                <w:rFonts w:hint="eastAsia" w:hAnsi="宋体" w:cs="宋体"/>
                <w:color w:val="000000" w:themeColor="text1"/>
                <w:kern w:val="0"/>
                <w:sz w:val="20"/>
                <w:szCs w:val="20"/>
                <w14:textFill>
                  <w14:solidFill>
                    <w14:schemeClr w14:val="tx1"/>
                  </w14:solidFill>
                </w14:textFill>
              </w:rPr>
              <w:br w:type="textWrapping"/>
            </w:r>
            <w:r>
              <w:rPr>
                <w:rFonts w:hint="eastAsia"/>
                <w:snapToGrid w:val="0"/>
                <w:color w:val="000000" w:themeColor="text1"/>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t>内存总量≥7500G</w:t>
            </w:r>
          </w:p>
        </w:tc>
      </w:tr>
      <w:tr>
        <w:tblPrEx>
          <w:tblCellMar>
            <w:top w:w="0" w:type="dxa"/>
            <w:left w:w="108" w:type="dxa"/>
            <w:bottom w:w="0" w:type="dxa"/>
            <w:right w:w="108" w:type="dxa"/>
          </w:tblCellMar>
        </w:tblPrEx>
        <w:trPr>
          <w:trHeight w:val="480" w:hRule="atLeast"/>
        </w:trPr>
        <w:tc>
          <w:tcPr>
            <w:tcW w:w="226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实时计算/流计算</w:t>
            </w:r>
          </w:p>
        </w:tc>
        <w:tc>
          <w:tcPr>
            <w:tcW w:w="60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处理能力≥</w:t>
            </w:r>
            <w:r>
              <w:rPr>
                <w:rFonts w:hAnsi="宋体" w:cs="宋体"/>
                <w:color w:val="000000" w:themeColor="text1"/>
                <w:kern w:val="0"/>
                <w:sz w:val="20"/>
                <w:szCs w:val="20"/>
                <w14:textFill>
                  <w14:solidFill>
                    <w14:schemeClr w14:val="tx1"/>
                  </w14:solidFill>
                </w14:textFill>
              </w:rPr>
              <w:t>140CU(1CU=1</w:t>
            </w:r>
            <w:r>
              <w:rPr>
                <w:rFonts w:hint="eastAsia" w:hAnsi="宋体" w:cs="宋体"/>
                <w:color w:val="000000" w:themeColor="text1"/>
                <w:kern w:val="0"/>
                <w:sz w:val="20"/>
                <w:szCs w:val="20"/>
                <w14:textFill>
                  <w14:solidFill>
                    <w14:schemeClr w14:val="tx1"/>
                  </w14:solidFill>
                </w14:textFill>
              </w:rPr>
              <w:t>核</w:t>
            </w:r>
            <w:r>
              <w:rPr>
                <w:rFonts w:hAnsi="宋体" w:cs="宋体"/>
                <w:color w:val="000000" w:themeColor="text1"/>
                <w:kern w:val="0"/>
                <w:sz w:val="20"/>
                <w:szCs w:val="20"/>
                <w14:textFill>
                  <w14:solidFill>
                    <w14:schemeClr w14:val="tx1"/>
                  </w14:solidFill>
                </w14:textFill>
              </w:rPr>
              <w:t>cpu 4G</w:t>
            </w:r>
            <w:r>
              <w:rPr>
                <w:rFonts w:hint="eastAsia" w:hAnsi="宋体" w:cs="宋体"/>
                <w:color w:val="000000" w:themeColor="text1"/>
                <w:kern w:val="0"/>
                <w:sz w:val="20"/>
                <w:szCs w:val="20"/>
                <w14:textFill>
                  <w14:solidFill>
                    <w14:schemeClr w14:val="tx1"/>
                  </w14:solidFill>
                </w14:textFill>
              </w:rPr>
              <w:t>内存</w:t>
            </w:r>
            <w:r>
              <w:rPr>
                <w:rFonts w:hAnsi="宋体" w:cs="宋体"/>
                <w:color w:val="000000" w:themeColor="text1"/>
                <w:kern w:val="0"/>
                <w:sz w:val="20"/>
                <w:szCs w:val="20"/>
                <w14:textFill>
                  <w14:solidFill>
                    <w14:schemeClr w14:val="tx1"/>
                  </w14:solidFill>
                </w14:textFill>
              </w:rPr>
              <w:t>)</w:t>
            </w:r>
          </w:p>
        </w:tc>
      </w:tr>
      <w:tr>
        <w:tblPrEx>
          <w:tblCellMar>
            <w:top w:w="0" w:type="dxa"/>
            <w:left w:w="108" w:type="dxa"/>
            <w:bottom w:w="0" w:type="dxa"/>
            <w:right w:w="108" w:type="dxa"/>
          </w:tblCellMar>
        </w:tblPrEx>
        <w:trPr>
          <w:trHeight w:val="720" w:hRule="atLeast"/>
        </w:trPr>
        <w:tc>
          <w:tcPr>
            <w:tcW w:w="226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负载均衡</w:t>
            </w:r>
          </w:p>
        </w:tc>
        <w:tc>
          <w:tcPr>
            <w:tcW w:w="60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Lvs节点的服务能力≥20.00Gbps</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HTTP QPS集群能力≥10K</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HTTPS</w:t>
            </w:r>
            <w:r>
              <w:rPr>
                <w:rFonts w:hAnsi="宋体" w:cs="宋体"/>
                <w:color w:val="000000" w:themeColor="text1"/>
                <w:kern w:val="0"/>
                <w:sz w:val="20"/>
                <w:szCs w:val="20"/>
                <w14:textFill>
                  <w14:solidFill>
                    <w14:schemeClr w14:val="tx1"/>
                  </w14:solidFill>
                </w14:textFill>
              </w:rPr>
              <w:t xml:space="preserve"> </w:t>
            </w:r>
            <w:r>
              <w:rPr>
                <w:rFonts w:hint="eastAsia" w:hAnsi="宋体" w:cs="宋体"/>
                <w:color w:val="000000" w:themeColor="text1"/>
                <w:kern w:val="0"/>
                <w:sz w:val="20"/>
                <w:szCs w:val="20"/>
                <w14:textFill>
                  <w14:solidFill>
                    <w14:schemeClr w14:val="tx1"/>
                  </w14:solidFill>
                </w14:textFill>
              </w:rPr>
              <w:t>QPS集群能力≥20K</w:t>
            </w:r>
          </w:p>
        </w:tc>
      </w:tr>
      <w:tr>
        <w:tblPrEx>
          <w:tblCellMar>
            <w:top w:w="0" w:type="dxa"/>
            <w:left w:w="108" w:type="dxa"/>
            <w:bottom w:w="0" w:type="dxa"/>
            <w:right w:w="108" w:type="dxa"/>
          </w:tblCellMar>
        </w:tblPrEx>
        <w:trPr>
          <w:trHeight w:val="480" w:hRule="atLeast"/>
        </w:trPr>
        <w:tc>
          <w:tcPr>
            <w:tcW w:w="226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专有网络</w:t>
            </w:r>
          </w:p>
        </w:tc>
        <w:tc>
          <w:tcPr>
            <w:tcW w:w="60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集群的带宽/吞吐量≥40Gbps</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集群的包转发率≥40Mpps（包/秒）</w:t>
            </w:r>
          </w:p>
        </w:tc>
      </w:tr>
      <w:tr>
        <w:tblPrEx>
          <w:tblCellMar>
            <w:top w:w="0" w:type="dxa"/>
            <w:left w:w="108" w:type="dxa"/>
            <w:bottom w:w="0" w:type="dxa"/>
            <w:right w:w="108" w:type="dxa"/>
          </w:tblCellMar>
        </w:tblPrEx>
        <w:trPr>
          <w:trHeight w:val="720" w:hRule="atLeast"/>
        </w:trPr>
        <w:tc>
          <w:tcPr>
            <w:tcW w:w="226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大数据计算</w:t>
            </w:r>
          </w:p>
        </w:tc>
        <w:tc>
          <w:tcPr>
            <w:tcW w:w="60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 xml:space="preserve">总的数据处理能力≥1000CU </w:t>
            </w:r>
            <w:r>
              <w:rPr>
                <w:rFonts w:hAnsi="宋体" w:cs="宋体"/>
                <w:color w:val="000000" w:themeColor="text1"/>
                <w:kern w:val="0"/>
                <w:sz w:val="20"/>
                <w:szCs w:val="20"/>
                <w14:textFill>
                  <w14:solidFill>
                    <w14:schemeClr w14:val="tx1"/>
                  </w14:solidFill>
                </w14:textFill>
              </w:rPr>
              <w:t>(1CU=1</w:t>
            </w:r>
            <w:r>
              <w:rPr>
                <w:rFonts w:hint="eastAsia" w:hAnsi="宋体" w:cs="宋体"/>
                <w:color w:val="000000" w:themeColor="text1"/>
                <w:kern w:val="0"/>
                <w:sz w:val="20"/>
                <w:szCs w:val="20"/>
                <w14:textFill>
                  <w14:solidFill>
                    <w14:schemeClr w14:val="tx1"/>
                  </w14:solidFill>
                </w14:textFill>
              </w:rPr>
              <w:t>核</w:t>
            </w:r>
            <w:r>
              <w:rPr>
                <w:rFonts w:hAnsi="宋体" w:cs="宋体"/>
                <w:color w:val="000000" w:themeColor="text1"/>
                <w:kern w:val="0"/>
                <w:sz w:val="20"/>
                <w:szCs w:val="20"/>
                <w14:textFill>
                  <w14:solidFill>
                    <w14:schemeClr w14:val="tx1"/>
                  </w14:solidFill>
                </w14:textFill>
              </w:rPr>
              <w:t>cpu 4G</w:t>
            </w:r>
            <w:r>
              <w:rPr>
                <w:rFonts w:hint="eastAsia" w:hAnsi="宋体" w:cs="宋体"/>
                <w:color w:val="000000" w:themeColor="text1"/>
                <w:kern w:val="0"/>
                <w:sz w:val="20"/>
                <w:szCs w:val="20"/>
                <w14:textFill>
                  <w14:solidFill>
                    <w14:schemeClr w14:val="tx1"/>
                  </w14:solidFill>
                </w14:textFill>
              </w:rPr>
              <w:t>内存</w:t>
            </w:r>
            <w:r>
              <w:rPr>
                <w:rFonts w:hAnsi="宋体" w:cs="宋体"/>
                <w:color w:val="000000" w:themeColor="text1"/>
                <w:kern w:val="0"/>
                <w:sz w:val="20"/>
                <w:szCs w:val="20"/>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总的逻辑存储容量≥1100T</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总的业务吞吐量≥3000 M/s</w:t>
            </w:r>
          </w:p>
        </w:tc>
      </w:tr>
      <w:tr>
        <w:tblPrEx>
          <w:tblCellMar>
            <w:top w:w="0" w:type="dxa"/>
            <w:left w:w="108" w:type="dxa"/>
            <w:bottom w:w="0" w:type="dxa"/>
            <w:right w:w="108" w:type="dxa"/>
          </w:tblCellMar>
        </w:tblPrEx>
        <w:trPr>
          <w:trHeight w:val="480" w:hRule="atLeast"/>
        </w:trPr>
        <w:tc>
          <w:tcPr>
            <w:tcW w:w="226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存储</w:t>
            </w:r>
          </w:p>
        </w:tc>
        <w:tc>
          <w:tcPr>
            <w:tcW w:w="60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snapToGrid w:val="0"/>
                <w:color w:val="000000" w:themeColor="text1"/>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t>块存储: 总的逻辑存储容量≥130T</w:t>
            </w:r>
            <w:r>
              <w:rPr>
                <w:rFonts w:hint="eastAsia" w:hAnsi="宋体" w:cs="宋体"/>
                <w:color w:val="000000" w:themeColor="text1"/>
                <w:kern w:val="0"/>
                <w:sz w:val="20"/>
                <w:szCs w:val="20"/>
                <w14:textFill>
                  <w14:solidFill>
                    <w14:schemeClr w14:val="tx1"/>
                  </w14:solidFill>
                </w14:textFill>
              </w:rPr>
              <w:br w:type="textWrapping"/>
            </w:r>
            <w:r>
              <w:rPr>
                <w:rFonts w:hint="eastAsia"/>
                <w:snapToGrid w:val="0"/>
                <w:color w:val="000000" w:themeColor="text1"/>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t>OSS: 总的逻辑存储容量≥160T</w:t>
            </w:r>
          </w:p>
        </w:tc>
      </w:tr>
    </w:tbl>
    <w:p>
      <w:pPr>
        <w:pStyle w:val="5"/>
        <w:numPr>
          <w:ilvl w:val="1"/>
          <w:numId w:val="0"/>
        </w:numPr>
        <w:ind w:leftChars="0"/>
        <w:rPr>
          <w:rFonts w:hint="eastAsia"/>
          <w:color w:val="000000" w:themeColor="text1"/>
          <w:sz w:val="28"/>
          <w:szCs w:val="28"/>
          <w:lang w:val="en-US" w:eastAsia="zh-CN"/>
          <w14:textFill>
            <w14:solidFill>
              <w14:schemeClr w14:val="tx1"/>
            </w14:solidFill>
          </w14:textFill>
        </w:rPr>
      </w:pPr>
      <w:bookmarkStart w:id="35" w:name="_Toc98434331"/>
      <w:r>
        <w:rPr>
          <w:rFonts w:hint="eastAsia"/>
          <w:color w:val="000000" w:themeColor="text1"/>
          <w:sz w:val="28"/>
          <w:szCs w:val="28"/>
          <w:lang w:val="en-US" w:eastAsia="zh-CN"/>
          <w14:textFill>
            <w14:solidFill>
              <w14:schemeClr w14:val="tx1"/>
            </w14:solidFill>
          </w14:textFill>
        </w:rPr>
        <w:t>2.2产品详细技术要求</w:t>
      </w:r>
      <w:bookmarkEnd w:id="35"/>
    </w:p>
    <w:p>
      <w:pPr>
        <w:pStyle w:val="5"/>
        <w:numPr>
          <w:ilvl w:val="1"/>
          <w:numId w:val="0"/>
        </w:numPr>
        <w:ind w:leftChars="0"/>
        <w:rPr>
          <w:rFonts w:hint="eastAsia"/>
          <w:color w:val="000000" w:themeColor="text1"/>
          <w:sz w:val="28"/>
          <w:szCs w:val="28"/>
          <w:lang w:val="en-US" w:eastAsia="zh-CN"/>
          <w14:textFill>
            <w14:solidFill>
              <w14:schemeClr w14:val="tx1"/>
            </w14:solidFill>
          </w14:textFill>
        </w:rPr>
      </w:pPr>
      <w:bookmarkStart w:id="36" w:name="_Toc98434332"/>
      <w:r>
        <w:rPr>
          <w:rFonts w:hint="eastAsia"/>
          <w:color w:val="000000" w:themeColor="text1"/>
          <w:sz w:val="28"/>
          <w:szCs w:val="28"/>
          <w:lang w:val="en-US" w:eastAsia="zh-CN"/>
          <w14:textFill>
            <w14:solidFill>
              <w14:schemeClr w14:val="tx1"/>
            </w14:solidFill>
          </w14:textFill>
        </w:rPr>
        <w:t>2.2.1专有云平台服务器</w:t>
      </w:r>
      <w:bookmarkEnd w:id="36"/>
    </w:p>
    <w:tbl>
      <w:tblPr>
        <w:tblStyle w:val="5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[Intel_Xeon_Silver4214]*2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3840G[3840G_nvme_ssd]*1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960G[960G_nvme_ssd]*1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1GE*2|10GE*4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[Intel_Xeon_Silver4214]*2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240G[240G_sata_ssd]*2</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8000G[8T_sata_hdd]*9</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960G[960G_nvme_ssd]*2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240G[240G_sata_ssd]*2</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8000G[8T_sata_hdd]*10</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1920G[1920G_nvme_ssd]*2</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3840G[3840G_sata_ssd]*2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1GE*2|10GE*4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3840G[3840G_nvme_ssd]*2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960G[960G_nvme_ssd]*1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3840G[3840G_nvme_ssd]*3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960G[960G_nvme_ssd]*1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1GE*2|10GE*2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480G[480G_sata_ssd]*2</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12000G[12T_sata_hdd]*12</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3840G[3840G_nvme_ssd]*2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[Intel_Xeon_Platinum]*2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2.90GHz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480G[480G_sata_ssd]*1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960G[960G_nvme_ssd]*1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[Intel_Xeon_Platinum]*2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2.50GHz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12000G[12T_sata_hdd]*12</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3840G[3840G_nvme_ssd]*1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服务器型号12</w:t>
            </w:r>
            <w:r>
              <w:rPr>
                <w:rFonts w:hint="eastAsia" w:hAnsi="宋体" w:cs="宋体"/>
                <w:b/>
                <w:bCs/>
                <w:color w:val="000000" w:themeColor="text1"/>
                <w:kern w:val="0"/>
                <w:sz w:val="20"/>
                <w:szCs w:val="20"/>
                <w:lang w:val="en-US" w:eastAsia="zh-CN"/>
                <w14:textFill>
                  <w14:solidFill>
                    <w14:schemeClr w14:val="tx1"/>
                  </w14:solidFill>
                </w14:textFill>
              </w:rPr>
              <w:t xml:space="preserve">  </w:t>
            </w:r>
            <w:r>
              <w:rPr>
                <w:rFonts w:hint="eastAsia" w:hAnsi="宋体" w:cs="宋体"/>
                <w:b/>
                <w:bCs/>
                <w:color w:val="FF0000"/>
                <w:kern w:val="0"/>
                <w:sz w:val="20"/>
                <w:szCs w:val="20"/>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服务器外观</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cpu规格</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cpu核数</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cpu主频</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内存(GB)</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内置硬盘</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240G[240G_sata_ssd]*1</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3840G[3840G_nvme_ssd]*2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网口数量</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电源</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基于Web的远程管理控制、配备硬件监控、远程管理功能；支持IPMI2.0标准。提供IKVM功能，实现远程KVM功能；独立管理口100%兼容千兆或百兆交换网络，通过管理口实现远程开关机、重启、网络安装操作系统等操作。</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BMC管理软件联合管理周边伙伴设备的直接管理，简化小规模服务器的统一管理</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支持嵌入式管理模块支持防火墙功能，可基于MAC地址，IP定义访问规则。</w:t>
            </w:r>
          </w:p>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OTP(One Time Password一次性密码)方案的双因素认证方案，提高系统安全性</w:t>
            </w:r>
            <w:r>
              <w:rPr>
                <w:rFonts w:hint="eastAsia" w:hAnsi="宋体"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64" w:type="dxa"/>
            <w:gridSpan w:val="2"/>
            <w:shd w:val="clear" w:color="FFFFFF" w:fill="FFFFFF"/>
            <w:vAlign w:val="center"/>
          </w:tcPr>
          <w:p>
            <w:pPr>
              <w:widowControl/>
              <w:spacing w:line="240" w:lineRule="auto"/>
              <w:ind w:firstLine="0" w:firstLineChars="0"/>
              <w:jc w:val="center"/>
              <w:rPr>
                <w:rFonts w:hAnsi="宋体" w:cs="宋体"/>
                <w:b/>
                <w:color w:val="000000" w:themeColor="text1"/>
                <w:kern w:val="0"/>
                <w:sz w:val="20"/>
                <w:szCs w:val="20"/>
                <w14:textFill>
                  <w14:solidFill>
                    <w14:schemeClr w14:val="tx1"/>
                  </w14:solidFill>
                </w14:textFill>
              </w:rPr>
            </w:pPr>
            <w:r>
              <w:rPr>
                <w:rFonts w:hint="eastAsia" w:hAnsi="宋体" w:cs="宋体"/>
                <w:b/>
                <w:color w:val="000000" w:themeColor="text1"/>
                <w:kern w:val="0"/>
                <w:sz w:val="20"/>
                <w:szCs w:val="20"/>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FFFFFF" w:fill="FFFFFF"/>
            <w:vAlign w:val="center"/>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379" w:type="dxa"/>
            <w:shd w:val="clear" w:color="auto" w:fill="auto"/>
            <w:vAlign w:val="bottom"/>
          </w:tcPr>
          <w:p>
            <w:pPr>
              <w:widowControl/>
              <w:spacing w:line="240" w:lineRule="auto"/>
              <w:ind w:firstLine="0" w:firstLineChars="0"/>
              <w:jc w:val="left"/>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上门服务</w:t>
            </w:r>
          </w:p>
        </w:tc>
        <w:tc>
          <w:tcPr>
            <w:tcW w:w="6379"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snapToGrid w:val="0"/>
                <w:color w:val="000000" w:themeColor="text1"/>
                <w14:textFill>
                  <w14:solidFill>
                    <w14:schemeClr w14:val="tx1"/>
                  </w14:solidFill>
                </w14:textFill>
              </w:rPr>
              <w:t>★</w:t>
            </w:r>
            <w:r>
              <w:rPr>
                <w:rFonts w:hint="eastAsia"/>
                <w:color w:val="000000" w:themeColor="text1"/>
                <w:sz w:val="20"/>
                <w:szCs w:val="20"/>
                <w14:textFill>
                  <w14:solidFill>
                    <w14:schemeClr w14:val="tx1"/>
                  </w14:solidFill>
                </w14:textFill>
              </w:rPr>
              <w:t>3年7*24*小时工程师带备件上门服务，8小时内恢复服务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85" w:type="dxa"/>
            <w:shd w:val="clear" w:color="FFFFFF" w:fill="FFFFFF"/>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安装部署</w:t>
            </w:r>
          </w:p>
        </w:tc>
        <w:tc>
          <w:tcPr>
            <w:tcW w:w="6379" w:type="dxa"/>
            <w:shd w:val="clear" w:color="auto" w:fill="auto"/>
            <w:vAlign w:val="center"/>
          </w:tcPr>
          <w:p>
            <w:pPr>
              <w:pStyle w:val="981"/>
              <w:numPr>
                <w:ilvl w:val="0"/>
                <w:numId w:val="0"/>
              </w:numPr>
              <w:spacing w:line="240" w:lineRule="auto"/>
              <w:rPr>
                <w:color w:val="000000" w:themeColor="text1"/>
                <w:sz w:val="20"/>
                <w14:textFill>
                  <w14:solidFill>
                    <w14:schemeClr w14:val="tx1"/>
                  </w14:solidFill>
                </w14:textFill>
              </w:rPr>
            </w:pPr>
            <w:r>
              <w:rPr>
                <w:rFonts w:hint="eastAsia"/>
                <w:snapToGrid w:val="0"/>
                <w:color w:val="000000" w:themeColor="text1"/>
                <w14:textFill>
                  <w14:solidFill>
                    <w14:schemeClr w14:val="tx1"/>
                  </w14:solidFill>
                </w14:textFill>
              </w:rPr>
              <w:t>★</w:t>
            </w:r>
            <w:r>
              <w:rPr>
                <w:rFonts w:hint="eastAsia"/>
                <w:color w:val="000000" w:themeColor="text1"/>
                <w:sz w:val="20"/>
                <w14:textFill>
                  <w14:solidFill>
                    <w14:schemeClr w14:val="tx1"/>
                  </w14:solidFill>
                </w14:textFill>
              </w:rPr>
              <w:t>提供系统安装部署服务</w:t>
            </w:r>
          </w:p>
        </w:tc>
      </w:tr>
    </w:tbl>
    <w:p>
      <w:pPr>
        <w:rPr>
          <w:color w:val="000000" w:themeColor="text1"/>
          <w14:textFill>
            <w14:solidFill>
              <w14:schemeClr w14:val="tx1"/>
            </w14:solidFill>
          </w14:textFill>
        </w:rPr>
      </w:pPr>
    </w:p>
    <w:p>
      <w:pPr>
        <w:pStyle w:val="5"/>
        <w:numPr>
          <w:ilvl w:val="1"/>
          <w:numId w:val="0"/>
        </w:numPr>
        <w:ind w:leftChars="0"/>
        <w:rPr>
          <w:rFonts w:hint="eastAsia"/>
          <w:color w:val="000000" w:themeColor="text1"/>
          <w:sz w:val="28"/>
          <w:szCs w:val="28"/>
          <w:lang w:val="en-US" w:eastAsia="zh-CN"/>
          <w14:textFill>
            <w14:solidFill>
              <w14:schemeClr w14:val="tx1"/>
            </w14:solidFill>
          </w14:textFill>
        </w:rPr>
      </w:pPr>
      <w:bookmarkStart w:id="37" w:name="_Toc98434333"/>
      <w:r>
        <w:rPr>
          <w:rFonts w:hint="eastAsia"/>
          <w:color w:val="000000" w:themeColor="text1"/>
          <w:sz w:val="28"/>
          <w:szCs w:val="28"/>
          <w:lang w:val="en-US" w:eastAsia="zh-CN"/>
          <w14:textFill>
            <w14:solidFill>
              <w14:schemeClr w14:val="tx1"/>
            </w14:solidFill>
          </w14:textFill>
        </w:rPr>
        <w:t>2.2.2专有云平台软件</w:t>
      </w:r>
      <w:bookmarkEnd w:id="37"/>
    </w:p>
    <w:p>
      <w:pPr>
        <w:ind w:firstLine="0" w:firstLineChars="0"/>
        <w:rPr>
          <w:color w:val="FF0000"/>
        </w:rPr>
      </w:pPr>
      <w:r>
        <w:rPr>
          <w:rFonts w:hint="eastAsia"/>
          <w:color w:val="FF0000"/>
        </w:rPr>
        <w:t>以下软件提供永久授权，三年维保，期间提供免费质保和免费升级服务。</w:t>
      </w:r>
    </w:p>
    <w:tbl>
      <w:tblPr>
        <w:tblStyle w:val="59"/>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整体技术架构要求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采用分布式技术架构</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要求平台所有产品（组件）采用分布式技术架构。例如：计算虚拟化引擎、存储系统、SDN网络系统、通讯消息系统、调度系统、数据库系统、大数据处理处理系统、大数据调度引擎系统等；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网络架构要求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SDN网络至少兼容国内三家主流网络设备厂商的主流网络网络设备；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一云多芯</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全面兼容x86、ARM多种芯片架构，兼容intel，海光，鲲鹏，飞腾等芯片服务器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架构要求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云平台安全防护系统应采用X86或ARM通用服务器架构，软件化部署，并且具有良好的高可用设计和弹性扩展能力。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投标人应提供成熟的云安全管理平台，在云安全管理平台中提供的态势感知、DDoS防护、云防火墙、Web应用防火墙、主机安全防护、流量安全监控等功能模块要实现自动化交付安装、统一管理、统一监控、统一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主机安全产品获得公安部颁发的销售许可证（增强级），提供第三方证明材料。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投标人应具备ISO 27001、ISO 22301、ISO 9001、ISO 20000国际认证资质。提供第三方证明材料。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投标的云平台产品应具备可信云-云服务用户数据保护能力（私有云）认证。提供第三方证明材料。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云服务器计算集群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restart"/>
            <w:shd w:val="clear" w:color="auto" w:fill="auto"/>
            <w:vAlign w:val="center"/>
          </w:tcPr>
          <w:p>
            <w:pPr>
              <w:widowControl/>
              <w:spacing w:line="240" w:lineRule="auto"/>
              <w:ind w:firstLine="0" w:firstLineChars="0"/>
              <w:jc w:val="center"/>
              <w:rPr>
                <w:rFonts w:hint="eastAsia"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　</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支持为云服务器指定IP地址创建云主机，方便运维人员进行IP的统筹管理,支持配置IPv6/IPv4双栈网络,云主机实例可自动获取IPv6地址进行内网通信。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支持云主机生命周期管理和维护，包括但不限于创建、启动、关闭、重启、更换操作系统，其中创建、启动、关闭、重启应支持批量操作，提升管理员操作效率。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支持对云主机CPU、内存、硬盘等基础指标进行监控，同时支持对云主机系统中的各进程CPU、内存、打开文件数进行监控，为用户提供系统级、主动式、细粒度监控服务。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支持对云主机的系统盘和数据盘创建整机镜像模板，创建的镜像包含用户的业务数据，可用于快速发放包含用户业务数据的新弹性云主机。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单个云主机能够挂载不低于16块数据盘，单个数据盘的存储容量不小于32TB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支持云主机热迁移，运维人员可以手工指定迁移任务的带宽限制，降低迁移流量对正常业务的干扰。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支持云主机高可用（宕机迁移），当某台物理节点发生意外故障，在其上运行的云主机能够在其他正常的物理节点上重新启动，保障业务的连续性。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支持云主机磁盘国密算法加密，能够对云盘中的数据、云盘和实例间传输的数据、云盘创建的所有快照进行加密处理，保障数据的安全性。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支持用户通过VNC方式远程访问云主机，同时支持用户设置云主机VNC密码（非系统密码），并能在用户VNC访问时进行VNC密码认证，保证终端用户对云主机的安全访问。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支持设置自动快照策略，可自定义快照时间点、重复日期以及保留时长。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弹性伸缩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支持弹性伸缩功能，根据业务的需求和策略，自动调整计算资源大小，在业务需求增长时，自动增加云主机实例，在业务需求下降时自动减少云主机实例。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支持实时统计伸缩组内指标数据，并在统计值满足告警条件时触发告警，自动执行伸缩规则，动态调整伸缩组内的云主机的实例数量，监控指标包括但不限于CPU使用率、内存使用率、内网出流量、内网入流量等。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支持指定待伸缩云主机实例的配置信息，包括但不限于实例规格、镜像类型、系统盘、数据盘、自定义数据等。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支持根据配置的伸缩规则弹性扩张云主机实例，能够自动将云主机实例添加到负载均衡实例的后端服务器组和数据库实例的访问白名单中。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int="eastAsia"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资源编排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restart"/>
            <w:shd w:val="clear" w:color="auto" w:fill="auto"/>
            <w:vAlign w:val="center"/>
          </w:tcPr>
          <w:p>
            <w:pPr>
              <w:widowControl/>
              <w:spacing w:line="240" w:lineRule="auto"/>
              <w:ind w:firstLine="0" w:firstLineChars="0"/>
              <w:jc w:val="center"/>
              <w:rPr>
                <w:rFonts w:hint="eastAsia" w:hAnsi="宋体" w:cs="宋体"/>
                <w:bCs/>
                <w:color w:val="000000" w:themeColor="text1"/>
                <w:kern w:val="0"/>
                <w:sz w:val="20"/>
                <w:szCs w:val="20"/>
                <w14:textFill>
                  <w14:solidFill>
                    <w14:schemeClr w14:val="tx1"/>
                  </w14:solidFill>
                </w14:textFill>
              </w:rPr>
            </w:pPr>
            <w:r>
              <w:rPr>
                <w:rFonts w:hint="eastAsia" w:hAnsi="宋体" w:cs="宋体"/>
                <w:bCs/>
                <w:color w:val="000000" w:themeColor="text1"/>
                <w:kern w:val="0"/>
                <w:sz w:val="20"/>
                <w:szCs w:val="20"/>
                <w14:textFill>
                  <w14:solidFill>
                    <w14:schemeClr w14:val="tx1"/>
                  </w14:solidFill>
                </w14:textFill>
              </w:rPr>
              <w:t>功能要求</w:t>
            </w:r>
          </w:p>
        </w:tc>
        <w:tc>
          <w:tcPr>
            <w:tcW w:w="6237" w:type="dxa"/>
            <w:shd w:val="clear" w:color="auto" w:fill="auto"/>
            <w:vAlign w:val="bottom"/>
          </w:tcPr>
          <w:p>
            <w:pPr>
              <w:widowControl/>
              <w:spacing w:line="240" w:lineRule="auto"/>
              <w:ind w:firstLine="0" w:firstLineChars="0"/>
              <w:jc w:val="left"/>
              <w:rPr>
                <w:rFonts w:hint="eastAsia"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使用同一个</w:t>
            </w:r>
            <w:r>
              <w:rPr>
                <w:rFonts w:hint="eastAsia" w:hAnsi="宋体" w:cs="宋体"/>
                <w:color w:val="000000" w:themeColor="text1"/>
                <w:kern w:val="0"/>
                <w:sz w:val="20"/>
                <w:szCs w:val="20"/>
                <w14:textFill>
                  <w14:solidFill>
                    <w14:schemeClr w14:val="tx1"/>
                  </w14:solidFill>
                </w14:textFill>
              </w:rPr>
              <w:t>资源编排</w:t>
            </w:r>
            <w:r>
              <w:rPr>
                <w:rFonts w:hAnsi="宋体" w:cs="宋体"/>
                <w:color w:val="000000" w:themeColor="text1"/>
                <w:kern w:val="0"/>
                <w:sz w:val="20"/>
                <w:szCs w:val="20"/>
                <w14:textFill>
                  <w14:solidFill>
                    <w14:schemeClr w14:val="tx1"/>
                  </w14:solidFill>
                </w14:textFill>
              </w:rPr>
              <w:t>模板，在多个账号中进行自动化部署。也</w:t>
            </w: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使用同一个</w:t>
            </w:r>
            <w:r>
              <w:rPr>
                <w:rFonts w:hint="eastAsia" w:hAnsi="宋体" w:cs="宋体"/>
                <w:color w:val="000000" w:themeColor="text1"/>
                <w:kern w:val="0"/>
                <w:sz w:val="20"/>
                <w:szCs w:val="20"/>
                <w14:textFill>
                  <w14:solidFill>
                    <w14:schemeClr w14:val="tx1"/>
                  </w14:solidFill>
                </w14:textFill>
              </w:rPr>
              <w:t>资源编排</w:t>
            </w:r>
            <w:r>
              <w:rPr>
                <w:rFonts w:hAnsi="宋体" w:cs="宋体"/>
                <w:color w:val="000000" w:themeColor="text1"/>
                <w:kern w:val="0"/>
                <w:sz w:val="20"/>
                <w:szCs w:val="20"/>
                <w14:textFill>
                  <w14:solidFill>
                    <w14:schemeClr w14:val="tx1"/>
                  </w14:solidFill>
                </w14:textFill>
              </w:rPr>
              <w:t>模板，部署开发、测试和生产环境，通过指定不同的参数满足各环境的差异性。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continue"/>
            <w:shd w:val="clear" w:color="auto" w:fill="auto"/>
            <w:vAlign w:val="bottom"/>
          </w:tcPr>
          <w:p>
            <w:pPr>
              <w:widowControl/>
              <w:spacing w:line="240" w:lineRule="auto"/>
              <w:ind w:firstLine="0" w:firstLineChars="0"/>
              <w:jc w:val="center"/>
              <w:rPr>
                <w:rFonts w:hint="eastAsia" w:hAnsi="宋体" w:cs="宋体"/>
                <w:b/>
                <w:bCs/>
                <w:color w:val="000000" w:themeColor="text1"/>
                <w:kern w:val="0"/>
                <w:sz w:val="20"/>
                <w:szCs w:val="20"/>
                <w14:textFill>
                  <w14:solidFill>
                    <w14:schemeClr w14:val="tx1"/>
                  </w14:solidFill>
                </w14:textFill>
              </w:rPr>
            </w:pPr>
          </w:p>
        </w:tc>
        <w:tc>
          <w:tcPr>
            <w:tcW w:w="6237" w:type="dxa"/>
            <w:shd w:val="clear" w:color="auto" w:fill="auto"/>
            <w:vAlign w:val="bottom"/>
          </w:tcPr>
          <w:p>
            <w:pPr>
              <w:widowControl/>
              <w:spacing w:line="240" w:lineRule="auto"/>
              <w:ind w:firstLine="0" w:firstLineChars="0"/>
              <w:jc w:val="left"/>
              <w:rPr>
                <w:rFonts w:hint="eastAsia"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使用</w:t>
            </w:r>
            <w:r>
              <w:rPr>
                <w:rFonts w:hint="eastAsia" w:hAnsi="宋体" w:cs="宋体"/>
                <w:color w:val="000000" w:themeColor="text1"/>
                <w:kern w:val="0"/>
                <w:sz w:val="20"/>
                <w:szCs w:val="20"/>
                <w14:textFill>
                  <w14:solidFill>
                    <w14:schemeClr w14:val="tx1"/>
                  </w14:solidFill>
                </w14:textFill>
              </w:rPr>
              <w:t>资源编排</w:t>
            </w:r>
            <w:r>
              <w:rPr>
                <w:rFonts w:hAnsi="宋体" w:cs="宋体"/>
                <w:color w:val="000000" w:themeColor="text1"/>
                <w:kern w:val="0"/>
                <w:sz w:val="20"/>
                <w:szCs w:val="20"/>
                <w14:textFill>
                  <w14:solidFill>
                    <w14:schemeClr w14:val="tx1"/>
                  </w14:solidFill>
                </w14:textFill>
              </w:rPr>
              <w:t>重复部署，将部署环境标准化，减少不同环境的差异，节省部署成本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continue"/>
            <w:shd w:val="clear" w:color="auto" w:fill="auto"/>
            <w:vAlign w:val="bottom"/>
          </w:tcPr>
          <w:p>
            <w:pPr>
              <w:widowControl/>
              <w:spacing w:line="240" w:lineRule="auto"/>
              <w:ind w:firstLine="0" w:firstLineChars="0"/>
              <w:jc w:val="center"/>
              <w:rPr>
                <w:rFonts w:hint="eastAsia" w:hAnsi="宋体" w:cs="宋体"/>
                <w:b/>
                <w:bCs/>
                <w:color w:val="000000" w:themeColor="text1"/>
                <w:kern w:val="0"/>
                <w:sz w:val="20"/>
                <w:szCs w:val="20"/>
                <w14:textFill>
                  <w14:solidFill>
                    <w14:schemeClr w14:val="tx1"/>
                  </w14:solidFill>
                </w14:textFill>
              </w:rPr>
            </w:pPr>
          </w:p>
        </w:tc>
        <w:tc>
          <w:tcPr>
            <w:tcW w:w="6237" w:type="dxa"/>
            <w:shd w:val="clear" w:color="auto" w:fill="auto"/>
            <w:vAlign w:val="bottom"/>
          </w:tcPr>
          <w:p>
            <w:pPr>
              <w:widowControl/>
              <w:spacing w:line="240" w:lineRule="auto"/>
              <w:ind w:firstLine="0" w:firstLineChars="0"/>
              <w:jc w:val="left"/>
              <w:rPr>
                <w:rFonts w:hint="eastAsia"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支持资源编排</w:t>
            </w:r>
            <w:r>
              <w:rPr>
                <w:rFonts w:hAnsi="宋体" w:cs="宋体"/>
                <w:color w:val="000000" w:themeColor="text1"/>
                <w:kern w:val="0"/>
                <w:sz w:val="20"/>
                <w:szCs w:val="20"/>
                <w14:textFill>
                  <w14:solidFill>
                    <w14:schemeClr w14:val="tx1"/>
                  </w14:solidFill>
                </w14:textFill>
              </w:rPr>
              <w:t xml:space="preserve">通过自动化部署，通过控制台或API清晰地查看部署结果， </w:t>
            </w:r>
            <w:r>
              <w:rPr>
                <w:rFonts w:hint="eastAsia" w:hAnsi="宋体" w:cs="宋体"/>
                <w:color w:val="000000" w:themeColor="text1"/>
                <w:kern w:val="0"/>
                <w:sz w:val="20"/>
                <w:szCs w:val="20"/>
                <w14:textFill>
                  <w14:solidFill>
                    <w14:schemeClr w14:val="tx1"/>
                  </w14:solidFill>
                </w14:textFill>
              </w:rPr>
              <w:t>不需要</w:t>
            </w:r>
            <w:r>
              <w:rPr>
                <w:rFonts w:hAnsi="宋体" w:cs="宋体"/>
                <w:color w:val="000000" w:themeColor="text1"/>
                <w:kern w:val="0"/>
                <w:sz w:val="20"/>
                <w:szCs w:val="20"/>
                <w14:textFill>
                  <w14:solidFill>
                    <w14:schemeClr w14:val="tx1"/>
                  </w14:solidFill>
                </w14:textFill>
              </w:rPr>
              <w:t>人工逐个检查部署进程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continue"/>
            <w:shd w:val="clear" w:color="auto" w:fill="auto"/>
            <w:vAlign w:val="bottom"/>
          </w:tcPr>
          <w:p>
            <w:pPr>
              <w:widowControl/>
              <w:spacing w:line="240" w:lineRule="auto"/>
              <w:ind w:firstLine="0" w:firstLineChars="0"/>
              <w:jc w:val="center"/>
              <w:rPr>
                <w:rFonts w:hint="eastAsia" w:hAnsi="宋体" w:cs="宋体"/>
                <w:b/>
                <w:bCs/>
                <w:color w:val="000000" w:themeColor="text1"/>
                <w:kern w:val="0"/>
                <w:sz w:val="20"/>
                <w:szCs w:val="20"/>
                <w14:textFill>
                  <w14:solidFill>
                    <w14:schemeClr w14:val="tx1"/>
                  </w14:solidFill>
                </w14:textFill>
              </w:rPr>
            </w:pPr>
          </w:p>
        </w:tc>
        <w:tc>
          <w:tcPr>
            <w:tcW w:w="6237" w:type="dxa"/>
            <w:shd w:val="clear" w:color="auto" w:fill="auto"/>
            <w:vAlign w:val="bottom"/>
          </w:tcPr>
          <w:p>
            <w:pPr>
              <w:widowControl/>
              <w:spacing w:line="240" w:lineRule="auto"/>
              <w:ind w:firstLine="0" w:firstLineChars="0"/>
              <w:jc w:val="left"/>
              <w:rPr>
                <w:rFonts w:hint="eastAsia"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w:t>
            </w:r>
            <w:r>
              <w:rPr>
                <w:rFonts w:hAnsi="宋体" w:cs="宋体"/>
                <w:color w:val="000000" w:themeColor="text1"/>
                <w:kern w:val="0"/>
                <w:sz w:val="20"/>
                <w:szCs w:val="20"/>
                <w14:textFill>
                  <w14:solidFill>
                    <w14:schemeClr w14:val="tx1"/>
                  </w14:solidFill>
                </w14:textFill>
              </w:rPr>
              <w:t>使用偏差检测来识别在</w:t>
            </w:r>
            <w:r>
              <w:rPr>
                <w:rFonts w:hint="eastAsia" w:hAnsi="宋体" w:cs="宋体"/>
                <w:color w:val="000000" w:themeColor="text1"/>
                <w:kern w:val="0"/>
                <w:sz w:val="20"/>
                <w:szCs w:val="20"/>
                <w14:textFill>
                  <w14:solidFill>
                    <w14:schemeClr w14:val="tx1"/>
                  </w14:solidFill>
                </w14:textFill>
              </w:rPr>
              <w:t>资源编排</w:t>
            </w:r>
            <w:r>
              <w:rPr>
                <w:rFonts w:hAnsi="宋体" w:cs="宋体"/>
                <w:color w:val="000000" w:themeColor="text1"/>
                <w:kern w:val="0"/>
                <w:sz w:val="20"/>
                <w:szCs w:val="20"/>
                <w14:textFill>
                  <w14:solidFill>
                    <w14:schemeClr w14:val="tx1"/>
                  </w14:solidFill>
                </w14:textFill>
              </w:rPr>
              <w:t>之外的资源变更，并采取纠正措施，使资源再次与模板定义同步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块存储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为云主机提供的低时延、持久性、高可靠性的数据块级存储设备。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支持在线扩展容量，扩容期间无需关闭虚拟机，无需卸载云盘；系统盘在线扩容不停业务。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支持磁盘的创建、删除、卸载、扩容、挂载、查询、初始化等功能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支持使用用户指定的KMS密钥进行加密，支持国密算法。 加密功能简单易用，无需用户构建、维护或更改程序、流程，磁盘加密功能对于业务没有任何影响。 磁盘加密功能支持对以下类型的数据进行加密：云盘中的数据/云盘和实例间传输的数据/加密云盘的所有快照（加密快照）。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支持分布式EC和三副本数据冗余保护， 三副本模式下，数据三副本支持分布在3个机柜或3对接入交换机上。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产品资质</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通过GB/T 37737-2019《信息技术云计算分布式块存储系统总体技术要求》国标测试，需提供测试报告证明。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对象存储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对象存储服务支持RESTful API接口、兼容Amazon S3接口，通过开发工具包SDK或直接通过RESTful API进行基础和高级对象存储操作，提供key-value键值对形式的对象存储服务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支持对视频文件进行视频截帧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int="eastAsia" w:hAnsi="宋体" w:cs="宋体" w:eastAsiaTheme="minorEastAsia"/>
                <w:color w:val="000000" w:themeColor="text1"/>
                <w:kern w:val="0"/>
                <w:sz w:val="20"/>
                <w:szCs w:val="20"/>
                <w:lang w:eastAsia="zh-CN"/>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支持对象的简单上传、追加上传、下载、删除、列举、复制，获取对象的元数据、创建多段上传任务。 支持列举存储空间、创建存储空间、删除存储空间、列举存储空间内对象、获取存储空间的元数据。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支持生命周期管理、定义和管理存储空间内所有对象或对象的某个子集的生命周期、变更容量和变更归属。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可靠性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支持基于三副本和EC校验模式的数据多重冗余备份。 三副本模式下，数据三副本支持分布在3个机柜或3对接入交换机上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支持客户端加密功能，可以使用客户端加密SDK，在本地进行数据加密，并将加密后的数据上传到对象存储，既支持云平台密钥管理系统托管的用户主密钥，也支持用户自主管理的密钥。 支持服务器端的加密功能，用户能够使用密钥管理系统上创建的密钥进行加密。可以使用国密算法对bucket内保存的数据以及单独object进行加密存储。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备份服务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可视化管理平台</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具备独立的可视化异地备份管理平台。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基础架构</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支持本地备份； 支持备份到另一朵云或独立的对象存储设备：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技术要求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一致性备份</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支持对分布式关系数据库提供一致性备份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产品能力</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异地备份支持对云服务器、对象存储、文件存储、关系型数据库进行备份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物理备份</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支持对关系型数据库提供物理热备份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性能指标</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备份策略</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存储备份支持重删、压缩技术，用以减少I/O传输量和云备份存储量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备份恢复</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支持常规恢复和云重建恢复，云重建恢复用于应对生产云发生灾难性故障导致重建场景的数据恢复。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易用性</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备份计划</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支持自定义备份计划；支持创建、启动、停止备份计划；支持备份日志、备份记录查看。按备份策略执行备份，按以天为单位的时间间隔进行周期性备份，可设置备份时间和保存时长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恢复任务管理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支持按备份记录或按时间节点进行恢复；支持创建、启动、停止、和查看恢复任务；支持查看恢复实例的日志信息。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专有云DNS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VPC私有域名转发配置管理和解析：支持域名级别的转发操作，将特定域名的解析操作转发到其他DNS服务器上进行解析；支持默认转发功能的配置，将本地不存在的所有域名的解析操作全部转发到其他DNS服务器上进行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VPC私有域名和全局域名转发配置管理和解析：支持两种转发操作模式，强制转发模式和优先转发模式。在强制转发模式下，设置只使用转发目的DNS服务器做域名解析，如果解析不到（解析超时）则返回DNS客户端查询失败。在优先转发模式下，设置优先使用转发目的DNS服务器做域名解析，如果查询不到再使用本地DNS服务器做域名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VPC私有域名解析支持租户隔离的功能特性，支持权威域名的添加、修改、备注、删除、批量删除操作的功能，同时也支持根据关键字进行模糊查询，针对每个VPC都可以提供定制化的私有网络DNS解析服务配置，实现VPC粒度的租户隔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内网权威域名管理和解析：支持IPV6域名解析服务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支持全局域名的配置管理，满足所有VPC解析同样的域名数据的基础性需求，减少管理员的配置工作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基于地理位置的全局域名调度和VPC私有域名调度，地域基于内网IP地址段的分配来标注，租户侧DNS云服务可以根据客户端访问的源IP判断地域，并把相同域名解析到不同的后端指定vip上，来实现基于地理位置的流量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支持对地址池内的地址值进行TCP/UDP/HTTP/HTTPS/ICMP等协议的健康检查。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负载均衡服务采用通用服务器架构实现。提供4层TCP/UDP和7层HTTP/HTTPS协议类型的服务。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架构要求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负载均衡支持IPv6，支持挂载IPv4或IPv6的后端应用服务器。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七层负载均衡模式下支持配置域名或者URL转发策略，将来自不同域名或者URL的请求转发给不同的云服务器处理。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负载均衡支持4层一致性hash、轮询(RR)，加权轮询(WRR)和最小连接数(WLC)等调度算法，在上述每种调度算法4层支持TCP源地址会话保持，7层支持HTTP Cookie会话保持(包括植入Cookie和重写Cookie)。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负载均衡支持HTTP重定向到HTTPS。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负载均衡支持TCP/UDP/HTTP健康检查方式。 支持健康检查，自动隔离异常状态的后端应用服务器。支持健康检查端口与应用服务端口不相同。UDP健康检查支持用户自定义请求和应答字段。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负载均衡提供监听级别的访问控制，基于监听配置IP地址段白名单，只有在白名单中的IP地址才允许访问负载均衡。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虚拟专有网络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支持用户创建自己的专有网络，同时支持自定义配置IP地址、子网、路由表 。支持不同VPC之间的安全隔离。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VPC支持IPV6地址,，支持云服务器可通过IPV6地址访问互联网的IPV6服务，支持云服务器作为服务端IPv6地址提供给互联网IPv6客户端访问，同时支持云服务器设置IPv6公网仅主动出规则，即经IPv6地址可主动访问IPv6网络，外部IPv6终端主动发起的访问不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支持IPSEC VPN服务，支持IPsec-VPN建立专有网络（VPC）到本地数据中心的VPN连接，IPsec-VPN支持IKEv1和IKEv2协议，同时支持API方式配置。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支持SSL VPN服务，支持通过SSL-VPN功能远程接入VPC，修改SSL服务端的名称、本端网段、客户端网段信息，支持创建SSL客户端证书，支持AES128、ASE192、AES256加密算法。支持API方式配置。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支持不同VPC间互通，支持VPC内的云服务器通过专线与线下IDC的服务器互通要求。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支持共享VPC，支持按租户和资源集的VPC资源共享。VPC的所有者可以将VPC共享给同一组织的租户。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支持创建IPv4 NAT网关 ,支持SNAT和DNAT配置，用于支持NAT网关绑定多个地址。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支持在控制台上针对VPC配置多个CIDR地址段；支持新CIDR地址段的扩容。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支持用户可以创建网络ACL配置入向/出向规则，进行网络访问控制功能，从而实现对一个或多个子网流量的访问控制。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大数据展示平台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可视化应用</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可视化应用管理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支持使用模板方式或者新建的方式创建可视化应用；支持对可视化应用重命名、拷贝分享、复制、删除、预览和发布。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控制台管理</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大屏排序管理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可以按照名称、创建时间、修改时间这三种方式对已有的大屏进行排序，使大屏能够有序地排列展示，便于管理。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项目分组管理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通过该功能，可以将已经创建的大屏进行分组归类，使得大屏变得有序且功能性一目了然。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数据源管理</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添加数据源</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支持以下数据源：CSV文件、API、静态JSON、MySQL数据库、PostgreSQL、SQLServer、SQLServer、Oracle、Elasticsearch等数据源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组件管理</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组件管理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支持搜索、添加、收藏、成组、锁定、隐藏、复制等组件功能，支持组件的组内轮播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蓝图编辑器管理</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数据处理节点</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蓝图编辑器内可配置数据处理类节点。数据处理内的逻辑节点包括并行数据处理、串行数据处理、序列执行和WebSocket。并行数据处理节点，是使用并行方式来处理多个事件，各事件之间互不影响。串行数据处理节点，是使用串行方式来处理一个事件。使用序列执行节点，保证动作从上到下依次执行。WebSocket节点用于多端之间的命令和数据传输。例如大屏与移动端、大屏与触摸屏端的数据传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流程控制节点</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蓝图编辑器内可配置流程控制类节点。流程控制内的逻辑节点包括定时器、分支判断和多路判断。定时器适用于需要定时的场景需求，支持延迟定时、定点定时、循环延时定时和循环周期定时。分支判断节点属于If-Else判断条件节点，可使用在根据开关状态触发两个图层的显隐效果等场景。多路判断节点属于Case-When节点，通过对上游节点的输出结果进行判断，触发第一个满足条件的下游节点执行对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蓝图编辑器详细功能</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蓝图编辑器可通过导出和取消到蓝图编辑器、在蓝图编辑器内定位、显示或隐藏配置栏面板和蓝图编辑器画布上的一些基本操作，帮助快速使用蓝图编辑器并实现预期的组件交互功能。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逻辑节点</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蓝图编辑器内可配置多种逻辑节点。逻辑节点可以帮助设置组件和组件之间的交互逻辑，实现大屏内各个组件的交互。蓝图编辑器中包括全局节点、流程控制、数据处理和输入设备几种逻辑节点。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配置蓝图编辑器</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蓝图编辑器可通过可视化连线的方式，定义图层与图层之间的交互行为。通过配置蓝图编辑器的使用方法，帮助自由管理大屏中多个组件之间的交互关系。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大数据开发平台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数据地图</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对表的基础元数据信息、变更信息、产出任务信息、数据预览等丰富元数据信息的集中展现，便于开发人员快速理解数据。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数据地图</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数据预览支持对敏感数据的脱敏能力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数据开发</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SQL编辑器智能提示：代码输入智能提示，包含关键字、函数、表、字段等信息；支持错误语法实时提示；SQL算子结构化展示；代码折叠；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数据开发</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具备复杂调度能力，支持：分支、循环、赋值等调度能力。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数据开发</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提供节点插件化能力，支持用户创建自定义节点，自行指定节点运行的引擎及节点处理逻辑。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数据开发</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支持20+的节点类型，丰富数据开发、处理能力。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数据服务</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API访问及流量控制：支持对API服务灵活配置多种限流策略，包含API、APP、用户等不同粒度的流量控制能力。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数据服务</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API调用及鉴权：支持两种API调用时的鉴权方式，其一是通过AppCode进行简单身份认证，其二是通过AppKey和AppSecret进行加密签名身份认证，极大地保障了用户数据共享的安全性。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数据服务</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丰富的数据源类型：支持常见关系型数据库：MySQL、SQL Server、PostgreSQL、Oracle。支持NoSQL数据库。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大数据计算服务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功能特性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提供完整RESTful API的方式提供离线数据处理服务，提供JAVA SDK， Python SDK，等编程接口，支持JDBC接口等系列用户开发工具和接口。。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功能特性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支持MapReduce类型的分布式计算任务，支持DAG模式的作业处理方式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功能特性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支持作业优先级设置功能，可支持9级优先级设置，在作业任务资源分配优先级上进行细粒度控制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功能特性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支持原生Apache Spark编程接口，用户可以使用Spark接口进行编程处理存储在大数据计算服务中的数据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功能特性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支持多种计算框架如SQL， MapReduce， Spark ，Graph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vMerge w:val="restart"/>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规模要求</w:t>
            </w: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承载规模</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用户服务实例和资源管理基于项目空间隔离，可支持不少于10000个用户项目空间。需提供权威机构测评报告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节点调度</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超大规模节点调度能力，具备30000节点以上调度能力。为保证大数据集群具有高可扩展性。需提供权威机构测评报告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大数据管理平台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5" w:type="dxa"/>
            <w:gridSpan w:val="2"/>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p>
            <w:pPr>
              <w:spacing w:line="240" w:lineRule="auto"/>
              <w:ind w:firstLine="0" w:firstLineChars="0"/>
              <w:jc w:val="center"/>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spacing w:line="240" w:lineRule="auto"/>
              <w:ind w:firstLine="0" w:firstLineChars="0"/>
            </w:pPr>
            <w:r>
              <w:rPr>
                <w:sz w:val="20"/>
              </w:rPr>
              <w:t>能够基于元数据构建数据图谱，实现数据表及数据简单且快速的智能检索。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spacing w:line="240" w:lineRule="auto"/>
              <w:ind w:firstLine="0" w:firstLineChars="0"/>
              <w:jc w:val="center"/>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spacing w:line="240" w:lineRule="auto"/>
              <w:ind w:firstLine="0" w:firstLineChars="0"/>
            </w:pPr>
            <w:r>
              <w:rPr>
                <w:sz w:val="20"/>
              </w:rPr>
              <w:t>能够系统化构建业务数据资产大图，数据视角还原业务系统、提取业务数据知识，并快速提炼业务关键环节及数据，让数据资产以全景图的方式清晰易读地呈现。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5" w:type="dxa"/>
            <w:gridSpan w:val="2"/>
            <w:vMerge w:val="continue"/>
            <w:vAlign w:val="center"/>
          </w:tcPr>
          <w:p>
            <w:pPr>
              <w:spacing w:line="240" w:lineRule="auto"/>
              <w:ind w:firstLine="0" w:firstLineChars="0"/>
              <w:jc w:val="center"/>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spacing w:line="240" w:lineRule="auto"/>
              <w:ind w:firstLine="0" w:firstLineChars="0"/>
            </w:pPr>
            <w:r>
              <w:rPr>
                <w:sz w:val="20"/>
              </w:rPr>
              <w:t>能够高效且自动化实现元数据抽取，结合规范定义与数据建模的前置研发动作，自动化、标准化、系统地构建规范可读的业务化数据目录，形成详细的数据地图，方便业务查找及应用。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5" w:type="dxa"/>
            <w:gridSpan w:val="2"/>
            <w:vMerge w:val="restart"/>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管理中心</w:t>
            </w:r>
          </w:p>
        </w:tc>
        <w:tc>
          <w:tcPr>
            <w:tcW w:w="6237" w:type="dxa"/>
            <w:shd w:val="clear" w:color="auto" w:fill="auto"/>
            <w:vAlign w:val="center"/>
          </w:tcPr>
          <w:p>
            <w:pPr>
              <w:spacing w:line="240" w:lineRule="auto"/>
              <w:ind w:firstLine="0" w:firstLineChars="0"/>
            </w:pPr>
            <w:r>
              <w:rPr>
                <w:sz w:val="20"/>
              </w:rPr>
              <w:t>自动语义优化：支持针对可以复用的语义进行生产代码自动优化；如某字段类目变化，语义优化功能会将数据自动统计到对应类目中。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5" w:type="dxa"/>
            <w:gridSpan w:val="2"/>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spacing w:line="240" w:lineRule="auto"/>
              <w:ind w:firstLine="0" w:firstLineChars="0"/>
            </w:pPr>
            <w:r>
              <w:rPr>
                <w:sz w:val="20"/>
              </w:rPr>
              <w:t>自动进行数据倾斜优化：支持自动数据倾斜优化功能，在任务执行中支持触发异常判定功能、同步调度数据探查，可定位到出现问题的数据。支持自动对执行中的任务代码进行重构、规避数据倾斜且平台会完成记录为后续发生数据倾斜提供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实时计算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开发套件</w:t>
            </w:r>
          </w:p>
        </w:tc>
        <w:tc>
          <w:tcPr>
            <w:tcW w:w="6237" w:type="dxa"/>
            <w:shd w:val="clear" w:color="auto" w:fill="auto"/>
            <w:vAlign w:val="center"/>
          </w:tcPr>
          <w:p>
            <w:pPr>
              <w:spacing w:line="240" w:lineRule="auto"/>
              <w:ind w:firstLine="0" w:firstLineChars="0"/>
              <w:rPr>
                <w:sz w:val="20"/>
              </w:rPr>
            </w:pPr>
            <w:r>
              <w:rPr>
                <w:rFonts w:hint="eastAsia"/>
                <w:sz w:val="20"/>
              </w:rPr>
              <w:t>提供在线流计算作业调试，调试容器保证调试过程不</w:t>
            </w:r>
            <w:r>
              <w:rPr>
                <w:rFonts w:hint="eastAsia" w:ascii="微软雅黑" w:hAnsi="微软雅黑" w:eastAsia="微软雅黑" w:cs="微软雅黑"/>
                <w:sz w:val="20"/>
              </w:rPr>
              <w:t>⼲</w:t>
            </w:r>
            <w:r>
              <w:rPr>
                <w:rFonts w:hint="eastAsia"/>
                <w:sz w:val="20"/>
              </w:rPr>
              <w:t>扰线上环境。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开发套件</w:t>
            </w:r>
          </w:p>
        </w:tc>
        <w:tc>
          <w:tcPr>
            <w:tcW w:w="6237" w:type="dxa"/>
            <w:shd w:val="clear" w:color="auto" w:fill="auto"/>
            <w:vAlign w:val="center"/>
          </w:tcPr>
          <w:p>
            <w:pPr>
              <w:spacing w:line="240" w:lineRule="auto"/>
              <w:ind w:firstLine="0" w:firstLineChars="0"/>
              <w:rPr>
                <w:sz w:val="20"/>
              </w:rPr>
            </w:pPr>
            <w:r>
              <w:rPr>
                <w:rFonts w:hint="eastAsia"/>
                <w:sz w:val="20"/>
              </w:rPr>
              <w:t>提供完善的StreamSQL 开发套件，</w:t>
            </w:r>
            <w:r>
              <w:rPr>
                <w:rFonts w:hint="eastAsia" w:ascii="微软雅黑" w:hAnsi="微软雅黑" w:eastAsia="微软雅黑" w:cs="微软雅黑"/>
                <w:sz w:val="20"/>
              </w:rPr>
              <w:t>⽀</w:t>
            </w:r>
            <w:r>
              <w:rPr>
                <w:rFonts w:hint="eastAsia"/>
                <w:sz w:val="20"/>
              </w:rPr>
              <w:t>持</w:t>
            </w:r>
            <w:r>
              <w:rPr>
                <w:rFonts w:hint="eastAsia" w:ascii="微软雅黑" w:hAnsi="微软雅黑" w:eastAsia="微软雅黑" w:cs="微软雅黑"/>
                <w:sz w:val="20"/>
              </w:rPr>
              <w:t>⾃</w:t>
            </w:r>
            <w:r>
              <w:rPr>
                <w:rFonts w:hint="eastAsia"/>
                <w:sz w:val="20"/>
              </w:rPr>
              <w:t>动提</w:t>
            </w:r>
            <w:r>
              <w:rPr>
                <w:rFonts w:hint="eastAsia" w:ascii="微软雅黑" w:hAnsi="微软雅黑" w:eastAsia="微软雅黑" w:cs="微软雅黑"/>
                <w:sz w:val="20"/>
              </w:rPr>
              <w:t>⽰</w:t>
            </w:r>
            <w:r>
              <w:rPr>
                <w:rFonts w:hint="eastAsia"/>
                <w:sz w:val="20"/>
              </w:rPr>
              <w:t>、语法</w:t>
            </w:r>
            <w:r>
              <w:rPr>
                <w:rFonts w:hint="eastAsia" w:ascii="微软雅黑" w:hAnsi="微软雅黑" w:eastAsia="微软雅黑" w:cs="微软雅黑"/>
                <w:sz w:val="20"/>
              </w:rPr>
              <w:t>⾼</w:t>
            </w:r>
            <w:r>
              <w:rPr>
                <w:rFonts w:hint="eastAsia"/>
                <w:sz w:val="20"/>
              </w:rPr>
              <w:t>亮、语法检测。 提供各类外部存储管理</w:t>
            </w:r>
            <w:r>
              <w:rPr>
                <w:rFonts w:hint="eastAsia" w:ascii="微软雅黑" w:hAnsi="微软雅黑" w:eastAsia="微软雅黑" w:cs="微软雅黑"/>
                <w:sz w:val="20"/>
              </w:rPr>
              <w:t>⼯</w:t>
            </w:r>
            <w:r>
              <w:rPr>
                <w:rFonts w:hint="eastAsia"/>
                <w:sz w:val="20"/>
              </w:rPr>
              <w:t>具，</w:t>
            </w:r>
            <w:r>
              <w:rPr>
                <w:rFonts w:hint="eastAsia" w:ascii="微软雅黑" w:hAnsi="微软雅黑" w:eastAsia="微软雅黑" w:cs="微软雅黑"/>
                <w:sz w:val="20"/>
              </w:rPr>
              <w:t>⽀</w:t>
            </w:r>
            <w:r>
              <w:rPr>
                <w:rFonts w:hint="eastAsia"/>
                <w:sz w:val="20"/>
              </w:rPr>
              <w:t>持流计算周边存储系统，提供DDL</w:t>
            </w:r>
            <w:r>
              <w:rPr>
                <w:rFonts w:hint="eastAsia" w:ascii="微软雅黑" w:hAnsi="微软雅黑" w:eastAsia="微软雅黑" w:cs="微软雅黑"/>
                <w:sz w:val="20"/>
              </w:rPr>
              <w:t>⾃</w:t>
            </w:r>
            <w:r>
              <w:rPr>
                <w:rFonts w:hint="eastAsia"/>
                <w:sz w:val="20"/>
              </w:rPr>
              <w:t>动</w:t>
            </w:r>
            <w:r>
              <w:rPr>
                <w:rFonts w:hint="eastAsia" w:ascii="微软雅黑" w:hAnsi="微软雅黑" w:eastAsia="微软雅黑" w:cs="微软雅黑"/>
                <w:sz w:val="20"/>
              </w:rPr>
              <w:t>⽣</w:t>
            </w:r>
            <w:r>
              <w:rPr>
                <w:rFonts w:hint="eastAsia"/>
                <w:sz w:val="20"/>
              </w:rPr>
              <w:t>成、数据预览功能。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资源使</w:t>
            </w:r>
            <w:r>
              <w:rPr>
                <w:rFonts w:hint="eastAsia" w:ascii="微软雅黑" w:hAnsi="微软雅黑" w:eastAsia="微软雅黑" w:cs="微软雅黑"/>
                <w:color w:val="000000" w:themeColor="text1"/>
                <w:kern w:val="0"/>
                <w:sz w:val="20"/>
                <w:szCs w:val="20"/>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t>和调度</w:t>
            </w:r>
          </w:p>
        </w:tc>
        <w:tc>
          <w:tcPr>
            <w:tcW w:w="6237" w:type="dxa"/>
            <w:shd w:val="clear" w:color="auto" w:fill="auto"/>
            <w:vAlign w:val="center"/>
          </w:tcPr>
          <w:p>
            <w:pPr>
              <w:spacing w:line="240" w:lineRule="auto"/>
              <w:ind w:firstLine="0" w:firstLineChars="0"/>
              <w:rPr>
                <w:sz w:val="20"/>
              </w:rPr>
            </w:pPr>
            <w:r>
              <w:rPr>
                <w:rFonts w:hint="eastAsia" w:ascii="微软雅黑" w:hAnsi="微软雅黑" w:eastAsia="微软雅黑" w:cs="微软雅黑"/>
                <w:sz w:val="20"/>
              </w:rPr>
              <w:t>⽀</w:t>
            </w:r>
            <w:r>
              <w:rPr>
                <w:rFonts w:hint="eastAsia"/>
                <w:sz w:val="20"/>
              </w:rPr>
              <w:t>持两类作业资源、并发调整模型，包括</w:t>
            </w:r>
            <w:r>
              <w:rPr>
                <w:rFonts w:hint="eastAsia" w:ascii="微软雅黑" w:hAnsi="微软雅黑" w:eastAsia="微软雅黑" w:cs="微软雅黑"/>
                <w:sz w:val="20"/>
              </w:rPr>
              <w:t>⼿⼯</w:t>
            </w:r>
            <w:r>
              <w:rPr>
                <w:rFonts w:hint="eastAsia"/>
                <w:sz w:val="20"/>
              </w:rPr>
              <w:t>调优模型、智能调优模型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资源使</w:t>
            </w:r>
            <w:r>
              <w:rPr>
                <w:rFonts w:hint="eastAsia" w:ascii="微软雅黑" w:hAnsi="微软雅黑" w:eastAsia="微软雅黑" w:cs="微软雅黑"/>
                <w:color w:val="000000" w:themeColor="text1"/>
                <w:kern w:val="0"/>
                <w:sz w:val="20"/>
                <w:szCs w:val="20"/>
                <w14:textFill>
                  <w14:solidFill>
                    <w14:schemeClr w14:val="tx1"/>
                  </w14:solidFill>
                </w14:textFill>
              </w:rPr>
              <w:t>⽤</w:t>
            </w:r>
            <w:r>
              <w:rPr>
                <w:rFonts w:hint="eastAsia" w:hAnsi="宋体" w:cs="宋体"/>
                <w:color w:val="000000" w:themeColor="text1"/>
                <w:kern w:val="0"/>
                <w:sz w:val="20"/>
                <w:szCs w:val="20"/>
                <w14:textFill>
                  <w14:solidFill>
                    <w14:schemeClr w14:val="tx1"/>
                  </w14:solidFill>
                </w14:textFill>
              </w:rPr>
              <w:t>和调度</w:t>
            </w:r>
          </w:p>
        </w:tc>
        <w:tc>
          <w:tcPr>
            <w:tcW w:w="6237" w:type="dxa"/>
            <w:shd w:val="clear" w:color="auto" w:fill="auto"/>
            <w:vAlign w:val="center"/>
          </w:tcPr>
          <w:p>
            <w:pPr>
              <w:spacing w:line="240" w:lineRule="auto"/>
              <w:ind w:firstLine="0" w:firstLineChars="0"/>
              <w:rPr>
                <w:sz w:val="20"/>
              </w:rPr>
            </w:pPr>
            <w:r>
              <w:rPr>
                <w:rFonts w:hint="eastAsia"/>
                <w:sz w:val="20"/>
              </w:rPr>
              <w:t>支持资源图形化配置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运维套件</w:t>
            </w:r>
          </w:p>
        </w:tc>
        <w:tc>
          <w:tcPr>
            <w:tcW w:w="6237" w:type="dxa"/>
            <w:shd w:val="clear" w:color="auto" w:fill="auto"/>
            <w:vAlign w:val="center"/>
          </w:tcPr>
          <w:p>
            <w:pPr>
              <w:spacing w:line="240" w:lineRule="auto"/>
              <w:ind w:firstLine="0" w:firstLineChars="0"/>
              <w:rPr>
                <w:sz w:val="20"/>
              </w:rPr>
            </w:pPr>
            <w:r>
              <w:rPr>
                <w:rFonts w:hint="eastAsia"/>
                <w:sz w:val="20"/>
              </w:rPr>
              <w:t>提供作业运维</w:t>
            </w:r>
            <w:r>
              <w:rPr>
                <w:rFonts w:hint="eastAsia" w:ascii="微软雅黑" w:hAnsi="微软雅黑" w:eastAsia="微软雅黑" w:cs="微软雅黑"/>
                <w:sz w:val="20"/>
              </w:rPr>
              <w:t>⼤</w:t>
            </w:r>
            <w:r>
              <w:rPr>
                <w:rFonts w:hint="eastAsia"/>
                <w:sz w:val="20"/>
              </w:rPr>
              <w:t>盘，提供各类底层信息展</w:t>
            </w:r>
            <w:r>
              <w:rPr>
                <w:rFonts w:hint="eastAsia" w:ascii="微软雅黑" w:hAnsi="微软雅黑" w:eastAsia="微软雅黑" w:cs="微软雅黑"/>
                <w:sz w:val="20"/>
              </w:rPr>
              <w:t>⽰</w:t>
            </w:r>
            <w:r>
              <w:rPr>
                <w:rFonts w:hint="eastAsia"/>
                <w:sz w:val="20"/>
              </w:rPr>
              <w:t>，包括流量、资源、性能等指标，</w:t>
            </w:r>
            <w:r>
              <w:rPr>
                <w:rFonts w:hint="eastAsia" w:ascii="微软雅黑" w:hAnsi="微软雅黑" w:eastAsia="微软雅黑" w:cs="微软雅黑"/>
                <w:sz w:val="20"/>
              </w:rPr>
              <w:t>⽅</w:t>
            </w:r>
            <w:r>
              <w:rPr>
                <w:rFonts w:hint="eastAsia"/>
                <w:sz w:val="20"/>
              </w:rPr>
              <w:t>便</w:t>
            </w:r>
            <w:r>
              <w:rPr>
                <w:rFonts w:hint="eastAsia" w:ascii="微软雅黑" w:hAnsi="微软雅黑" w:eastAsia="微软雅黑" w:cs="微软雅黑"/>
                <w:sz w:val="20"/>
              </w:rPr>
              <w:t>⽤</w:t>
            </w:r>
            <w:r>
              <w:rPr>
                <w:rFonts w:hint="eastAsia"/>
                <w:sz w:val="20"/>
              </w:rPr>
              <w:t>户查看作业运</w:t>
            </w:r>
            <w:r>
              <w:rPr>
                <w:rFonts w:hint="eastAsia" w:ascii="微软雅黑" w:hAnsi="微软雅黑" w:eastAsia="微软雅黑" w:cs="微软雅黑"/>
                <w:sz w:val="20"/>
              </w:rPr>
              <w:t>⾏</w:t>
            </w:r>
            <w:r>
              <w:rPr>
                <w:rFonts w:hint="eastAsia"/>
                <w:sz w:val="20"/>
              </w:rPr>
              <w:t>健康程度。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运维套件</w:t>
            </w:r>
          </w:p>
        </w:tc>
        <w:tc>
          <w:tcPr>
            <w:tcW w:w="6237" w:type="dxa"/>
            <w:shd w:val="clear" w:color="auto" w:fill="auto"/>
            <w:vAlign w:val="center"/>
          </w:tcPr>
          <w:p>
            <w:pPr>
              <w:spacing w:line="240" w:lineRule="auto"/>
              <w:ind w:firstLine="0" w:firstLineChars="0"/>
              <w:rPr>
                <w:sz w:val="20"/>
              </w:rPr>
            </w:pPr>
            <w:r>
              <w:rPr>
                <w:rFonts w:hint="eastAsia"/>
                <w:sz w:val="20"/>
              </w:rPr>
              <w:t>支持作业级别的血缘关系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功能指标</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承载规模</w:t>
            </w:r>
          </w:p>
        </w:tc>
        <w:tc>
          <w:tcPr>
            <w:tcW w:w="6237" w:type="dxa"/>
            <w:shd w:val="clear" w:color="auto" w:fill="auto"/>
            <w:vAlign w:val="center"/>
          </w:tcPr>
          <w:p>
            <w:pPr>
              <w:spacing w:line="240" w:lineRule="auto"/>
              <w:ind w:firstLine="0" w:firstLineChars="0"/>
              <w:rPr>
                <w:sz w:val="20"/>
              </w:rPr>
            </w:pPr>
            <w:r>
              <w:rPr>
                <w:rFonts w:hint="eastAsia"/>
                <w:sz w:val="20"/>
              </w:rPr>
              <w:t>生产环境单集群支持不少于2400个运行作业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计算性能</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生产环境单作业吞吐量可达每秒800万条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计算性能</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生产环境单集群吞吐峰值可达亿级别规模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API 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API全生命周期管理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覆盖API全生命周期管理，包括API设计、开发、测试、发布、运维监测、安全管控、下线等API各个生命周期阶段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协议支持</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支持HTTP2.0协议、websocket、双向通信等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安全管控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支持全链路签名验证，特别是后端签名，提供网关和后端服务之间的认证。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安全管控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支持多种认证方式，包括匿名访问、简单身份认证、摘要签名认证、JWT认证方式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安全管控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支持多种访问控制方式，包括IP访问控制、参数访问控制。支持从当前的请求或系统上下文中获取参数，并使用自定义的条件表达式对API进行访问控制，参数位置至少包括HTTP Request中的：Method、Path、StatusCode、Header、Query、Form、Host、Parameter等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请求转发</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支持从JWT的TOKEN中提取出CONTEXT添加到请求中发送给后端服务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请求转发</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参数映射，可以从HTTP请求的各种位置上读取参数，并支持映射到后端不同的参数名、参数位置上；错误码映射，支持将后端应答中返回的非正常请求，映射为客户端期望的错误应答的场景，如根据后端返回的json内容，提炼出错误信息，并修改HTTP StatusCode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运维监控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灰度发布。支持灰度发布功能，支持的灰度条件包括：版本号判断、IP地址、随机比例等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集成能力</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支持大数据平台做为后端服务，以API形式对外提供数据服务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容器服务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监控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支持集群、节点、应用、容器实例层面的监控，支持集成Prometheus服务的能力，为集群提供全方位监控大盘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集群操作审计</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查看Kubernetes集群中的事件整体概览以及重要事件（访问、命令执行、删除资源、访问保密字典等）的详细信息。支持查看Kubernetes集群中常见的计算资源、网络资源以及存储资源的操作统计信息。操作包括创建、更新、删除、访问。支持查看Kubernetes集群中某类资源的详细操作列表；支持自定义时间维度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边缘集群支持</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支持创建边缘集群，支持用将地理位置分布的已有节点作为边缘工作节点接入集群，支持将边缘节点设置断网自治状态，避免节点断网情况下的Workload驱逐，支持边缘节点池以及边缘单元部署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日志管理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支持容器实例日志查看和应用日志采集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容器伸缩</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支持手动伸缩和弹性伸缩，支持手工调整Pod的副本数量进行横向伸缩，支持配置容器资源阈值进行容器实例的自动伸缩。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组件生命周期管理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支持k8s组件安装、卸载、升级等生命周期管理能力。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节点伸缩</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支持从Web页面一键式手工自助添加和删除节点，伸缩过程中无需人工干预。支持通过弹性伸缩组自动创建工作节点并加入集群。支持设定缩容规则触发后自动下线工作节点。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集群创建/删除</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容器服务与云平台无缝对接，能够通过控制台实现集群的一键式自助创建和删除集群。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集群概览</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提供平台看台功能，能够快速查看资源的总体运行状态，包括节点、组件、应用的运行状态，集群的事件记录以及集群的当前的资源使用情况。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灾备管理中心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总体要求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可视化管理平台</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具备独立的可视化同城容灾业务连续性管理平台。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容灾账号管理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同城容灾提供统一的账号体系，统一的管理平台；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技术要求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支持容灾产品</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中间件容灾支持分布式微服务框架、消息队列、应用实时监控、云服务总线等PaaS产品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支持容灾产品</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大数据容灾支持离线计算和实时计算引擎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支持容灾产品</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平台支持全业务的容灾能力，包含云平台底座组件管控、虚拟网络、对象存储、数据库、大数据、中间件等产品的容灾和切换能力。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平台监控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支持RPO监控，包括对象存储和关系型数据库的监控数据； 支持产品监控，包括产品在主备机房的状态、主机房位置、更新时间； 支持大屏监控，包括RPO数据、演练和恢复记录、演练用时、历史成功率和事件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应用侧透明</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当主机房故障发生云产品实例级别或云产品集群级别故障时对应用暴露的服务域名不变，故障切换过程对应用侧透明。整个容灾切换和切回过程无需应用系统在开发过程中做代码编码或故障切换时做运维脚本操作即可在云平台层面自动完成，以帮助大幅降低应用系统容灾化改造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按需容灾</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支持对象存储、数据库、大数据等产品按需容灾，备机房建设规模可小于主机房，其中对象存储产品可按照bucket粒度设置是否需要开启同城容灾、关系型数据库可选是否需要跨可用区部署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网络架构</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同城容灾的网络容灾方案具备套高可靠、全方位冗余、自动化恢复的完整的体系化的解决方案。机房级故障时，网络云产品服务自动切换到备机房，应用挂载负载均衡实例时，双机房对外暴露的一个VIP，机房级容灾切换无需更换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易用性</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在线演练</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自定义演练，创建演练计划，可在一个演练计划中包含多个云产品级；支持演练切换和回切一键式操作，支持演练详情查看，包括演练计划、切换用时和历史记录；支持演练记录查看，包括操作用户、类型、执行结果和切换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故障恢复</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场景化的故障恢复，包括掉电故障恢复、孤岛故障恢复、脑裂故障恢复、单产品故障恢复，支持一键式操作。支持服务切回，包括掉电故障后服务切回、孤岛故障后服务切回、单产品故障后服务切回，支持一键式操作。支持恢复记录查看，包括操作用户、类型、执行结果和R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真实演练</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用于真实故障的真实演练场景，如机房断电和断网。包括操作审批、双机房服务器和交换机环境检查、故障注入、机房复原。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222" w:type="dxa"/>
            <w:gridSpan w:val="3"/>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混合云管平台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Align w:val="center"/>
          </w:tcPr>
          <w:p>
            <w:pPr>
              <w:widowControl/>
              <w:spacing w:line="240" w:lineRule="auto"/>
              <w:ind w:firstLine="0" w:firstLineChars="0"/>
              <w:jc w:val="center"/>
              <w:rPr>
                <w:rFonts w:hint="eastAsia" w:hAnsi="宋体" w:cs="宋体"/>
                <w:b/>
                <w:color w:val="000000" w:themeColor="text1"/>
                <w:kern w:val="0"/>
                <w:sz w:val="20"/>
                <w:szCs w:val="20"/>
                <w14:textFill>
                  <w14:solidFill>
                    <w14:schemeClr w14:val="tx1"/>
                  </w14:solidFill>
                </w14:textFill>
              </w:rPr>
            </w:pPr>
            <w:r>
              <w:rPr>
                <w:rFonts w:hint="eastAsia" w:hAnsi="宋体" w:cs="宋体"/>
                <w:b/>
                <w:color w:val="000000" w:themeColor="text1"/>
                <w:kern w:val="0"/>
                <w:sz w:val="20"/>
                <w:szCs w:val="20"/>
                <w14:textFill>
                  <w14:solidFill>
                    <w14:schemeClr w14:val="tx1"/>
                  </w14:solidFill>
                </w14:textFill>
              </w:rPr>
              <w:t>指标项</w:t>
            </w:r>
          </w:p>
        </w:tc>
        <w:tc>
          <w:tcPr>
            <w:tcW w:w="1134" w:type="dxa"/>
            <w:shd w:val="clear" w:color="auto" w:fill="auto"/>
            <w:vAlign w:val="center"/>
          </w:tcPr>
          <w:p>
            <w:pPr>
              <w:spacing w:line="240" w:lineRule="auto"/>
              <w:ind w:firstLine="0" w:firstLineChars="0"/>
              <w:jc w:val="center"/>
              <w:rPr>
                <w:rFonts w:hint="eastAsia" w:hAnsi="宋体" w:cs="宋体"/>
                <w:b/>
                <w:color w:val="000000" w:themeColor="text1"/>
                <w:kern w:val="0"/>
                <w:sz w:val="20"/>
                <w:szCs w:val="20"/>
                <w14:textFill>
                  <w14:solidFill>
                    <w14:schemeClr w14:val="tx1"/>
                  </w14:solidFill>
                </w14:textFill>
              </w:rPr>
            </w:pPr>
            <w:r>
              <w:rPr>
                <w:rFonts w:hint="eastAsia" w:hAnsi="宋体" w:cs="宋体"/>
                <w:b/>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int="eastAsia" w:hAnsi="宋体" w:cs="宋体"/>
                <w:b/>
                <w:color w:val="000000" w:themeColor="text1"/>
                <w:kern w:val="0"/>
                <w:sz w:val="20"/>
                <w:szCs w:val="20"/>
                <w14:textFill>
                  <w14:solidFill>
                    <w14:schemeClr w14:val="tx1"/>
                  </w14:solidFill>
                </w14:textFill>
              </w:rPr>
            </w:pPr>
            <w:r>
              <w:rPr>
                <w:rFonts w:hint="eastAsia" w:hAnsi="宋体" w:cs="宋体"/>
                <w:b/>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vMerge w:val="restart"/>
            <w:shd w:val="clear" w:color="auto" w:fill="auto"/>
            <w:vAlign w:val="center"/>
          </w:tcPr>
          <w:p>
            <w:pPr>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能够管理本地的VMWARE环境资源。管理者能够一站式的创建和管理私有环境资源。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vMerge w:val="continue"/>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接入并管理公有云资源，一致性的深度接入不少于1家主流公有云供应商提供的多线公有云资源和服务产品，资源包括但不限于云主机（包含CPU、GPU、超算集群等）、云存储、云镜像、云安全服务（包含主流安全能力如：网络安全、主机安全、WAF等）、弹性公网IP、云数据库（包含主流的数据库，如MySQL、SQLServer、PostgreSQL）、中间件（如消息中间件、分布式缓存等）、公有云VPN等</w:t>
            </w:r>
            <w:r>
              <w:rPr>
                <w:rFonts w:hAnsi="宋体" w:cs="宋体"/>
                <w:color w:val="000000" w:themeColor="text1"/>
                <w:kern w:val="0"/>
                <w:sz w:val="20"/>
                <w:szCs w:val="20"/>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资源统一运营</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将投标单位所属云中用户已采购的公有云资源及今后需要采购的公有云资源包括云存储，云服务器等内容统一管控。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资源自助服务</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1.混合云门户对接学校统一身份认证平台，实行实名和单点登录。</w:t>
            </w:r>
          </w:p>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2.用户可依项目，查看和申请项目可用额度。</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3.用户能够集中查看和查询上架的私有云资源、公有云资源和服务产品。（须包含不限于资源名称、资源配置、规格参数、技术指标、价格等信息）</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4.用户可依托项目，一致性的申请、使用、操作和退租混合云纳管下的所有私有云和公有云资源及服务产品。</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5.从资源组织维度管理申请资源的资源池。用户能实时地管理所拥有的云资源的全程生命周期。</w:t>
            </w:r>
            <w:r>
              <w:rPr>
                <w:rFonts w:hint="eastAsia" w:hAnsi="宋体" w:cs="宋体"/>
                <w:color w:val="000000" w:themeColor="text1"/>
                <w:kern w:val="0"/>
                <w:sz w:val="20"/>
                <w:szCs w:val="20"/>
                <w14:textFill>
                  <w14:solidFill>
                    <w14:schemeClr w14:val="tx1"/>
                  </w14:solidFill>
                </w14:textFill>
              </w:rPr>
              <w:br w:type="textWrapping"/>
            </w:r>
            <w:r>
              <w:rPr>
                <w:rFonts w:hint="eastAsia" w:hAnsi="宋体" w:cs="宋体"/>
                <w:color w:val="000000" w:themeColor="text1"/>
                <w:kern w:val="0"/>
                <w:sz w:val="20"/>
                <w:szCs w:val="20"/>
                <w14:textFill>
                  <w14:solidFill>
                    <w14:schemeClr w14:val="tx1"/>
                  </w14:solidFill>
                </w14:textFill>
              </w:rPr>
              <w:t>6.用户可设置实例开关机、快照、备份、宽带变更、指令等计划任务并下发，并设定触发器，触发条件包括开始与结束时间、执行周期。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bottom"/>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专有云管理平台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资源监控与告警</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提供云环境中的云产品资源实例提供租户级的资源监控能力；提供云产品资源实例提供租户级的告警通知能力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资源运营分析</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支持以组织和资源维度统计统计资源报表、配额报表和云监控报表；支持异步导出的各类统计分析报表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资源集管理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支持创建/修改/删除/查询资源集；支持查看/跳转到 资源集所有的资源实例；通过资源集管理用户、用户组；支持对于不同的region区域，设置每个云产品可以使用的资源量，支持对于region和集群，设置不同的名称，便于管理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配额管理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支持对于不同的地域区域，不同组织可以使用的云产品的配额总量；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云产品资源管控</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提供IaaS/PaaS/SaaS类云产品及服务的资源操作控制台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工作台功能</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提供用户登陆后的工作台，显示角色相关的关键运营数据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组织和资源池配置</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支持将云环境的地域和集群等信息，映射到具体的组织，从而只有映射配置了的组织，才能看到并使用该地域的资源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规格管理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支持云环境中云产品的可用规格的录入/禁用/启用/查看管理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角色管理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提供角色创建、修改、删除、禁用功能，支持自定义业务角色，设置角色所具有的操作权限，并将角色管理给相关用户；支持复制/查询角色，支持设置角色所能查看的首页仪表盘布局，以及相应的可视化控件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计量管理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按时间/按组织维度计量、计量报表查询、计量报表导出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资源分析</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提供资源分析仪表盘，支持按类型、地区、性能、告警、利用率等多种维度的资源实力数据图形化展示以及关键数据的报表导出功能。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　</w:t>
            </w: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日志管理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提供日志审计功能，保留所有用户的操作日志，并支持日志的过滤和导出功能。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登录策略管理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创建/修改/删除/禁用/激活登录策略、支持白名单、支持黑名单、关联用户、关联组织；支持按照登陆时间和IP地址的白名单/黑名单策略； 支持设置能看见并使用这个登陆策略的组织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兼容性/开放性（接口、引擎等）</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兼容性/开放性（接口、引擎等）</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支持与企业已有的用户系统对接如AD等，支持组织和用户信息的同步和导入，并支持统一登录认证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3"/>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专有云运维平台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云产品运维管理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支持第三方ISV的接入配置更改，增加，删除。 支持通过跳转的方式便捷地访问第三方ISV界面。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产品资源管理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（1）支持展示云平台部署产品概览，包括部署云产品总数，集群总数。图形化展示产品软件部署状态。 （2）支持看出每个集群的详细信息，包括集群名称，所属产品，集群状态，机器数量，告警数量。支持按产品名称、集群名称，集群状态查询集群。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任务管理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支持任务管理，支持展示系统中任务的整体运行情况。 1、在运行面板区域，查看当前系统中等待介入、运行中、失败和已完成任务数量的统计信息。单击各统计数值，会跳转到对应的任务页面。 2、在运行中的任务 区域，查看最近24小时内正在运行中的任务。 3、在脚本创建 区域，支持可以通过单击或拖拽方式快速创建脚本。支持上传shell以及python脚本。 4、在最近7天运行情况 区域，查看最近7天任务的运行趋势。" 5、支持修改任务的灰度策略即调整机器的执行批次。 6、支持删除不再使用的任务 7、支持手动执行方式，在任务创建成功后，按照手动启动该任务。 8、支持当任务中存在断点并运行到断点时，任务将暂停等待人工确认，只有人工确认后任务才能继续执行。 9、支持查看任务的执行情况。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分布式存储运维</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（1）分布式存储总览：支持显示存储集群服务器数量，总容量，使用空间百分比，文件数量，以及异常服务器/异常磁盘数量。 （2）分布式存储集群管理：显示存储集群服务器节点详细信息，应包括服务器状态，磁盘数量，坏盘数量，总容量，已使用量。 （3）数据重分布：在存储集群扩容、缩容、服务器故障等场景下，支持系统自动进行数据在服务器间的平均分布。支持手动进行数据重新分布。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告警管理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支持导出历史告警列表。 支持查看告警源详情。如告警说明、参考信息、影响范围及处理步骤等 支持根据监控项类型、产品、服务、等级、状态、开始日期、结束日期及过滤内容来进行过滤查询 支持告警处理（如 处理、处理完成、事件跟踪、上报ITIL等） 导出告警列表里的告警信息 支持告警屏蔽，在告警屏蔽的添加页面，配置需要屏蔽的告警筛选项。支持为已屏蔽的告警解除屏蔽。 支持搜索关键字查询，如集群、产品、服务、等级、状态、监控项名称等，单击查询，可查询到相应的告警事件。单击各色块可跳转至对应的告警事件页面 可以根据业务需要，查询、添加、修改以及删除告警联系人和联系人组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对象存储运维</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可以统计对象存储Bucket数量，Object数量，可以查看最新数量和按时间段显示增长趋势。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库存管理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支持云主机库存情况查看，云主机库存详情中主要提供按区域、实例类型和日期分页查询某类实例在某个日期的库存情况。 支持块存储、NAS、对象存储、表格存储库存情况查看，历史可用库存（TB）显示近五天存储的库存可用情况；当前已用库存（TB）显示当前存储已用库存和百分比；存储库存详情中可按日期分页查询存储库存详情。 支出RDS数据库实例库存，近期库存显示不同类型的RDS近五天内库存情况。其中，不同的颜色代表不同RDS类型；库存详情中可按引擎、日期分页查询RDS的库存详情。 支持负载均衡服务库存情况查看；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服务器资源管理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支持以IDC机房、机柜维度查看服务器列表和详细信息，展示每个机柜内服务器数量和服务器告警状态，可查看每台服务器的状态、详细信息、报警信息和监控信息，监控信息包括CPU使用率，磁盘使用率，内存使用率，主机流量，磁盘IO等。 （2）支持以软件部署角度查看各个产品所在的物理服务器进行监控查看，可以按地域，产品，集群查看服务器列表和服务器详细信息。支持把服务器信息导出。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服务器运维</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支持对服务器进行操作系统层面针对，包括内存使用率，时间同步，kernel故障，磁盘IO负载，删除文件异常，异常网络数据包，TCP链接状态异常，网卡异常，网络丢标等常见异常。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物理平台管理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支持按照区域、产品、集群等逐层展开左侧的导航树，查看某个产品某个服务所在的机器列表。 支持将所有物理机相关的信息导出至本地，用于线下查看。 支持按照主机名、IP地址、设备功能角色或SN号搜索并查看某个物理机。 支持按产品维度查看该物理机的基本信息及监控与报警情况。 有严重告警的服务器机柜为红色，一般告警为黄色，无告警的为蓝色。 支持导出所选结构树中的服务器信息 支持新增物理机并显示在机柜图中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系统管理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支持用户管理、用户组管理、双因素认证、角色管理、部门管理、菜单管理、Region授权管理、云操作系统日志、操作日志、授权信息、多云管理。 统一账号管理&amp;角色权限管理，只需要登录到云平台运维系统中，就能实现对云平台所有的组件进行运维或者免登录跳转运维。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网络资源管理</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（1）支持显示云平台物理网络拓扑，支持显示网络设备网元和互联链路，网络设备和互联链路应支持按颜色区分链路状态。点击网元和互联链路可以查看详细信息。 （2）可以动态拓扑和基准拓扑，动态拓扑可以动态刷新拓扑状态，基准拓扑表示网络的目标状态，不进行动态刷新，支持把拓扑更新到基准拓扑。显示展示网络状态与基准拓扑的拓扑偏移量，帮助运维人员快速进行网络状态的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自动化运维</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支持云平台运维工作自动化，可向批量资源完成运维操作，提供基础设施，云环境，操作系统，应用层的自动化运维能力。 （1）脚本管理，提供脚本库存放运维脚本，支持系统内置脚本，并支持运维人员自定义和导入脚本。 （2）软件包管理：提供软件仓库能力，可以上传和下载软件包，支持压缩包，JAR包等格式。 （3）运维作业：支持运维作业定义，运维作业可以手动触发和定时触发。支持在作业中中定义执行的脚本或软件包，以及执行主机列表，任务支持灰度设置。     （4）运维流程编排：支持图形化方式编排运维流程，可以运维人员把一系列运维操作定义为“流程”，流程中可以定义触发方式，包括手动触发和定时触发， 支持在流程中添加操作任务节点，节点可以包括执行任务节点，可以执行脚本或软件包，可以设置执行任务的节点资源，包括服务器主机或容器资源，任务支持灰度设置。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运维大盘</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支持统计每个Region的告警汇总，按严重等级展示。 支持显示多Region的相关告警、库存和资源信息 支持图形化展示云主机服务、对象存储服务等产品的库存百分比。 支持统计每个Region的物理资源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51"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安全性</w:t>
            </w:r>
          </w:p>
        </w:tc>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运维安全</w:t>
            </w:r>
          </w:p>
        </w:tc>
        <w:tc>
          <w:tcPr>
            <w:tcW w:w="6237"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（1）支持运维角色管理，可以按产品进行角色授权 支持设置运维IP白名单配置。 （2）支持Linux命令拦截规则，可以设置拦截命令，拦截风险提示，拦截规则，拦截规则可以为通过，禁止，二次确认，校验码校验等 （3）支持运维命令审计，审计应包括登录，登出，执行命令等。记录操作人，操作时间，操作机器，执行结果信息。 （4）支持对操作视频回放。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222" w:type="dxa"/>
            <w:gridSpan w:val="3"/>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日志服务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指标项</w:t>
            </w:r>
          </w:p>
        </w:tc>
        <w:tc>
          <w:tcPr>
            <w:tcW w:w="1134"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指标子项</w:t>
            </w:r>
          </w:p>
        </w:tc>
        <w:tc>
          <w:tcPr>
            <w:tcW w:w="6237" w:type="dxa"/>
            <w:shd w:val="clear" w:color="auto" w:fill="auto"/>
            <w:vAlign w:val="center"/>
          </w:tcPr>
          <w:p>
            <w:pPr>
              <w:widowControl/>
              <w:spacing w:line="240" w:lineRule="auto"/>
              <w:ind w:firstLine="0" w:firstLineChars="0"/>
              <w:jc w:val="center"/>
              <w:rPr>
                <w:rFonts w:hAnsi="宋体" w:cs="宋体"/>
                <w:b/>
                <w:bCs/>
                <w:color w:val="000000" w:themeColor="text1"/>
                <w:kern w:val="0"/>
                <w:sz w:val="20"/>
                <w:szCs w:val="20"/>
                <w14:textFill>
                  <w14:solidFill>
                    <w14:schemeClr w14:val="tx1"/>
                  </w14:solidFill>
                </w14:textFill>
              </w:rPr>
            </w:pPr>
            <w:r>
              <w:rPr>
                <w:rFonts w:hint="eastAsia" w:hAnsi="宋体" w:cs="宋体"/>
                <w:b/>
                <w:bCs/>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Align w:val="center"/>
          </w:tcPr>
          <w:p>
            <w:pPr>
              <w:spacing w:line="240" w:lineRule="auto"/>
              <w:ind w:firstLine="0" w:firstLineChars="0"/>
            </w:pPr>
            <w:r>
              <w:rPr>
                <w:sz w:val="20"/>
              </w:rPr>
              <w:t>总体要求</w:t>
            </w:r>
          </w:p>
        </w:tc>
        <w:tc>
          <w:tcPr>
            <w:tcW w:w="1134" w:type="dxa"/>
            <w:shd w:val="clear" w:color="auto" w:fill="auto"/>
            <w:vAlign w:val="center"/>
          </w:tcPr>
          <w:p>
            <w:pPr>
              <w:spacing w:line="240" w:lineRule="auto"/>
              <w:ind w:firstLine="0" w:firstLineChars="0"/>
            </w:pPr>
          </w:p>
        </w:tc>
        <w:tc>
          <w:tcPr>
            <w:tcW w:w="6237" w:type="dxa"/>
            <w:shd w:val="clear" w:color="auto" w:fill="auto"/>
            <w:vAlign w:val="center"/>
          </w:tcPr>
          <w:p>
            <w:pPr>
              <w:spacing w:line="240" w:lineRule="auto"/>
              <w:ind w:firstLine="0" w:firstLineChars="0"/>
            </w:pPr>
            <w:r>
              <w:rPr>
                <w:sz w:val="20"/>
              </w:rPr>
              <w:t>针对实时日志类数据一站式服务，无需开发就能快捷完成日志数据采集、消费、投递以及实时查询分析等功能，提升运维、运营效率，建立海量日志处理能力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restart"/>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功能要求</w:t>
            </w:r>
          </w:p>
        </w:tc>
        <w:tc>
          <w:tcPr>
            <w:tcW w:w="1134" w:type="dxa"/>
            <w:shd w:val="clear" w:color="auto" w:fill="auto"/>
            <w:vAlign w:val="center"/>
          </w:tcPr>
          <w:p>
            <w:pPr>
              <w:spacing w:line="240" w:lineRule="auto"/>
              <w:ind w:firstLine="0" w:firstLineChars="0"/>
            </w:pPr>
            <w:r>
              <w:rPr>
                <w:sz w:val="20"/>
              </w:rPr>
              <w:t>可视化</w:t>
            </w:r>
          </w:p>
        </w:tc>
        <w:tc>
          <w:tcPr>
            <w:tcW w:w="6237" w:type="dxa"/>
            <w:shd w:val="clear" w:color="auto" w:fill="auto"/>
            <w:vAlign w:val="center"/>
          </w:tcPr>
          <w:p>
            <w:pPr>
              <w:spacing w:line="240" w:lineRule="auto"/>
              <w:ind w:firstLine="0" w:firstLineChars="0"/>
            </w:pPr>
            <w:r>
              <w:rPr>
                <w:sz w:val="20"/>
              </w:rPr>
              <w:t>可视化分析支持线图、柱状图、环图、地图、词云、TreeMap常见图表，支持构建图层，支持拓扑图构建，支持外部矢量图导入，支持markdown，图表自适应分辨率显示，支持全屏模式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spacing w:line="240" w:lineRule="auto"/>
              <w:ind w:firstLine="0" w:firstLineChars="0"/>
            </w:pPr>
            <w:r>
              <w:rPr>
                <w:sz w:val="20"/>
              </w:rPr>
              <w:t>数据消费</w:t>
            </w:r>
          </w:p>
        </w:tc>
        <w:tc>
          <w:tcPr>
            <w:tcW w:w="6237" w:type="dxa"/>
            <w:shd w:val="clear" w:color="auto" w:fill="auto"/>
            <w:vAlign w:val="center"/>
          </w:tcPr>
          <w:p>
            <w:pPr>
              <w:spacing w:line="240" w:lineRule="auto"/>
              <w:ind w:firstLine="0" w:firstLineChars="0"/>
            </w:pPr>
            <w:r>
              <w:rPr>
                <w:sz w:val="20"/>
              </w:rPr>
              <w:t>支持Storm/Flink/SparkStreaming方式消费数据；支持Java/Python/Go程序流式消费数据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spacing w:line="240" w:lineRule="auto"/>
              <w:ind w:firstLine="0" w:firstLineChars="0"/>
            </w:pPr>
            <w:r>
              <w:rPr>
                <w:sz w:val="20"/>
              </w:rPr>
              <w:t>数据采集</w:t>
            </w:r>
          </w:p>
        </w:tc>
        <w:tc>
          <w:tcPr>
            <w:tcW w:w="6237" w:type="dxa"/>
            <w:shd w:val="clear" w:color="auto" w:fill="auto"/>
            <w:vAlign w:val="center"/>
          </w:tcPr>
          <w:p>
            <w:pPr>
              <w:spacing w:line="240" w:lineRule="auto"/>
              <w:ind w:firstLine="0" w:firstLineChars="0"/>
            </w:pPr>
            <w:r>
              <w:rPr>
                <w:sz w:val="20"/>
              </w:rPr>
              <w:t>支持多种SDK采集服务端日志数据，包括Log4J、LogBack、PHP、C++、Java、Go、.net、ios/android、Python/Logging Handler 9种SDK。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Merge w:val="continue"/>
            <w:vAlign w:val="center"/>
          </w:tcPr>
          <w:p>
            <w:pPr>
              <w:widowControl/>
              <w:spacing w:line="240" w:lineRule="auto"/>
              <w:ind w:firstLine="0" w:firstLineChars="0"/>
              <w:jc w:val="left"/>
              <w:rPr>
                <w:rFonts w:hAnsi="宋体" w:cs="宋体"/>
                <w:color w:val="000000" w:themeColor="text1"/>
                <w:kern w:val="0"/>
                <w:sz w:val="20"/>
                <w:szCs w:val="20"/>
                <w14:textFill>
                  <w14:solidFill>
                    <w14:schemeClr w14:val="tx1"/>
                  </w14:solidFill>
                </w14:textFill>
              </w:rPr>
            </w:pPr>
          </w:p>
        </w:tc>
        <w:tc>
          <w:tcPr>
            <w:tcW w:w="1134" w:type="dxa"/>
            <w:shd w:val="clear" w:color="auto" w:fill="auto"/>
            <w:vAlign w:val="center"/>
          </w:tcPr>
          <w:p>
            <w:pPr>
              <w:spacing w:line="240" w:lineRule="auto"/>
              <w:ind w:firstLine="0" w:firstLineChars="0"/>
            </w:pPr>
            <w:r>
              <w:rPr>
                <w:sz w:val="20"/>
              </w:rPr>
              <w:t>数据采集</w:t>
            </w:r>
          </w:p>
        </w:tc>
        <w:tc>
          <w:tcPr>
            <w:tcW w:w="6237" w:type="dxa"/>
            <w:shd w:val="clear" w:color="auto" w:fill="auto"/>
            <w:vAlign w:val="center"/>
          </w:tcPr>
          <w:p>
            <w:pPr>
              <w:spacing w:line="240" w:lineRule="auto"/>
              <w:ind w:firstLine="0" w:firstLineChars="0"/>
            </w:pPr>
            <w:r>
              <w:rPr>
                <w:sz w:val="20"/>
              </w:rPr>
              <w:t>日志采集工具支持使用分隔符、正则表达式对文本文件内的日志采集、支持syslog协议、Kubernetes日志采集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1" w:type="dxa"/>
            <w:vAlign w:val="center"/>
          </w:tcPr>
          <w:p>
            <w:pPr>
              <w:spacing w:line="240" w:lineRule="auto"/>
              <w:ind w:firstLine="0" w:firstLineChars="0"/>
            </w:pPr>
            <w:r>
              <w:rPr>
                <w:sz w:val="20"/>
              </w:rPr>
              <w:t>安全性</w:t>
            </w:r>
          </w:p>
        </w:tc>
        <w:tc>
          <w:tcPr>
            <w:tcW w:w="1134" w:type="dxa"/>
            <w:shd w:val="clear" w:color="auto" w:fill="auto"/>
            <w:vAlign w:val="center"/>
          </w:tcPr>
          <w:p>
            <w:pPr>
              <w:spacing w:line="240" w:lineRule="auto"/>
              <w:ind w:firstLine="0" w:firstLineChars="0"/>
            </w:pPr>
          </w:p>
        </w:tc>
        <w:tc>
          <w:tcPr>
            <w:tcW w:w="6237" w:type="dxa"/>
            <w:shd w:val="clear" w:color="auto" w:fill="auto"/>
            <w:vAlign w:val="center"/>
          </w:tcPr>
          <w:p>
            <w:pPr>
              <w:spacing w:line="240" w:lineRule="auto"/>
              <w:ind w:firstLine="0" w:firstLineChars="0"/>
            </w:pPr>
            <w:r>
              <w:rPr>
                <w:sz w:val="20"/>
              </w:rPr>
              <w:t>日志服务支持通过密钥管理服务对数据进行加密存储，提供数据静态保护能力。支持使用 托管密钥进行加密。支持通过用户自带密钥（BYOK）加密。</w:t>
            </w:r>
          </w:p>
        </w:tc>
      </w:tr>
    </w:tbl>
    <w:p/>
    <w:p>
      <w:pPr>
        <w:pStyle w:val="5"/>
        <w:numPr>
          <w:ilvl w:val="1"/>
          <w:numId w:val="0"/>
        </w:numPr>
        <w:ind w:leftChars="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2.2.3 运维部署服务</w:t>
      </w:r>
    </w:p>
    <w:tbl>
      <w:tblPr>
        <w:tblStyle w:val="59"/>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34" w:type="dxa"/>
            <w:shd w:val="clear" w:color="auto" w:fill="auto"/>
            <w:vAlign w:val="bottom"/>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指标项</w:t>
            </w:r>
          </w:p>
        </w:tc>
        <w:tc>
          <w:tcPr>
            <w:tcW w:w="7088" w:type="dxa"/>
            <w:shd w:val="clear" w:color="auto" w:fill="auto"/>
            <w:vAlign w:val="center"/>
          </w:tcPr>
          <w:p>
            <w:pPr>
              <w:widowControl/>
              <w:spacing w:line="240" w:lineRule="auto"/>
              <w:ind w:firstLine="0" w:firstLineChars="0"/>
              <w:jc w:val="center"/>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34"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运维部署</w:t>
            </w:r>
          </w:p>
        </w:tc>
        <w:tc>
          <w:tcPr>
            <w:tcW w:w="7088" w:type="dxa"/>
            <w:shd w:val="clear" w:color="auto" w:fill="auto"/>
            <w:vAlign w:val="center"/>
          </w:tcPr>
          <w:p>
            <w:pPr>
              <w:widowControl/>
              <w:spacing w:line="240" w:lineRule="auto"/>
              <w:ind w:firstLine="0" w:firstLineChars="0"/>
              <w:rPr>
                <w:rFonts w:hAnsi="宋体" w:cs="宋体"/>
                <w:color w:val="000000" w:themeColor="text1"/>
                <w:kern w:val="0"/>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机房工勘、方案设计、平台部署，测试，项目管理等一系列集成服务内容。</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numPr>
          <w:ilvl w:val="1"/>
          <w:numId w:val="0"/>
        </w:numPr>
        <w:ind w:leftChars="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2.3网络安全事件应急预案</w:t>
      </w:r>
    </w:p>
    <w:p>
      <w:pPr>
        <w:widowControl/>
        <w:spacing w:line="240" w:lineRule="auto"/>
        <w:ind w:firstLine="0" w:firstLineChars="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1、设置网络安全事件等级</w:t>
      </w:r>
    </w:p>
    <w:p>
      <w:pPr>
        <w:widowControl/>
        <w:spacing w:line="240" w:lineRule="auto"/>
        <w:ind w:firstLine="400" w:firstLineChars="20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网络和信息系统损失是指由于网络安全事件对系统的软硬件、功能及数据的破坏，导致系统业务中断，从而给事发组织所造成的损失，其大小主要考虑恢复系统正常运行和消除安全事件负面影响所需付出的代价，划分为特别严重的系统损失、严重的系统损失、较大的系统损失和较小的系统损失，说明如下：</w:t>
      </w:r>
    </w:p>
    <w:p>
      <w:pPr>
        <w:widowControl/>
        <w:spacing w:line="240" w:lineRule="auto"/>
        <w:ind w:firstLine="400" w:firstLineChars="20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a) 特别严重的系统损失：造成系统大面积瘫痪，使其丧失业务处理能力，或系统关键数据的保密性、完整性、可用性遭到严重破坏，恢复系统正常运行和消除安全事件负面影响所需付出的代价十分巨大，对于事发组织是不可承受的；</w:t>
      </w:r>
    </w:p>
    <w:p>
      <w:pPr>
        <w:widowControl/>
        <w:spacing w:line="240" w:lineRule="auto"/>
        <w:ind w:firstLine="400" w:firstLineChars="20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b) 严重的系统损失：造成系统长时间中断或局部瘫痪，使其业务处理能力受到极大影响，或系统关键数据的保密性、完整性、可用性遭到破坏，恢复系统正常运行和消除安全事件负面影响所需付出的代价巨大，但对于事发组织是可承受的；</w:t>
      </w:r>
    </w:p>
    <w:p>
      <w:pPr>
        <w:widowControl/>
        <w:spacing w:line="240" w:lineRule="auto"/>
        <w:ind w:firstLine="400" w:firstLineChars="20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c) 较大的系统损失：造成系统中断，明显影响系统效率，使重要信息系统或一般信息系统业务处理能力受到影响，或系统重要数据的保密性、完整性、可用性遭到破坏，恢复系统正常运行和消除安全事件负面影响所需付出的代价较大，但对于事发组织是完全可以承受的；</w:t>
      </w:r>
    </w:p>
    <w:p>
      <w:pPr>
        <w:widowControl/>
        <w:spacing w:line="240" w:lineRule="auto"/>
        <w:ind w:firstLine="400" w:firstLineChars="20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d) 较小的系统损失：造成系统短暂中断，影响系统效率，使系统业务处理能力受到影响，或系统重要数据的保密性、完整性、可用性遭到影响，恢复系统正常运行和消除安全事件负面影响所需付出的代价较小。</w:t>
      </w:r>
    </w:p>
    <w:p>
      <w:pPr>
        <w:widowControl/>
        <w:spacing w:line="240" w:lineRule="auto"/>
        <w:ind w:firstLine="0" w:firstLineChars="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2、要有监测与预警机制</w:t>
      </w:r>
    </w:p>
    <w:p>
      <w:pPr>
        <w:widowControl/>
        <w:spacing w:line="240" w:lineRule="auto"/>
        <w:ind w:firstLine="400" w:firstLineChars="20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需要有配套的网络安全监测和预警软件，具备恶意文件攻击、远程控制监测、web后门访问检测、web行为分析检测、非法数据传输、DAG域名请求、暴力破解、隐蔽信道通讯等功能，能检测出网络安全事件，做到网络安全事件的监测和预警。</w:t>
      </w:r>
    </w:p>
    <w:p>
      <w:pPr>
        <w:widowControl/>
        <w:spacing w:line="240" w:lineRule="auto"/>
        <w:ind w:firstLine="0" w:firstLineChars="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3、要求提供应急处置方案。</w:t>
      </w:r>
    </w:p>
    <w:p>
      <w:pPr>
        <w:widowControl/>
        <w:spacing w:line="240" w:lineRule="auto"/>
        <w:ind w:firstLine="400" w:firstLineChars="200"/>
        <w:rPr>
          <w:rFonts w:hint="eastAsia" w:hAnsi="宋体" w:cs="宋体"/>
          <w:color w:val="000000" w:themeColor="text1"/>
          <w:kern w:val="0"/>
          <w:sz w:val="20"/>
          <w:szCs w:val="20"/>
          <w:lang w:val="en-US" w:eastAsia="zh-CN"/>
          <w14:textFill>
            <w14:solidFill>
              <w14:schemeClr w14:val="tx1"/>
            </w14:solidFill>
          </w14:textFill>
        </w:rPr>
      </w:pPr>
      <w:r>
        <w:rPr>
          <w:rFonts w:hint="eastAsia" w:hAnsi="宋体" w:cs="宋体"/>
          <w:color w:val="000000" w:themeColor="text1"/>
          <w:kern w:val="0"/>
          <w:sz w:val="20"/>
          <w:szCs w:val="20"/>
          <w:lang w:val="en-US" w:eastAsia="zh-CN"/>
          <w14:textFill>
            <w14:solidFill>
              <w14:schemeClr w14:val="tx1"/>
            </w14:solidFill>
          </w14:textFill>
        </w:rPr>
        <w:t>按中央网信办要求，网络安全事件预警等级分为四级：由高到低依次用红色、橙色、黄色和蓝色表示，分别对应发生或可能发生特别重大、重大、较大和一般网络安全事件，需要根据不同的安全事件制定相应的处置方案。</w:t>
      </w:r>
    </w:p>
    <w:p>
      <w:pPr>
        <w:pStyle w:val="2"/>
        <w:ind w:left="0" w:leftChars="0" w:firstLine="0" w:firstLineChars="0"/>
        <w:rPr>
          <w:rFonts w:hint="eastAsia" w:hAnsi="宋体" w:cs="宋体"/>
          <w:color w:val="000000" w:themeColor="text1"/>
          <w:kern w:val="0"/>
          <w:sz w:val="20"/>
          <w:szCs w:val="20"/>
          <w:lang w:val="en-US" w:eastAsia="zh-CN"/>
          <w14:textFill>
            <w14:solidFill>
              <w14:schemeClr w14:val="tx1"/>
            </w14:solidFill>
          </w14:textFill>
        </w:rPr>
      </w:pPr>
    </w:p>
    <w:p>
      <w:pPr>
        <w:pStyle w:val="2"/>
        <w:ind w:left="0" w:leftChars="0" w:firstLine="0" w:firstLineChars="0"/>
        <w:rPr>
          <w:rFonts w:hint="eastAsia" w:hAnsi="宋体" w:cs="宋体"/>
          <w:color w:val="auto"/>
          <w:kern w:val="0"/>
          <w:sz w:val="20"/>
          <w:szCs w:val="20"/>
          <w:lang w:val="en-US" w:eastAsia="zh-CN"/>
        </w:rPr>
      </w:pPr>
      <w:r>
        <w:rPr>
          <w:rFonts w:hint="eastAsia" w:hAnsi="宋体" w:cs="宋体"/>
          <w:color w:val="auto"/>
          <w:kern w:val="0"/>
          <w:sz w:val="20"/>
          <w:szCs w:val="20"/>
          <w:lang w:val="en-US" w:eastAsia="zh-CN"/>
        </w:rPr>
        <w:t>2.4 实施人员能力要求</w:t>
      </w:r>
    </w:p>
    <w:p>
      <w:pPr>
        <w:pStyle w:val="2"/>
        <w:ind w:left="0" w:leftChars="0" w:firstLine="420" w:firstLineChars="0"/>
        <w:rPr>
          <w:rFonts w:hint="eastAsia" w:hAnsi="宋体" w:cs="宋体"/>
          <w:color w:val="auto"/>
          <w:kern w:val="0"/>
          <w:sz w:val="20"/>
          <w:szCs w:val="20"/>
          <w:lang w:val="en-US" w:eastAsia="zh-CN"/>
        </w:rPr>
      </w:pPr>
      <w:r>
        <w:rPr>
          <w:rFonts w:hint="eastAsia" w:hAnsi="宋体" w:cs="宋体"/>
          <w:color w:val="auto"/>
          <w:kern w:val="0"/>
          <w:sz w:val="20"/>
          <w:szCs w:val="20"/>
          <w:lang w:val="en-US" w:eastAsia="zh-CN"/>
        </w:rPr>
        <w:t>投标人拟派项目负责人具备:</w:t>
      </w:r>
    </w:p>
    <w:p>
      <w:pPr>
        <w:pStyle w:val="2"/>
        <w:ind w:left="0" w:leftChars="0" w:firstLine="0" w:firstLineChars="0"/>
        <w:rPr>
          <w:rFonts w:hint="eastAsia" w:hAnsi="宋体" w:cs="宋体"/>
          <w:color w:val="auto"/>
          <w:kern w:val="0"/>
          <w:sz w:val="20"/>
          <w:szCs w:val="20"/>
          <w:lang w:val="en-US" w:eastAsia="zh-CN"/>
        </w:rPr>
      </w:pPr>
      <w:r>
        <w:rPr>
          <w:rFonts w:hint="eastAsia" w:hAnsi="宋体" w:cs="宋体"/>
          <w:color w:val="auto"/>
          <w:kern w:val="0"/>
          <w:sz w:val="20"/>
          <w:szCs w:val="20"/>
          <w:lang w:val="en-US" w:eastAsia="zh-CN"/>
        </w:rPr>
        <w:t>1、人力资源和社会保障部门颁发的信息系统项目管理师（高级）；（1分）</w:t>
      </w:r>
    </w:p>
    <w:p>
      <w:pPr>
        <w:pStyle w:val="2"/>
        <w:ind w:left="0" w:leftChars="0" w:firstLine="0" w:firstLineChars="0"/>
        <w:rPr>
          <w:rFonts w:hint="eastAsia" w:hAnsi="宋体" w:cs="宋体"/>
          <w:color w:val="auto"/>
          <w:kern w:val="0"/>
          <w:sz w:val="20"/>
          <w:szCs w:val="20"/>
          <w:lang w:val="en-US" w:eastAsia="zh-CN"/>
        </w:rPr>
      </w:pPr>
      <w:r>
        <w:rPr>
          <w:rFonts w:hint="eastAsia" w:hAnsi="宋体" w:cs="宋体"/>
          <w:color w:val="auto"/>
          <w:kern w:val="0"/>
          <w:sz w:val="20"/>
          <w:szCs w:val="20"/>
          <w:lang w:val="en-US" w:eastAsia="zh-CN"/>
        </w:rPr>
        <w:t>2、人力资源和社会保障部门颁发的系统分析师（高级）；（1分）</w:t>
      </w:r>
    </w:p>
    <w:p>
      <w:pPr>
        <w:pStyle w:val="2"/>
        <w:ind w:left="0" w:leftChars="0" w:firstLine="0" w:firstLineChars="0"/>
        <w:rPr>
          <w:rFonts w:hint="eastAsia" w:ascii="Calibri" w:hAnsi="宋体" w:eastAsia="宋体" w:cs="宋体"/>
          <w:color w:val="000000" w:themeColor="text1"/>
          <w:spacing w:val="0"/>
          <w:kern w:val="0"/>
          <w:sz w:val="20"/>
          <w:szCs w:val="20"/>
          <w:lang w:val="en-US" w:eastAsia="zh-CN" w:bidi="ar-SA"/>
          <w14:textFill>
            <w14:solidFill>
              <w14:schemeClr w14:val="tx1"/>
            </w14:solidFill>
          </w14:textFill>
        </w:rPr>
      </w:pPr>
      <w:r>
        <w:rPr>
          <w:rFonts w:hint="eastAsia" w:hAnsi="宋体" w:cs="宋体"/>
          <w:color w:val="auto"/>
          <w:kern w:val="0"/>
          <w:sz w:val="20"/>
          <w:szCs w:val="20"/>
          <w:lang w:val="en-US" w:eastAsia="zh-CN"/>
        </w:rPr>
        <w:t>3、</w:t>
      </w:r>
      <w:r>
        <w:rPr>
          <w:rFonts w:hint="eastAsia" w:ascii="Calibri" w:hAnsi="宋体" w:eastAsia="宋体" w:cs="宋体"/>
          <w:color w:val="000000" w:themeColor="text1"/>
          <w:spacing w:val="0"/>
          <w:kern w:val="0"/>
          <w:sz w:val="20"/>
          <w:szCs w:val="20"/>
          <w:lang w:val="en-US" w:eastAsia="zh-CN" w:bidi="ar-SA"/>
          <w14:textFill>
            <w14:solidFill>
              <w14:schemeClr w14:val="tx1"/>
            </w14:solidFill>
          </w14:textFill>
        </w:rPr>
        <w:t>中国网络安全审查技术与认证中心颁发的信息安全保障人员认证证书（CISAW）专业级。</w:t>
      </w:r>
      <w:r>
        <w:rPr>
          <w:rFonts w:hint="eastAsia" w:hAnsi="宋体" w:cs="宋体"/>
          <w:color w:val="auto"/>
          <w:kern w:val="0"/>
          <w:sz w:val="20"/>
          <w:szCs w:val="20"/>
          <w:lang w:val="en-US" w:eastAsia="zh-CN"/>
        </w:rPr>
        <w:t>（1分）</w:t>
      </w:r>
    </w:p>
    <w:p>
      <w:pPr>
        <w:pStyle w:val="2"/>
        <w:ind w:left="0" w:leftChars="0" w:firstLine="0" w:firstLineChars="0"/>
        <w:rPr>
          <w:rFonts w:hint="eastAsia" w:hAnsi="宋体" w:cs="宋体"/>
          <w:color w:val="auto"/>
          <w:kern w:val="0"/>
          <w:sz w:val="20"/>
          <w:szCs w:val="20"/>
          <w:lang w:val="en-US" w:eastAsia="zh-CN"/>
        </w:rPr>
      </w:pPr>
      <w:r>
        <w:rPr>
          <w:rFonts w:hint="eastAsia" w:ascii="Calibri" w:hAnsi="宋体" w:eastAsia="宋体" w:cs="宋体"/>
          <w:color w:val="000000" w:themeColor="text1"/>
          <w:spacing w:val="0"/>
          <w:kern w:val="0"/>
          <w:sz w:val="20"/>
          <w:szCs w:val="20"/>
          <w:lang w:val="en-US" w:eastAsia="zh-CN" w:bidi="ar-SA"/>
          <w14:textFill>
            <w14:solidFill>
              <w14:schemeClr w14:val="tx1"/>
            </w14:solidFill>
          </w14:textFill>
        </w:rPr>
        <w:t>提供相关证书证明材料复印件，以及截至开标前6个月内投标人为该项目投入人员缴纳社会保障资金证明（缴纳凭证扫描件或人社部门出具的证明扫描件，至少提供一个月）并加盖公章，否则不得分。</w:t>
      </w:r>
    </w:p>
    <w:p>
      <w:pPr>
        <w:pStyle w:val="2"/>
        <w:ind w:left="0" w:leftChars="0" w:firstLine="0" w:firstLineChars="0"/>
        <w:rPr>
          <w:rFonts w:hint="eastAsia" w:ascii="Calibri" w:hAnsi="宋体" w:eastAsia="宋体" w:cs="宋体"/>
          <w:color w:val="000000" w:themeColor="text1"/>
          <w:spacing w:val="0"/>
          <w:kern w:val="0"/>
          <w:sz w:val="20"/>
          <w:szCs w:val="20"/>
          <w:lang w:val="en-US" w:eastAsia="zh-CN" w:bidi="ar-SA"/>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bookmarkEnd w:id="32"/>
    <w:p>
      <w:pPr>
        <w:spacing w:line="360" w:lineRule="auto"/>
        <w:rPr>
          <w:rFonts w:ascii="仿宋" w:hAnsi="仿宋" w:eastAsia="仿宋"/>
          <w:b/>
          <w:bCs/>
          <w:sz w:val="28"/>
          <w:szCs w:val="28"/>
        </w:rPr>
      </w:pPr>
      <w:bookmarkStart w:id="38" w:name="PO_TDCUS_ITEM_PB_REQ_TABLE_1_1"/>
      <w:bookmarkEnd w:id="38"/>
      <w:bookmarkStart w:id="39" w:name="PO_TDCUS_ITEM_PB_REQ_TITLE_2"/>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rPr>
                <w:rFonts w:hint="eastAsia"/>
                <w:color w:val="auto"/>
                <w:lang w:val="en-US" w:eastAsia="zh-CN"/>
              </w:rPr>
            </w:pPr>
            <w:r>
              <w:rPr>
                <w:rFonts w:hint="eastAsia" w:ascii="仿宋" w:hAnsi="仿宋" w:eastAsia="仿宋"/>
                <w:color w:val="auto"/>
                <w:sz w:val="28"/>
                <w:szCs w:val="28"/>
                <w:lang w:val="en-US" w:eastAsia="zh-CN"/>
              </w:rPr>
              <w:t>交货期：合同生效后60个工作日内</w:t>
            </w:r>
          </w:p>
          <w:p>
            <w:pPr>
              <w:rPr>
                <w:rFonts w:ascii="仿宋" w:hAnsi="仿宋" w:eastAsia="仿宋"/>
                <w:sz w:val="28"/>
                <w:szCs w:val="28"/>
              </w:rPr>
            </w:pPr>
            <w:r>
              <w:rPr>
                <w:rFonts w:hint="eastAsia" w:ascii="仿宋" w:hAnsi="仿宋" w:eastAsia="仿宋"/>
                <w:color w:val="auto"/>
                <w:sz w:val="28"/>
                <w:szCs w:val="28"/>
                <w:lang w:val="en-US" w:eastAsia="zh-CN"/>
              </w:rPr>
              <w:t>地点：浙江警察学院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中标人向采购人缴纳合同金额1%的履约保证金</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br w:type="textWrapping"/>
            </w:r>
            <w:r>
              <w:rPr>
                <w:rFonts w:hint="eastAsia" w:ascii="仿宋" w:hAnsi="仿宋" w:eastAsia="仿宋"/>
                <w:color w:val="auto"/>
                <w:sz w:val="28"/>
                <w:szCs w:val="28"/>
                <w:highlight w:val="none"/>
              </w:rPr>
              <w:t>付款方式：</w:t>
            </w:r>
            <w:r>
              <w:rPr>
                <w:rFonts w:hint="eastAsia" w:ascii="仿宋" w:hAnsi="仿宋" w:eastAsia="仿宋"/>
                <w:color w:val="auto"/>
                <w:sz w:val="28"/>
                <w:szCs w:val="28"/>
                <w:highlight w:val="none"/>
              </w:rPr>
              <w:br w:type="textWrapping"/>
            </w:r>
            <w:r>
              <w:rPr>
                <w:rFonts w:hint="eastAsia" w:ascii="仿宋" w:hAnsi="仿宋" w:eastAsia="仿宋"/>
                <w:color w:val="auto"/>
                <w:sz w:val="28"/>
                <w:szCs w:val="28"/>
                <w:highlight w:val="none"/>
              </w:rPr>
              <w:t>政府采购预付款应在合同生效以及具备实施条件后7个工作日内支付。</w:t>
            </w:r>
            <w:r>
              <w:rPr>
                <w:rFonts w:hint="eastAsia" w:ascii="仿宋" w:hAnsi="仿宋" w:eastAsia="仿宋"/>
                <w:color w:val="auto"/>
                <w:sz w:val="28"/>
                <w:szCs w:val="28"/>
                <w:highlight w:val="none"/>
              </w:rPr>
              <w:br w:type="textWrapping"/>
            </w:r>
            <w:r>
              <w:rPr>
                <w:rFonts w:hint="eastAsia" w:ascii="仿宋" w:hAnsi="仿宋" w:eastAsia="仿宋"/>
                <w:color w:val="auto"/>
                <w:sz w:val="28"/>
                <w:szCs w:val="28"/>
                <w:highlight w:val="none"/>
              </w:rPr>
              <w:t>合同签订后支付合同价的30%</w:t>
            </w:r>
            <w:r>
              <w:rPr>
                <w:rFonts w:hint="eastAsia" w:ascii="仿宋" w:hAnsi="仿宋" w:eastAsia="仿宋"/>
                <w:color w:val="auto"/>
                <w:sz w:val="28"/>
                <w:szCs w:val="28"/>
                <w:highlight w:val="none"/>
                <w:lang w:val="en-US" w:eastAsia="zh-CN"/>
              </w:rPr>
              <w:t>的预付款</w:t>
            </w:r>
            <w:r>
              <w:rPr>
                <w:rFonts w:hint="eastAsia" w:ascii="仿宋" w:hAnsi="仿宋" w:eastAsia="仿宋"/>
                <w:color w:val="auto"/>
                <w:sz w:val="28"/>
                <w:szCs w:val="28"/>
                <w:highlight w:val="none"/>
              </w:rPr>
              <w:t>，验收完成后支付剩余部分。</w:t>
            </w:r>
          </w:p>
          <w:p>
            <w:pPr>
              <w:rPr>
                <w:rFonts w:ascii="仿宋" w:hAnsi="仿宋" w:eastAsia="仿宋"/>
                <w:b/>
                <w:sz w:val="28"/>
                <w:szCs w:val="28"/>
              </w:rPr>
            </w:pPr>
            <w:r>
              <w:rPr>
                <w:rFonts w:hint="eastAsia" w:ascii="仿宋" w:hAnsi="仿宋" w:eastAsia="仿宋" w:cs="Times New Roman"/>
                <w:b/>
                <w:bCs/>
                <w:kern w:val="2"/>
                <w:sz w:val="28"/>
                <w:szCs w:val="28"/>
                <w:lang w:val="en-US" w:eastAsia="zh-CN" w:bidi="ar-SA"/>
              </w:rPr>
              <w:t>备注：在签订合同时，供应商明确表示无需预付款或者主动要求降低预付款比例的，采购单位可不适用前述预付款比例的规定。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rPr>
                <w:rFonts w:hint="eastAsia" w:ascii="仿宋" w:hAnsi="仿宋" w:eastAsia="仿宋" w:cs="仿宋_GB2312"/>
                <w:sz w:val="28"/>
                <w:szCs w:val="28"/>
              </w:rPr>
            </w:pPr>
            <w:r>
              <w:rPr>
                <w:rFonts w:hint="eastAsia" w:ascii="仿宋" w:hAnsi="仿宋" w:eastAsia="仿宋" w:cs="仿宋_GB2312"/>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rPr>
              <w:t>软件产品提供3年原厂技术支持和售后服务，硬件产品提供3年原厂技术支持和售后服务，质保期自验收合格签字之日起计算。质保期内，成交供应商负责为采购人的设备提供免费维护、保养和免费更换损坏的和有缺陷的零部件，设备质保期后成交供应商对设备提供终身优惠的技术支持</w:t>
            </w:r>
            <w:r>
              <w:rPr>
                <w:rFonts w:hint="eastAsia" w:ascii="仿宋" w:hAnsi="仿宋" w:eastAsia="仿宋"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rPr>
              <w:t>招标文件中技术指标章节，需要按点对点应答进行逐条响应</w:t>
            </w:r>
            <w:r>
              <w:rPr>
                <w:rFonts w:hint="eastAsia" w:ascii="仿宋" w:hAnsi="仿宋" w:eastAsia="仿宋"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rPr>
                <w:rFonts w:hint="eastAsia" w:ascii="仿宋" w:hAnsi="仿宋" w:eastAsia="仿宋" w:cs="仿宋_GB2312"/>
                <w:color w:val="auto"/>
                <w:sz w:val="28"/>
                <w:szCs w:val="28"/>
              </w:rPr>
            </w:pPr>
            <w:r>
              <w:rPr>
                <w:rFonts w:hint="eastAsia" w:ascii="仿宋" w:hAnsi="仿宋" w:eastAsia="仿宋" w:cs="仿宋_GB2312"/>
                <w:color w:val="auto"/>
                <w:sz w:val="28"/>
                <w:szCs w:val="28"/>
              </w:rPr>
              <w:t>仪器安装调试合格后，由供应商工程师在采购人现场进行免费技术培训；培训内容及要求：</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1、</w:t>
            </w:r>
            <w:r>
              <w:rPr>
                <w:rFonts w:hint="eastAsia" w:ascii="仿宋" w:hAnsi="仿宋" w:eastAsia="仿宋" w:cs="仿宋_GB2312"/>
                <w:color w:val="auto"/>
                <w:sz w:val="28"/>
                <w:szCs w:val="28"/>
              </w:rPr>
              <w:t>了解设备的工作原理、组成及各部组件、控制系统的工作原理和使用方法；</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2、</w:t>
            </w:r>
            <w:r>
              <w:rPr>
                <w:rFonts w:hint="eastAsia" w:ascii="仿宋" w:hAnsi="仿宋" w:eastAsia="仿宋" w:cs="仿宋_GB2312"/>
                <w:color w:val="auto"/>
                <w:sz w:val="28"/>
                <w:szCs w:val="28"/>
              </w:rPr>
              <w:t>熟练掌握整套系统的操作规程</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3、</w:t>
            </w:r>
            <w:r>
              <w:rPr>
                <w:rFonts w:hint="eastAsia" w:ascii="仿宋" w:hAnsi="仿宋" w:eastAsia="仿宋" w:cs="仿宋_GB2312"/>
                <w:color w:val="auto"/>
                <w:sz w:val="28"/>
                <w:szCs w:val="28"/>
              </w:rPr>
              <w:t>能够对设备的一般故障进行诊断和简单维修，进行易损件的更换；</w:t>
            </w:r>
          </w:p>
          <w:p>
            <w:pPr>
              <w:rPr>
                <w:rFonts w:ascii="仿宋" w:hAnsi="仿宋" w:eastAsia="仿宋"/>
                <w:color w:val="auto"/>
                <w:sz w:val="28"/>
                <w:szCs w:val="28"/>
              </w:rPr>
            </w:pPr>
            <w:r>
              <w:rPr>
                <w:rFonts w:hint="eastAsia" w:ascii="仿宋" w:hAnsi="仿宋" w:eastAsia="仿宋" w:cs="仿宋_GB2312"/>
                <w:color w:val="auto"/>
                <w:sz w:val="28"/>
                <w:szCs w:val="28"/>
                <w:lang w:val="en-US" w:eastAsia="zh-CN"/>
              </w:rPr>
              <w:t>4、</w:t>
            </w:r>
            <w:r>
              <w:rPr>
                <w:rFonts w:hint="eastAsia" w:ascii="仿宋" w:hAnsi="仿宋" w:eastAsia="仿宋" w:cs="仿宋_GB2312"/>
                <w:color w:val="auto"/>
                <w:sz w:val="28"/>
                <w:szCs w:val="28"/>
              </w:rPr>
              <w:t>对设备能够进行日常的维护和保养。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1、</w:t>
            </w:r>
            <w:r>
              <w:rPr>
                <w:rFonts w:hint="eastAsia" w:ascii="仿宋" w:hAnsi="仿宋" w:eastAsia="仿宋" w:cs="仿宋_GB2312"/>
                <w:color w:val="auto"/>
                <w:sz w:val="28"/>
                <w:szCs w:val="28"/>
              </w:rPr>
              <w:t>投标人通过以下管理体系认证：</w:t>
            </w:r>
          </w:p>
          <w:p>
            <w:pPr>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rPr>
              <w:t>质量管理体系认证（GB/T 19001或ISO 9001）</w:t>
            </w:r>
            <w:r>
              <w:rPr>
                <w:rFonts w:hint="eastAsia" w:ascii="仿宋" w:hAnsi="仿宋" w:eastAsia="仿宋" w:cs="仿宋_GB2312"/>
                <w:color w:val="auto"/>
                <w:sz w:val="28"/>
                <w:szCs w:val="28"/>
                <w:lang w:eastAsia="zh-CN"/>
              </w:rPr>
              <w:t>；</w:t>
            </w:r>
          </w:p>
          <w:p>
            <w:pPr>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rPr>
              <w:t>通用个人信息保护管理体系认证(ISO/IEC 29151)</w:t>
            </w:r>
            <w:r>
              <w:rPr>
                <w:rFonts w:hint="eastAsia" w:ascii="仿宋" w:hAnsi="仿宋" w:eastAsia="仿宋" w:cs="仿宋_GB2312"/>
                <w:color w:val="auto"/>
                <w:sz w:val="28"/>
                <w:szCs w:val="28"/>
                <w:lang w:eastAsia="zh-CN"/>
              </w:rPr>
              <w:t>；</w:t>
            </w:r>
          </w:p>
          <w:p>
            <w:pPr>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rPr>
              <w:t>信息安全管理体系认证(GB/T 22080或ISO/IEC 27001)</w:t>
            </w:r>
            <w:r>
              <w:rPr>
                <w:rFonts w:hint="eastAsia" w:ascii="仿宋" w:hAnsi="仿宋" w:eastAsia="仿宋" w:cs="仿宋_GB2312"/>
                <w:color w:val="auto"/>
                <w:sz w:val="28"/>
                <w:szCs w:val="28"/>
                <w:lang w:eastAsia="zh-CN"/>
              </w:rPr>
              <w:t>；</w:t>
            </w:r>
          </w:p>
          <w:p>
            <w:pPr>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rPr>
              <w:t>云安全管理体系认证（ISO 27017）</w:t>
            </w:r>
            <w:r>
              <w:rPr>
                <w:rFonts w:hint="eastAsia" w:ascii="仿宋" w:hAnsi="仿宋" w:eastAsia="仿宋" w:cs="仿宋_GB2312"/>
                <w:color w:val="auto"/>
                <w:sz w:val="28"/>
                <w:szCs w:val="28"/>
                <w:lang w:eastAsia="zh-CN"/>
              </w:rPr>
              <w:t>；</w:t>
            </w:r>
          </w:p>
          <w:p>
            <w:pPr>
              <w:rPr>
                <w:rFonts w:hint="default"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每个证书0.5分，最高得2分。</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2、</w:t>
            </w:r>
            <w:r>
              <w:rPr>
                <w:rFonts w:hint="eastAsia" w:ascii="仿宋" w:hAnsi="仿宋" w:eastAsia="仿宋" w:cs="仿宋_GB2312"/>
                <w:color w:val="auto"/>
                <w:sz w:val="28"/>
                <w:szCs w:val="28"/>
              </w:rPr>
              <w:t>认证证书需获得由中国国家认证认可监督管理委员会(CNCA)认可。</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1分</w:t>
            </w:r>
            <w:r>
              <w:rPr>
                <w:rFonts w:hint="eastAsia" w:ascii="仿宋" w:hAnsi="仿宋" w:eastAsia="仿宋" w:cs="仿宋_GB2312"/>
                <w:color w:val="auto"/>
                <w:sz w:val="28"/>
                <w:szCs w:val="28"/>
                <w:lang w:eastAsia="zh-CN"/>
              </w:rPr>
              <w:t>）</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3、</w:t>
            </w:r>
            <w:r>
              <w:rPr>
                <w:rFonts w:hint="eastAsia" w:ascii="仿宋" w:hAnsi="仿宋" w:eastAsia="仿宋" w:cs="仿宋_GB2312"/>
                <w:color w:val="auto"/>
                <w:sz w:val="28"/>
                <w:szCs w:val="28"/>
              </w:rPr>
              <w:t>投标人具备国家认可的安全能力，获得由国家计算机网络应急技术处理协调中心颁发的国家信息安全漏洞共享平台（CNVD）技术组支撑单位证书。</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1分</w:t>
            </w:r>
            <w:r>
              <w:rPr>
                <w:rFonts w:hint="eastAsia" w:ascii="仿宋" w:hAnsi="仿宋" w:eastAsia="仿宋" w:cs="仿宋_GB2312"/>
                <w:color w:val="auto"/>
                <w:sz w:val="28"/>
                <w:szCs w:val="28"/>
                <w:lang w:eastAsia="zh-CN"/>
              </w:rPr>
              <w:t>）</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4、</w:t>
            </w:r>
            <w:r>
              <w:rPr>
                <w:rFonts w:hint="eastAsia" w:ascii="仿宋" w:hAnsi="仿宋" w:eastAsia="仿宋" w:cs="仿宋_GB2312"/>
                <w:color w:val="auto"/>
                <w:sz w:val="28"/>
                <w:szCs w:val="28"/>
              </w:rPr>
              <w:t>投标人应具备较强的网络安全应急服务支撑能力，获得由国家计算机网络应急技术处理协调中心（CNCERT/CC）颁发的网络安全应急服务支撑单位证书。</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1分</w:t>
            </w:r>
            <w:r>
              <w:rPr>
                <w:rFonts w:hint="eastAsia" w:ascii="仿宋" w:hAnsi="仿宋" w:eastAsia="仿宋" w:cs="仿宋_GB2312"/>
                <w:color w:val="auto"/>
                <w:sz w:val="28"/>
                <w:szCs w:val="28"/>
                <w:lang w:eastAsia="zh-CN"/>
              </w:rPr>
              <w:t>）</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5、</w:t>
            </w:r>
            <w:r>
              <w:rPr>
                <w:rFonts w:hint="eastAsia" w:ascii="仿宋" w:hAnsi="仿宋" w:eastAsia="仿宋" w:cs="仿宋_GB2312"/>
                <w:color w:val="auto"/>
                <w:sz w:val="28"/>
                <w:szCs w:val="28"/>
              </w:rPr>
              <w:t>投标人应具有数据及开发服务能力，获得由公安部颁发的三级及以上信息系统安全等级保护备案证明，证明材料须包含“数据及开发服务”内容。</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1分</w:t>
            </w:r>
            <w:r>
              <w:rPr>
                <w:rFonts w:hint="eastAsia" w:ascii="仿宋" w:hAnsi="仿宋" w:eastAsia="仿宋" w:cs="仿宋_GB2312"/>
                <w:color w:val="auto"/>
                <w:sz w:val="28"/>
                <w:szCs w:val="28"/>
                <w:lang w:eastAsia="zh-CN"/>
              </w:rPr>
              <w:t>）</w:t>
            </w:r>
          </w:p>
          <w:p>
            <w:pPr>
              <w:rPr>
                <w:rFonts w:hint="eastAsia" w:ascii="仿宋" w:hAnsi="仿宋" w:eastAsia="仿宋" w:cs="仿宋_GB2312"/>
                <w:color w:val="auto"/>
                <w:sz w:val="28"/>
                <w:szCs w:val="28"/>
              </w:rPr>
            </w:pPr>
            <w:r>
              <w:rPr>
                <w:rFonts w:hint="eastAsia" w:ascii="仿宋" w:hAnsi="仿宋" w:eastAsia="仿宋" w:cs="仿宋_GB2312"/>
                <w:color w:val="auto"/>
                <w:sz w:val="28"/>
                <w:szCs w:val="28"/>
                <w:lang w:val="en-US" w:eastAsia="zh-CN"/>
              </w:rPr>
              <w:t>6、</w:t>
            </w:r>
            <w:r>
              <w:rPr>
                <w:rFonts w:hint="eastAsia" w:ascii="仿宋" w:hAnsi="仿宋" w:eastAsia="仿宋" w:cs="仿宋_GB2312"/>
                <w:color w:val="auto"/>
                <w:sz w:val="28"/>
                <w:szCs w:val="28"/>
              </w:rPr>
              <w:t>投标人的大数据产品通过中国信通院测评的数据集成工具基础能力专项评测证书。</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1分</w:t>
            </w:r>
            <w:r>
              <w:rPr>
                <w:rFonts w:hint="eastAsia" w:ascii="仿宋" w:hAnsi="仿宋" w:eastAsia="仿宋" w:cs="仿宋_GB2312"/>
                <w:color w:val="auto"/>
                <w:sz w:val="28"/>
                <w:szCs w:val="28"/>
                <w:lang w:eastAsia="zh-CN"/>
              </w:rPr>
              <w:t>）</w:t>
            </w:r>
          </w:p>
          <w:p>
            <w:pPr>
              <w:rPr>
                <w:rFonts w:ascii="仿宋" w:hAnsi="仿宋" w:eastAsia="仿宋" w:cs="仿宋_GB2312"/>
                <w:color w:val="auto"/>
                <w:sz w:val="28"/>
                <w:szCs w:val="28"/>
              </w:rPr>
            </w:pPr>
            <w:r>
              <w:rPr>
                <w:rFonts w:hint="eastAsia" w:ascii="仿宋" w:hAnsi="仿宋" w:eastAsia="仿宋" w:cs="仿宋_GB2312"/>
                <w:color w:val="auto"/>
                <w:sz w:val="28"/>
                <w:szCs w:val="28"/>
                <w:lang w:val="en-US" w:eastAsia="zh-CN"/>
              </w:rPr>
              <w:t>7、</w:t>
            </w:r>
            <w:r>
              <w:rPr>
                <w:rFonts w:hint="eastAsia" w:ascii="仿宋" w:hAnsi="仿宋" w:eastAsia="仿宋" w:cs="仿宋_GB2312"/>
                <w:color w:val="auto"/>
                <w:sz w:val="28"/>
                <w:szCs w:val="28"/>
              </w:rPr>
              <w:t>投标人应符合工信部ITSS信息技术服务标准并获得符合性证书，投标人的SaaS云能力达到等级</w:t>
            </w:r>
            <w:r>
              <w:rPr>
                <w:rFonts w:hint="eastAsia" w:ascii="仿宋" w:hAnsi="仿宋" w:eastAsia="仿宋" w:cs="仿宋_GB2312"/>
                <w:color w:val="auto"/>
                <w:sz w:val="28"/>
                <w:szCs w:val="28"/>
                <w:lang w:val="en-US" w:eastAsia="zh-CN"/>
              </w:rPr>
              <w:t>二</w:t>
            </w:r>
            <w:r>
              <w:rPr>
                <w:rFonts w:hint="eastAsia" w:ascii="仿宋" w:hAnsi="仿宋" w:eastAsia="仿宋" w:cs="仿宋_GB2312"/>
                <w:color w:val="auto"/>
                <w:sz w:val="28"/>
                <w:szCs w:val="28"/>
              </w:rPr>
              <w:t>级。</w:t>
            </w:r>
            <w:r>
              <w:rPr>
                <w:rFonts w:hint="eastAsia" w:ascii="仿宋" w:hAnsi="仿宋" w:eastAsia="仿宋" w:cs="仿宋_GB2312"/>
                <w:color w:val="auto"/>
                <w:sz w:val="28"/>
                <w:szCs w:val="28"/>
                <w:lang w:eastAsia="zh-CN"/>
              </w:rPr>
              <w:t>（</w:t>
            </w:r>
            <w:r>
              <w:rPr>
                <w:rFonts w:hint="eastAsia" w:ascii="仿宋" w:hAnsi="仿宋" w:eastAsia="仿宋" w:cs="仿宋_GB2312"/>
                <w:color w:val="auto"/>
                <w:sz w:val="28"/>
                <w:szCs w:val="28"/>
                <w:lang w:val="en-US" w:eastAsia="zh-CN"/>
              </w:rPr>
              <w:t>1分</w:t>
            </w:r>
            <w:r>
              <w:rPr>
                <w:rFonts w:hint="eastAsia" w:ascii="仿宋" w:hAnsi="仿宋" w:eastAsia="仿宋"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rPr>
                <w:rFonts w:ascii="仿宋" w:hAnsi="仿宋" w:eastAsia="仿宋" w:cs="仿宋_GB2312"/>
                <w:color w:val="auto"/>
                <w:sz w:val="28"/>
                <w:szCs w:val="28"/>
              </w:rPr>
            </w:pPr>
            <w:r>
              <w:rPr>
                <w:rFonts w:hint="eastAsia" w:ascii="仿宋" w:hAnsi="仿宋" w:eastAsia="仿宋" w:cs="仿宋_GB2312"/>
                <w:color w:val="auto"/>
                <w:sz w:val="28"/>
                <w:szCs w:val="28"/>
              </w:rPr>
              <w:t>自2019年1月1日以来类似项目业绩，提供合同复印件需加盖公章（每提供一个得1分，最高3分）</w:t>
            </w:r>
            <w:r>
              <w:rPr>
                <w:rFonts w:hint="eastAsia" w:ascii="仿宋" w:hAnsi="仿宋" w:eastAsia="仿宋" w:cs="仿宋_GB2312"/>
                <w:color w:val="auto"/>
                <w:sz w:val="28"/>
                <w:szCs w:val="28"/>
                <w:lang w:eastAsia="zh-CN"/>
              </w:rPr>
              <w:t>。</w:t>
            </w:r>
          </w:p>
        </w:tc>
      </w:tr>
    </w:tbl>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both"/>
        <w:textAlignment w:val="auto"/>
        <w:outlineLvl w:val="0"/>
        <w:rPr>
          <w:rFonts w:hint="eastAsia" w:hAnsi="宋体"/>
          <w:b/>
          <w:sz w:val="36"/>
          <w:szCs w:val="36"/>
          <w:lang w:eastAsia="zh-CN"/>
        </w:rPr>
      </w:pPr>
    </w:p>
    <w:p>
      <w:pPr>
        <w:pStyle w:val="32"/>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outlineLvl w:val="0"/>
        <w:rPr>
          <w:rFonts w:hint="eastAsia" w:ascii="仿宋" w:hAnsi="仿宋" w:eastAsia="仿宋" w:cs="Times New Roman"/>
          <w:b/>
          <w:kern w:val="2"/>
          <w:sz w:val="28"/>
          <w:szCs w:val="28"/>
          <w:lang w:val="en-US" w:eastAsia="zh-CN" w:bidi="ar-SA"/>
        </w:rPr>
      </w:pPr>
      <w:r>
        <w:rPr>
          <w:rFonts w:hint="eastAsia" w:ascii="仿宋" w:hAnsi="仿宋" w:eastAsia="仿宋" w:cs="Times New Roman"/>
          <w:b/>
          <w:kern w:val="2"/>
          <w:sz w:val="28"/>
          <w:szCs w:val="28"/>
          <w:lang w:val="en-US" w:eastAsia="zh-CN" w:bidi="ar-SA"/>
        </w:rPr>
        <w:t>标项2:</w:t>
      </w:r>
      <w:bookmarkEnd w:id="39"/>
      <w:bookmarkStart w:id="40" w:name="PO_TDCUS_ITEM_PB_REQ_FILE_2_1"/>
      <w:r>
        <w:rPr>
          <w:rFonts w:hint="eastAsia" w:ascii="仿宋" w:hAnsi="仿宋" w:eastAsia="仿宋" w:cs="Times New Roman"/>
          <w:b/>
          <w:kern w:val="2"/>
          <w:sz w:val="28"/>
          <w:szCs w:val="28"/>
          <w:lang w:val="en-US" w:eastAsia="zh-CN" w:bidi="ar-SA"/>
        </w:rPr>
        <w:t>数据中心机房设备采购及网络运维管理平台建设项目</w:t>
      </w:r>
    </w:p>
    <w:p>
      <w:pPr>
        <w:pStyle w:val="32"/>
        <w:pageBreakBefore w:val="0"/>
        <w:widowControl w:val="0"/>
        <w:kinsoku/>
        <w:wordWrap/>
        <w:overflowPunct/>
        <w:topLinePunct w:val="0"/>
        <w:autoSpaceDE/>
        <w:autoSpaceDN/>
        <w:bidi w:val="0"/>
        <w:adjustRightInd/>
        <w:snapToGrid/>
        <w:spacing w:before="0" w:beforeLines="0" w:after="0" w:afterLines="0" w:line="579" w:lineRule="exact"/>
        <w:ind w:firstLine="720" w:firstLineChars="200"/>
        <w:jc w:val="center"/>
        <w:textAlignment w:val="auto"/>
        <w:outlineLvl w:val="0"/>
        <w:rPr>
          <w:rStyle w:val="72"/>
          <w:rFonts w:hint="eastAsia" w:ascii="方正小标宋简体" w:hAnsi="方正小标宋简体" w:eastAsia="方正小标宋简体" w:cs="方正小标宋简体"/>
          <w:b w:val="0"/>
          <w:bCs w:val="0"/>
          <w:lang w:val="en-US"/>
        </w:rPr>
      </w:pPr>
    </w:p>
    <w:p>
      <w:pPr>
        <w:pStyle w:val="4"/>
        <w:pageBreakBefore w:val="0"/>
        <w:widowControl w:val="0"/>
        <w:numPr>
          <w:ilvl w:val="0"/>
          <w:numId w:val="0"/>
        </w:numPr>
        <w:kinsoku/>
        <w:wordWrap/>
        <w:overflowPunct/>
        <w:topLinePunct w:val="0"/>
        <w:autoSpaceDE/>
        <w:autoSpaceDN/>
        <w:bidi w:val="0"/>
        <w:adjustRightInd/>
        <w:snapToGrid/>
        <w:spacing w:before="0" w:after="0" w:line="579" w:lineRule="exact"/>
        <w:ind w:firstLine="640" w:firstLineChars="200"/>
        <w:textAlignment w:val="auto"/>
        <w:rPr>
          <w:rFonts w:hint="eastAsia" w:ascii="黑体" w:hAnsi="黑体" w:eastAsia="黑体" w:cs="黑体"/>
          <w:b w:val="0"/>
          <w:bCs w:val="0"/>
          <w:sz w:val="32"/>
          <w:szCs w:val="32"/>
        </w:rPr>
      </w:pPr>
      <w:bookmarkStart w:id="41" w:name="_Toc13439_WPSOffice_Level1"/>
      <w:bookmarkStart w:id="42" w:name="_Toc14792828"/>
      <w:bookmarkStart w:id="43" w:name="_Toc10854"/>
      <w:r>
        <w:rPr>
          <w:rFonts w:hint="eastAsia" w:ascii="黑体" w:hAnsi="黑体" w:eastAsia="黑体" w:cs="黑体"/>
          <w:b w:val="0"/>
          <w:bCs w:val="0"/>
          <w:sz w:val="32"/>
          <w:szCs w:val="32"/>
        </w:rPr>
        <w:t>一、</w:t>
      </w:r>
      <w:bookmarkEnd w:id="41"/>
      <w:bookmarkEnd w:id="42"/>
      <w:bookmarkEnd w:id="43"/>
      <w:r>
        <w:rPr>
          <w:rFonts w:hint="eastAsia" w:ascii="黑体" w:hAnsi="黑体" w:eastAsia="黑体" w:cs="黑体"/>
          <w:b w:val="0"/>
          <w:bCs w:val="0"/>
          <w:sz w:val="32"/>
          <w:szCs w:val="32"/>
        </w:rPr>
        <w:t>项目概述</w:t>
      </w:r>
    </w:p>
    <w:p>
      <w:pPr>
        <w:pStyle w:val="982"/>
        <w:keepNext w:val="0"/>
        <w:keepLines w:val="0"/>
        <w:pageBreakBefore w:val="0"/>
        <w:widowControl w:val="0"/>
        <w:numPr>
          <w:ilvl w:val="0"/>
          <w:numId w:val="0"/>
        </w:numPr>
        <w:kinsoku/>
        <w:wordWrap/>
        <w:overflowPunct/>
        <w:topLinePunct w:val="0"/>
        <w:autoSpaceDE/>
        <w:autoSpaceDN/>
        <w:bidi w:val="0"/>
        <w:spacing w:after="0" w:line="579" w:lineRule="exact"/>
        <w:ind w:left="0" w:leftChars="0" w:firstLine="640" w:firstLineChars="200"/>
        <w:textAlignment w:val="auto"/>
        <w:rPr>
          <w:rFonts w:ascii="仿宋_GB2312" w:eastAsia="仿宋_GB2312" w:cs="仿宋_GB2312"/>
          <w:sz w:val="32"/>
          <w:szCs w:val="32"/>
        </w:rPr>
      </w:pPr>
      <w:bookmarkStart w:id="44" w:name="_Toc6203"/>
      <w:bookmarkStart w:id="45" w:name="_Toc24976_WPSOffice_Level1"/>
      <w:r>
        <w:rPr>
          <w:rFonts w:hint="eastAsia" w:ascii="仿宋_GB2312" w:hAnsi="仿宋_GB2312" w:eastAsia="仿宋_GB2312" w:cs="仿宋_GB2312"/>
          <w:i w:val="0"/>
          <w:caps w:val="0"/>
          <w:color w:val="222222"/>
          <w:spacing w:val="0"/>
          <w:sz w:val="32"/>
          <w:szCs w:val="32"/>
          <w:highlight w:val="none"/>
          <w:shd w:val="clear" w:color="auto" w:fill="auto"/>
        </w:rPr>
        <w:t>随着</w:t>
      </w:r>
      <w:r>
        <w:rPr>
          <w:rFonts w:hint="eastAsia" w:ascii="仿宋_GB2312" w:hAnsi="仿宋_GB2312" w:eastAsia="仿宋_GB2312" w:cs="仿宋_GB2312"/>
          <w:i w:val="0"/>
          <w:caps w:val="0"/>
          <w:color w:val="222222"/>
          <w:spacing w:val="0"/>
          <w:sz w:val="32"/>
          <w:szCs w:val="32"/>
          <w:highlight w:val="none"/>
          <w:shd w:val="clear" w:color="auto" w:fill="auto"/>
          <w:lang w:val="en-US" w:eastAsia="zh-CN"/>
        </w:rPr>
        <w:t>学校</w:t>
      </w:r>
      <w:r>
        <w:rPr>
          <w:rFonts w:hint="eastAsia" w:ascii="仿宋_GB2312" w:hAnsi="仿宋_GB2312" w:eastAsia="仿宋_GB2312" w:cs="仿宋_GB2312"/>
          <w:i w:val="0"/>
          <w:caps w:val="0"/>
          <w:color w:val="222222"/>
          <w:spacing w:val="0"/>
          <w:sz w:val="32"/>
          <w:szCs w:val="32"/>
          <w:highlight w:val="none"/>
          <w:shd w:val="clear" w:color="auto" w:fill="auto"/>
        </w:rPr>
        <w:t>信息化建设的不断深入以及云计算、大数据、虚拟化的快速应用，对IT基础设施提出了更高的要求，尤其在数据的安全性、可靠性方面，因此建设一个安全、绿色、智能、高效的数据中心成为了</w:t>
      </w:r>
      <w:r>
        <w:rPr>
          <w:rFonts w:hint="eastAsia" w:ascii="仿宋_GB2312" w:hAnsi="仿宋_GB2312" w:eastAsia="仿宋_GB2312" w:cs="仿宋_GB2312"/>
          <w:i w:val="0"/>
          <w:caps w:val="0"/>
          <w:color w:val="222222"/>
          <w:spacing w:val="0"/>
          <w:sz w:val="32"/>
          <w:szCs w:val="32"/>
          <w:highlight w:val="none"/>
          <w:shd w:val="clear" w:color="auto" w:fill="auto"/>
          <w:lang w:val="en-US" w:eastAsia="zh-CN"/>
        </w:rPr>
        <w:t>学校</w:t>
      </w:r>
      <w:r>
        <w:rPr>
          <w:rFonts w:hint="eastAsia" w:ascii="仿宋_GB2312" w:hAnsi="仿宋_GB2312" w:eastAsia="仿宋_GB2312" w:cs="仿宋_GB2312"/>
          <w:i w:val="0"/>
          <w:caps w:val="0"/>
          <w:color w:val="222222"/>
          <w:spacing w:val="0"/>
          <w:sz w:val="32"/>
          <w:szCs w:val="32"/>
          <w:highlight w:val="none"/>
          <w:shd w:val="clear" w:color="auto" w:fill="auto"/>
        </w:rPr>
        <w:t>信息化发展的重中之重。由于信息化需求和技术的多变性，各种业务需求的不断发展与变化，</w:t>
      </w:r>
      <w:r>
        <w:rPr>
          <w:rFonts w:hint="eastAsia" w:ascii="仿宋_GB2312" w:hAnsi="仿宋_GB2312" w:eastAsia="仿宋_GB2312" w:cs="仿宋_GB2312"/>
          <w:i w:val="0"/>
          <w:caps w:val="0"/>
          <w:color w:val="222222"/>
          <w:spacing w:val="0"/>
          <w:sz w:val="32"/>
          <w:szCs w:val="32"/>
          <w:highlight w:val="none"/>
          <w:shd w:val="clear" w:color="auto" w:fill="auto"/>
          <w:lang w:val="en-US" w:eastAsia="zh-CN"/>
        </w:rPr>
        <w:t>我校</w:t>
      </w:r>
      <w:r>
        <w:rPr>
          <w:rFonts w:hint="eastAsia" w:ascii="仿宋_GB2312" w:hAnsi="仿宋_GB2312" w:eastAsia="仿宋_GB2312" w:cs="仿宋_GB2312"/>
          <w:color w:val="auto"/>
          <w:sz w:val="32"/>
          <w:szCs w:val="32"/>
          <w:highlight w:val="none"/>
          <w:lang w:val="en-US" w:eastAsia="zh-CN"/>
        </w:rPr>
        <w:t>数据中心机房存在</w:t>
      </w:r>
      <w:r>
        <w:rPr>
          <w:rFonts w:hint="eastAsia" w:ascii="仿宋_GB2312" w:hAnsi="仿宋_GB2312" w:eastAsia="仿宋_GB2312" w:cs="仿宋_GB2312"/>
          <w:sz w:val="32"/>
          <w:szCs w:val="32"/>
          <w:lang w:eastAsia="zh-CN"/>
        </w:rPr>
        <w:t>数据安全管理手段不够</w:t>
      </w:r>
      <w:r>
        <w:rPr>
          <w:rFonts w:hint="default" w:ascii="仿宋_GB2312" w:hAnsi="仿宋_GB2312" w:eastAsia="仿宋_GB2312" w:cs="仿宋_GB2312"/>
          <w:sz w:val="32"/>
          <w:szCs w:val="32"/>
          <w:lang w:eastAsia="zh-CN"/>
        </w:rPr>
        <w:t>健全</w:t>
      </w:r>
      <w:r>
        <w:rPr>
          <w:rFonts w:hint="eastAsia" w:ascii="仿宋_GB2312" w:hAnsi="仿宋_GB2312" w:eastAsia="仿宋_GB2312" w:cs="仿宋_GB2312"/>
          <w:sz w:val="32"/>
          <w:szCs w:val="32"/>
          <w:lang w:eastAsia="zh-CN"/>
        </w:rPr>
        <w:t>、动环</w:t>
      </w:r>
      <w:r>
        <w:rPr>
          <w:rFonts w:hint="eastAsia" w:ascii="仿宋_GB2312" w:hAnsi="仿宋_GB2312" w:eastAsia="仿宋_GB2312" w:cs="仿宋_GB2312"/>
          <w:sz w:val="32"/>
          <w:szCs w:val="32"/>
          <w:lang w:val="en-US" w:eastAsia="zh-CN"/>
        </w:rPr>
        <w:t>监测</w:t>
      </w:r>
      <w:r>
        <w:rPr>
          <w:rFonts w:hint="eastAsia" w:ascii="仿宋_GB2312" w:hAnsi="仿宋_GB2312" w:eastAsia="仿宋_GB2312" w:cs="仿宋_GB2312"/>
          <w:sz w:val="32"/>
          <w:szCs w:val="32"/>
          <w:lang w:eastAsia="zh-CN"/>
        </w:rPr>
        <w:t>设备</w:t>
      </w:r>
      <w:r>
        <w:rPr>
          <w:rFonts w:hint="default" w:ascii="仿宋_GB2312" w:hAnsi="仿宋_GB2312" w:eastAsia="仿宋_GB2312" w:cs="仿宋_GB2312"/>
          <w:sz w:val="32"/>
          <w:szCs w:val="32"/>
          <w:lang w:eastAsia="zh-CN"/>
        </w:rPr>
        <w:t>缺失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部分设备老旧、</w:t>
      </w:r>
      <w:r>
        <w:rPr>
          <w:rFonts w:hint="eastAsia" w:ascii="仿宋_GB2312" w:hAnsi="仿宋_GB2312" w:eastAsia="仿宋_GB2312" w:cs="仿宋_GB2312"/>
          <w:sz w:val="32"/>
          <w:szCs w:val="32"/>
          <w:lang w:eastAsia="zh-CN"/>
        </w:rPr>
        <w:t>网络运维能力不够等问题。</w:t>
      </w:r>
      <w:r>
        <w:rPr>
          <w:rFonts w:hint="default" w:ascii="仿宋_GB2312" w:hAnsi="仿宋_GB2312" w:eastAsia="仿宋_GB2312" w:cs="仿宋_GB2312"/>
          <w:i w:val="0"/>
          <w:caps w:val="0"/>
          <w:color w:val="222222"/>
          <w:spacing w:val="0"/>
          <w:sz w:val="32"/>
          <w:szCs w:val="32"/>
          <w:highlight w:val="none"/>
          <w:shd w:val="clear" w:color="auto" w:fill="auto"/>
          <w:lang w:val="en-US" w:eastAsia="zh-CN"/>
        </w:rPr>
        <w:t>本项目拟</w:t>
      </w:r>
      <w:r>
        <w:rPr>
          <w:rFonts w:ascii="仿宋_GB2312" w:hAnsi="仿宋_GB2312" w:eastAsia="仿宋_GB2312" w:cs="仿宋_GB2312"/>
          <w:i w:val="0"/>
          <w:caps w:val="0"/>
          <w:color w:val="222222"/>
          <w:spacing w:val="0"/>
          <w:sz w:val="32"/>
          <w:szCs w:val="32"/>
          <w:highlight w:val="none"/>
          <w:shd w:val="clear" w:color="auto" w:fill="auto"/>
        </w:rPr>
        <w:t>以绿色、安全、智能、高效为</w:t>
      </w:r>
      <w:r>
        <w:rPr>
          <w:rFonts w:hint="default" w:ascii="仿宋_GB2312" w:hAnsi="仿宋_GB2312" w:eastAsia="仿宋_GB2312" w:cs="仿宋_GB2312"/>
          <w:i w:val="0"/>
          <w:caps w:val="0"/>
          <w:color w:val="222222"/>
          <w:spacing w:val="0"/>
          <w:sz w:val="32"/>
          <w:szCs w:val="32"/>
          <w:highlight w:val="none"/>
          <w:shd w:val="clear" w:color="auto" w:fill="auto"/>
          <w:lang w:val="en-US" w:eastAsia="zh-CN"/>
        </w:rPr>
        <w:t>建设</w:t>
      </w:r>
      <w:r>
        <w:rPr>
          <w:rFonts w:ascii="仿宋_GB2312" w:hAnsi="仿宋_GB2312" w:eastAsia="仿宋_GB2312" w:cs="仿宋_GB2312"/>
          <w:i w:val="0"/>
          <w:caps w:val="0"/>
          <w:color w:val="222222"/>
          <w:spacing w:val="0"/>
          <w:sz w:val="32"/>
          <w:szCs w:val="32"/>
          <w:highlight w:val="none"/>
          <w:shd w:val="clear" w:color="auto" w:fill="auto"/>
        </w:rPr>
        <w:t>理念，</w:t>
      </w:r>
      <w:r>
        <w:rPr>
          <w:rFonts w:hint="default" w:ascii="仿宋_GB2312" w:hAnsi="仿宋_GB2312" w:eastAsia="仿宋_GB2312" w:cs="仿宋_GB2312"/>
          <w:color w:val="auto"/>
          <w:sz w:val="32"/>
          <w:szCs w:val="32"/>
          <w:highlight w:val="none"/>
          <w:lang w:eastAsia="zh-CN"/>
        </w:rPr>
        <w:t>通过对数据安全、机房弱电间安全、设备升级改造三个方面的提升改造，进一步</w:t>
      </w:r>
      <w:r>
        <w:rPr>
          <w:rFonts w:hint="eastAsia" w:ascii="仿宋_GB2312" w:hAnsi="仿宋_GB2312" w:eastAsia="仿宋_GB2312" w:cs="仿宋_GB2312"/>
          <w:color w:val="auto"/>
          <w:sz w:val="32"/>
          <w:szCs w:val="32"/>
          <w:highlight w:val="none"/>
          <w:lang w:eastAsia="zh-CN"/>
        </w:rPr>
        <w:t>夯实“数字浙警”建设的发展基础，</w:t>
      </w:r>
      <w:r>
        <w:rPr>
          <w:rFonts w:ascii="仿宋_GB2312" w:hAnsi="仿宋_GB2312" w:eastAsia="仿宋_GB2312" w:cs="仿宋_GB2312"/>
          <w:color w:val="auto"/>
          <w:sz w:val="32"/>
          <w:szCs w:val="32"/>
          <w:highlight w:val="none"/>
        </w:rPr>
        <w:t>为数字化改革提供良好的支撑环境。</w:t>
      </w:r>
    </w:p>
    <w:bookmarkEnd w:id="44"/>
    <w:bookmarkEnd w:id="45"/>
    <w:p>
      <w:pPr>
        <w:pStyle w:val="4"/>
        <w:pageBreakBefore w:val="0"/>
        <w:widowControl w:val="0"/>
        <w:numPr>
          <w:ilvl w:val="0"/>
          <w:numId w:val="0"/>
        </w:numPr>
        <w:kinsoku/>
        <w:wordWrap/>
        <w:overflowPunct/>
        <w:topLinePunct w:val="0"/>
        <w:autoSpaceDE/>
        <w:autoSpaceDN/>
        <w:bidi w:val="0"/>
        <w:adjustRightInd/>
        <w:snapToGrid/>
        <w:spacing w:before="0" w:after="0" w:line="579" w:lineRule="exact"/>
        <w:ind w:firstLine="640" w:firstLineChars="200"/>
        <w:textAlignment w:val="auto"/>
        <w:rPr>
          <w:rFonts w:hint="eastAsia" w:ascii="黑体" w:hAnsi="黑体" w:eastAsia="黑体" w:cs="黑体"/>
          <w:b w:val="0"/>
          <w:bCs w:val="0"/>
          <w:sz w:val="32"/>
          <w:szCs w:val="32"/>
        </w:rPr>
      </w:pPr>
      <w:bookmarkStart w:id="46" w:name="_Toc14792830"/>
      <w:bookmarkStart w:id="47" w:name="_Toc6310_WPSOffice_Level1"/>
      <w:bookmarkStart w:id="48" w:name="_Toc24059"/>
      <w:r>
        <w:rPr>
          <w:rFonts w:hint="eastAsia" w:ascii="黑体" w:hAnsi="黑体" w:eastAsia="黑体" w:cs="黑体"/>
          <w:b w:val="0"/>
          <w:bCs w:val="0"/>
          <w:sz w:val="32"/>
          <w:szCs w:val="32"/>
        </w:rPr>
        <w:t>二、</w:t>
      </w:r>
      <w:bookmarkEnd w:id="46"/>
      <w:bookmarkEnd w:id="47"/>
      <w:bookmarkEnd w:id="48"/>
      <w:r>
        <w:rPr>
          <w:rFonts w:hint="eastAsia" w:ascii="黑体" w:hAnsi="黑体" w:eastAsia="黑体" w:cs="黑体"/>
          <w:b w:val="0"/>
          <w:bCs w:val="0"/>
          <w:sz w:val="32"/>
          <w:szCs w:val="32"/>
        </w:rPr>
        <w:t>需求描述</w:t>
      </w:r>
    </w:p>
    <w:p>
      <w:pPr>
        <w:pStyle w:val="6"/>
        <w:pageBreakBefore w:val="0"/>
        <w:widowControl w:val="0"/>
        <w:numPr>
          <w:ilvl w:val="2"/>
          <w:numId w:val="0"/>
        </w:numPr>
        <w:tabs>
          <w:tab w:val="left" w:pos="851"/>
        </w:tabs>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sz w:val="32"/>
          <w:szCs w:val="32"/>
        </w:rPr>
      </w:pPr>
      <w:bookmarkStart w:id="49" w:name="_Toc14792831"/>
      <w:bookmarkStart w:id="50" w:name="_Toc493858952"/>
      <w:r>
        <w:rPr>
          <w:rFonts w:hint="eastAsia" w:ascii="楷体_GB2312" w:hAnsi="楷体_GB2312" w:eastAsia="楷体_GB2312" w:cs="楷体_GB2312"/>
          <w:b w:val="0"/>
          <w:bCs/>
          <w:sz w:val="32"/>
          <w:szCs w:val="32"/>
        </w:rPr>
        <w:t>（一）项目总体介绍</w:t>
      </w:r>
      <w:bookmarkEnd w:id="49"/>
      <w:bookmarkEnd w:id="50"/>
    </w:p>
    <w:p>
      <w:pPr>
        <w:pStyle w:val="983"/>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主要包括以下几个方面：数据安全建设（服务器、安全管理平台、主机安全防护、网络智能安全服务链等），物理安全建设（UPS、精密空调、机房动环等），基础改造（数据中心高性能交换机、网络运维管理模块、存储主机）等。</w:t>
      </w:r>
    </w:p>
    <w:p>
      <w:pPr>
        <w:pStyle w:val="6"/>
        <w:pageBreakBefore w:val="0"/>
        <w:widowControl w:val="0"/>
        <w:numPr>
          <w:ilvl w:val="2"/>
          <w:numId w:val="0"/>
        </w:numPr>
        <w:tabs>
          <w:tab w:val="left" w:pos="851"/>
        </w:tabs>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sz w:val="32"/>
          <w:szCs w:val="32"/>
        </w:rPr>
      </w:pPr>
      <w:bookmarkStart w:id="51" w:name="_Toc14792832"/>
      <w:r>
        <w:rPr>
          <w:rFonts w:hint="eastAsia" w:ascii="楷体_GB2312" w:hAnsi="楷体_GB2312" w:eastAsia="楷体_GB2312" w:cs="楷体_GB2312"/>
          <w:b w:val="0"/>
          <w:bCs/>
          <w:sz w:val="32"/>
          <w:szCs w:val="32"/>
        </w:rPr>
        <w:t>（二）采购清单</w:t>
      </w:r>
      <w:bookmarkEnd w:id="51"/>
    </w:p>
    <w:tbl>
      <w:tblPr>
        <w:tblStyle w:val="5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4646"/>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4646"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名称</w:t>
            </w:r>
          </w:p>
        </w:tc>
        <w:tc>
          <w:tcPr>
            <w:tcW w:w="1559"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数量</w:t>
            </w:r>
          </w:p>
        </w:tc>
        <w:tc>
          <w:tcPr>
            <w:tcW w:w="1418"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一、数据安全一体机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硬件设备1</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硬件设备2</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硬件设备3</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安全管理平台</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主机安全防护</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二、网络安全智能服务链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SDN控制器矩阵</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网络智能安全服务链控制系统</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SDN服务链10G流量授权</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UPS主机</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铅酸蓄电池</w:t>
            </w:r>
          </w:p>
        </w:tc>
        <w:tc>
          <w:tcPr>
            <w:tcW w:w="1559"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64</w:t>
            </w:r>
          </w:p>
        </w:tc>
        <w:tc>
          <w:tcPr>
            <w:tcW w:w="1418" w:type="dxa"/>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四、精密空调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精密空调</w:t>
            </w:r>
            <w:r>
              <w:rPr>
                <w:rFonts w:hint="eastAsia" w:ascii="仿宋_GB2312" w:hAnsi="仿宋_GB2312" w:eastAsia="仿宋_GB2312" w:cs="仿宋_GB2312"/>
                <w:color w:val="FF0000"/>
                <w:kern w:val="0"/>
                <w:sz w:val="24"/>
                <w:szCs w:val="24"/>
                <w:lang w:eastAsia="zh-CN"/>
              </w:rPr>
              <w:t>（</w:t>
            </w:r>
            <w:r>
              <w:rPr>
                <w:rFonts w:hint="eastAsia" w:ascii="仿宋_GB2312" w:hAnsi="仿宋_GB2312" w:eastAsia="仿宋_GB2312" w:cs="仿宋_GB2312"/>
                <w:color w:val="FF0000"/>
                <w:kern w:val="0"/>
                <w:sz w:val="24"/>
                <w:szCs w:val="24"/>
                <w:lang w:val="en-US" w:eastAsia="zh-CN"/>
              </w:rPr>
              <w:t>强制节能产品</w:t>
            </w:r>
            <w:r>
              <w:rPr>
                <w:rFonts w:hint="eastAsia" w:ascii="仿宋_GB2312" w:hAnsi="仿宋_GB2312" w:eastAsia="仿宋_GB2312" w:cs="仿宋_GB2312"/>
                <w:color w:val="FF0000"/>
                <w:kern w:val="0"/>
                <w:sz w:val="24"/>
                <w:szCs w:val="24"/>
                <w:lang w:eastAsia="zh-CN"/>
              </w:rPr>
              <w:t>）</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五、机房动环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三相单回路智能电表</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闭合式电流互感器</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温湿度传感器</w:t>
            </w:r>
          </w:p>
        </w:tc>
        <w:tc>
          <w:tcPr>
            <w:tcW w:w="1559" w:type="dxa"/>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125</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漏水检测</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门禁设备</w:t>
            </w:r>
          </w:p>
        </w:tc>
        <w:tc>
          <w:tcPr>
            <w:tcW w:w="1559" w:type="dxa"/>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71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磁力锁</w:t>
            </w:r>
          </w:p>
        </w:tc>
        <w:tc>
          <w:tcPr>
            <w:tcW w:w="1559" w:type="dxa"/>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71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门磁感应</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烟雾探测器</w:t>
            </w:r>
          </w:p>
        </w:tc>
        <w:tc>
          <w:tcPr>
            <w:tcW w:w="1559" w:type="dxa"/>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16</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可视化烟雾探测器</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动环主机</w:t>
            </w:r>
          </w:p>
        </w:tc>
        <w:tc>
          <w:tcPr>
            <w:tcW w:w="1559" w:type="dxa"/>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45</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数据采集网关</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用户信息传输装置系列（消防）</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用户信息传输装置配件（消防）</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视频监控路数扩容</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门禁管理路数扩容</w:t>
            </w:r>
          </w:p>
        </w:tc>
        <w:tc>
          <w:tcPr>
            <w:tcW w:w="1559" w:type="dxa"/>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71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动环监控应用组件</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消防应用组件</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六、交换机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核心交换机</w:t>
            </w:r>
            <w:r>
              <w:rPr>
                <w:rFonts w:hint="eastAsia" w:ascii="仿宋_GB2312" w:hAnsi="仿宋_GB2312" w:eastAsia="仿宋_GB2312" w:cs="仿宋_GB2312"/>
                <w:color w:val="FF0000"/>
                <w:kern w:val="0"/>
                <w:sz w:val="24"/>
                <w:szCs w:val="24"/>
                <w:lang w:eastAsia="zh-CN"/>
              </w:rPr>
              <w:t>（</w:t>
            </w:r>
            <w:r>
              <w:rPr>
                <w:rFonts w:hint="eastAsia" w:ascii="仿宋_GB2312" w:hAnsi="仿宋_GB2312" w:eastAsia="仿宋_GB2312" w:cs="仿宋_GB2312"/>
                <w:color w:val="FF0000"/>
                <w:kern w:val="0"/>
                <w:sz w:val="24"/>
                <w:szCs w:val="24"/>
                <w:lang w:val="en-US" w:eastAsia="zh-CN"/>
              </w:rPr>
              <w:t>核心产品</w:t>
            </w:r>
            <w:r>
              <w:rPr>
                <w:rFonts w:hint="eastAsia" w:ascii="仿宋_GB2312" w:hAnsi="仿宋_GB2312" w:eastAsia="仿宋_GB2312" w:cs="仿宋_GB2312"/>
                <w:color w:val="FF0000"/>
                <w:kern w:val="0"/>
                <w:sz w:val="24"/>
                <w:szCs w:val="24"/>
                <w:lang w:eastAsia="zh-CN"/>
              </w:rPr>
              <w:t>）</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千兆接入交换机</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万兆接入交换机</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综合接入交换机</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专线接入交换机</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带外管理核心交换机</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4646"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console服务器</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七、网络运维平台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网络运维管理组件</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八、存储主机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存储主机</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64" w:type="dxa"/>
            <w:gridSpan w:val="4"/>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九、系统集成实施服务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dxa"/>
            <w:vAlign w:val="bottom"/>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4646" w:type="dxa"/>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系统集成实施服务</w:t>
            </w:r>
          </w:p>
        </w:tc>
        <w:tc>
          <w:tcPr>
            <w:tcW w:w="1559"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套</w:t>
            </w:r>
          </w:p>
        </w:tc>
      </w:tr>
    </w:tbl>
    <w:p/>
    <w:p>
      <w:pPr>
        <w:pStyle w:val="6"/>
        <w:pageBreakBefore w:val="0"/>
        <w:widowControl w:val="0"/>
        <w:numPr>
          <w:ilvl w:val="2"/>
          <w:numId w:val="0"/>
        </w:numPr>
        <w:tabs>
          <w:tab w:val="left" w:pos="851"/>
        </w:tabs>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（三）产品详细技术要求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1. 数据安全一体机技术指标  </w:t>
      </w:r>
    </w:p>
    <w:tbl>
      <w:tblPr>
        <w:tblStyle w:val="59"/>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057" w:type="dxa"/>
            <w:gridSpan w:val="2"/>
            <w:vAlign w:val="center"/>
          </w:tcPr>
          <w:p>
            <w:pPr>
              <w:widowControl/>
              <w:jc w:val="center"/>
              <w:rPr>
                <w:rFonts w:hint="default" w:ascii="宋体" w:hAnsi="宋体" w:eastAsia="宋体" w:cs="楷体_GB2312"/>
                <w:b/>
                <w:bCs/>
                <w:kern w:val="0"/>
                <w:sz w:val="24"/>
                <w:szCs w:val="24"/>
                <w:lang w:val="en-US" w:eastAsia="zh-CN"/>
              </w:rPr>
            </w:pPr>
            <w:r>
              <w:rPr>
                <w:rFonts w:hint="eastAsia" w:ascii="仿宋_GB2312" w:hAnsi="仿宋_GB2312" w:eastAsia="仿宋_GB2312" w:cs="仿宋_GB2312"/>
                <w:b/>
                <w:bCs/>
                <w:kern w:val="0"/>
                <w:sz w:val="24"/>
                <w:szCs w:val="24"/>
                <w:lang w:val="en-US" w:eastAsia="zh-CN" w:bidi="ar-SA"/>
              </w:rPr>
              <w:t>硬件设备1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47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579"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服务器外观</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cpu规格</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[Intel_Xeon_Silver4314]*2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cpu核数</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cpu主频</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2.40GHz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内存(GB)</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内置硬盘</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480G[480G_sata_ssd]*1</w:t>
            </w:r>
          </w:p>
          <w:p>
            <w:pPr>
              <w:autoSpaceDN w:val="0"/>
              <w:spacing w:line="276" w:lineRule="auto"/>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3840G[3840G_nvme_ssd]*1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网口数量</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电源</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top"/>
          </w:tcPr>
          <w:p>
            <w:pPr>
              <w:autoSpaceDN w:val="0"/>
              <w:spacing w:line="276" w:lineRule="auto"/>
              <w:jc w:val="center"/>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安全性</w:t>
            </w:r>
          </w:p>
        </w:tc>
        <w:tc>
          <w:tcPr>
            <w:tcW w:w="7579" w:type="dxa"/>
            <w:vAlign w:val="top"/>
          </w:tcPr>
          <w:p>
            <w:pPr>
              <w:autoSpaceDN w:val="0"/>
              <w:spacing w:line="276" w:lineRule="auto"/>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color w:val="FF0000"/>
                <w:kern w:val="0"/>
                <w:sz w:val="24"/>
                <w:szCs w:val="24"/>
              </w:rPr>
              <w:t>支持嵌入式管理模块支持防火墙功能，可基于MAC地址，IP定义访问规则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top"/>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质保要求</w:t>
            </w:r>
          </w:p>
        </w:tc>
        <w:tc>
          <w:tcPr>
            <w:tcW w:w="7579" w:type="dxa"/>
            <w:vAlign w:val="top"/>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3年7*24*小时工程师带备件上门服务，8小时内恢复服务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7" w:type="dxa"/>
            <w:gridSpan w:val="2"/>
            <w:vAlign w:val="top"/>
          </w:tcPr>
          <w:p>
            <w:pPr>
              <w:autoSpaceDN w:val="0"/>
              <w:spacing w:line="276" w:lineRule="auto"/>
              <w:jc w:val="center"/>
              <w:textAlignment w:val="top"/>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硬件设备</w:t>
            </w:r>
            <w:r>
              <w:rPr>
                <w:rFonts w:hint="eastAsia" w:ascii="仿宋_GB2312" w:hAnsi="仿宋_GB2312" w:eastAsia="仿宋_GB2312" w:cs="仿宋_GB2312"/>
                <w:b/>
                <w:bCs/>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579"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服务器外观</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cpu规格</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[Intel_Xeon_Gold5218]*2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cpu核数</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cpu主频</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gpu规格</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NVIDIA_Tesla_T4*8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内存(GB)</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内置硬盘</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240G[480G_sata_ssd]*1</w:t>
            </w:r>
          </w:p>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1920G[1920G_nvme_ssd]*1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网口数量</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top"/>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安全性</w:t>
            </w: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支持嵌入式管理模块支持防火墙功能，可基于MAC地址，IP定义访问规则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top"/>
          </w:tcPr>
          <w:p>
            <w:pPr>
              <w:autoSpaceDN w:val="0"/>
              <w:spacing w:line="276" w:lineRule="auto"/>
              <w:jc w:val="center"/>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kern w:val="0"/>
                <w:sz w:val="24"/>
                <w:szCs w:val="24"/>
              </w:rPr>
              <w:t>质保要求</w:t>
            </w:r>
          </w:p>
        </w:tc>
        <w:tc>
          <w:tcPr>
            <w:tcW w:w="7579" w:type="dxa"/>
            <w:vAlign w:val="top"/>
          </w:tcPr>
          <w:p>
            <w:pPr>
              <w:autoSpaceDN w:val="0"/>
              <w:spacing w:line="276" w:lineRule="auto"/>
              <w:textAlignment w:val="top"/>
              <w:rPr>
                <w:rFonts w:hint="eastAsia" w:ascii="仿宋_GB2312" w:hAnsi="仿宋_GB2312" w:eastAsia="仿宋_GB2312" w:cs="仿宋_GB2312"/>
                <w:sz w:val="24"/>
                <w:szCs w:val="24"/>
                <w:highlight w:val="lightGray"/>
              </w:rPr>
            </w:pPr>
            <w:r>
              <w:rPr>
                <w:rFonts w:hint="eastAsia" w:ascii="仿宋_GB2312" w:hAnsi="仿宋_GB2312" w:eastAsia="仿宋_GB2312" w:cs="仿宋_GB2312"/>
                <w:sz w:val="24"/>
                <w:szCs w:val="24"/>
              </w:rPr>
              <w:t>3年7*24*小时工程师带备件上门服务，8小时内恢复服务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7" w:type="dxa"/>
            <w:gridSpan w:val="2"/>
            <w:vAlign w:val="top"/>
          </w:tcPr>
          <w:p>
            <w:pPr>
              <w:autoSpaceDN w:val="0"/>
              <w:spacing w:line="276" w:lineRule="auto"/>
              <w:jc w:val="center"/>
              <w:textAlignment w:val="top"/>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kern w:val="0"/>
                <w:sz w:val="24"/>
                <w:szCs w:val="24"/>
                <w:lang w:eastAsia="zh-CN"/>
              </w:rPr>
              <w:t>硬件设备</w:t>
            </w:r>
            <w:r>
              <w:rPr>
                <w:rFonts w:hint="eastAsia" w:ascii="仿宋_GB2312" w:hAnsi="仿宋_GB2312" w:eastAsia="仿宋_GB2312" w:cs="仿宋_GB2312"/>
                <w:b/>
                <w:bCs/>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579"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服务器外观</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机架式，2路服务器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cpu规格</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[Intel_Xeon_Platinum8260]*2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cpu核数</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cpu主频</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内存(GB)</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内置硬盘</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240G[240G_sata_ssd]*1</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1920G[1920G_nvme_ssd]*10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网口数量</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电源</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220VAC/240HVDC交直流兼容电源，支持电源冗余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top"/>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安全性</w:t>
            </w:r>
          </w:p>
        </w:tc>
        <w:tc>
          <w:tcPr>
            <w:tcW w:w="7579" w:type="dxa"/>
            <w:vAlign w:val="top"/>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color w:val="FF0000"/>
                <w:kern w:val="0"/>
                <w:sz w:val="24"/>
                <w:szCs w:val="24"/>
              </w:rPr>
              <w:t>支持嵌入式管理模块支持防火墙功能，可基于MAC地址，IP定义访问规则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top"/>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质保要求</w:t>
            </w:r>
          </w:p>
        </w:tc>
        <w:tc>
          <w:tcPr>
            <w:tcW w:w="7579" w:type="dxa"/>
            <w:vAlign w:val="top"/>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3年7*24*小时工程师带备件上门服务，8小时内恢复服务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7" w:type="dxa"/>
            <w:gridSpan w:val="2"/>
            <w:vAlign w:val="top"/>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b/>
                <w:bCs/>
                <w:color w:val="000000"/>
                <w:kern w:val="0"/>
                <w:sz w:val="24"/>
                <w:szCs w:val="24"/>
              </w:rPr>
              <w:t>安全管理平台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功能指标</w:t>
            </w:r>
          </w:p>
        </w:tc>
        <w:tc>
          <w:tcPr>
            <w:tcW w:w="7579"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响应编排</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内置丰富的日常安全告警处置和联动封禁等自动化安全运营剧本</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支持联合作战室和机器人助手，针对告警和恶意行为进行调查和阻断</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支持通过流式告警、定期任务、人工执行剧本生成案件，支持查看案件内关联的数据信息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内置安全组件实体，可进行各种安全资源的调度，下发动作执行动作指令</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支持安全处置经验知识库</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支持通过拖拽和配置方式，自定义业务场景的剧本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态势监控</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支持云环境全局新发现网络攻击、异常行为、安全脆弱性、防护组织、TOP5遭受攻击组织、TOP5待处理异常行为、TOP5待处理脆弱性等数据统计呈现</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支持云主机保护在线率、新增云资产分布、防护资产类型分布等数据统计</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支持网络攻击类型分布及最新网络攻击事件、异常行为类型分布及最新异常行为、安全变化趋势等数据的统计呈现</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 xml:space="preserve">报表管理 </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支持以列表的形式进行报表生成任务管理</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支持生成指定租户的数据报表日报、周报和月报，并发送到指定邮箱</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支持生成数据报表任务的查看和数据报表在线下载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日志管理</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新建日志解析模板，以完成第三方接入日志自动化解析，支持Json、JsonArray、JsonCut、JsonArrayCut、grok、keyValue等日志拆分解析方式，同时支持解析日志的时间戳格式化、添加字段、删除字段、脚本格式化等格式化处理</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基于审计日志的任意字段及内容进行统计计数、最大值、最小值、平均数、总和等统计，并以柱状图、折线图、饼图、单值图、表格的形式进行呈现</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基于日志查询结果可自定义统计计算窗口，并在日志概览中进行呈现</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审计日志支持一键导出到Excel</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支持主机安全、NDR、Web应用防火墙、防火墙、堡垒机等安全网元内置日志解析模板，同时支持第三方安全网元内置日志解析模板</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支持关键字和Json DSL两种日志查询方式</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支持基于时间范围、所属组织、数据源、日志字段、日志内容等条件进行全局标准化日志的检索查询</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支持安全网元日志源的内置接入，同时支持第三方产品日志源通过Syslog方式的手动配置接入</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支持指定日志源外发标准化日志到其他第三方服务器</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支持查看平台侧审计时间范围内，指定日志源的审计日志查询</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支持脚本或手动选择进行标准化日志字段关系映射</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支持通过关键字与/或/非/大于/小于/等于等逻辑表达式进行日志检索查询，支持关键字模糊匹配查询，并支持保存为快速日志查询条件</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日志查询结果支持结构化数据列表和Syslog格式数据列表的呈现方式，所有日志字段支持灵活自定义和字段累加统计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规则管理</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支持以列表的形式进行关联检测规则管理，支持威胁级别、威胁类型、威胁名称等多维度条件进行规则筛选查询</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支持内置关联分析规则，包括威胁名称、威胁级别、威胁类型、攻击阶段、ATT &amp; CK ID、威胁描述和处置建议等属性信息，并支持规则自定义</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支持手动添加IP封禁策略到NDR，并支持IPv4和IPv6协议，支持源/目的IP、目的端口、封禁时长、封禁类型等策略属性配置</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自定义关联条件支持以顺序发生和同周期内发生两种关联时序，可基于日志范围、源/目的IP、日志字段、周期内日志数量等属性条件进行关联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资产管理</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云主机资产以列表形式集中呈现，包括IP公/私网地址、所属组织/单位、所属VPC、运行状态、操作系统、是否为新增、可疑安全组、安全告警、脆弱性风险、网络攻击、Agent状态、快照、内存、磁盘等信息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支持单资产详细网络攻击、异常行为、脆弱性风险的信息查看</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云存储资产以列表方式集中呈现，包括云存储实例名称、组织、磁盘占用、是否为新增、访问权限、referer配置等信息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云弹性外网IP资产以列表方式集中呈现，包括 ID/名称、运行状态、是否为新增、带宽，支持单资产详细网络攻击、异常行为、脆弱性风险的信息查看</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云数据库资产以列表方式集中呈现，包括各云数据库的实例ID、组织、类型、备份情况、白名单IP状态（严格/宽松）、白名单组、网络类型、SSL加密、TDE加密等信息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云负载均衡资产以列表方式集中呈现，包括ID/名称、IP地址、组织、是否为新增、运行状态、监听端口等信息，支持单资产详细网络攻击、异常行为、脆弱性风险的信息查看</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支持云平台资产信息的采集，并以列表的形式进行呈现，包括服务器名称/ip、操作系统、异常行为、在线状态等信息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支持租户侧云主机或虚拟化资产的信息采集，包括云主机、云数据库、云存储、负载均衡、弹性外网IP和Tunnel等资产实例信息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支持基于服务器名称或Ip地址进行资产筛选查询，支持一键导出资产信息列表</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支持多维度条件的资产筛选查询，支持一键导出资产详细信息列表</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支持资产IP、用户UID、主机地域、内网IP、在线状态、主机UUID、主机别名等基础信息查看</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支持资产异常行为详细信息查看，包括异常等级、异常名称、异常类型等信息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支持资产类型分布、近一日新增资产、公网开放资产类型等信息统计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运营中心</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支持安全告警总数、处置闭环率、处置动作占比、告警风险级别、告警数据源、告警类型分布、TOP10攻击源IP、TOP10被攻击IP等告警数据统计</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支持发生时间、攻击IP、被攻击IP、告警类型等多维度条件进行安全告警聚合，并以聚合列表的形式呈现，支持查看安全告警详细证据信息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支持时间范围、告警数据源、告警类型、告警级别、处置状态、自定义标签等多维度条件的安全告警筛选查询，并保存为安全告警快速筛选条件</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支持通过主机安全、网络安全的API接口进行安全告警的响应处置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运营管理</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支持云平台数据库、主机、网络设备用户操作事件采集、审计、查询，包括资源管理事件、数据库攻击、错误事件、更改事件、访问事件、资源管理事件、权限事件和账号事件</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支持审计，可查看指定时间7天以内的日志概览统计，包括原始日志趋势、审计事件趋势、审计风险分布、危险事件分布、存储用量、审计类型等</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审计日志支持按指定时间搜索和趋势呈现，支持基于关键参数值进行筛选查询</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支持以txt格式批量导入IP地址及地理位置对应关系</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支持审计日志自动化归档、导出下载管理</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支持审计规则配置、查询、管理，规则配置支持审计类型、审计对象、操作类型、操作风险级别等属性，并按照发起者、目标、命令、结果、原因的关键字等于、包含、正则匹配审计日志</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支持指定审计类型、审计对象、风险等级的审计日志告警配置，并向指定邮箱发送告警通知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风险分析</w:t>
            </w:r>
          </w:p>
        </w:tc>
        <w:tc>
          <w:tcPr>
            <w:tcW w:w="7579" w:type="dxa"/>
            <w:vAlign w:val="center"/>
          </w:tcPr>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支持云环境全局威胁事件集中呈现，包括威胁名称、威胁类型、ATT &amp; CK ID、威胁描述、处置建议、网络协议、源/目的IP及端口、匹配已知威胁情报、域名、文件名、进程信息等关键信息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支持威胁事件一键转换为响应事件，将威胁事件相关信息导入到响应编排中心</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支持威胁事件风险判定的证据信息，并按照KillChain各阶段进行映射关联</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支持恶意指标画像，包括威胁等级、基本信息、IP标签、攻击目标、攻击次数、攻击影响程度、WHOIS、情报源等信息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支持TOP10活跃恶意IP呈现，包括IP、活跃时间、恶意标签等信息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支持云平台和租户侧资产的违规安全配置基线集中呈现，包括基线名称、风险分类、风险等级、受影响资产、资产归属组织、基线详细描述等信息</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支持时间范围、攻击源/目的IP、威胁事件级别、威胁类型、攻击阶段、自定义标签等多维度条件的筛选查询</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支持本地化威胁情报服务，具有百万级恶意IP、域名、URL情报库，可覆盖暗网、恶意登陆、恶意下载、矿池等类型</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支持租户侧租户、流量方向、租户各IP及相应流量大小的统计信息呈现</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支持租户侧资产安全漏洞信息集中呈现，包括由漏洞名称、漏洞类型、漏洞等级、CVEID、受影响资产、资产归属租户、修复建议、处理状态、解决方案等信息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7" w:type="dxa"/>
            <w:gridSpan w:val="2"/>
            <w:vAlign w:val="top"/>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b/>
                <w:bCs/>
                <w:color w:val="000000"/>
                <w:kern w:val="0"/>
                <w:sz w:val="24"/>
                <w:szCs w:val="24"/>
              </w:rPr>
              <w:t>主机安全防护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579"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478" w:type="dxa"/>
            <w:vMerge w:val="restart"/>
            <w:vAlign w:val="center"/>
          </w:tcPr>
          <w:p>
            <w:pPr>
              <w:autoSpaceDN w:val="0"/>
              <w:spacing w:line="276" w:lineRule="auto"/>
              <w:jc w:val="center"/>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color w:val="000000"/>
                <w:kern w:val="0"/>
                <w:sz w:val="24"/>
                <w:szCs w:val="24"/>
              </w:rPr>
              <w:t>主机设置</w:t>
            </w:r>
          </w:p>
        </w:tc>
        <w:tc>
          <w:tcPr>
            <w:tcW w:w="7579" w:type="dxa"/>
            <w:vAlign w:val="top"/>
          </w:tcPr>
          <w:p>
            <w:pPr>
              <w:autoSpaceDN w:val="0"/>
              <w:spacing w:line="276" w:lineRule="auto"/>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sz w:val="24"/>
                <w:szCs w:val="24"/>
              </w:rPr>
              <w:t>支持客户端使用最低的内存和CPU运行防护工作，cpu占用峰值小于10%、内存占用峰值小于50MB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sz w:val="24"/>
                <w:szCs w:val="24"/>
              </w:rPr>
              <w:t>支持客户端使用相对高的系统内存和CPU进行防护工作，cpu占用峰值小于20%、内存占用峰值小于80MB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sz w:val="24"/>
                <w:szCs w:val="24"/>
              </w:rPr>
              <w:t>支持Windows server 2003-2019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sz w:val="24"/>
                <w:szCs w:val="24"/>
              </w:rPr>
              <w:t>支持云内命令行部署，云外命令行/镜像部署，云外客户端可关联供应商、Region、AZ等环境信息。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8" w:type="dxa"/>
            <w:vMerge w:val="restart"/>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入侵防御</w:t>
            </w: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支持网站后门防护功能，支持自动拦截黑客通过已知网站后门进行的异常连接行为，并隔离相关文件，有效清理隔离php、asp、jsp等类型的webshell后门。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支持对常用登录地、登录IP、登录时间、登录账号、web目录进行自定义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支持拦截勒索软件、挖矿程序、木马程序、蠕虫病毒、恶意程序、后门程序、DDoS木马 、自变异木马、感染型病毒、黑客工具、漏洞利用程序、被污染的基础软件、Rootkit等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支持查杀的病毒类型：勒索病毒、挖矿程序、DDoS木马、木马程序、后门程序、恶意程序、高危程序、蠕虫病毒、可疑程序、自变异木马等。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支持检测开源武器化框架自动生成利用脚本(Cobalt Strike、Empire、Metasploit、Nishang)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支持检测批量蠕虫挖矿脚本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支持检测脚本语言bash、python、perl、powershell、vbs、bat、jscript、CSharp、c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支持的告警类型：进程异常行为、异常登录、异常事件、敏感文件篡改、异常网络连接、异常账号、应用入侵事件、持久化后门、应用威胁检测、网站后门、恶意进程（云查杀）、 恶意脚本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支持的情报类型：恶意域名、恶意IP、暗网通信IP、中控通信IP、矿池通信IP、恶意URL、恶意下载源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支持进程行为拦截、进程链防御、进程二进制检测、执行脚本检测等能力，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安全总览</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支持展示重点关注的资产，漏洞，异常，配置缺陷，事件等信息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Merge w:val="restart"/>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安全预防</w:t>
            </w:r>
          </w:p>
        </w:tc>
        <w:tc>
          <w:tcPr>
            <w:tcW w:w="7579" w:type="dxa"/>
            <w:vAlign w:val="top"/>
          </w:tcPr>
          <w:p>
            <w:pPr>
              <w:autoSpaceDN w:val="0"/>
              <w:spacing w:line="276" w:lineRule="auto"/>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支持主机维度进行资产暴露盘点，可提供资产、暴露方式、暴露组件、暴露端口、可被利用的漏洞、暴露链路拓扑图及暴露风险详情等信息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top"/>
          </w:tcPr>
          <w:p>
            <w:pPr>
              <w:autoSpaceDN w:val="0"/>
              <w:spacing w:line="276" w:lineRule="auto"/>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支持应用维度进行资产暴露盘点，可提供暴露中间件名称、类型、版本、关联漏洞、影响资产、最新扫描时间等信息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日志检索</w:t>
            </w:r>
          </w:p>
        </w:tc>
        <w:tc>
          <w:tcPr>
            <w:tcW w:w="7579"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支持登录流水、暴力破解、进程快照、网络连接、端口监听快照、账号快照、进程启动的日志查询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Merge w:val="restart"/>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资产中心</w:t>
            </w:r>
          </w:p>
        </w:tc>
        <w:tc>
          <w:tcPr>
            <w:tcW w:w="7579" w:type="dxa"/>
            <w:vAlign w:val="center"/>
          </w:tcPr>
          <w:p>
            <w:pPr>
              <w:autoSpaceDN w:val="0"/>
              <w:spacing w:line="276" w:lineRule="auto"/>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支持中间件数据类型，包括中间件名称、类型、版本、PID、安装路径、最新扫描时间、版本验证信息、父进程PID、运行用户进程监听IP、进程监听端口、监听状态、监听端口协议、进程启动时间、进程命令行、容器名称、镜像名称、配置文件路径、Web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Merge w:val="continue"/>
            <w:vAlign w:val="center"/>
          </w:tcPr>
          <w:p>
            <w:pPr>
              <w:autoSpaceDN w:val="0"/>
              <w:spacing w:line="276" w:lineRule="auto"/>
              <w:jc w:val="center"/>
              <w:textAlignment w:val="top"/>
              <w:rPr>
                <w:rFonts w:hint="eastAsia" w:ascii="仿宋_GB2312" w:hAnsi="仿宋_GB2312" w:eastAsia="仿宋_GB2312" w:cs="仿宋_GB2312"/>
                <w:color w:val="000000"/>
                <w:kern w:val="0"/>
                <w:sz w:val="24"/>
                <w:szCs w:val="24"/>
              </w:rPr>
            </w:pPr>
          </w:p>
        </w:tc>
        <w:tc>
          <w:tcPr>
            <w:tcW w:w="7579" w:type="dxa"/>
            <w:vAlign w:val="center"/>
          </w:tcPr>
          <w:p>
            <w:pPr>
              <w:autoSpaceDN w:val="0"/>
              <w:spacing w:line="276" w:lineRule="auto"/>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支持启动项数据类型，包括启动项名称、命令行、任务路径/MD5、最新采集时间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Align w:val="top"/>
          </w:tcPr>
          <w:p>
            <w:pPr>
              <w:autoSpaceDN w:val="0"/>
              <w:spacing w:line="276" w:lineRule="auto"/>
              <w:jc w:val="center"/>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服务</w:t>
            </w:r>
          </w:p>
        </w:tc>
        <w:tc>
          <w:tcPr>
            <w:tcW w:w="7579" w:type="dxa"/>
            <w:vAlign w:val="top"/>
          </w:tcPr>
          <w:p>
            <w:pPr>
              <w:autoSpaceDN w:val="0"/>
              <w:spacing w:line="276" w:lineRule="auto"/>
              <w:textAlignment w:val="top"/>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提供3年授权，授权期间提供免费质保和免费升级服务。</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 网络安全智能服务链</w:t>
      </w:r>
    </w:p>
    <w:tbl>
      <w:tblPr>
        <w:tblStyle w:val="59"/>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7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SDN控制器矩阵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接口设计</w:t>
            </w: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1/10 GbE SFP+ 端口24个， 40 GbE QSFP+ 端口2个，交换容量640Gbps，配置冗余交流电源。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功能要求</w:t>
            </w:r>
          </w:p>
        </w:tc>
        <w:tc>
          <w:tcPr>
            <w:tcW w:w="7938" w:type="dxa"/>
            <w:vAlign w:val="top"/>
          </w:tcPr>
          <w:p>
            <w:pPr>
              <w:autoSpaceDN w:val="0"/>
              <w:spacing w:line="276" w:lineRule="auto"/>
              <w:textAlignment w:val="top"/>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支持Openflow v1.3及以上协议，最大支持流表数4000条</w:t>
            </w:r>
            <w:r>
              <w:rPr>
                <w:rFonts w:hint="eastAsia" w:ascii="仿宋_GB2312" w:hAnsi="仿宋_GB2312" w:eastAsia="仿宋_GB2312" w:cs="仿宋_GB2312"/>
                <w:sz w:val="24"/>
                <w:szCs w:val="24"/>
                <w:lang w:val="en-US" w:eastAsia="zh-CN"/>
              </w:rPr>
              <w:t>;</w:t>
            </w:r>
          </w:p>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 xml:space="preserve">可扩展光端口物理Bypass 组件，支持设备掉电时保持光纤链路不中断； </w:t>
            </w:r>
          </w:p>
          <w:p>
            <w:pPr>
              <w:autoSpaceDN w:val="0"/>
              <w:spacing w:line="276" w:lineRule="auto"/>
              <w:textAlignment w:val="top"/>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支持双机 HA 工作模式，支持Active-Active互备方式</w:t>
            </w:r>
            <w:r>
              <w:rPr>
                <w:rFonts w:hint="eastAsia" w:ascii="仿宋_GB2312" w:hAnsi="仿宋_GB2312" w:eastAsia="仿宋_GB2312" w:cs="仿宋_GB2312"/>
                <w:sz w:val="24"/>
                <w:szCs w:val="24"/>
                <w:lang w:val="en-US" w:eastAsia="zh-CN"/>
              </w:rPr>
              <w:t>;</w:t>
            </w:r>
          </w:p>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支持一条流表满足相关匹配项并转发到多个物理端口；</w:t>
            </w:r>
          </w:p>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支持一条流表满足相关匹配项对二至四层头信息进行增加、修改、删除等动作并转发到多个物理端口；</w:t>
            </w:r>
          </w:p>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支持Vlan Priority修改；支持IPv6流表。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5" w:type="dxa"/>
            <w:gridSpan w:val="2"/>
            <w:vAlign w:val="center"/>
          </w:tcPr>
          <w:p>
            <w:pPr>
              <w:widowControl/>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b/>
                <w:bCs/>
                <w:kern w:val="0"/>
                <w:sz w:val="24"/>
                <w:szCs w:val="24"/>
              </w:rPr>
              <w:t>网络智能安全服务链控制系统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277"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部署要求</w:t>
            </w: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控制器软件要求具备灵活的部署模式：可在虚拟机中独立虚拟化部署，也可直接集成在专用硬件控制器中。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单链路双交换矩阵模式部署，支持双交换矩阵的HA模式。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支持Openflowv1.3及以上协议。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支持同时对多台、多厂商SDN交换机的控制与管理，支持SDN交换机数量≥3，支持SDN交换机厂商数量≥3家（提供产品功能界面截图证明）。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支持基于交换矩阵、交换矩阵端口、控制器的流量、包速率信息统计；（提供产品功能界面截图证明）。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支持对交换矩阵基础信息、当前流表的展示。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277"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管理要求</w:t>
            </w: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支持多流表，单流表的下发、回收、保存。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支持基于WEB页面进行管理，支持导入和导出流表文件，实现快速配置恢复。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支持Openflow流表的二至四层字段的图形化编辑管理。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支持Openflow流表的二至四层所有字段内容的线速修改动作。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支持告警设置：基于不同数据源，不同阈值定义不同的告警，一旦触发告警将事件展示在事件中心。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支持事件等级，事件分类，事件标签将不同告警进行有效区分。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 w:hRule="atLeast"/>
        </w:trPr>
        <w:tc>
          <w:tcPr>
            <w:tcW w:w="1277"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功能要求</w:t>
            </w: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支持服务割接功能，服务节点ON/OFF开关一键上/下线；（提供产品功能界面截图证明）。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支持服务编排功能，鼠标拖拽方式编排服务节点顺序；支持非对称服务链模式。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支持服务映射功能，二到四层流量分类，引导不同流量经过不同服务节点；（提供产品功能界面截图证明）。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服务映射支持IPv6策略，可基于IPv6地址进行流量分类；（提供产品功能界面截图证明）。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单条服务链中支持的服务节点数量不少于10个；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单条服务链中可支持服务节点的HA功能，HA组内的一个服务节点出现故障，另一个服务节点可自动接管相应流量。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支持服务链间的HA功能，当一条服务链中的服务节点出现故障，另一条服务链对应的服务节点可自动接管相应流量。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支持服务链流量镜像功能，包括服务链上行端口流入、流出方向，下行端口流入、流出方向，以及上述四个方向流量的任意组合。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支持服务节点流量镜像功能，包括服务节点上行端口的流入、流出方向，下行端口的流入、流出方向，以及上述四个方向流量的任意组合；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支持接口检查功能，服务节点异常自动下线。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支持icmp检查功能，服务节点异常自动下线。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支持流量检查功能，服务节点异常自动下线。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支持服务链物理拓扑展示，提供服务链整体吞吐量、包速率可视化报表；提供服务节点吞吐量，包速率可视化报表。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Merge w:val="continue"/>
            <w:vAlign w:val="center"/>
          </w:tcPr>
          <w:p>
            <w:pPr>
              <w:jc w:val="center"/>
              <w:rPr>
                <w:rFonts w:hint="eastAsia" w:ascii="仿宋_GB2312" w:hAnsi="仿宋_GB2312" w:eastAsia="仿宋_GB2312" w:cs="仿宋_GB2312"/>
                <w:sz w:val="24"/>
                <w:szCs w:val="24"/>
              </w:rPr>
            </w:pP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可通过外置Bypass设备，实现交换矩阵的自动Bypass功能，在网络发生位置故障时，可快速自动的跳过服务链系统，物理实现故障旁路。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 w:hRule="atLeast"/>
        </w:trPr>
        <w:tc>
          <w:tcPr>
            <w:tcW w:w="127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提供原厂三年质保服务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5" w:type="dxa"/>
            <w:gridSpan w:val="2"/>
            <w:vAlign w:val="center"/>
          </w:tcPr>
          <w:p>
            <w:pPr>
              <w:autoSpaceDN w:val="0"/>
              <w:spacing w:line="276" w:lineRule="auto"/>
              <w:jc w:val="center"/>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SDN服务链10G流量授权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vAlign w:val="center"/>
          </w:tcPr>
          <w:p>
            <w:pPr>
              <w:autoSpaceDN w:val="0"/>
              <w:spacing w:line="276" w:lineRule="auto"/>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授权要求</w:t>
            </w:r>
          </w:p>
        </w:tc>
        <w:tc>
          <w:tcPr>
            <w:tcW w:w="7938" w:type="dxa"/>
            <w:vAlign w:val="center"/>
          </w:tcPr>
          <w:p>
            <w:pPr>
              <w:autoSpaceDN w:val="0"/>
              <w:spacing w:line="276" w:lineRule="auto"/>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智能安全服务链管理软件10G流量授权</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3．UPS技术指标</w:t>
      </w:r>
    </w:p>
    <w:tbl>
      <w:tblPr>
        <w:tblStyle w:val="59"/>
        <w:tblW w:w="9215" w:type="dxa"/>
        <w:tblInd w:w="-318" w:type="dxa"/>
        <w:tblLayout w:type="fixed"/>
        <w:tblCellMar>
          <w:top w:w="0" w:type="dxa"/>
          <w:left w:w="108" w:type="dxa"/>
          <w:bottom w:w="0" w:type="dxa"/>
          <w:right w:w="108" w:type="dxa"/>
        </w:tblCellMar>
      </w:tblPr>
      <w:tblGrid>
        <w:gridCol w:w="1277"/>
        <w:gridCol w:w="7938"/>
      </w:tblGrid>
      <w:tr>
        <w:tblPrEx>
          <w:tblCellMar>
            <w:top w:w="0" w:type="dxa"/>
            <w:left w:w="108" w:type="dxa"/>
            <w:bottom w:w="0" w:type="dxa"/>
            <w:right w:w="108" w:type="dxa"/>
          </w:tblCellMar>
        </w:tblPrEx>
        <w:tc>
          <w:tcPr>
            <w:tcW w:w="9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UPS主机</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CellMar>
            <w:top w:w="0" w:type="dxa"/>
            <w:left w:w="108" w:type="dxa"/>
            <w:bottom w:w="0" w:type="dxa"/>
            <w:right w:w="108" w:type="dxa"/>
          </w:tblCellMar>
        </w:tblPrEx>
        <w:trPr>
          <w:trHeight w:val="355" w:hRule="atLeast"/>
        </w:trPr>
        <w:tc>
          <w:tcPr>
            <w:tcW w:w="1277" w:type="dxa"/>
            <w:vMerge w:val="restart"/>
            <w:tcBorders>
              <w:top w:val="single" w:color="000000" w:sz="4" w:space="0"/>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产品特性</w:t>
            </w:r>
          </w:p>
        </w:tc>
        <w:tc>
          <w:tcPr>
            <w:tcW w:w="7938" w:type="dxa"/>
            <w:tcBorders>
              <w:top w:val="single" w:color="000000" w:sz="4" w:space="0"/>
              <w:left w:val="single" w:color="000000" w:sz="4" w:space="0"/>
              <w:right w:val="single" w:color="000000" w:sz="4" w:space="0"/>
            </w:tcBorders>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20KVA/16KW工频纯在线式UPS，带隔离变压器，三进单出。</w:t>
            </w:r>
          </w:p>
        </w:tc>
      </w:tr>
      <w:tr>
        <w:tblPrEx>
          <w:tblCellMar>
            <w:top w:w="0" w:type="dxa"/>
            <w:left w:w="108" w:type="dxa"/>
            <w:bottom w:w="0" w:type="dxa"/>
            <w:right w:w="108" w:type="dxa"/>
          </w:tblCellMar>
        </w:tblPrEx>
        <w:trPr>
          <w:trHeight w:val="109" w:hRule="atLeast"/>
        </w:trPr>
        <w:tc>
          <w:tcPr>
            <w:tcW w:w="1277" w:type="dxa"/>
            <w:vMerge w:val="continue"/>
            <w:tcBorders>
              <w:left w:val="single" w:color="000000" w:sz="4" w:space="0"/>
              <w:bottom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英文液晶面板，显示输入输出参数电压、频率，并可直接在液晶面板上设置输入、输出参数，液晶面板上有直观的输入、整流模块温度显示、逆变模块温度显示、系统温度显示、电池电池电压显示，输出电压、电流及功率，机器故障代码等。</w:t>
            </w:r>
          </w:p>
        </w:tc>
      </w:tr>
      <w:tr>
        <w:tblPrEx>
          <w:tblCellMar>
            <w:top w:w="0" w:type="dxa"/>
            <w:left w:w="108" w:type="dxa"/>
            <w:bottom w:w="0" w:type="dxa"/>
            <w:right w:w="108" w:type="dxa"/>
          </w:tblCellMar>
        </w:tblPrEx>
        <w:trPr>
          <w:trHeight w:val="8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为了利用原有的配套电池，新UPS主机的电池标称电压必须为192V。</w:t>
            </w:r>
          </w:p>
        </w:tc>
      </w:tr>
      <w:tr>
        <w:tblPrEx>
          <w:tblCellMar>
            <w:top w:w="0" w:type="dxa"/>
            <w:left w:w="108" w:type="dxa"/>
            <w:bottom w:w="0" w:type="dxa"/>
            <w:right w:w="108" w:type="dxa"/>
          </w:tblCellMar>
        </w:tblPrEx>
        <w:trPr>
          <w:trHeight w:val="82" w:hRule="atLeast"/>
        </w:trPr>
        <w:tc>
          <w:tcPr>
            <w:tcW w:w="1277" w:type="dxa"/>
            <w:vMerge w:val="continue"/>
            <w:tcBorders>
              <w:left w:val="single" w:color="000000" w:sz="4" w:space="0"/>
              <w:bottom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通讯功能：具备RS232/485通讯接口。</w:t>
            </w:r>
          </w:p>
        </w:tc>
      </w:tr>
      <w:tr>
        <w:tblPrEx>
          <w:tblCellMar>
            <w:top w:w="0" w:type="dxa"/>
            <w:left w:w="108" w:type="dxa"/>
            <w:bottom w:w="0" w:type="dxa"/>
            <w:right w:w="108" w:type="dxa"/>
          </w:tblCellMar>
        </w:tblPrEx>
        <w:trPr>
          <w:trHeight w:val="82" w:hRule="atLeast"/>
        </w:trPr>
        <w:tc>
          <w:tcPr>
            <w:tcW w:w="1277" w:type="dxa"/>
            <w:tcBorders>
              <w:left w:val="single" w:color="000000" w:sz="4" w:space="0"/>
              <w:bottom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服务</w:t>
            </w: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CellMar>
            <w:top w:w="0" w:type="dxa"/>
            <w:left w:w="108" w:type="dxa"/>
            <w:bottom w:w="0" w:type="dxa"/>
            <w:right w:w="108" w:type="dxa"/>
          </w:tblCellMar>
        </w:tblPrEx>
        <w:tc>
          <w:tcPr>
            <w:tcW w:w="9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rPr>
              <w:t>铅酸蓄电池</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CellMar>
            <w:top w:w="0" w:type="dxa"/>
            <w:left w:w="108" w:type="dxa"/>
            <w:bottom w:w="0" w:type="dxa"/>
            <w:right w:w="108" w:type="dxa"/>
          </w:tblCellMar>
        </w:tblPrEx>
        <w:trPr>
          <w:trHeight w:val="40" w:hRule="atLeast"/>
        </w:trPr>
        <w:tc>
          <w:tcPr>
            <w:tcW w:w="1277" w:type="dxa"/>
            <w:vMerge w:val="restart"/>
            <w:tcBorders>
              <w:top w:val="single" w:color="000000" w:sz="4" w:space="0"/>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产品特性</w:t>
            </w: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阀控密封式铅酸蓄电池。</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产品容量与设计浮充寿命：单体电池额定电压：12V；重量≥27.5KG；单体电池电压容量：100AH，20HR，25℃时，蓄电池设计寿命≥10年。</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防漏液要求：作为连接外界最紧密的极柱（端子）部位，经常受到安装扭力的施压，最容易引发漏液的部位，为机房整体安全考虑，电池极柱（端子）部位有防漏液的设计。</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外壳：蓄电池必须全部采用高强度的ABS外壳，符合UL标准，外壳无变形、裂纹及污迹，上盖及端子无损伤，正常工作时无酸雾逸出。</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蓄电池板栅：蓄电池板栅采用平板板极技术，深度放电恢复性能好，延长浮充使用和循环使用寿命。</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开闭阀压力：电池使用期间安全阀应自动开启闭合，闭阀压力应在16KPa-20KPa范围内，开阀压力应在18KPa-22KPa范围内。</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密封反应效率：密封反应效率＞97%；</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自放电率：@ 25℃ (77℉) 放置90天小于10 %</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000000"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阻燃性与防腐性：蓄电池间接线板、终端接头应选择导电性能优良的材料，并具有防腐措施。蓄电池槽、盖、安全阀，极柱封口剂等材料应具有阻燃性。</w:t>
            </w:r>
          </w:p>
        </w:tc>
      </w:tr>
      <w:tr>
        <w:tblPrEx>
          <w:tblCellMar>
            <w:top w:w="0" w:type="dxa"/>
            <w:left w:w="108" w:type="dxa"/>
            <w:bottom w:w="0" w:type="dxa"/>
            <w:right w:w="108" w:type="dxa"/>
          </w:tblCellMar>
        </w:tblPrEx>
        <w:trPr>
          <w:trHeight w:val="32" w:hRule="atLeast"/>
        </w:trPr>
        <w:tc>
          <w:tcPr>
            <w:tcW w:w="1277" w:type="dxa"/>
            <w:vMerge w:val="continue"/>
            <w:tcBorders>
              <w:left w:val="single" w:color="000000" w:sz="4" w:space="0"/>
              <w:bottom w:val="single" w:color="auto" w:sz="4" w:space="0"/>
              <w:right w:val="single" w:color="000000"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000000" w:sz="4" w:space="0"/>
              <w:left w:val="single" w:color="000000" w:sz="4" w:space="0"/>
              <w:bottom w:val="single" w:color="auto" w:sz="4" w:space="0"/>
              <w:right w:val="single" w:color="000000" w:sz="4" w:space="0"/>
            </w:tcBorders>
            <w:vAlign w:val="top"/>
          </w:tcPr>
          <w:p>
            <w:pPr>
              <w:widowControl/>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抗震性：蓄电池组应按9级地震烈度考虑设备的设计能承受并保持结构的完整性。</w:t>
            </w:r>
          </w:p>
        </w:tc>
      </w:tr>
      <w:tr>
        <w:tblPrEx>
          <w:tblCellMar>
            <w:top w:w="0" w:type="dxa"/>
            <w:left w:w="108" w:type="dxa"/>
            <w:bottom w:w="0" w:type="dxa"/>
            <w:right w:w="108" w:type="dxa"/>
          </w:tblCellMar>
        </w:tblPrEx>
        <w:trPr>
          <w:trHeight w:val="32" w:hRule="atLeast"/>
        </w:trPr>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 精密空调技术指标</w:t>
      </w:r>
    </w:p>
    <w:tbl>
      <w:tblPr>
        <w:tblStyle w:val="59"/>
        <w:tblW w:w="9215" w:type="dxa"/>
        <w:tblInd w:w="-318" w:type="dxa"/>
        <w:tblLayout w:type="fixed"/>
        <w:tblCellMar>
          <w:top w:w="0" w:type="dxa"/>
          <w:left w:w="108" w:type="dxa"/>
          <w:bottom w:w="0" w:type="dxa"/>
          <w:right w:w="108" w:type="dxa"/>
        </w:tblCellMar>
      </w:tblPr>
      <w:tblGrid>
        <w:gridCol w:w="1277"/>
        <w:gridCol w:w="793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auto" w:sz="4" w:space="0"/>
              <w:right w:val="single" w:color="000000" w:sz="4" w:space="0"/>
            </w:tcBorders>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tcBorders>
              <w:top w:val="single" w:color="000000" w:sz="4" w:space="0"/>
              <w:left w:val="single" w:color="000000" w:sz="4" w:space="0"/>
              <w:bottom w:val="single" w:color="auto" w:sz="4" w:space="0"/>
              <w:right w:val="single" w:color="000000" w:sz="4" w:space="0"/>
            </w:tcBorders>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CellMar>
            <w:top w:w="0" w:type="dxa"/>
            <w:left w:w="108" w:type="dxa"/>
            <w:bottom w:w="0" w:type="dxa"/>
            <w:right w:w="108" w:type="dxa"/>
          </w:tblCellMar>
        </w:tblPrEx>
        <w:trPr>
          <w:trHeight w:val="41"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产品特性</w:t>
            </w: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机房专用空调在24℃ 50%相对湿度工况下，总制冷量≥13KW,显冷量≥11.7KW。</w:t>
            </w:r>
          </w:p>
        </w:tc>
      </w:tr>
      <w:tr>
        <w:tblPrEx>
          <w:tblCellMar>
            <w:top w:w="0" w:type="dxa"/>
            <w:left w:w="108" w:type="dxa"/>
            <w:bottom w:w="0" w:type="dxa"/>
            <w:right w:w="108" w:type="dxa"/>
          </w:tblCellMar>
        </w:tblPrEx>
        <w:trPr>
          <w:trHeight w:val="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室内机风量≥3100m3/h，机外静压20~50Pa。</w:t>
            </w:r>
          </w:p>
        </w:tc>
      </w:tr>
      <w:tr>
        <w:tblPrEx>
          <w:tblCellMar>
            <w:top w:w="0" w:type="dxa"/>
            <w:left w:w="108" w:type="dxa"/>
            <w:bottom w:w="0" w:type="dxa"/>
            <w:right w:w="108" w:type="dxa"/>
          </w:tblCellMar>
        </w:tblPrEx>
        <w:trPr>
          <w:trHeight w:val="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空调内机：高度≥1975mm，宽≥600mm，深≥500mm 。</w:t>
            </w:r>
          </w:p>
        </w:tc>
      </w:tr>
      <w:tr>
        <w:tblPrEx>
          <w:tblCellMar>
            <w:top w:w="0" w:type="dxa"/>
            <w:left w:w="108" w:type="dxa"/>
            <w:bottom w:w="0" w:type="dxa"/>
            <w:right w:w="108" w:type="dxa"/>
          </w:tblCellMar>
        </w:tblPrEx>
        <w:trPr>
          <w:trHeight w:val="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机房专用空调应具备一个主回风口和两个侧面辅助回风口，有利于提高机组性能。</w:t>
            </w:r>
          </w:p>
        </w:tc>
      </w:tr>
      <w:tr>
        <w:tblPrEx>
          <w:tblCellMar>
            <w:top w:w="0" w:type="dxa"/>
            <w:left w:w="108" w:type="dxa"/>
            <w:bottom w:w="0" w:type="dxa"/>
            <w:right w:w="108" w:type="dxa"/>
          </w:tblCellMar>
        </w:tblPrEx>
        <w:trPr>
          <w:trHeight w:val="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机房专用空调室内机应采用全金属叶片、金属外壳的轴连风机，保证风机连续运转的可靠性。</w:t>
            </w:r>
          </w:p>
        </w:tc>
      </w:tr>
      <w:tr>
        <w:tblPrEx>
          <w:tblCellMar>
            <w:top w:w="0" w:type="dxa"/>
            <w:left w:w="108" w:type="dxa"/>
            <w:bottom w:w="0" w:type="dxa"/>
            <w:right w:w="108" w:type="dxa"/>
          </w:tblCellMar>
        </w:tblPrEx>
        <w:trPr>
          <w:trHeight w:val="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机房专用空调机组的风冷型室外冷凝器应采用无级全调速装置，保证系统冷凝压力的稳定并降低噪声。</w:t>
            </w:r>
          </w:p>
        </w:tc>
      </w:tr>
      <w:tr>
        <w:tblPrEx>
          <w:tblCellMar>
            <w:top w:w="0" w:type="dxa"/>
            <w:left w:w="108" w:type="dxa"/>
            <w:bottom w:w="0" w:type="dxa"/>
            <w:right w:w="108" w:type="dxa"/>
          </w:tblCellMar>
        </w:tblPrEx>
        <w:trPr>
          <w:trHeight w:val="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机房专用空调系统应具有高可靠性，应选用高可靠性的涡旋压缩机、高可靠性机械热力膨胀阀、全金属室内风机等高可靠性部件，满足全年365天，每天24小时不间断运行。</w:t>
            </w:r>
          </w:p>
        </w:tc>
      </w:tr>
      <w:tr>
        <w:tblPrEx>
          <w:tblCellMar>
            <w:top w:w="0" w:type="dxa"/>
            <w:left w:w="108" w:type="dxa"/>
            <w:bottom w:w="0" w:type="dxa"/>
            <w:right w:w="108" w:type="dxa"/>
          </w:tblCellMar>
        </w:tblPrEx>
        <w:trPr>
          <w:trHeight w:val="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具备RS232和RS485(或RS422)接口，且应具有良好的电气隔离(信号端子对地承受直流电压500V、1分钟不击穿或闪烁)。</w:t>
            </w:r>
          </w:p>
        </w:tc>
      </w:tr>
      <w:tr>
        <w:tblPrEx>
          <w:tblCellMar>
            <w:top w:w="0" w:type="dxa"/>
            <w:left w:w="108" w:type="dxa"/>
            <w:bottom w:w="0" w:type="dxa"/>
            <w:right w:w="108" w:type="dxa"/>
          </w:tblCellMar>
        </w:tblPrEx>
        <w:trPr>
          <w:trHeight w:val="41" w:hRule="atLeast"/>
        </w:trPr>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 机房动环技术指标</w:t>
      </w:r>
    </w:p>
    <w:tbl>
      <w:tblPr>
        <w:tblStyle w:val="59"/>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15" w:type="dxa"/>
            <w:gridSpan w:val="2"/>
            <w:shd w:val="clear" w:color="auto"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三相单回路智能电表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7" w:type="dxa"/>
            <w:shd w:val="clear" w:color="auto" w:fill="FFFFFF"/>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shd w:val="clear" w:color="auto" w:fill="FFFFFF"/>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供电电源选择方式</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交流：（1）电压范围：AC85-300V，（2）取电方式：三相电压取电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直流：（1）电压范围 DC48V-60V，（2）取电方式 三相电压取电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功耗：&lt;3VA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输入测量显示电压</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电压：（1）测量范围：85V～300V（2）RMS精度：0.5 级电流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电流：（1）量程 100~1000A（2）RMS 测量：电流精度:0.5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频率：三相交流 50Hz 电压、电流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功率：有功精度: 1 级；无功精度：2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功率因数：功率因数误差 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输出可编程</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（1）输出接口：RS-485 接口，二线制 </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（2）通讯规约：标准 MODBUS-RTU 通讯规约 </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（3）数据格式：不可设置；10 位，1 位起始位 0，8 位数据位，1 位停 止位 1；或 11 位，为奇、偶或无校验可软件设置</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（4）通讯速率：波特率 1200、2400、4800、9600、19.2k，可设置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显示：8位 LCD 段码显示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有功电能脉冲输出：脉冲宽度 80ms±20ms，光隔离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工作温度：-25～60℃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存储温度：-40～80℃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相对湿度≤95%不结露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耐压：电压信号与 485 之间耐压&gt;4KV，漏电流&lt;2mA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绝缘：输出、输入和电源对外壳&gt;5MΩ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抗扰度</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快速瞬变脉冲 &gt;4kV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防雷保护 &gt;4kV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空气放电 &gt;8kV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闭合式电流互感器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规格要求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外壳选用高强度阻燃PC，全封闭结构、阻燃等级V1；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内部铁心选用优质取向硅钢片；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线径严格按照经济电流密度选定，确保温升更少；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先进可靠的检测设备，保证符合质量标准；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方圆孔型，适用于单根、多根电缆穿越或单根母排穿越；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温湿度传感器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输入电源：DC12V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量程</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湿度：0%RH～100%RH；温度：-20℃～70℃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准确度</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湿度：±3%RH,温度：±0.5℃（测试环境25℃）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输出信号</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覆盖面积</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漏水检测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工作电压(额定)</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通讯接口</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波特率</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2400bps~115200bps（默认：9600bps）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通道数量</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最大检测线缆长度</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检测灵敏度</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档位(可调)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响应时间</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&lt;1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告警输出</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开关量(常开/常闭可选)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功耗</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0.36W(常规状态）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温度</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湿度</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5%～95%(非冷凝)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门禁设备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设备功能要求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4.3英寸IPS触摸显示屏，屏幕玻璃采用2.5D水滴屏工艺，屏幕流明度不低于350cd/㎡； 分辨率不小于800*480；屏幕防破坏能力满足IK04的要求，后壳防破坏能力满足IK07的要求，外壳防护等级IP54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设备采用200w像素双目宽动态相机（可见光摄像头*1，红外摄像头*1），最大分辨率：1920×1080， 帧率：30帧/s，适应强光、逆光、弱光等条件下的人脸识别。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支持文字转语音功能（TTS）；支持按时段自定义识别结果语音提示；支持识别后按姓名播报提示语音；支持自定义比对结果显示内容、识别主界面的功能控件；支持自定义设置待机界面、广告信息播放内容、广告信息播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设备本地人脸库存储容量6000张，本地卡存储容量10000张，本地出入记录存储容量150000条，本地指纹存储5000枚。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支持M1卡及身份证物理卡号读取，支持CPU卡内容读取，支持开启/关闭NFC刷卡功能，支持人脸、刷卡（包括CPU卡、NFC、二代身份证等）、二维码和密码识读，支持上述任意一种，任意两组组合、任意三组组合认证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接口</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设备具有丰富的硬件接口：LAN*1（10M/100M/1000M自适应）；RS485*1；韦根*1；USB *1；喇叭扬声器；门锁I/O输出*1；门磁 I/O输入*1；开门按钮I/0输入*1；机械防拆开关*1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管理方式</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支持通过WEB进行设备型号、软件版本、序列号等信息查询，进行用户权限信息配置及管理，进行设备时间管理，进行系统维护：数据管理、远程重启、远程升级，进行管理权限配置及管理、人脸、指纹、图像、音视频等智能参数配置，进行广告信息发布、可视对讲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设备支持配置以下图像参数：宽动态开关、宽动态等级、饱和度、对比度、锐度、亮度、时域降噪等级、空域降噪等级、环保等级、视频制式。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脸识别距离0.2~3m；人脸比对平均时间≤0.175s；人脸识别误识率≤0.01%的条件下，准确率应99.9%。支持在0.001lux低照度无补光环境下正常实现人脸识别。在识别区域范围内，人脸识别距离可自定义设置;支持防假体攻击功能，对视频、电子照片、打印照片中的人脸应不能进行人脸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根据使用场景和组合认证方式实现开门功能：多重卡认证开门、多重卡+中心远程认证开门、多重卡+超级密码开门、多重卡+超级卡开门、 首卡开门、超级权限开门、管理中心远程开门、APP远程开门、室内机及管理机远程开门，支持按时间分时段管控门禁权限，支持255组时段计划模板，支持1024个假日计划管理。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设备支持局域网、互联网环境的网络通信，可被4个客户端软件同时实时监听，在线状态下实时上传比对记录；支持同时与互联网及局域网环境下的平台软件通信连接，实现数据三向交互通信。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设备支持中心下发黑名单信息；支持本地黑名单信息比对；支持本地黑名单报警功能，报警信息可上传平台。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具有数据管理功能，包括支持本地非明文存储比对结果、身份信息及抓拍人脸照片；支持实时非明文上传比对结果、身份信息及抓拍人脸照片等至平台；支持断网续传离线记录非明文数据功能；设备对USB导出数据（事件记录及人脸等）应采用非明文存储方案；设备本地支持根据具体用户按天、周、月、自定义时间段或全部查询事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支持设备本地设置单个用户自定义识别方式；支持设备本地设置有线网络、无线网络IP地址及网关参数，支持DHCP设置。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设备支持物体靠近自动唤醒待机设备，唤醒距离可调节； 支持不开启补光灯实现人脸识别；采用低功耗模式时，功耗低于8w。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277" w:type="dxa"/>
            <w:vMerge w:val="restart"/>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设备应具备以下报警功能：当连续若干次在目标信息识读设备或管理/控制部分上实施错误操作时；当未使用授权的钥匙而强行通过出入口；未经正常操作而使出入口开启时；出入口开启时间超过设定值； 设备被拆除； 胁迫卡和胁迫码； 黑名单卡刷卡时；接入系统平台后可支持视频联动报警功能；强力拆除时，可上传报警事件到中心；未授权陌生人刷人脸时，设备支持抓拍人像照片实时上报平台预警。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277" w:type="dxa"/>
            <w:vMerge w:val="continue"/>
            <w:vAlign w:val="center"/>
          </w:tcPr>
          <w:p>
            <w:pPr>
              <w:widowControl/>
              <w:jc w:val="center"/>
              <w:rPr>
                <w:rFonts w:hint="eastAsia" w:ascii="仿宋_GB2312" w:hAnsi="仿宋_GB2312" w:eastAsia="仿宋_GB2312" w:cs="仿宋_GB2312"/>
                <w:sz w:val="24"/>
                <w:szCs w:val="24"/>
              </w:rPr>
            </w:pP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适用温度范围：-10℃至55℃；恒温湿热+40℃±2℃、RH93%、48h。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磁力锁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设备功能要求</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1.最大静态直线拉力：280kg</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2.具有电锁状态指示灯（红灯为开锁状态， 绿灯为上锁状态）</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3.支持锁状态侦测信号(门磁)输出：NO/NC/COM接点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门磁感应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规格</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1.金属电镀外壳</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2.触点模式：常闭</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3.动作距离:≥35mm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烟雾探测器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执行标准</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执行标准：GB4715-2005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电源规格</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1．工作电压：DC12V/24V（允许范围 9V~30V）</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2．工作电流：监视状态 ＜1mA @DC12V     ＜5mA @DC24V 火灾报警 ＜30mA@DC12V    ＜35mA @DC24V </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3．继电器输出：常开（火警后闭合）， 触 点 容 量 1 A 30VDC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产品规格</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1．外形尺寸：75mm×51.8mm×38.5mm (带底座)</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2．重量: 约 80g</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3．标准包装数量：100 只/箱 </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4．安装高度：≤12m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7938" w:type="dxa"/>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1．保护面积：符合 GB50116-98《火灾自动报警系统设计规范》</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2．工作指示：监视状态 红色指示灯约每 6 秒闪烁 1 次； 报警状态 红色指示灯常亮； 故障状态 红色指示灯约每 6 秒连续闪烁 2 次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3．使用环境：温度：-10℃～+65℃，相对湿度：≤95%(40℃±2℃ 无凝露)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可视化烟雾探测器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1.镜头视场角：设备摄像头的水平视场角不小于170°，设备摄像头的垂直视场角不小于160°</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2．红外距离：红外作用距离25米，应能看清人体轮廓</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3．感温功能：支持高温报警、差温报警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4．故障报警功能：设备应具有防拆报警、欠压报警、温度传感器故障报警、迷宫污染报警。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5．声光报警：在距离设备3m远处，蜂鸣器报警时的信号声压级应≥85dB（A）</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6．设备的主码流视频最高分辨率应为2560*1440、25fps</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7．智能报警：设备支持越界侦测、区域入侵侦测，可通过客户端软件或IE浏览器给出报警提示。设备支持行为分析触发后报警上传、发送邮件、联动录像、辅助输出等多种报警触发方式。</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8．支持检测到报警后，在视频上叠加报警类型</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9．烟雾报警：设备应该具有烟雾探测报警功能，并当设备断电后切换至电池供电时，仍支持烟雾探测报警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10．设备应能对室内通道堵塞、火焰识别、在/离岗等事件进行报警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动环主机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接口配置</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配置：AI口：兼容4~20mA和0~5V，数量≥4；DO口：干接点输出，数量≥4；RS485口：半双工，数量≥2；网口：10M/100M自适应，数量≥1；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AC220V供电，同时提供至少1路DC12V/1A可控输出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支持IEC104规约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告警</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1.AI数据支持4级超限告警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2.支持通信线路断线监测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3.支持AI报警联动DO输出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4.支持记录至少2000条本地日志，并可通过客户端远程查询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支持NTP校时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支持接触放电≥4KV，支持空气放电≥8KV</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7.支持线-地防浪涌等级≥2KV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数据采集网关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接口配置</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DI口：干接点输入，数量≥8；AI口：兼容4~20mA和0~5V，数量≥8；</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DO口：干接点输出，数量≥4；RS485口：数量≥2,其中1路支持全双工；</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网口：1路，10M/100M自适应；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1.AC220V供电，同时提供至少2路12V输出，其中1路可控；</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2.支持IEC104规约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支持主电、辅电（标准蓄电池）双电源供电；主辅电自动切换；辅电自动充电控制，电压实时监测</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3.支持接触放电≥9KV，支持空气放电≥16KV</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4.支持防浪涌等级≥4KV.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数据存储</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支持本地数据存储、搜索</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支持断电续航，断电报警信息可上传平台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对接开发</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与学院现有教育综合安防管理平台对接开发，提供佐证材料，实现门磁、温湿度、烟感、水浸等多种探测器的数据汇聚和上报功能。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用户信息传输装置系列（消防）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设备功能要求</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1．符合GB26875.1-2011《城市消防远程监控系统第1部分:用户信息传输装置》要求.</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设备具有2路RS232，2路485，1路CAN通信口，1路RJ45口，2路开关量输出，1路开关量输入。设备通过增加输入输出模块，可拓展5路开关量输入和2路5V电源输出接口；通过增加串口模块，可拓展至4路RS232和4路RS485接口。</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3．投标人所投消防主机联网装置在主机与消防报警主机通讯延迟不大于1秒，主机与软件平台通讯延迟不大于1秒。</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4．投标人所投消防主机联网装置的电路有亚克力板保护，印有警示提示语。</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5．设备应能接受火警信号，并在5s内发出声、光报警，可扩展语音提示功能。</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6．设备应能采集与其连接的火灾报警设备及其他设备的报警及运行状态信息，并上传至远程管理平台。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用户信息传输装置配件（消防）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规格</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1．用户信息传输系统套线，长度0.5m，包含一公转两母和一母转两公串口线；</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2．USB转232公头串口线，长度1.5m；</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3．双母头串口线，长度3m；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视频监控路数扩容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系统要求</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1.要求系统支持国标协议上下级平台级联，支持流媒体集群配置</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2.要求支持BS客户端、CS客户端、移动客户端（Android、iOS）视频预览，支持多浏览器实时预览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客户端要求</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1.要求客户端支持自动在1/4/6/7/9/16/24画面分隔模式间进行监控点轮巡预览，轮巡时间可设置，支持全屏显示</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2.要求客户端预览画面支持亮度、对比度、色调、饱和度参数调节5. 要求支持全景摄像机，实现360度的全景监控，可以对全景区域内的多个目标进行穿越警戒面、区域入侵、进入区域、离开区域行为的检测</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3.要求预览画面支持监控点信息、语音对讲、开关声音、云台与镜头控制、抓图、多图抓拍等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4.要求支持控制云台的用户信息叠加到视频画面上，支持按用户的等级对云台进行锁定</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5.要求客户端支持主/子码流切换和预览码流自适应功能，可按4/9/16分屏进行主子码流切换，低于配置的数时主码流预览，高于配置的数时自动切换为子码流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录像要求</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1．要求支持在实时预览和录像回放时主动抓取图片用于人脸或人体属性搜索人员轨迹及位置信息</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2．要求支持将录像回放和录像下载权限分离，支持为用户分配是否具有录像下载权限，支持录像批量下载</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3．要求支持视频画面叠加水印，包括视频预览、录像回放、即时回放、录像剪辑、紧急录像和录像下载时叠加</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4．要求支持定时录像、报警录像和移动侦测录像等录像模式，不同类型录像以不同颜色进行区分</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6．要求支持32、64倍速录像回放</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7．要求支持通过C/S客户端和WEB浏览器进行录像的下载；支持本地备份（</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8．要求支持图片方式实时预览，抓拍间隔可配置，最小时间为1s，支持以图片回放方式查询抓拍过的图片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数据存储</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1．要求支持NVR、CVR、云存储等多种形态的存储方式</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2．要求支持设备录像回传至中心存储，可以支持计划回传和手动回传两种模式</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3．要求支持能按照指定设备，指定通道进行图像的实时点播，支持点播图像的显示、缩放、抓拍和录像，支持多用户对同一图像资源的同时点播。</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4．要求支持能按照指定设备、通道、时间、报警信息等要素检索历史图像资料并回放和下载；回放应支持正常播放、快速播放、慢速播放、逐帧进退、画面暂停、图像抓拍等；应能支持回放录像的缩放显示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兼容性</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增加我校教育综合安防管理平台（海康-高校安全管理平台）视频监控路数，无缝兼容现有教育综合安防管理平台。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门禁管理路数扩容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功能要求</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1.要求支持门禁点管理</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2.要求支持按人员属性生成人员分组，人员属性可配置</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3.要求支持在按组织、人员分组维度配置权限时，属于该组织或分组的人员自动生成按组织、按人员分组维度配置的权限</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4.要求支持门禁权限配置和下发；支持卡（含身份证）、人脸、指纹、卡密码等凭证单独或组合使用的认证方式</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5.要求支持门禁权限自动下发更新数据到设备，可配置固定时间、固定次数自动下发异动的门禁权限，包含卡、人脸、指纹</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6.要求支持人员的卡权限在平台进行权限认证，当卡权限还未下发到设备时，平台可以根据刷卡事件进行人员权限判断并进行反控开门</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7.要求支持可设置门禁权限为长期有效；权限时间支持精确到秒；门禁权限手动冻结、解冻；自动清理长期未使用的门禁权限</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8.要求支持跨门禁主机的多门互锁</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9.要求支持特殊卡（残疾人卡、黑名单卡、胁迫卡、超级卡）、多重认证、首卡常开、反潜回、多门互锁等应用</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10.要求支持门禁事件订阅、查询和联动；支持门禁设备图上监控；支持人员出入事件和设备事件查询</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11.要求支持人员出入实时事件投屏</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12.要求支持门禁远程控制，开门、关门、联动CS客户端查看视频实时画面</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13.要求支持人员通行记录区分：内部人员、外部人员、陌生人员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兼容性</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增加我校教育综合安防管理平台（海康-高校安全管理平台）门禁管理路数，无缝兼容现有教育综合安防管理平台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动环监控应用组件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功能要求</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要求支持接入动环主机，接收温湿度、噪音、风速、压力等传感器采集的数据，并以图形化方式展示</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要求支持对采集数据进行阈值设定，超过设定阈值将触发报警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要求支持将动环数据叠加到视频画面中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对接开发</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与学院现有教育综合安防管理平台对接开发，提供佐证材料，实现动环主机及动环相关传感器的统一接入及数据管理分析功能。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15" w:type="dxa"/>
            <w:gridSpan w:val="2"/>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消防应用组件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功能指标</w:t>
            </w:r>
          </w:p>
        </w:tc>
        <w:tc>
          <w:tcPr>
            <w:tcW w:w="7938" w:type="dxa"/>
            <w:vAlign w:val="center"/>
          </w:tcPr>
          <w:p>
            <w:pPr>
              <w:pStyle w:val="60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告警日志</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1.要求支持展示消防设备的监测数据</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2.要求支持对设备、报警、隐患数据进行统计</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3.要求支持饼图方式展示消防报警处理、隐患巡查完成情况的数据</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4.要求支持平台收到报警后，地图上进行报警信息弹框，并联动显示视频、回放、抓图、平面图</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5.要求支持查询消防子系统的报警历史信息</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6.要求支持接收消防设备离线、故障事件信息展示在告警中心</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7.要求支持消防设备及传感器资源上图并能展示相关资源数据及报警信息，支持一张图呈现报警点的详细信息、位置信息、联动预览回放和联动抓图功能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7" w:type="dxa"/>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 交换机技术指标</w:t>
      </w:r>
    </w:p>
    <w:tbl>
      <w:tblPr>
        <w:tblStyle w:val="59"/>
        <w:tblW w:w="9215" w:type="dxa"/>
        <w:tblInd w:w="-318" w:type="dxa"/>
        <w:tblLayout w:type="fixed"/>
        <w:tblCellMar>
          <w:top w:w="0" w:type="dxa"/>
          <w:left w:w="108" w:type="dxa"/>
          <w:bottom w:w="0" w:type="dxa"/>
          <w:right w:w="108" w:type="dxa"/>
        </w:tblCellMar>
      </w:tblPr>
      <w:tblGrid>
        <w:gridCol w:w="1277"/>
        <w:gridCol w:w="7938"/>
      </w:tblGrid>
      <w:tr>
        <w:tblPrEx>
          <w:tblCellMar>
            <w:top w:w="0" w:type="dxa"/>
            <w:left w:w="108" w:type="dxa"/>
            <w:bottom w:w="0" w:type="dxa"/>
            <w:right w:w="108" w:type="dxa"/>
          </w:tblCellMar>
        </w:tblPrEx>
        <w:tc>
          <w:tcPr>
            <w:tcW w:w="9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核心交换机</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交换容量</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≥387Tbps，若存在双参数，以最小值为准</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包转发率</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≥115200Mpps，若存在双参数，以最小值为准</w:t>
            </w:r>
          </w:p>
        </w:tc>
      </w:tr>
      <w:tr>
        <w:tblPrEx>
          <w:tblCellMar>
            <w:top w:w="0" w:type="dxa"/>
            <w:left w:w="108" w:type="dxa"/>
            <w:bottom w:w="0" w:type="dxa"/>
            <w:right w:w="108" w:type="dxa"/>
          </w:tblCellMar>
        </w:tblPrEx>
        <w:trPr>
          <w:trHeight w:val="58"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硬件架构</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采用多级多平面交换架构设计，能够配置独立的交换网板，控制引擎和交换网板硬件相互独立；</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机框采用正交CLOS架构，交换网板和业务板卡90度正交，机框采用无中板架构，提供官网链接和截图证明</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机框严格前后风道涉及，风向可以无阻碍穿过业务板及网板</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整机支持主控引擎≥2；支持最大的业务槽位数≥4，支持独立的交换网板槽位数≥6；提供官网链接和截图证明</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基于信元交换转发，提供官网截图</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主控引擎、交换网板、电源、风扇、接口模块等关键部件支持热插拔。</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业务板卡</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支持多业务板卡，支持独立的硬件防火墙/IPS/ACG/LB/SSL VPN</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性能指标</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ACL表项≥1020K，MAC表项≥750K，IPv4路由转发表容量≥4M，IPv6路由转发表容量≥2M</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端口密度</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单槽位48口100G单板线速；单板最大100G端口数≧48；单槽位40G端口密度≧48，支持全线速转发</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数据中心特性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rPr>
              <w:t xml:space="preserve">支持VxLAN二层网关；支持VxLAN三层网关；跨数据中心的二层互联技术DCI、DCB、FCoE等数据中心特性 </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虚拟化</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支持纵向虚拟化，实现核心和接入层设备的控制、转发平面统一管理；支持1虚多（1:N）和多虚1（N：1）技术，支持多虚一技术和一虚多技术的配合使用。</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能直接被学校现有iMC网管软件统一管理、软件升级、配置的统一下发和基准化。</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资质证书</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提供工信部入网证书</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实际配置</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满配6块交换网板，满配主控板，满配风机盒，满配电源模块；</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每台配置4块2400W交流电源；</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每台配置2块18端口100G以太网光接口板卡（可支持36端口40G以太网光接口）;</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每台需包含≥19个40G多模光模块；</w:t>
            </w:r>
          </w:p>
        </w:tc>
      </w:tr>
      <w:tr>
        <w:tblPrEx>
          <w:tblCellMar>
            <w:top w:w="0" w:type="dxa"/>
            <w:left w:w="108" w:type="dxa"/>
            <w:bottom w:w="0" w:type="dxa"/>
            <w:right w:w="108" w:type="dxa"/>
          </w:tblCellMar>
        </w:tblPrEx>
        <w:trPr>
          <w:trHeight w:val="5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CellMar>
            <w:top w:w="0" w:type="dxa"/>
            <w:left w:w="108" w:type="dxa"/>
            <w:bottom w:w="0" w:type="dxa"/>
            <w:right w:w="108" w:type="dxa"/>
          </w:tblCellMar>
        </w:tblPrEx>
        <w:tc>
          <w:tcPr>
            <w:tcW w:w="9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千兆接入交换机</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Cs/>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机架式1U盒式交换机，前后通风</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硬件架构</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冗余电源；冗余风扇</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≥48口千兆电 + ≥6个SFP+万兆光（或者4个SFP+万兆光+2个QSFP+40GE）</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交换容量≥1.2Tbps, 包转发率 ≥250Mpps，以官网所列最低参数为准</w:t>
            </w:r>
          </w:p>
        </w:tc>
      </w:tr>
      <w:tr>
        <w:tblPrEx>
          <w:tblCellMar>
            <w:top w:w="0" w:type="dxa"/>
            <w:left w:w="108" w:type="dxa"/>
            <w:bottom w:w="0" w:type="dxa"/>
            <w:right w:w="108" w:type="dxa"/>
          </w:tblCellMar>
        </w:tblPrEx>
        <w:trPr>
          <w:trHeight w:val="68"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支持堆叠（IRF）/VSS、或者跨设备LACP聚合、LACP边缘端口支持三层转发</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所有端口支持巨帧转发（≥9216 bytes）</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10G、40G端口支持路由口、路由子接口功能</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端口支持LLDP功能</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w:t>
            </w:r>
          </w:p>
        </w:tc>
      </w:tr>
      <w:tr>
        <w:tblPrEx>
          <w:tblCellMar>
            <w:top w:w="0" w:type="dxa"/>
            <w:left w:w="108" w:type="dxa"/>
            <w:bottom w:w="0" w:type="dxa"/>
            <w:right w:w="108" w:type="dxa"/>
          </w:tblCellMar>
        </w:tblPrEx>
        <w:trPr>
          <w:trHeight w:val="110" w:hRule="atLeast"/>
        </w:trPr>
        <w:tc>
          <w:tcPr>
            <w:tcW w:w="1277" w:type="dxa"/>
            <w:vMerge w:val="restart"/>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VLAN≥ 4K，支持STP/RSTP/MSTP</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支持DHCP relay，且server地址不小于2个</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支持基于端口的广播风暴/组播/未知单播抑制</w:t>
            </w:r>
          </w:p>
        </w:tc>
      </w:tr>
      <w:tr>
        <w:tblPrEx>
          <w:tblCellMar>
            <w:top w:w="0" w:type="dxa"/>
            <w:left w:w="108" w:type="dxa"/>
            <w:bottom w:w="0" w:type="dxa"/>
            <w:right w:w="108" w:type="dxa"/>
          </w:tblCellMar>
        </w:tblPrEx>
        <w:trPr>
          <w:trHeight w:val="82" w:hRule="atLeast"/>
        </w:trPr>
        <w:tc>
          <w:tcPr>
            <w:tcW w:w="1277" w:type="dxa"/>
            <w:vMerge w:val="restart"/>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支持IPv4/v6双栈支持静态路由、OSPFv2/v3、ISIS/v6、BGP/4+等动态路由协议</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支持ECMP</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支持IPv4/v6三层组播:PIM-DM/SM,IGMP/MLD</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支持VRRP</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能直接被学校现有iMC网管软件统一管理、软件升级、配置的统一下发和基准化，提供佐证材料。</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配件</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1.电源、风扇满配</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2.每台配置4个多模短距10GE光模块</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3.5m QSFP堆叠线缆</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3年7*24*小时工程师带备件上门服务，8小时内恢复服务</w:t>
            </w:r>
          </w:p>
        </w:tc>
      </w:tr>
      <w:tr>
        <w:tblPrEx>
          <w:tblCellMar>
            <w:top w:w="0" w:type="dxa"/>
            <w:left w:w="108" w:type="dxa"/>
            <w:bottom w:w="0" w:type="dxa"/>
            <w:right w:w="108" w:type="dxa"/>
          </w:tblCellMar>
        </w:tblPrEx>
        <w:tc>
          <w:tcPr>
            <w:tcW w:w="9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万兆接入交换机</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机架式1U盒式交换机，前后通风</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硬件架构</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冗余电源；冗余风扇</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≥48口SFP+万兆，≥6口QSFP 40G</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交换容量≥2.56Tbps, 包转发率 ≥1080Mpps</w:t>
            </w:r>
          </w:p>
        </w:tc>
      </w:tr>
      <w:tr>
        <w:tblPrEx>
          <w:tblCellMar>
            <w:top w:w="0" w:type="dxa"/>
            <w:left w:w="108" w:type="dxa"/>
            <w:bottom w:w="0" w:type="dxa"/>
            <w:right w:w="108" w:type="dxa"/>
          </w:tblCellMar>
        </w:tblPrEx>
        <w:trPr>
          <w:trHeight w:val="68"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支持堆叠（IRF）/VSS、或者跨设备LACP聚合、LACP边缘端口支持三层转发</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所有端口支持巨帧转发（≥9216 bytes）</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10G、40G端口支持路由口、路由子接口功能</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端口支持LLDP功能</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w:t>
            </w:r>
          </w:p>
        </w:tc>
      </w:tr>
      <w:tr>
        <w:tblPrEx>
          <w:tblCellMar>
            <w:top w:w="0" w:type="dxa"/>
            <w:left w:w="108" w:type="dxa"/>
            <w:bottom w:w="0" w:type="dxa"/>
            <w:right w:w="108" w:type="dxa"/>
          </w:tblCellMar>
        </w:tblPrEx>
        <w:trPr>
          <w:trHeight w:val="110"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VLAN≥ 4K，支持STP/RSTP/MSTP</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支持DHCP relay，且server地址不小于2个</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支持基于端口的广播风暴/组播/未知单播抑制</w:t>
            </w:r>
          </w:p>
        </w:tc>
      </w:tr>
      <w:tr>
        <w:tblPrEx>
          <w:tblCellMar>
            <w:top w:w="0" w:type="dxa"/>
            <w:left w:w="108" w:type="dxa"/>
            <w:bottom w:w="0" w:type="dxa"/>
            <w:right w:w="108" w:type="dxa"/>
          </w:tblCellMar>
        </w:tblPrEx>
        <w:trPr>
          <w:trHeight w:val="82"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支持IPv4/v6双栈支持静态路由、OSPFv2/v3、ISIS/v6、BGP/4+等动态路由协议</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支持ECMP</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支持IPv4/v6三层组播:PIM-DM/SM,IGMP/MLD</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支持VRRP</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能直接被学校现有iMC网管软件统一管理、软件升级、配置的统一下发和基准化。</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配件</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1.电源、风扇满配</w:t>
            </w:r>
          </w:p>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2.每台配置4个多模短距40GE接口光模块</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3.每台配置19个多模短距10GE光模块</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3.5m QSFP堆叠线缆</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3年7*24*小时工程师带备件上门服务，8小时内恢复服务</w:t>
            </w:r>
          </w:p>
        </w:tc>
      </w:tr>
      <w:tr>
        <w:tblPrEx>
          <w:tblCellMar>
            <w:top w:w="0" w:type="dxa"/>
            <w:left w:w="108" w:type="dxa"/>
            <w:bottom w:w="0" w:type="dxa"/>
            <w:right w:w="108" w:type="dxa"/>
          </w:tblCellMar>
        </w:tblPrEx>
        <w:tc>
          <w:tcPr>
            <w:tcW w:w="9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综合接入交换机</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机架式1U盒式交换机，前后通风</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硬件架构</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冗余电源；冗余风扇</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≥48口SFP+万兆，≥6口QSFP 40G</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交换容量≥2.56Tbps, 包转发率 ≥1080Mpps</w:t>
            </w:r>
          </w:p>
        </w:tc>
      </w:tr>
      <w:tr>
        <w:tblPrEx>
          <w:tblCellMar>
            <w:top w:w="0" w:type="dxa"/>
            <w:left w:w="108" w:type="dxa"/>
            <w:bottom w:w="0" w:type="dxa"/>
            <w:right w:w="108" w:type="dxa"/>
          </w:tblCellMar>
        </w:tblPrEx>
        <w:trPr>
          <w:trHeight w:val="68"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支持堆叠（IRF）/VSS，或者跨设备LACP聚合</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所有端口支持巨帧转发（≥9216 bytes）</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10G、40G端口支持路由口、路由子接口功能</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端口支持LLDP功能</w:t>
            </w:r>
          </w:p>
        </w:tc>
      </w:tr>
      <w:tr>
        <w:tblPrEx>
          <w:tblCellMar>
            <w:top w:w="0" w:type="dxa"/>
            <w:left w:w="108" w:type="dxa"/>
            <w:bottom w:w="0" w:type="dxa"/>
            <w:right w:w="108" w:type="dxa"/>
          </w:tblCellMar>
        </w:tblPrEx>
        <w:trPr>
          <w:trHeight w:val="65"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w:t>
            </w:r>
          </w:p>
        </w:tc>
      </w:tr>
      <w:tr>
        <w:tblPrEx>
          <w:tblCellMar>
            <w:top w:w="0" w:type="dxa"/>
            <w:left w:w="108" w:type="dxa"/>
            <w:bottom w:w="0" w:type="dxa"/>
            <w:right w:w="108" w:type="dxa"/>
          </w:tblCellMar>
        </w:tblPrEx>
        <w:trPr>
          <w:trHeight w:val="110"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VLAN≥ 4K，支持STP/RSTP/MSTP</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支持DHCP relay，且server地址不小于2个</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支持基于端口的广播风暴/组播/未知单播抑制</w:t>
            </w:r>
          </w:p>
        </w:tc>
      </w:tr>
      <w:tr>
        <w:tblPrEx>
          <w:tblCellMar>
            <w:top w:w="0" w:type="dxa"/>
            <w:left w:w="108" w:type="dxa"/>
            <w:bottom w:w="0" w:type="dxa"/>
            <w:right w:w="108" w:type="dxa"/>
          </w:tblCellMar>
        </w:tblPrEx>
        <w:trPr>
          <w:trHeight w:val="82"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支持IPv4/v6双栈支持静态路由、OSPFv2/v3、ISIS/v6、BGP/4+等动态路由协议</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支持ECMP</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支持IPv4/v6三层组播:PIM-DM/SM,IGMP/MLD</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支持VRRP</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能直接被学校现有iMC网管软件统一管理、软件升级、配置的统一下发和基准化。</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配件</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1.电源、风扇满配</w:t>
            </w:r>
          </w:p>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2.每台配置6个多模短距40GE接口光模块</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3.每台配置24个多模短距10GE光模块</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r>
        <w:tblPrEx>
          <w:tblCellMar>
            <w:top w:w="0" w:type="dxa"/>
            <w:left w:w="108" w:type="dxa"/>
            <w:bottom w:w="0" w:type="dxa"/>
            <w:right w:w="108" w:type="dxa"/>
          </w:tblCellMar>
        </w:tblPrEx>
        <w:tc>
          <w:tcPr>
            <w:tcW w:w="9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专线接入交换机</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机架式≤2U盒式交换机，前后通风</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硬件架构</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冗余电源；冗余风扇</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≥48口SFP+万兆，具备≥6口QSFP 40G/100G能力，最小配置≥4口QSFP 40G/100G</w:t>
            </w:r>
          </w:p>
        </w:tc>
      </w:tr>
      <w:tr>
        <w:tblPrEx>
          <w:tblCellMar>
            <w:top w:w="0" w:type="dxa"/>
            <w:left w:w="108" w:type="dxa"/>
            <w:bottom w:w="0" w:type="dxa"/>
            <w:right w:w="108" w:type="dxa"/>
          </w:tblCellMar>
        </w:tblPrEx>
        <w:trPr>
          <w:trHeight w:val="164"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交换容量≥2.56Tbps, 包转发率 ≥1080Mpps</w:t>
            </w:r>
          </w:p>
        </w:tc>
      </w:tr>
      <w:tr>
        <w:tblPrEx>
          <w:tblCellMar>
            <w:top w:w="0" w:type="dxa"/>
            <w:left w:w="108" w:type="dxa"/>
            <w:bottom w:w="0" w:type="dxa"/>
            <w:right w:w="108" w:type="dxa"/>
          </w:tblCellMar>
        </w:tblPrEx>
        <w:trPr>
          <w:trHeight w:val="164"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VPN数目≥1K</w:t>
            </w:r>
          </w:p>
        </w:tc>
      </w:tr>
      <w:tr>
        <w:tblPrEx>
          <w:tblCellMar>
            <w:top w:w="0" w:type="dxa"/>
            <w:left w:w="108" w:type="dxa"/>
            <w:bottom w:w="0" w:type="dxa"/>
            <w:right w:w="108" w:type="dxa"/>
          </w:tblCellMar>
        </w:tblPrEx>
        <w:trPr>
          <w:trHeight w:val="58"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支持VXLAN （包括VXLAN Routing、VXLAN Bridging、VXLAN Static Tunnel、VXLAN border gateway）</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Vxlan license支持永久性部署</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支持VxLAN和VLAN（路由子接口）相互映射转发</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所有端口支持巨帧转发（≥9216 bytes）</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端口支持LLDP功能</w:t>
            </w:r>
          </w:p>
        </w:tc>
      </w:tr>
      <w:tr>
        <w:tblPrEx>
          <w:tblCellMar>
            <w:top w:w="0" w:type="dxa"/>
            <w:left w:w="108" w:type="dxa"/>
            <w:bottom w:w="0" w:type="dxa"/>
            <w:right w:w="108" w:type="dxa"/>
          </w:tblCellMar>
        </w:tblPrEx>
        <w:trPr>
          <w:trHeight w:val="54"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w:t>
            </w:r>
          </w:p>
        </w:tc>
      </w:tr>
      <w:tr>
        <w:tblPrEx>
          <w:tblCellMar>
            <w:top w:w="0" w:type="dxa"/>
            <w:left w:w="108" w:type="dxa"/>
            <w:bottom w:w="0" w:type="dxa"/>
            <w:right w:w="108" w:type="dxa"/>
          </w:tblCellMar>
        </w:tblPrEx>
        <w:trPr>
          <w:trHeight w:val="110" w:hRule="atLeast"/>
        </w:trPr>
        <w:tc>
          <w:tcPr>
            <w:tcW w:w="1277" w:type="dxa"/>
            <w:vMerge w:val="restart"/>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VLAN≥ 4K，支持STP/RSTP/MSTP；</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线速 MAC learning （32K表项）</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支持VXLAN 封装与解封装</w:t>
            </w:r>
          </w:p>
        </w:tc>
      </w:tr>
      <w:tr>
        <w:tblPrEx>
          <w:tblCellMar>
            <w:top w:w="0" w:type="dxa"/>
            <w:left w:w="108" w:type="dxa"/>
            <w:bottom w:w="0" w:type="dxa"/>
            <w:right w:w="108" w:type="dxa"/>
          </w:tblCellMar>
        </w:tblPrEx>
        <w:trPr>
          <w:trHeight w:val="82" w:hRule="atLeast"/>
        </w:trPr>
        <w:tc>
          <w:tcPr>
            <w:tcW w:w="1277" w:type="dxa"/>
            <w:vMerge w:val="restart"/>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支持IPv4/v6双栈支持静态路由、OSPFv2/v3、ISIS/v6、BGP/4+等动态路由协议</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支持ECMP</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支持IPv4/v6三层组播:PIM-DM/SM,IGMP/MLD</w:t>
            </w:r>
          </w:p>
        </w:tc>
      </w:tr>
      <w:tr>
        <w:tblPrEx>
          <w:tblCellMar>
            <w:top w:w="0" w:type="dxa"/>
            <w:left w:w="108" w:type="dxa"/>
            <w:bottom w:w="0" w:type="dxa"/>
            <w:right w:w="108" w:type="dxa"/>
          </w:tblCellMar>
        </w:tblPrEx>
        <w:trPr>
          <w:trHeight w:val="82"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支持VRRP</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配件</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1.电源、风扇满配</w:t>
            </w:r>
          </w:p>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2.每台配置20个多模短距10GE光模块</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3.每台配置3个光电转换模块</w:t>
            </w:r>
          </w:p>
        </w:tc>
      </w:tr>
      <w:tr>
        <w:tblPrEx>
          <w:tblCellMar>
            <w:top w:w="0" w:type="dxa"/>
            <w:left w:w="108" w:type="dxa"/>
            <w:bottom w:w="0" w:type="dxa"/>
            <w:right w:w="108" w:type="dxa"/>
          </w:tblCellMar>
        </w:tblPrEx>
        <w:trPr>
          <w:trHeight w:val="82"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3年7*24*小时工程师带备件上门服务，8小时内恢复服务</w:t>
            </w:r>
          </w:p>
        </w:tc>
      </w:tr>
      <w:tr>
        <w:tblPrEx>
          <w:tblCellMar>
            <w:top w:w="0" w:type="dxa"/>
            <w:left w:w="108" w:type="dxa"/>
            <w:bottom w:w="0" w:type="dxa"/>
            <w:right w:w="108" w:type="dxa"/>
          </w:tblCellMar>
        </w:tblPrEx>
        <w:tc>
          <w:tcPr>
            <w:tcW w:w="9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带外管理核心交换机</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机架式1U盒式交换机</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硬件架构</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冗余电源；</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≥48口千兆电 + ≥4个SFP+万兆光</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交换容量≥512Gbps, 包转发率 ≥200Mpps</w:t>
            </w:r>
          </w:p>
        </w:tc>
      </w:tr>
      <w:tr>
        <w:tblPrEx>
          <w:tblCellMar>
            <w:top w:w="0" w:type="dxa"/>
            <w:left w:w="108" w:type="dxa"/>
            <w:bottom w:w="0" w:type="dxa"/>
            <w:right w:w="108" w:type="dxa"/>
          </w:tblCellMar>
        </w:tblPrEx>
        <w:trPr>
          <w:trHeight w:val="164"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重点特性</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所有端口支持巨帧转发（≥9216 bytes）</w:t>
            </w:r>
          </w:p>
        </w:tc>
      </w:tr>
      <w:tr>
        <w:tblPrEx>
          <w:tblCellMar>
            <w:top w:w="0" w:type="dxa"/>
            <w:left w:w="108" w:type="dxa"/>
            <w:bottom w:w="0" w:type="dxa"/>
            <w:right w:w="108" w:type="dxa"/>
          </w:tblCellMar>
        </w:tblPrEx>
        <w:trPr>
          <w:trHeight w:val="164"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端口支持LLDP功能，且支持配置TLV指定management ip地址</w:t>
            </w:r>
          </w:p>
        </w:tc>
      </w:tr>
      <w:tr>
        <w:tblPrEx>
          <w:tblCellMar>
            <w:top w:w="0" w:type="dxa"/>
            <w:left w:w="108" w:type="dxa"/>
            <w:bottom w:w="0" w:type="dxa"/>
            <w:right w:w="108" w:type="dxa"/>
          </w:tblCellMar>
        </w:tblPrEx>
        <w:trPr>
          <w:trHeight w:val="110" w:hRule="atLeast"/>
        </w:trPr>
        <w:tc>
          <w:tcPr>
            <w:tcW w:w="1277" w:type="dxa"/>
            <w:vMerge w:val="restart"/>
            <w:tcBorders>
              <w:top w:val="single" w:color="auto" w:sz="4" w:space="0"/>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VLAN≥ 4K，支持STP/RSTP/MSTP；</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支持DLDP/UDLD</w:t>
            </w:r>
          </w:p>
        </w:tc>
      </w:tr>
      <w:tr>
        <w:tblPrEx>
          <w:tblCellMar>
            <w:top w:w="0" w:type="dxa"/>
            <w:left w:w="108" w:type="dxa"/>
            <w:bottom w:w="0" w:type="dxa"/>
            <w:right w:w="108" w:type="dxa"/>
          </w:tblCellMar>
        </w:tblPrEx>
        <w:trPr>
          <w:trHeight w:val="109"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支持基于端口的广播风暴/组播/未知单播抑制</w:t>
            </w:r>
          </w:p>
        </w:tc>
      </w:tr>
      <w:tr>
        <w:tblPrEx>
          <w:tblCellMar>
            <w:top w:w="0" w:type="dxa"/>
            <w:left w:w="108" w:type="dxa"/>
            <w:bottom w:w="0" w:type="dxa"/>
            <w:right w:w="108" w:type="dxa"/>
          </w:tblCellMar>
        </w:tblPrEx>
        <w:trPr>
          <w:trHeight w:val="164" w:hRule="atLeast"/>
        </w:trPr>
        <w:tc>
          <w:tcPr>
            <w:tcW w:w="1277" w:type="dxa"/>
            <w:vMerge w:val="restart"/>
            <w:tcBorders>
              <w:left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三层功能</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支持静态路由、OSPFv2、ISIS、BGP等动态路由协议</w:t>
            </w:r>
          </w:p>
        </w:tc>
      </w:tr>
      <w:tr>
        <w:tblPrEx>
          <w:tblCellMar>
            <w:top w:w="0" w:type="dxa"/>
            <w:left w:w="108" w:type="dxa"/>
            <w:bottom w:w="0" w:type="dxa"/>
            <w:right w:w="108" w:type="dxa"/>
          </w:tblCellMar>
        </w:tblPrEx>
        <w:trPr>
          <w:trHeight w:val="164" w:hRule="atLeast"/>
        </w:trPr>
        <w:tc>
          <w:tcPr>
            <w:tcW w:w="1277" w:type="dxa"/>
            <w:vMerge w:val="continue"/>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支持VRRP</w:t>
            </w:r>
          </w:p>
        </w:tc>
      </w:tr>
      <w:tr>
        <w:tblPrEx>
          <w:tblCellMar>
            <w:top w:w="0" w:type="dxa"/>
            <w:left w:w="108" w:type="dxa"/>
            <w:bottom w:w="0" w:type="dxa"/>
            <w:right w:w="108" w:type="dxa"/>
          </w:tblCellMar>
        </w:tblPrEx>
        <w:trPr>
          <w:trHeight w:val="16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配件</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1.电源、风扇满配</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2.每台配置2个多模短距10GE光模块；</w:t>
            </w:r>
          </w:p>
        </w:tc>
      </w:tr>
      <w:tr>
        <w:tblPrEx>
          <w:tblCellMar>
            <w:top w:w="0" w:type="dxa"/>
            <w:left w:w="108" w:type="dxa"/>
            <w:bottom w:w="0" w:type="dxa"/>
            <w:right w:w="108" w:type="dxa"/>
          </w:tblCellMar>
        </w:tblPrEx>
        <w:trPr>
          <w:trHeight w:val="164" w:hRule="atLeast"/>
        </w:trPr>
        <w:tc>
          <w:tcPr>
            <w:tcW w:w="1277" w:type="dxa"/>
            <w:tcBorders>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3年7*24*小时工程师带备件上门服务，8小时内恢复服务</w:t>
            </w:r>
          </w:p>
        </w:tc>
      </w:tr>
      <w:tr>
        <w:tblPrEx>
          <w:tblCellMar>
            <w:top w:w="0" w:type="dxa"/>
            <w:left w:w="108" w:type="dxa"/>
            <w:bottom w:w="0" w:type="dxa"/>
            <w:right w:w="108" w:type="dxa"/>
          </w:tblCellMar>
        </w:tblPrEx>
        <w:tc>
          <w:tcPr>
            <w:tcW w:w="9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console服务器</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autoSpaceDN w:val="0"/>
              <w:spacing w:line="276" w:lineRule="auto"/>
              <w:jc w:val="center"/>
              <w:textAlignment w:val="top"/>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设备要求</w:t>
            </w:r>
          </w:p>
        </w:tc>
        <w:tc>
          <w:tcPr>
            <w:tcW w:w="7938" w:type="dxa"/>
            <w:tcBorders>
              <w:top w:val="single" w:color="auto" w:sz="4" w:space="0"/>
              <w:left w:val="single" w:color="auto" w:sz="4" w:space="0"/>
              <w:bottom w:val="single" w:color="auto" w:sz="4" w:space="0"/>
              <w:right w:val="single" w:color="auto"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 Port 串口服务器</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pStyle w:val="19"/>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tcBorders>
              <w:top w:val="single" w:color="auto" w:sz="4" w:space="0"/>
              <w:left w:val="single" w:color="auto" w:sz="4" w:space="0"/>
              <w:bottom w:val="single" w:color="auto" w:sz="4" w:space="0"/>
              <w:right w:val="single" w:color="auto" w:sz="4" w:space="0"/>
            </w:tcBorders>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3年7*24*小时工程师带备件上门服务，8小时内恢复服务</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 网络运维平台技术指标</w:t>
      </w:r>
    </w:p>
    <w:tbl>
      <w:tblPr>
        <w:tblStyle w:val="59"/>
        <w:tblW w:w="9215" w:type="dxa"/>
        <w:tblInd w:w="-318" w:type="dxa"/>
        <w:tblLayout w:type="fixed"/>
        <w:tblCellMar>
          <w:top w:w="0" w:type="dxa"/>
          <w:left w:w="108" w:type="dxa"/>
          <w:bottom w:w="0" w:type="dxa"/>
          <w:right w:w="108" w:type="dxa"/>
        </w:tblCellMar>
      </w:tblPr>
      <w:tblGrid>
        <w:gridCol w:w="1277"/>
        <w:gridCol w:w="7938"/>
      </w:tblGrid>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运维监控平台</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对IT资源进行7*24h的全面实时监控，包括有线设备、无线设备、安全设备、服务器、存储、动环设备、虚拟化资源、数据库、中间件、标准应用和流量拓扑；在统一平台上监控全网网络设备的运行状态，集中告警，当异常发生时可及时发现并自动通知运维人员，支持短信，微信，邮件告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支持对监控指标项进行全局设置（是否采集、是否监控、是否记录、采集周期）和个性化设置，且个性化设置优先级高于全局设置。同时支持对指标项的历史数据进行图表展现和批量导出。</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开放标准API 接口，将数据对接到学校数据中台。</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IT资源数量：有线网络设备不少于300台，无线设备不少于1200台，物理服务器不少于50台，虚拟化服务器不少于300台，存储不少于20台，其他各类资源若干。</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监控模块：</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支持监控多种网络资源：有线设备、无线设备、OLU 设备，安全设备、服务器、动环设备、存储设备、标准应用、中间件、数据库以及虚拟化。</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监控多厂商的网络资源，包括：思科、华三、华为、神州数码、锐捷、中兴、迈普、戴尔、IBM、惠普、联想、微软、Oracle、VMware等。监控指标至少包含CPU利用率、内存利用率、丢包、延迟、SNMP状态、温度信息、接口状态、带宽、出入流量、丢包数、广播包数、IP、ICMP、TCP、UDP及上述指标的历史信息。</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监控多家无线厂商的设备，内置的厂商监控模型应至少包括：Aruba、Cisco、Dcn、H3c、Huawei、Juniper、Ruijie等无线厂商AC。监控指标至少包含AP状态、AP的CPU利用率、AP的内存利用率、AP有线出入流量、AP无线出入流量、AP终端数、RADIO终端数及上述指标的历史信息。</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监控多厂商的虚拟化资源，至少包括sangfor、VMware、Hyper-V、Citrix等。监控指标至少包含主机/虚拟机CPU利用率、主机/虚拟机内存利用率、主机/虚拟机读写延迟、主机/虚拟机读写速率、主机/虚拟机IOPS、主机/虚拟机网卡双向流量、虚拟机分区利用率、虚拟化关联存储使用率、虚拟化关联存储IOPS及上述指标的历史信息。</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支持带外监控、PID监控方式和进程监控的形式。</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支持应用类型至少包括MySQL、SQL Server、Oracle、Tomact、IIS、Apache。</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支持流量拓扑，可通过已经添加的交换机、无线AP等IT资源自动生成流量拓扑图，显示设备之间实时带宽利用、实时流量大小、互联网口、设备IP地址、设备告警等指标，可自定义拖动图标位置。</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告警模块要求</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支持通过系统内阈值触发告警，支持通过设备日志触发告警，支持通过第三方系统推送触发告警。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支持持续性告警，可设置某事件持续发生一段时间后产生告警；支持频率告警，可设置某事件在某段时间内发生次数达到阈值时产生告警。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支持复合告警，由两个子条件组成，每个子条件中可设置不同告警类型和告警资源；当两个子条件同时满足时触发告警。</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支持将所有告警在统一的界面展示，可通过资源、时间、类型、等级、状态、告警内容查询告警；支持告警状态的自动恢复、手工恢复，支持对已发生的告警进行标记以便日后处理；</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支持微信、短信、邮件、首页闪烁提示等方式进行告警通知，自带微信告警服务平台。</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支持告警原因分析，自动分析关联告警，提取关键根源告警信息，实现告警收敛，避免大量告警淹没关键信息，并提供故障处理建议。</w:t>
            </w:r>
          </w:p>
        </w:tc>
      </w:tr>
      <w:tr>
        <w:tblPrEx>
          <w:tblCellMar>
            <w:top w:w="0" w:type="dxa"/>
            <w:left w:w="108" w:type="dxa"/>
            <w:bottom w:w="0" w:type="dxa"/>
            <w:right w:w="108" w:type="dxa"/>
          </w:tblCellMar>
        </w:tblPrEx>
        <w:tc>
          <w:tcPr>
            <w:tcW w:w="1277"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IP管理模块参数要求</w:t>
            </w:r>
          </w:p>
        </w:tc>
        <w:tc>
          <w:tcPr>
            <w:tcW w:w="7938" w:type="dxa"/>
            <w:tcBorders>
              <w:top w:val="single" w:color="000000" w:sz="4" w:space="0"/>
              <w:left w:val="single" w:color="000000" w:sz="4" w:space="0"/>
              <w:bottom w:val="single" w:color="000000" w:sz="4" w:space="0"/>
              <w:right w:val="single" w:color="000000" w:sz="4" w:space="0"/>
            </w:tcBorders>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支持记录终端用户的 IP 地址、MAC 地址、连接的二层设备、首次和最后发现时间、位置描述、连接时长等。</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支持与认证系统对接，获取终端对应的账号信息，提供截图证明文件；支持通过账号、IP、MAC、接口、墙插等信息进行查询 IP 使用的当前情况和历史记录，显示对应网络设备的信息。包含有线和无线，展示终端用户的上连设备、位置信息和最近出现时间。</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终端管理组件：50000终端监控，系统支持通过IP、MAC、接口等信息进行查询IP使用的当前情况和历史记录，显示对应网络设备的信息，并能导出相应的Excel文档信息进行存档备份。</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 存储主机技术指标</w:t>
      </w:r>
    </w:p>
    <w:tbl>
      <w:tblPr>
        <w:tblStyle w:val="59"/>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widowControl/>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功能指标</w:t>
            </w:r>
          </w:p>
        </w:tc>
        <w:tc>
          <w:tcPr>
            <w:tcW w:w="7938" w:type="dxa"/>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控制器</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双控制器，高速缓存配置64GB高速缓存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兼容性</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本次配置存储主机必须兼容原有的2个DSU2625的25盘位的存储柜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主机接口</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8个8Gb FC主机接口,4个1Gb iSCSI接口，4个10Gb iSCSI接口；RAID 级别：RAID 0、1、10、5、6等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可管理性和可维护性</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含基本存储管理、日志及call Home告警功能及高级性能监控功能;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软件</w:t>
            </w:r>
          </w:p>
        </w:tc>
        <w:tc>
          <w:tcPr>
            <w:tcW w:w="7938"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配置存储管理软件；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服务要求</w:t>
            </w:r>
          </w:p>
        </w:tc>
        <w:tc>
          <w:tcPr>
            <w:tcW w:w="7938" w:type="dxa"/>
            <w:vAlign w:val="top"/>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三年原厂质保服务</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9.集成服务技术指标</w:t>
      </w:r>
    </w:p>
    <w:tbl>
      <w:tblPr>
        <w:tblStyle w:val="59"/>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93" w:type="dxa"/>
            <w:vAlign w:val="center"/>
          </w:tcPr>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项目实施及材料要求</w:t>
            </w:r>
          </w:p>
        </w:tc>
        <w:tc>
          <w:tcPr>
            <w:tcW w:w="8222" w:type="dxa"/>
            <w:vAlign w:val="center"/>
          </w:tcPr>
          <w:p>
            <w:pPr>
              <w:autoSpaceDN w:val="0"/>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1.投标方对采购方的整体规划有清楚的认识，包括设备选型、配置、部署位置、集成等环节。结合采购方实际情况科学合理地制定技术方案和参与投标；</w:t>
            </w:r>
            <w:r>
              <w:rPr>
                <w:rFonts w:hint="eastAsia" w:ascii="仿宋_GB2312" w:hAnsi="仿宋_GB2312" w:eastAsia="仿宋_GB2312" w:cs="仿宋_GB2312"/>
                <w:kern w:val="0"/>
                <w:sz w:val="24"/>
                <w:szCs w:val="24"/>
              </w:rPr>
              <w:t>投标时需详细的列出本项目机房动环中各类传感器实际部署区域和位置，并提供勘测报告。</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2.项目实施过程中需要的材料要求：六类网线、水晶头、电源、光纤跳线、电池箱、各产品专用配件等安装实施辅材一批，</w:t>
            </w:r>
            <w:r>
              <w:rPr>
                <w:rFonts w:hint="eastAsia" w:ascii="仿宋_GB2312" w:hAnsi="仿宋_GB2312" w:eastAsia="仿宋_GB2312" w:cs="仿宋_GB2312"/>
                <w:kern w:val="0"/>
                <w:sz w:val="24"/>
                <w:szCs w:val="24"/>
              </w:rPr>
              <w:t>满足校方实际需求、数量一次性包干</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安装调试：三相单回路智能电表、闭合式电流互感器、温湿度传感器、漏水检测、门禁设备、磁力锁、门磁感应、烟雾探测器、可视化烟雾探测器、动环主机、数据采集网关、核心交换机、接入汇聚交换机上架安装对接调试施工；精密空调、UPS安装调试等； </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对本次采购的核心交换机和接入汇聚交换机提供调试及线路整理，满足建设要求。</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5、机房动环监控应用组件需与学院现有教育综合安防管理平台对接开发，实现门磁、温湿度、烟感、水浸等多种探测器的数据汇聚和上报功能。</w:t>
            </w:r>
          </w:p>
          <w:p>
            <w:pPr>
              <w:autoSpaceDN w:val="0"/>
              <w:spacing w:line="276" w:lineRule="auto"/>
              <w:textAlignment w:val="top"/>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6.本次项目为交钥匙项目，区域分散、结构复杂，投标方应根据用户方实际使用需求进行方案设计；其他从弱电间到设备之间连接，配线架、理线架等配件均需满足本次招标的设备的安装需求。</w:t>
            </w:r>
          </w:p>
          <w:p>
            <w:pPr>
              <w:pStyle w:val="19"/>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7、本次项目所投设备需要按照学校要求进行资产标签标识。</w:t>
            </w:r>
          </w:p>
        </w:tc>
      </w:tr>
    </w:tbl>
    <w:p>
      <w:pPr>
        <w:pStyle w:val="4"/>
        <w:pageBreakBefore w:val="0"/>
        <w:widowControl w:val="0"/>
        <w:numPr>
          <w:ilvl w:val="0"/>
          <w:numId w:val="32"/>
        </w:numPr>
        <w:kinsoku/>
        <w:wordWrap/>
        <w:overflowPunct/>
        <w:topLinePunct w:val="0"/>
        <w:autoSpaceDE/>
        <w:autoSpaceDN/>
        <w:bidi w:val="0"/>
        <w:adjustRightInd/>
        <w:snapToGrid/>
        <w:spacing w:before="0" w:after="0" w:line="579" w:lineRule="exact"/>
        <w:ind w:firstLine="640" w:firstLineChars="200"/>
        <w:jc w:val="both"/>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实施人员能力要求</w:t>
      </w:r>
    </w:p>
    <w:tbl>
      <w:tblPr>
        <w:tblStyle w:val="59"/>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93" w:type="dxa"/>
            <w:vAlign w:val="center"/>
          </w:tcPr>
          <w:p>
            <w:pPr>
              <w:pStyle w:val="19"/>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系统集成项目组要求</w:t>
            </w:r>
          </w:p>
        </w:tc>
        <w:tc>
          <w:tcPr>
            <w:tcW w:w="8222" w:type="dxa"/>
            <w:vAlign w:val="center"/>
          </w:tcPr>
          <w:p>
            <w:pPr>
              <w:pStyle w:val="19"/>
              <w:ind w:firstLine="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人员配备、职责分工明确，并提供项目组人员履历表。根据人员配置情况进行综合评分，未提供不得分。（</w:t>
            </w:r>
            <w:r>
              <w:rPr>
                <w:rFonts w:hint="eastAsia" w:ascii="仿宋_GB2312" w:hAnsi="仿宋_GB2312" w:eastAsia="仿宋_GB2312" w:cs="仿宋_GB2312"/>
                <w:color w:val="auto"/>
                <w:sz w:val="24"/>
                <w:szCs w:val="24"/>
                <w:lang w:val="en-US" w:eastAsia="zh-CN"/>
              </w:rPr>
              <w:t>5分</w:t>
            </w:r>
            <w:r>
              <w:rPr>
                <w:rFonts w:hint="eastAsia" w:ascii="仿宋_GB2312" w:hAnsi="仿宋_GB2312" w:eastAsia="仿宋_GB2312" w:cs="仿宋_GB2312"/>
                <w:color w:val="auto"/>
                <w:sz w:val="24"/>
                <w:szCs w:val="24"/>
                <w:lang w:eastAsia="zh-CN"/>
              </w:rPr>
              <w:t>）</w:t>
            </w:r>
          </w:p>
        </w:tc>
      </w:tr>
    </w:tbl>
    <w:p>
      <w:pPr>
        <w:numPr>
          <w:ilvl w:val="0"/>
          <w:numId w:val="0"/>
        </w:numPr>
        <w:rPr>
          <w:rFonts w:hint="default"/>
          <w:lang w:val="en-US" w:eastAsia="zh-CN"/>
        </w:rPr>
      </w:pPr>
    </w:p>
    <w:p>
      <w:pPr>
        <w:pStyle w:val="4"/>
        <w:pageBreakBefore w:val="0"/>
        <w:widowControl w:val="0"/>
        <w:numPr>
          <w:ilvl w:val="0"/>
          <w:numId w:val="0"/>
        </w:numPr>
        <w:kinsoku/>
        <w:wordWrap/>
        <w:overflowPunct/>
        <w:topLinePunct w:val="0"/>
        <w:autoSpaceDE/>
        <w:autoSpaceDN/>
        <w:bidi w:val="0"/>
        <w:adjustRightInd/>
        <w:snapToGrid/>
        <w:spacing w:before="0" w:after="0" w:line="579" w:lineRule="exact"/>
        <w:jc w:val="both"/>
        <w:textAlignment w:val="auto"/>
        <w:rPr>
          <w:rFonts w:hint="eastAsia" w:ascii="黑体" w:hAnsi="黑体" w:eastAsia="黑体" w:cs="黑体"/>
          <w:b w:val="0"/>
          <w:bCs w:val="0"/>
          <w:sz w:val="32"/>
          <w:szCs w:val="32"/>
        </w:rPr>
      </w:pPr>
    </w:p>
    <w:p>
      <w:pPr>
        <w:pStyle w:val="4"/>
        <w:pageBreakBefore w:val="0"/>
        <w:widowControl w:val="0"/>
        <w:numPr>
          <w:ilvl w:val="0"/>
          <w:numId w:val="0"/>
        </w:numPr>
        <w:kinsoku/>
        <w:wordWrap/>
        <w:overflowPunct/>
        <w:topLinePunct w:val="0"/>
        <w:autoSpaceDE/>
        <w:autoSpaceDN/>
        <w:bidi w:val="0"/>
        <w:adjustRightInd/>
        <w:snapToGrid/>
        <w:spacing w:before="0" w:after="0" w:line="579" w:lineRule="exact"/>
        <w:jc w:val="both"/>
        <w:textAlignment w:val="auto"/>
        <w:rPr>
          <w:rFonts w:hint="eastAsia" w:ascii="仿宋" w:hAnsi="仿宋" w:eastAsia="黑体"/>
          <w:b/>
          <w:bCs/>
          <w:sz w:val="28"/>
          <w:szCs w:val="28"/>
          <w:lang w:val="en-US" w:eastAsia="zh-CN"/>
        </w:rPr>
      </w:pPr>
      <w:r>
        <w:rPr>
          <w:rFonts w:hint="eastAsia" w:ascii="黑体" w:hAnsi="黑体" w:eastAsia="黑体" w:cs="黑体"/>
          <w:b w:val="0"/>
          <w:bCs w:val="0"/>
          <w:sz w:val="32"/>
          <w:szCs w:val="32"/>
        </w:rPr>
        <w:t>三、商务要求</w:t>
      </w:r>
      <w:bookmarkEnd w:id="40"/>
      <w:r>
        <w:rPr>
          <w:rFonts w:hint="eastAsia" w:ascii="黑体" w:hAnsi="黑体" w:eastAsia="黑体" w:cs="黑体"/>
          <w:b w:val="0"/>
          <w:bCs w:val="0"/>
          <w:sz w:val="32"/>
          <w:szCs w:val="32"/>
          <w:lang w:val="en-US" w:eastAsia="zh-CN"/>
        </w:rPr>
        <w:t>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交货期：合同签订后30天内</w:t>
            </w:r>
          </w:p>
          <w:p>
            <w:pPr>
              <w:rPr>
                <w:rFonts w:hint="eastAsia"/>
                <w:lang w:val="en-US" w:eastAsia="zh-CN"/>
              </w:rPr>
            </w:pPr>
            <w:r>
              <w:rPr>
                <w:rFonts w:hint="eastAsia" w:ascii="仿宋" w:hAnsi="仿宋" w:eastAsia="仿宋"/>
                <w:color w:val="auto"/>
                <w:sz w:val="28"/>
                <w:szCs w:val="28"/>
                <w:lang w:val="en-US" w:eastAsia="zh-CN"/>
              </w:rPr>
              <w:t>地点：浙江警察学院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中标人向采购人缴纳合同金额1%的履约保证金</w:t>
            </w:r>
            <w:r>
              <w:rPr>
                <w:rFonts w:hint="eastAsia" w:ascii="仿宋" w:hAnsi="仿宋" w:eastAsia="仿宋"/>
                <w:color w:val="auto"/>
                <w:sz w:val="28"/>
                <w:szCs w:val="28"/>
                <w:highlight w:val="none"/>
                <w:lang w:eastAsia="zh-CN"/>
              </w:rPr>
              <w:t>。</w:t>
            </w:r>
          </w:p>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br w:type="textWrapping"/>
            </w:r>
            <w:r>
              <w:rPr>
                <w:rFonts w:hint="eastAsia" w:ascii="仿宋" w:hAnsi="仿宋" w:eastAsia="仿宋"/>
                <w:color w:val="auto"/>
                <w:sz w:val="28"/>
                <w:szCs w:val="28"/>
                <w:highlight w:val="none"/>
              </w:rPr>
              <w:t>付款方式：</w:t>
            </w:r>
          </w:p>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政府采购预付款应在合同生效以及具备实施条件后7个工作日内支付。</w:t>
            </w:r>
          </w:p>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合同签订后支付合同价的30%</w:t>
            </w:r>
            <w:r>
              <w:rPr>
                <w:rFonts w:hint="eastAsia" w:ascii="仿宋" w:hAnsi="仿宋" w:eastAsia="仿宋"/>
                <w:color w:val="auto"/>
                <w:sz w:val="28"/>
                <w:szCs w:val="28"/>
                <w:highlight w:val="none"/>
                <w:lang w:val="en-US" w:eastAsia="zh-CN"/>
              </w:rPr>
              <w:t>的预付款</w:t>
            </w:r>
            <w:r>
              <w:rPr>
                <w:rFonts w:hint="eastAsia" w:ascii="仿宋" w:hAnsi="仿宋" w:eastAsia="仿宋"/>
                <w:color w:val="auto"/>
                <w:sz w:val="28"/>
                <w:szCs w:val="28"/>
                <w:highlight w:val="none"/>
              </w:rPr>
              <w:t>，货物安装调试完成后支付51%项目款，项目验收合格后支付剩余项目款。</w:t>
            </w:r>
          </w:p>
          <w:p>
            <w:pPr>
              <w:rPr>
                <w:rFonts w:hint="eastAsia" w:ascii="仿宋" w:hAnsi="仿宋" w:eastAsia="仿宋" w:cs="Times New Roman"/>
                <w:b/>
                <w:bCs/>
                <w:kern w:val="2"/>
                <w:sz w:val="28"/>
                <w:szCs w:val="28"/>
                <w:lang w:val="en-US" w:eastAsia="zh-CN" w:bidi="ar-SA"/>
              </w:rPr>
            </w:pPr>
          </w:p>
          <w:p>
            <w:pPr>
              <w:rPr>
                <w:rFonts w:ascii="仿宋" w:hAnsi="仿宋" w:eastAsia="仿宋"/>
                <w:b/>
                <w:sz w:val="28"/>
                <w:szCs w:val="28"/>
              </w:rPr>
            </w:pPr>
            <w:r>
              <w:rPr>
                <w:rFonts w:hint="eastAsia" w:ascii="仿宋" w:hAnsi="仿宋" w:eastAsia="仿宋" w:cs="Times New Roman"/>
                <w:b/>
                <w:bCs/>
                <w:kern w:val="2"/>
                <w:sz w:val="28"/>
                <w:szCs w:val="28"/>
                <w:lang w:val="en-US" w:eastAsia="zh-CN" w:bidi="ar-SA"/>
              </w:rPr>
              <w:t>备注：在签订合同时，供应商明确表示无需预付款或者主动要求降低预付款比例的，采购单位可不适用前述预付款比例的规定。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rPr>
                <w:rFonts w:hint="eastAsia" w:ascii="仿宋" w:hAnsi="仿宋" w:eastAsia="仿宋"/>
                <w:sz w:val="28"/>
                <w:szCs w:val="28"/>
                <w:lang w:eastAsia="zh-CN"/>
              </w:rPr>
            </w:pPr>
            <w:r>
              <w:rPr>
                <w:rFonts w:hint="eastAsia" w:ascii="仿宋" w:hAnsi="仿宋" w:eastAsia="仿宋"/>
                <w:sz w:val="28"/>
                <w:szCs w:val="28"/>
              </w:rPr>
              <w:t>提供原厂工程师安装服务，中标后提供原厂保修服务承诺函，最终用户为浙江警察学院。</w:t>
            </w:r>
            <w:r>
              <w:rPr>
                <w:rFonts w:hint="eastAsia" w:ascii="仿宋" w:hAnsi="仿宋" w:eastAsia="仿宋"/>
                <w:sz w:val="28"/>
                <w:szCs w:val="28"/>
                <w:highlight w:val="none"/>
              </w:rPr>
              <w:t>服务要求:</w:t>
            </w:r>
            <w:r>
              <w:rPr>
                <w:rFonts w:hint="eastAsia" w:ascii="仿宋" w:hAnsi="仿宋" w:eastAsia="仿宋" w:cs="Times New Roman"/>
                <w:sz w:val="28"/>
                <w:szCs w:val="28"/>
                <w:highlight w:val="none"/>
              </w:rPr>
              <w:t>合同签署后提供</w:t>
            </w:r>
            <w:r>
              <w:rPr>
                <w:rFonts w:hint="eastAsia" w:ascii="仿宋" w:hAnsi="仿宋" w:eastAsia="仿宋"/>
                <w:sz w:val="28"/>
                <w:szCs w:val="28"/>
                <w:highlight w:val="none"/>
              </w:rPr>
              <w:t>设备安装、迁移的详细实施方案</w:t>
            </w:r>
            <w:r>
              <w:rPr>
                <w:rFonts w:hint="eastAsia" w:ascii="仿宋" w:hAnsi="仿宋" w:eastAsia="仿宋"/>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rPr>
                <w:rFonts w:hint="eastAsia" w:ascii="仿宋" w:hAnsi="仿宋" w:eastAsia="仿宋"/>
                <w:sz w:val="28"/>
                <w:szCs w:val="28"/>
                <w:lang w:eastAsia="zh-CN"/>
              </w:rPr>
            </w:pPr>
            <w:r>
              <w:rPr>
                <w:rFonts w:hint="eastAsia" w:ascii="仿宋" w:hAnsi="仿宋" w:eastAsia="仿宋"/>
                <w:sz w:val="28"/>
                <w:szCs w:val="28"/>
              </w:rPr>
              <w:t>招标文件中技术指标章节，需要按点对点应答进行逐条响应</w:t>
            </w:r>
            <w:r>
              <w:rPr>
                <w:rFonts w:hint="eastAsia" w:ascii="仿宋" w:hAnsi="仿宋" w:eastAsia="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1.交货后进行1次以上设备生产商现场培训，确保设备能正常使用和操作。</w:t>
            </w:r>
          </w:p>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2.投标人应对采购人的操作人员、维修人员进行培训。</w:t>
            </w:r>
          </w:p>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3.投标人应提供相应的培训计划。</w:t>
            </w:r>
          </w:p>
          <w:p>
            <w:pPr>
              <w:rPr>
                <w:rFonts w:hint="eastAsia" w:ascii="仿宋" w:hAnsi="仿宋" w:eastAsia="仿宋"/>
                <w:color w:val="auto"/>
                <w:sz w:val="28"/>
                <w:szCs w:val="28"/>
              </w:rPr>
            </w:pPr>
            <w:r>
              <w:rPr>
                <w:rFonts w:hint="eastAsia" w:ascii="仿宋" w:hAnsi="仿宋" w:eastAsia="仿宋"/>
                <w:color w:val="auto"/>
                <w:sz w:val="28"/>
                <w:szCs w:val="28"/>
                <w:lang w:val="en-US" w:eastAsia="zh-CN"/>
              </w:rPr>
              <w:t>4.投标人应对上述内容的实现方式、地点、人数、时间在投标文件中详细说明。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rPr>
                <w:rFonts w:hint="eastAsia" w:ascii="仿宋" w:hAnsi="仿宋" w:eastAsia="仿宋"/>
                <w:color w:val="auto"/>
                <w:sz w:val="28"/>
                <w:szCs w:val="28"/>
              </w:rPr>
            </w:pPr>
            <w:r>
              <w:rPr>
                <w:rFonts w:hint="eastAsia" w:ascii="仿宋" w:hAnsi="仿宋" w:eastAsia="仿宋"/>
                <w:color w:val="auto"/>
                <w:sz w:val="28"/>
                <w:szCs w:val="28"/>
              </w:rPr>
              <w:t>如有，请自行提供。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rPr>
                <w:rFonts w:hint="eastAsia" w:ascii="仿宋" w:hAnsi="仿宋" w:eastAsia="仿宋"/>
                <w:sz w:val="28"/>
                <w:szCs w:val="28"/>
              </w:rPr>
            </w:pPr>
            <w:r>
              <w:rPr>
                <w:rFonts w:hint="eastAsia" w:ascii="仿宋" w:hAnsi="仿宋" w:eastAsia="仿宋"/>
                <w:sz w:val="28"/>
                <w:szCs w:val="28"/>
              </w:rPr>
              <w:t>自2019年1月1日以来类似项目业绩，提供合同复印件需加盖公章（每提供一个得1分，最高3分）。</w:t>
            </w:r>
          </w:p>
        </w:tc>
      </w:tr>
    </w:tbl>
    <w:p>
      <w:pPr>
        <w:snapToGrid w:val="0"/>
        <w:spacing w:line="360" w:lineRule="auto"/>
        <w:outlineLvl w:val="1"/>
        <w:rPr>
          <w:rFonts w:ascii="仿宋" w:hAnsi="仿宋" w:eastAsia="仿宋" w:cs="仿宋"/>
          <w:b/>
          <w:bCs/>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pStyle w:val="2"/>
        <w:rPr>
          <w:rFonts w:hAnsi="宋体"/>
          <w:b/>
          <w:sz w:val="36"/>
          <w:szCs w:val="36"/>
        </w:rPr>
      </w:pPr>
    </w:p>
    <w:p>
      <w:pPr>
        <w:pStyle w:val="2"/>
        <w:ind w:left="0" w:leftChars="0" w:firstLine="0" w:firstLineChars="0"/>
        <w:rPr>
          <w:rFonts w:hAnsi="宋体"/>
          <w:b/>
          <w:sz w:val="36"/>
          <w:szCs w:val="36"/>
        </w:rPr>
      </w:pPr>
    </w:p>
    <w:p>
      <w:pPr>
        <w:pStyle w:val="32"/>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9"/>
    </w:p>
    <w:p/>
    <w:p>
      <w:pPr>
        <w:pStyle w:val="32"/>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合同编号：        </w:t>
      </w:r>
    </w:p>
    <w:p>
      <w:pPr>
        <w:pStyle w:val="32"/>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2"/>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2"/>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2"/>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2"/>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2"/>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2"/>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2"/>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2"/>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2"/>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2"/>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2"/>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2"/>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2"/>
        <w:adjustRightInd w:val="0"/>
        <w:snapToGrid w:val="0"/>
        <w:spacing w:before="120" w:after="120" w:line="460" w:lineRule="exact"/>
        <w:ind w:firstLine="639" w:firstLineChars="213"/>
        <w:rPr>
          <w:rFonts w:hint="default" w:ascii="仿宋" w:hAnsi="仿宋" w:eastAsia="仿宋"/>
          <w:bCs/>
          <w:snapToGrid w:val="0"/>
          <w:sz w:val="30"/>
          <w:szCs w:val="30"/>
          <w:lang w:val="en-US" w:eastAsia="zh-CN"/>
        </w:rPr>
      </w:pPr>
      <w:r>
        <w:rPr>
          <w:rFonts w:hint="eastAsia" w:ascii="仿宋" w:hAnsi="仿宋" w:eastAsia="仿宋"/>
          <w:bCs/>
          <w:snapToGrid w:val="0"/>
          <w:sz w:val="30"/>
          <w:szCs w:val="30"/>
          <w:lang w:val="en-US" w:eastAsia="zh-CN"/>
        </w:rPr>
        <w:t>标项1：</w:t>
      </w:r>
    </w:p>
    <w:p>
      <w:pPr>
        <w:pStyle w:val="32"/>
        <w:adjustRightInd w:val="0"/>
        <w:snapToGrid w:val="0"/>
        <w:spacing w:before="120" w:after="120" w:line="460" w:lineRule="exact"/>
        <w:ind w:firstLine="639" w:firstLineChars="213"/>
        <w:rPr>
          <w:rFonts w:hint="eastAsia" w:ascii="仿宋" w:hAnsi="仿宋" w:eastAsia="仿宋"/>
          <w:bCs/>
          <w:snapToGrid w:val="0"/>
          <w:sz w:val="30"/>
          <w:szCs w:val="30"/>
          <w:lang w:val="en-US" w:eastAsia="zh-CN"/>
        </w:rPr>
      </w:pPr>
      <w:r>
        <w:rPr>
          <w:rFonts w:hint="eastAsia" w:ascii="仿宋" w:hAnsi="仿宋" w:eastAsia="仿宋"/>
          <w:bCs/>
          <w:snapToGrid w:val="0"/>
          <w:sz w:val="30"/>
          <w:szCs w:val="30"/>
          <w:lang w:val="en-US" w:eastAsia="zh-CN"/>
        </w:rPr>
        <w:t>预付款比例</w:t>
      </w:r>
      <w:r>
        <w:rPr>
          <w:rFonts w:hint="eastAsia" w:ascii="仿宋" w:hAnsi="仿宋" w:eastAsia="仿宋"/>
          <w:bCs/>
          <w:snapToGrid w:val="0"/>
          <w:sz w:val="30"/>
          <w:szCs w:val="30"/>
        </w:rPr>
        <w:t>：</w:t>
      </w:r>
      <w:r>
        <w:rPr>
          <w:rFonts w:hint="eastAsia" w:ascii="仿宋" w:hAnsi="仿宋" w:eastAsia="仿宋"/>
          <w:bCs/>
          <w:snapToGrid w:val="0"/>
          <w:sz w:val="30"/>
          <w:szCs w:val="30"/>
          <w:lang w:val="en-US" w:eastAsia="zh-CN"/>
        </w:rPr>
        <w:t>项目合同总金额的30%。</w:t>
      </w:r>
    </w:p>
    <w:p>
      <w:pPr>
        <w:pStyle w:val="32"/>
        <w:adjustRightInd w:val="0"/>
        <w:snapToGrid w:val="0"/>
        <w:spacing w:before="120" w:after="120" w:line="460" w:lineRule="exact"/>
        <w:ind w:firstLine="639" w:firstLineChars="213"/>
        <w:rPr>
          <w:rFonts w:hint="eastAsia" w:ascii="仿宋" w:hAnsi="仿宋" w:eastAsia="仿宋"/>
          <w:bCs/>
          <w:snapToGrid w:val="0"/>
          <w:sz w:val="30"/>
          <w:szCs w:val="30"/>
          <w:lang w:val="en-US" w:eastAsia="zh-CN"/>
        </w:rPr>
      </w:pPr>
      <w:r>
        <w:rPr>
          <w:rFonts w:hint="eastAsia" w:ascii="仿宋" w:hAnsi="仿宋" w:eastAsia="仿宋"/>
          <w:bCs/>
          <w:snapToGrid w:val="0"/>
          <w:sz w:val="30"/>
          <w:szCs w:val="30"/>
          <w:lang w:val="en-US" w:eastAsia="zh-CN"/>
        </w:rPr>
        <w:t>支付时间：</w:t>
      </w:r>
    </w:p>
    <w:p>
      <w:pPr>
        <w:pStyle w:val="32"/>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bCs/>
          <w:snapToGrid w:val="0"/>
          <w:sz w:val="30"/>
          <w:szCs w:val="30"/>
          <w:lang w:val="en-US" w:eastAsia="zh-CN"/>
        </w:rPr>
        <w:t>预付款时间：</w:t>
      </w:r>
      <w:r>
        <w:rPr>
          <w:rFonts w:hint="eastAsia" w:ascii="仿宋" w:hAnsi="仿宋" w:eastAsia="仿宋"/>
          <w:snapToGrid w:val="0"/>
          <w:sz w:val="30"/>
          <w:szCs w:val="30"/>
        </w:rPr>
        <w:t>政府采购预付款应在合同生效以及具备实施条件后7个工作日内支付。</w:t>
      </w:r>
    </w:p>
    <w:p>
      <w:pPr>
        <w:pStyle w:val="32"/>
        <w:adjustRightInd w:val="0"/>
        <w:snapToGrid w:val="0"/>
        <w:spacing w:before="120" w:after="120" w:line="460" w:lineRule="exact"/>
        <w:ind w:firstLine="639" w:firstLineChars="213"/>
        <w:rPr>
          <w:rFonts w:hint="default" w:ascii="仿宋" w:hAnsi="仿宋" w:eastAsia="仿宋"/>
          <w:snapToGrid w:val="0"/>
          <w:sz w:val="30"/>
          <w:szCs w:val="30"/>
          <w:lang w:val="en-US" w:eastAsia="zh-CN"/>
        </w:rPr>
      </w:pPr>
      <w:r>
        <w:rPr>
          <w:rFonts w:hint="eastAsia" w:ascii="仿宋" w:hAnsi="仿宋" w:eastAsia="仿宋"/>
          <w:snapToGrid w:val="0"/>
          <w:sz w:val="30"/>
          <w:szCs w:val="30"/>
          <w:lang w:val="en-US" w:eastAsia="zh-CN"/>
        </w:rPr>
        <w:t>剩余款项支付时间：</w:t>
      </w:r>
      <w:r>
        <w:rPr>
          <w:rFonts w:hint="eastAsia" w:ascii="仿宋" w:hAnsi="仿宋" w:eastAsia="仿宋"/>
          <w:snapToGrid w:val="0"/>
          <w:sz w:val="30"/>
          <w:szCs w:val="30"/>
        </w:rPr>
        <w:t>验收完成后支付剩余部分。</w:t>
      </w:r>
    </w:p>
    <w:p>
      <w:pPr>
        <w:pStyle w:val="32"/>
        <w:adjustRightInd w:val="0"/>
        <w:snapToGrid w:val="0"/>
        <w:spacing w:before="120" w:after="120" w:line="460" w:lineRule="exact"/>
        <w:ind w:firstLine="600" w:firstLineChars="200"/>
        <w:jc w:val="left"/>
        <w:rPr>
          <w:rFonts w:hint="eastAsia" w:ascii="仿宋" w:hAnsi="仿宋" w:eastAsia="仿宋"/>
          <w:snapToGrid w:val="0"/>
          <w:sz w:val="30"/>
          <w:szCs w:val="30"/>
          <w:lang w:val="en-US" w:eastAsia="zh-CN"/>
        </w:rPr>
      </w:pPr>
    </w:p>
    <w:p>
      <w:pPr>
        <w:pStyle w:val="32"/>
        <w:adjustRightInd w:val="0"/>
        <w:snapToGrid w:val="0"/>
        <w:spacing w:before="120" w:after="120" w:line="460" w:lineRule="exact"/>
        <w:ind w:firstLine="600" w:firstLineChars="200"/>
        <w:jc w:val="left"/>
        <w:rPr>
          <w:rFonts w:hint="eastAsia" w:ascii="仿宋" w:hAnsi="仿宋" w:eastAsia="仿宋"/>
          <w:snapToGrid w:val="0"/>
          <w:sz w:val="30"/>
          <w:szCs w:val="30"/>
          <w:lang w:val="en-US" w:eastAsia="zh-CN"/>
        </w:rPr>
      </w:pPr>
      <w:r>
        <w:rPr>
          <w:rFonts w:hint="eastAsia" w:ascii="仿宋" w:hAnsi="仿宋" w:eastAsia="仿宋"/>
          <w:snapToGrid w:val="0"/>
          <w:sz w:val="30"/>
          <w:szCs w:val="30"/>
          <w:lang w:val="en-US" w:eastAsia="zh-CN"/>
        </w:rPr>
        <w:t>标项2：</w:t>
      </w:r>
    </w:p>
    <w:p>
      <w:pPr>
        <w:pStyle w:val="32"/>
        <w:adjustRightInd w:val="0"/>
        <w:snapToGrid w:val="0"/>
        <w:spacing w:before="120" w:after="120" w:line="460" w:lineRule="exact"/>
        <w:ind w:firstLine="639" w:firstLineChars="213"/>
        <w:rPr>
          <w:rFonts w:hint="eastAsia" w:ascii="仿宋" w:hAnsi="仿宋" w:eastAsia="仿宋"/>
          <w:bCs/>
          <w:snapToGrid w:val="0"/>
          <w:sz w:val="30"/>
          <w:szCs w:val="30"/>
          <w:lang w:val="en-US" w:eastAsia="zh-CN"/>
        </w:rPr>
      </w:pPr>
      <w:r>
        <w:rPr>
          <w:rFonts w:hint="eastAsia" w:ascii="仿宋" w:hAnsi="仿宋" w:eastAsia="仿宋"/>
          <w:bCs/>
          <w:snapToGrid w:val="0"/>
          <w:sz w:val="30"/>
          <w:szCs w:val="30"/>
          <w:lang w:val="en-US" w:eastAsia="zh-CN"/>
        </w:rPr>
        <w:t>预付款比例</w:t>
      </w:r>
      <w:r>
        <w:rPr>
          <w:rFonts w:hint="eastAsia" w:ascii="仿宋" w:hAnsi="仿宋" w:eastAsia="仿宋"/>
          <w:bCs/>
          <w:snapToGrid w:val="0"/>
          <w:sz w:val="30"/>
          <w:szCs w:val="30"/>
        </w:rPr>
        <w:t>：</w:t>
      </w:r>
      <w:r>
        <w:rPr>
          <w:rFonts w:hint="eastAsia" w:ascii="仿宋" w:hAnsi="仿宋" w:eastAsia="仿宋"/>
          <w:bCs/>
          <w:snapToGrid w:val="0"/>
          <w:sz w:val="30"/>
          <w:szCs w:val="30"/>
          <w:lang w:val="en-US" w:eastAsia="zh-CN"/>
        </w:rPr>
        <w:t>项目合同总金额的30%。</w:t>
      </w:r>
    </w:p>
    <w:p>
      <w:pPr>
        <w:pStyle w:val="32"/>
        <w:adjustRightInd w:val="0"/>
        <w:snapToGrid w:val="0"/>
        <w:spacing w:before="120" w:after="120" w:line="460" w:lineRule="exact"/>
        <w:ind w:firstLine="639" w:firstLineChars="213"/>
        <w:rPr>
          <w:rFonts w:hint="eastAsia" w:ascii="仿宋" w:hAnsi="仿宋" w:eastAsia="仿宋"/>
          <w:bCs/>
          <w:snapToGrid w:val="0"/>
          <w:sz w:val="30"/>
          <w:szCs w:val="30"/>
          <w:lang w:val="en-US" w:eastAsia="zh-CN"/>
        </w:rPr>
      </w:pPr>
      <w:r>
        <w:rPr>
          <w:rFonts w:hint="eastAsia" w:ascii="仿宋" w:hAnsi="仿宋" w:eastAsia="仿宋"/>
          <w:bCs/>
          <w:snapToGrid w:val="0"/>
          <w:sz w:val="30"/>
          <w:szCs w:val="30"/>
          <w:lang w:val="en-US" w:eastAsia="zh-CN"/>
        </w:rPr>
        <w:t>支付时间：</w:t>
      </w:r>
    </w:p>
    <w:p>
      <w:pPr>
        <w:pStyle w:val="32"/>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bCs/>
          <w:snapToGrid w:val="0"/>
          <w:sz w:val="30"/>
          <w:szCs w:val="30"/>
          <w:lang w:val="en-US" w:eastAsia="zh-CN"/>
        </w:rPr>
        <w:t>预付款时间：</w:t>
      </w:r>
      <w:r>
        <w:rPr>
          <w:rFonts w:hint="eastAsia" w:ascii="仿宋" w:hAnsi="仿宋" w:eastAsia="仿宋"/>
          <w:snapToGrid w:val="0"/>
          <w:sz w:val="30"/>
          <w:szCs w:val="30"/>
        </w:rPr>
        <w:t>政府采购预付款应在合同生效以及具备实施条件后7个工作日内支付。</w:t>
      </w:r>
    </w:p>
    <w:p>
      <w:pPr>
        <w:pStyle w:val="32"/>
        <w:adjustRightInd w:val="0"/>
        <w:snapToGrid w:val="0"/>
        <w:spacing w:before="120" w:after="120" w:line="460" w:lineRule="exact"/>
        <w:ind w:firstLine="639" w:firstLineChars="213"/>
        <w:rPr>
          <w:rFonts w:hint="default" w:ascii="仿宋" w:hAnsi="仿宋" w:eastAsia="仿宋"/>
          <w:snapToGrid w:val="0"/>
          <w:sz w:val="30"/>
          <w:szCs w:val="30"/>
          <w:lang w:val="en-US" w:eastAsia="zh-CN"/>
        </w:rPr>
      </w:pPr>
      <w:r>
        <w:rPr>
          <w:rFonts w:hint="eastAsia" w:ascii="仿宋" w:hAnsi="仿宋" w:eastAsia="仿宋"/>
          <w:snapToGrid w:val="0"/>
          <w:sz w:val="30"/>
          <w:szCs w:val="30"/>
          <w:lang w:val="en-US" w:eastAsia="zh-CN"/>
        </w:rPr>
        <w:t>剩余款项支付时间：</w:t>
      </w:r>
      <w:r>
        <w:rPr>
          <w:rFonts w:hint="eastAsia" w:ascii="仿宋" w:hAnsi="仿宋" w:eastAsia="仿宋"/>
          <w:snapToGrid w:val="0"/>
          <w:sz w:val="30"/>
          <w:szCs w:val="30"/>
        </w:rPr>
        <w:t>货物安装调试完成后支付51%项目款，项目验收合格后支付剩余项目款。</w:t>
      </w:r>
    </w:p>
    <w:p>
      <w:pPr>
        <w:pStyle w:val="2"/>
        <w:ind w:left="0" w:leftChars="0" w:firstLine="602"/>
        <w:rPr>
          <w:rFonts w:ascii="仿宋" w:hAnsi="仿宋" w:eastAsia="仿宋"/>
          <w:bCs/>
          <w:snapToGrid w:val="0"/>
          <w:sz w:val="30"/>
          <w:szCs w:val="30"/>
        </w:rPr>
      </w:pPr>
      <w:r>
        <w:rPr>
          <w:rFonts w:hint="eastAsia" w:ascii="仿宋" w:hAnsi="仿宋" w:eastAsia="仿宋"/>
          <w:b/>
          <w:snapToGrid w:val="0"/>
          <w:sz w:val="30"/>
          <w:szCs w:val="30"/>
        </w:rPr>
        <w:t>备注：在签订合同时，供应商明确表示无需预付款或者主动要求降低预付款比例的，采购单位可不适用前述预付款比例的规定。</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2"/>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2"/>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2"/>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2"/>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2"/>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2"/>
        <w:adjustRightInd w:val="0"/>
        <w:snapToGrid w:val="0"/>
        <w:spacing w:before="120" w:after="120" w:line="460" w:lineRule="exact"/>
        <w:ind w:left="1" w:firstLine="639" w:firstLineChars="213"/>
        <w:rPr>
          <w:rFonts w:ascii="仿宋" w:hAnsi="仿宋" w:eastAsia="仿宋"/>
          <w:snapToGrid w:val="0"/>
          <w:sz w:val="30"/>
          <w:szCs w:val="30"/>
        </w:rPr>
      </w:pP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2"/>
        <w:adjustRightInd w:val="0"/>
        <w:snapToGrid w:val="0"/>
        <w:spacing w:before="120" w:after="120" w:line="460" w:lineRule="exact"/>
        <w:ind w:firstLine="639" w:firstLineChars="213"/>
        <w:rPr>
          <w:rFonts w:ascii="仿宋" w:hAnsi="仿宋" w:eastAsia="仿宋"/>
          <w:snapToGrid w:val="0"/>
          <w:sz w:val="30"/>
          <w:szCs w:val="30"/>
        </w:rPr>
      </w:pP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2"/>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2"/>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52" w:name="_Toc496796640"/>
      <w:r>
        <w:rPr>
          <w:rFonts w:hint="eastAsia" w:hAnsi="宋体"/>
          <w:b/>
          <w:sz w:val="36"/>
          <w:szCs w:val="36"/>
        </w:rPr>
        <w:t>第六章 投标文件格式附件</w:t>
      </w:r>
      <w:bookmarkEnd w:id="52"/>
    </w:p>
    <w:p>
      <w:pPr>
        <w:pStyle w:val="32"/>
        <w:spacing w:before="120" w:after="120" w:line="360" w:lineRule="auto"/>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Cs/>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36"/>
          <w:szCs w:val="36"/>
          <w:lang w:eastAsia="zh-CN"/>
        </w:rPr>
      </w:pPr>
      <w:bookmarkStart w:id="53" w:name="PO_1000000445_PM002_2"/>
      <w:r>
        <w:rPr>
          <w:rFonts w:hint="eastAsia" w:ascii="仿宋" w:hAnsi="仿宋" w:eastAsia="仿宋"/>
          <w:b/>
          <w:color w:val="000000" w:themeColor="text1"/>
          <w:spacing w:val="40"/>
          <w:sz w:val="52"/>
          <w:szCs w:val="52"/>
          <w:lang w:eastAsia="zh-CN"/>
          <w14:textFill>
            <w14:solidFill>
              <w14:schemeClr w14:val="tx1"/>
            </w14:solidFill>
          </w14:textFill>
        </w:rPr>
        <w:t>浙江警察学院云计算平台建设、数据中心机房设备采购及网络运维管理平台建设项目</w:t>
      </w:r>
      <w:bookmarkEnd w:id="53"/>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54" w:name="PO_15528_PM001_2"/>
      <w:r>
        <w:rPr>
          <w:rFonts w:hint="eastAsia" w:ascii="仿宋" w:hAnsi="仿宋" w:eastAsia="仿宋"/>
          <w:sz w:val="36"/>
          <w:szCs w:val="36"/>
          <w:lang w:eastAsia="zh-CN"/>
        </w:rPr>
        <w:t>ZZCG2022X-GK-138</w:t>
      </w:r>
      <w:bookmarkEnd w:id="54"/>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240" w:lineRule="auto"/>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240" w:lineRule="auto"/>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240" w:lineRule="auto"/>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240" w:lineRule="auto"/>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w:t>
      </w:r>
      <w:r>
        <w:rPr>
          <w:rFonts w:ascii="仿宋" w:hAnsi="仿宋" w:eastAsia="仿宋"/>
          <w:sz w:val="30"/>
          <w:szCs w:val="30"/>
        </w:rPr>
        <w:t>4</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w:t>
      </w:r>
      <w:r>
        <w:rPr>
          <w:rFonts w:ascii="仿宋" w:hAnsi="仿宋" w:eastAsia="仿宋"/>
          <w:sz w:val="30"/>
          <w:szCs w:val="30"/>
        </w:rPr>
        <w:t>6</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7</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55" w:name="PO_15528_PM001_3"/>
      <w:r>
        <w:rPr>
          <w:rFonts w:hint="eastAsia" w:ascii="仿宋" w:hAnsi="仿宋" w:eastAsia="仿宋"/>
          <w:sz w:val="30"/>
          <w:szCs w:val="30"/>
          <w:u w:val="single"/>
          <w:lang w:eastAsia="zh-CN"/>
        </w:rPr>
        <w:t>ZZCG2022X-GK-138</w:t>
      </w:r>
      <w:bookmarkEnd w:id="55"/>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9"/>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9"/>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9"/>
        <w:overflowPunct w:val="0"/>
        <w:spacing w:line="460" w:lineRule="exact"/>
        <w:rPr>
          <w:rFonts w:ascii="仿宋" w:hAnsi="仿宋" w:eastAsia="仿宋"/>
          <w:sz w:val="30"/>
          <w:szCs w:val="30"/>
        </w:rPr>
      </w:pP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9"/>
        <w:overflowPunct w:val="0"/>
        <w:spacing w:line="460" w:lineRule="exact"/>
        <w:rPr>
          <w:rFonts w:ascii="仿宋" w:hAnsi="仿宋" w:eastAsia="仿宋"/>
          <w:sz w:val="30"/>
          <w:szCs w:val="30"/>
        </w:rPr>
      </w:pPr>
    </w:p>
    <w:p>
      <w:pPr>
        <w:pStyle w:val="19"/>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00" w:firstLineChars="200"/>
        <w:rPr>
          <w:rFonts w:ascii="仿宋" w:hAnsi="仿宋" w:eastAsia="仿宋"/>
          <w:sz w:val="30"/>
          <w:szCs w:val="30"/>
        </w:rPr>
      </w:pPr>
    </w:p>
    <w:p>
      <w:pPr>
        <w:pStyle w:val="19"/>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19"/>
        <w:overflowPunct w:val="0"/>
        <w:spacing w:line="460" w:lineRule="exact"/>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570" w:firstLineChars="190"/>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6</w:t>
      </w:r>
      <w:r>
        <w:rPr>
          <w:rFonts w:hint="eastAsia" w:ascii="仿宋" w:hAnsi="仿宋" w:eastAsia="仿宋"/>
          <w:sz w:val="30"/>
          <w:szCs w:val="30"/>
        </w:rPr>
        <w:t>：</w:t>
      </w:r>
    </w:p>
    <w:p>
      <w:pPr>
        <w:spacing w:line="588" w:lineRule="exact"/>
        <w:jc w:val="center"/>
        <w:rPr>
          <w:rFonts w:hint="eastAsia" w:ascii="仿宋_GB2312" w:eastAsia="仿宋_GB2312"/>
          <w:b/>
          <w:spacing w:val="6"/>
          <w:sz w:val="32"/>
          <w:szCs w:val="32"/>
        </w:rPr>
      </w:pPr>
      <w:r>
        <w:rPr>
          <w:rFonts w:hint="eastAsia" w:ascii="仿宋_GB2312" w:eastAsia="仿宋_GB2312"/>
          <w:b/>
          <w:spacing w:val="6"/>
          <w:sz w:val="32"/>
          <w:szCs w:val="32"/>
        </w:rPr>
        <w:t>分包意向协议</w:t>
      </w:r>
    </w:p>
    <w:p>
      <w:pPr>
        <w:pStyle w:val="2"/>
        <w:spacing w:line="400" w:lineRule="exact"/>
        <w:rPr>
          <w:rFonts w:hint="eastAsia"/>
        </w:rPr>
      </w:pPr>
    </w:p>
    <w:p>
      <w:pPr>
        <w:snapToGrid w:val="0"/>
        <w:spacing w:line="400" w:lineRule="exact"/>
        <w:ind w:firstLine="840" w:firstLineChars="300"/>
        <w:rPr>
          <w:rFonts w:hint="eastAsia" w:ascii="仿宋" w:hAnsi="仿宋" w:eastAsia="仿宋"/>
          <w:sz w:val="28"/>
          <w:szCs w:val="28"/>
        </w:rPr>
      </w:pPr>
      <w:r>
        <w:rPr>
          <w:rFonts w:hint="eastAsia" w:ascii="仿宋" w:hAnsi="仿宋" w:eastAsia="仿宋"/>
          <w:sz w:val="28"/>
          <w:szCs w:val="28"/>
        </w:rPr>
        <w:t>（投标人名称    ）</w:t>
      </w:r>
      <w:r>
        <w:rPr>
          <w:rFonts w:hint="eastAsia" w:ascii="仿宋" w:hAnsi="仿宋" w:eastAsia="仿宋"/>
          <w:sz w:val="28"/>
          <w:szCs w:val="28"/>
          <w:lang w:val="zh-CN"/>
        </w:rPr>
        <w:t>若成为</w:t>
      </w:r>
      <w:r>
        <w:rPr>
          <w:rFonts w:hint="eastAsia" w:ascii="仿宋" w:hAnsi="仿宋" w:eastAsia="仿宋"/>
          <w:sz w:val="28"/>
          <w:szCs w:val="28"/>
        </w:rPr>
        <w:t>（项目名称     ）【招标编号：    （采购编号        ）】</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（投标人名称    ）与（所有分包供应商名称    ）达成分包意向协议</w:t>
      </w:r>
      <w:r>
        <w:rPr>
          <w:rFonts w:hint="eastAsia" w:ascii="仿宋" w:hAnsi="仿宋" w:eastAsia="仿宋"/>
          <w:sz w:val="28"/>
          <w:szCs w:val="28"/>
          <w:lang w:val="zh-CN"/>
        </w:rPr>
        <w:t xml:space="preserve">。 </w:t>
      </w:r>
      <w:r>
        <w:rPr>
          <w:rFonts w:hint="eastAsia" w:ascii="仿宋" w:hAnsi="仿宋" w:eastAsia="仿宋"/>
          <w:sz w:val="28"/>
          <w:szCs w:val="28"/>
        </w:rPr>
        <w:t>（投标人名称    ）负责签署投标文件，（投标人名称     ）的所有承诺均认为代表了（所有分包供应商名称       ）意愿。</w:t>
      </w:r>
    </w:p>
    <w:p>
      <w:pPr>
        <w:numPr>
          <w:ilvl w:val="0"/>
          <w:numId w:val="33"/>
        </w:numPr>
        <w:snapToGrid w:val="0"/>
        <w:spacing w:line="400" w:lineRule="exact"/>
        <w:rPr>
          <w:rFonts w:hint="eastAsia" w:ascii="仿宋" w:hAnsi="仿宋" w:eastAsia="仿宋"/>
          <w:sz w:val="28"/>
          <w:szCs w:val="28"/>
          <w:lang w:val="zh-CN"/>
        </w:rPr>
      </w:pPr>
      <w:r>
        <w:rPr>
          <w:rFonts w:hint="eastAsia" w:ascii="仿宋" w:hAnsi="仿宋" w:eastAsia="仿宋"/>
          <w:sz w:val="28"/>
          <w:szCs w:val="28"/>
          <w:lang w:val="zh-CN"/>
        </w:rPr>
        <w:t>分包内容在采购文件分包要求的范围内，并符合相关法律规定等</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（投标人名称     ）</w:t>
      </w:r>
      <w:r>
        <w:rPr>
          <w:rFonts w:hint="eastAsia" w:ascii="仿宋" w:hAnsi="仿宋" w:eastAsia="仿宋"/>
          <w:sz w:val="28"/>
          <w:szCs w:val="28"/>
          <w:lang w:val="zh-CN"/>
        </w:rPr>
        <w:t>将</w:t>
      </w:r>
      <w:r>
        <w:rPr>
          <w:rFonts w:hint="eastAsia" w:ascii="仿宋" w:hAnsi="仿宋" w:eastAsia="仿宋"/>
          <w:sz w:val="28"/>
          <w:szCs w:val="28"/>
        </w:rPr>
        <w:t xml:space="preserve">   XX工作内容   分包给（某分包供应商名称      ）</w:t>
      </w:r>
      <w:r>
        <w:rPr>
          <w:rFonts w:hint="eastAsia" w:ascii="仿宋" w:hAnsi="仿宋" w:eastAsia="仿宋"/>
          <w:sz w:val="28"/>
          <w:szCs w:val="28"/>
          <w:lang w:val="zh-CN"/>
        </w:rPr>
        <w:t>，</w:t>
      </w:r>
      <w:r>
        <w:rPr>
          <w:rFonts w:hint="eastAsia" w:ascii="仿宋" w:hAnsi="仿宋" w:eastAsia="仿宋"/>
          <w:sz w:val="28"/>
          <w:szCs w:val="28"/>
        </w:rPr>
        <w:t>（某分包供应商名称       ），</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lang w:val="zh-CN"/>
        </w:rPr>
        <w:t>XX工作内容相应资质条件且不得再次分包；</w:t>
      </w:r>
    </w:p>
    <w:p>
      <w:pPr>
        <w:snapToGrid w:val="0"/>
        <w:spacing w:line="400" w:lineRule="exact"/>
        <w:ind w:firstLine="840" w:firstLineChars="300"/>
        <w:rPr>
          <w:rFonts w:hint="eastAsia" w:ascii="仿宋" w:hAnsi="仿宋" w:eastAsia="仿宋"/>
          <w:sz w:val="28"/>
          <w:szCs w:val="28"/>
        </w:rPr>
      </w:pPr>
      <w:r>
        <w:rPr>
          <w:rFonts w:hint="eastAsia" w:ascii="仿宋" w:hAnsi="仿宋" w:eastAsia="仿宋"/>
          <w:sz w:val="28"/>
          <w:szCs w:val="28"/>
        </w:rPr>
        <w:t>……</w:t>
      </w:r>
    </w:p>
    <w:p>
      <w:pPr>
        <w:snapToGrid w:val="0"/>
        <w:spacing w:line="400" w:lineRule="exact"/>
        <w:ind w:left="840"/>
        <w:rPr>
          <w:rFonts w:hint="eastAsia"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400" w:lineRule="exact"/>
        <w:rPr>
          <w:rFonts w:hint="eastAsia" w:ascii="仿宋" w:hAnsi="仿宋" w:eastAsia="仿宋"/>
          <w:sz w:val="28"/>
          <w:szCs w:val="28"/>
        </w:rPr>
      </w:pPr>
      <w:r>
        <w:rPr>
          <w:rFonts w:hint="eastAsia" w:ascii="仿宋" w:hAnsi="仿宋" w:eastAsia="仿宋"/>
          <w:sz w:val="28"/>
          <w:szCs w:val="28"/>
        </w:rPr>
        <w:t xml:space="preserve">                                                                               </w:t>
      </w:r>
    </w:p>
    <w:p>
      <w:pPr>
        <w:numPr>
          <w:ilvl w:val="0"/>
          <w:numId w:val="34"/>
        </w:numPr>
        <w:snapToGrid w:val="0"/>
        <w:spacing w:line="400" w:lineRule="exact"/>
        <w:rPr>
          <w:rFonts w:hint="eastAsia" w:ascii="仿宋" w:hAnsi="仿宋" w:eastAsia="仿宋"/>
          <w:sz w:val="28"/>
          <w:szCs w:val="28"/>
        </w:rPr>
      </w:pPr>
      <w:r>
        <w:rPr>
          <w:rFonts w:hint="eastAsia" w:ascii="仿宋" w:hAnsi="仿宋" w:eastAsia="仿宋"/>
          <w:sz w:val="28"/>
          <w:szCs w:val="28"/>
          <w:lang w:val="zh-CN"/>
        </w:rPr>
        <w:t>质量</w:t>
      </w:r>
      <w:r>
        <w:rPr>
          <w:rFonts w:hint="eastAsia" w:ascii="仿宋" w:hAnsi="仿宋" w:eastAsia="仿宋"/>
          <w:sz w:val="28"/>
          <w:szCs w:val="28"/>
        </w:rPr>
        <w:t xml:space="preserve"> </w:t>
      </w:r>
    </w:p>
    <w:p>
      <w:pPr>
        <w:snapToGrid w:val="0"/>
        <w:spacing w:line="400" w:lineRule="exact"/>
        <w:ind w:left="630" w:leftChars="300"/>
        <w:rPr>
          <w:rFonts w:hint="eastAsia" w:ascii="仿宋" w:hAnsi="仿宋" w:eastAsia="仿宋"/>
          <w:sz w:val="28"/>
          <w:szCs w:val="28"/>
          <w:lang w:val="zh-CN"/>
        </w:rPr>
      </w:pPr>
      <w:r>
        <w:rPr>
          <w:rFonts w:hint="eastAsia" w:ascii="仿宋" w:hAnsi="仿宋" w:eastAsia="仿宋"/>
          <w:sz w:val="28"/>
          <w:szCs w:val="28"/>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六、违约责任</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 xml:space="preserve">                                                                                     </w:t>
      </w:r>
    </w:p>
    <w:p>
      <w:pPr>
        <w:numPr>
          <w:ilvl w:val="0"/>
          <w:numId w:val="35"/>
        </w:numPr>
        <w:snapToGrid w:val="0"/>
        <w:spacing w:line="400" w:lineRule="exact"/>
        <w:rPr>
          <w:rFonts w:hint="eastAsia" w:ascii="仿宋" w:hAnsi="仿宋" w:eastAsia="仿宋"/>
          <w:sz w:val="28"/>
          <w:szCs w:val="28"/>
        </w:rPr>
      </w:pPr>
      <w:r>
        <w:rPr>
          <w:rFonts w:hint="eastAsia" w:ascii="仿宋" w:hAnsi="仿宋" w:eastAsia="仿宋"/>
          <w:sz w:val="28"/>
          <w:szCs w:val="28"/>
          <w:lang w:val="zh-CN"/>
        </w:rPr>
        <w:t>争议解决的办法</w:t>
      </w:r>
      <w:r>
        <w:rPr>
          <w:rFonts w:hint="eastAsia" w:ascii="仿宋" w:hAnsi="仿宋" w:eastAsia="仿宋"/>
          <w:sz w:val="28"/>
          <w:szCs w:val="28"/>
        </w:rPr>
        <w:t xml:space="preserve"> </w:t>
      </w:r>
    </w:p>
    <w:p>
      <w:pPr>
        <w:snapToGrid w:val="0"/>
        <w:spacing w:line="400" w:lineRule="exact"/>
        <w:rPr>
          <w:rFonts w:hint="eastAsia" w:ascii="仿宋" w:hAnsi="仿宋" w:eastAsia="仿宋"/>
          <w:sz w:val="28"/>
          <w:szCs w:val="28"/>
          <w:lang w:val="zh-CN"/>
        </w:rPr>
      </w:pPr>
      <w:r>
        <w:rPr>
          <w:rFonts w:hint="eastAsia" w:ascii="仿宋" w:hAnsi="仿宋" w:eastAsia="仿宋"/>
          <w:sz w:val="28"/>
          <w:szCs w:val="28"/>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八、其他</w:t>
      </w:r>
    </w:p>
    <w:p>
      <w:pPr>
        <w:pStyle w:val="2"/>
        <w:ind w:firstLine="560"/>
        <w:rPr>
          <w:rFonts w:hint="eastAsia" w:ascii="仿宋" w:hAnsi="仿宋" w:eastAsia="仿宋"/>
          <w:b/>
          <w:sz w:val="28"/>
          <w:szCs w:val="28"/>
        </w:rPr>
      </w:pPr>
      <w:r>
        <w:rPr>
          <w:rFonts w:hint="eastAsia" w:ascii="仿宋" w:hAnsi="仿宋" w:eastAsia="仿宋"/>
          <w:sz w:val="28"/>
          <w:szCs w:val="28"/>
        </w:rPr>
        <w:t>（分包供应商名称      ）的合同份额占到合同总金额     %以上。</w:t>
      </w:r>
      <w:r>
        <w:rPr>
          <w:rFonts w:hint="eastAsia" w:ascii="仿宋" w:hAnsi="仿宋" w:eastAsia="仿宋"/>
          <w:b/>
          <w:sz w:val="28"/>
          <w:szCs w:val="28"/>
        </w:rPr>
        <w:t>当分包份额占到合同总金额100%时，视为转包。此情况根据《中华人民共和国政府采购法实施条例》（国务院令第658号）文件第七十二条规定，将依照政府采购法第七十七条第一款的规定追究你公司法律责任。</w:t>
      </w:r>
    </w:p>
    <w:p>
      <w:pPr>
        <w:snapToGrid w:val="0"/>
        <w:spacing w:line="400" w:lineRule="exact"/>
        <w:ind w:firstLine="840" w:firstLineChars="300"/>
        <w:rPr>
          <w:rFonts w:hint="eastAsia" w:ascii="仿宋" w:hAnsi="仿宋" w:eastAsia="仿宋"/>
          <w:sz w:val="28"/>
          <w:szCs w:val="28"/>
          <w:lang w:val="zh-CN"/>
        </w:rPr>
      </w:pP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 xml:space="preserve">   </w:t>
      </w: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p>
    <w:p>
      <w:pPr>
        <w:snapToGrid w:val="0"/>
        <w:spacing w:line="400" w:lineRule="exact"/>
        <w:ind w:firstLine="840" w:firstLineChars="300"/>
        <w:rPr>
          <w:rFonts w:hint="eastAsia" w:ascii="仿宋" w:hAnsi="仿宋" w:eastAsia="仿宋"/>
          <w:sz w:val="28"/>
          <w:szCs w:val="28"/>
          <w:lang w:val="zh-CN"/>
        </w:rPr>
      </w:pPr>
    </w:p>
    <w:p>
      <w:pPr>
        <w:snapToGrid w:val="0"/>
        <w:spacing w:line="400" w:lineRule="exact"/>
        <w:ind w:firstLine="840" w:firstLineChars="300"/>
        <w:rPr>
          <w:rFonts w:hint="eastAsia"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p>
    <w:p>
      <w:pPr>
        <w:snapToGrid w:val="0"/>
        <w:spacing w:line="400" w:lineRule="exact"/>
        <w:ind w:firstLine="840" w:firstLineChars="300"/>
        <w:rPr>
          <w:rFonts w:hint="eastAsia"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  年  月   日</w:t>
      </w:r>
    </w:p>
    <w:p>
      <w:pPr>
        <w:snapToGrid w:val="0"/>
        <w:spacing w:before="50" w:after="50"/>
        <w:jc w:val="center"/>
        <w:rPr>
          <w:rFonts w:ascii="仿宋" w:hAnsi="仿宋" w:eastAsia="仿宋"/>
          <w:b/>
          <w:sz w:val="36"/>
          <w:szCs w:val="36"/>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50" w:after="50"/>
        <w:jc w:val="left"/>
        <w:rPr>
          <w:rFonts w:hint="eastAsia" w:ascii="仿宋" w:hAnsi="仿宋" w:eastAsia="仿宋"/>
          <w:sz w:val="30"/>
          <w:szCs w:val="30"/>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ascii="仿宋" w:hAnsi="仿宋" w:eastAsia="仿宋"/>
          <w:sz w:val="30"/>
          <w:szCs w:val="30"/>
        </w:rPr>
        <w:t>9</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56" w:name="PO_1000000445_PM002"/>
      <w:r>
        <w:rPr>
          <w:rFonts w:hint="eastAsia" w:ascii="仿宋" w:hAnsi="仿宋" w:eastAsia="仿宋"/>
          <w:b/>
          <w:color w:val="000000" w:themeColor="text1"/>
          <w:spacing w:val="40"/>
          <w:sz w:val="52"/>
          <w:szCs w:val="52"/>
          <w:lang w:eastAsia="zh-CN"/>
          <w14:textFill>
            <w14:solidFill>
              <w14:schemeClr w14:val="tx1"/>
            </w14:solidFill>
          </w14:textFill>
        </w:rPr>
        <w:t>浙江警察学院云计算平台建设、数据中心机房设备采购及网络运维管理平台建设项目</w:t>
      </w:r>
      <w:bookmarkEnd w:id="56"/>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57" w:name="PO_15528_PM001_4"/>
      <w:r>
        <w:rPr>
          <w:rFonts w:hint="eastAsia" w:ascii="仿宋" w:hAnsi="仿宋" w:eastAsia="仿宋"/>
          <w:sz w:val="36"/>
          <w:szCs w:val="36"/>
          <w:lang w:eastAsia="zh-CN"/>
        </w:rPr>
        <w:t>ZZCG2022X-GK-138</w:t>
      </w:r>
      <w:bookmarkEnd w:id="57"/>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10</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11</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20"/>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0"/>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ascii="仿宋" w:hAnsi="仿宋" w:eastAsia="仿宋"/>
          <w:sz w:val="30"/>
          <w:szCs w:val="30"/>
        </w:rPr>
        <w:t>12</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bl>
    <w:p>
      <w:pPr>
        <w:pStyle w:val="25"/>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3</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2"/>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4</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ascii="仿宋" w:hAnsi="仿宋" w:eastAsia="仿宋"/>
          <w:sz w:val="30"/>
          <w:szCs w:val="30"/>
        </w:rPr>
        <w:t>5</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0"/>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0"/>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ascii="仿宋" w:hAnsi="仿宋" w:eastAsia="仿宋"/>
          <w:sz w:val="30"/>
          <w:szCs w:val="30"/>
        </w:rPr>
        <w:t>6</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FF0000"/>
          <w:spacing w:val="40"/>
          <w:sz w:val="52"/>
          <w:szCs w:val="52"/>
          <w:lang w:eastAsia="zh-CN"/>
        </w:rPr>
      </w:pPr>
      <w:bookmarkStart w:id="58" w:name="PO_1000000445_PM002_1"/>
      <w:r>
        <w:rPr>
          <w:rFonts w:hint="eastAsia" w:ascii="仿宋" w:hAnsi="仿宋" w:eastAsia="仿宋"/>
          <w:b/>
          <w:color w:val="000000" w:themeColor="text1"/>
          <w:spacing w:val="40"/>
          <w:sz w:val="52"/>
          <w:szCs w:val="52"/>
          <w:lang w:eastAsia="zh-CN"/>
          <w14:textFill>
            <w14:solidFill>
              <w14:schemeClr w14:val="tx1"/>
            </w14:solidFill>
          </w14:textFill>
        </w:rPr>
        <w:t>浙江警察学院云计算平台建设、数据中心机房设备采购及网络运维管理平台建设项目</w:t>
      </w:r>
      <w:bookmarkEnd w:id="58"/>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59" w:name="PO_1000000445_PM001"/>
      <w:r>
        <w:rPr>
          <w:rFonts w:hint="eastAsia" w:ascii="仿宋" w:hAnsi="仿宋" w:eastAsia="仿宋"/>
          <w:b/>
          <w:color w:val="000000" w:themeColor="text1"/>
          <w:sz w:val="36"/>
          <w:szCs w:val="36"/>
          <w:lang w:eastAsia="zh-CN"/>
          <w14:textFill>
            <w14:solidFill>
              <w14:schemeClr w14:val="tx1"/>
            </w14:solidFill>
          </w14:textFill>
        </w:rPr>
        <w:t>ZZCG2022X-GK-138</w:t>
      </w:r>
      <w:bookmarkEnd w:id="59"/>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5"/>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5"/>
        <w:snapToGrid w:val="0"/>
        <w:spacing w:line="460" w:lineRule="exact"/>
        <w:ind w:left="0" w:leftChars="0"/>
        <w:rPr>
          <w:rFonts w:ascii="仿宋" w:hAnsi="仿宋" w:eastAsia="仿宋"/>
          <w:sz w:val="30"/>
          <w:szCs w:val="30"/>
        </w:rPr>
      </w:pPr>
      <w:r>
        <w:rPr>
          <w:rFonts w:hint="eastAsia" w:ascii="仿宋" w:hAnsi="仿宋" w:eastAsia="仿宋"/>
          <w:sz w:val="30"/>
          <w:szCs w:val="30"/>
        </w:rPr>
        <w:t>（1）开标一览表（见附件1</w:t>
      </w:r>
      <w:r>
        <w:rPr>
          <w:rFonts w:ascii="仿宋" w:hAnsi="仿宋" w:eastAsia="仿宋"/>
          <w:sz w:val="30"/>
          <w:szCs w:val="30"/>
        </w:rPr>
        <w:t>7</w:t>
      </w:r>
      <w:r>
        <w:rPr>
          <w:rFonts w:hint="eastAsia" w:ascii="仿宋" w:hAnsi="仿宋" w:eastAsia="仿宋"/>
          <w:sz w:val="30"/>
          <w:szCs w:val="30"/>
        </w:rPr>
        <w:t>）；</w:t>
      </w:r>
    </w:p>
    <w:p>
      <w:pPr>
        <w:pStyle w:val="35"/>
        <w:snapToGrid w:val="0"/>
        <w:spacing w:line="460" w:lineRule="exact"/>
        <w:ind w:left="0" w:leftChars="0"/>
        <w:rPr>
          <w:rFonts w:hint="eastAsia" w:ascii="仿宋" w:hAnsi="仿宋" w:eastAsia="仿宋"/>
          <w:sz w:val="30"/>
          <w:szCs w:val="30"/>
        </w:rPr>
      </w:pPr>
      <w:r>
        <w:rPr>
          <w:rFonts w:hint="eastAsia" w:ascii="仿宋" w:hAnsi="仿宋" w:eastAsia="仿宋"/>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18</w:t>
      </w:r>
      <w:r>
        <w:rPr>
          <w:rFonts w:hint="eastAsia" w:ascii="仿宋" w:hAnsi="仿宋" w:eastAsia="仿宋"/>
          <w:sz w:val="30"/>
          <w:szCs w:val="30"/>
        </w:rPr>
        <w:t>）；</w:t>
      </w:r>
    </w:p>
    <w:p>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19</w:t>
      </w:r>
      <w:r>
        <w:rPr>
          <w:rFonts w:hint="eastAsia" w:ascii="仿宋" w:hAnsi="仿宋" w:eastAsia="仿宋"/>
          <w:sz w:val="30"/>
          <w:szCs w:val="30"/>
        </w:rPr>
        <w:t>）；</w:t>
      </w:r>
    </w:p>
    <w:p>
      <w:pPr>
        <w:pStyle w:val="32"/>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w:t>
      </w:r>
      <w:r>
        <w:rPr>
          <w:rFonts w:ascii="仿宋" w:hAnsi="仿宋" w:eastAsia="仿宋"/>
          <w:sz w:val="30"/>
          <w:szCs w:val="30"/>
        </w:rPr>
        <w:t>7</w:t>
      </w:r>
      <w:r>
        <w:rPr>
          <w:rFonts w:hint="eastAsia" w:ascii="仿宋" w:hAnsi="仿宋" w:eastAsia="仿宋"/>
          <w:sz w:val="30"/>
          <w:szCs w:val="30"/>
        </w:rPr>
        <w:t>：</w:t>
      </w:r>
    </w:p>
    <w:p>
      <w:pPr>
        <w:pStyle w:val="32"/>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2"/>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r>
              <w:rPr>
                <w:rFonts w:hint="eastAsia" w:ascii="仿宋" w:hAnsi="仿宋" w:eastAsia="仿宋"/>
                <w:b/>
                <w:sz w:val="24"/>
                <w:szCs w:val="24"/>
                <w:lang w:val="en-US" w:eastAsia="zh-CN"/>
              </w:rPr>
              <w:t>/人/天</w:t>
            </w:r>
            <w:r>
              <w:rPr>
                <w:rFonts w:hint="eastAsia" w:ascii="仿宋" w:hAnsi="仿宋" w:eastAsia="仿宋"/>
                <w:b/>
                <w:sz w:val="24"/>
                <w:szCs w:val="24"/>
              </w:rPr>
              <w:t>）</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2"/>
        <w:snapToGrid w:val="0"/>
        <w:spacing w:before="120" w:after="120" w:line="240" w:lineRule="auto"/>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tabs>
          <w:tab w:val="center" w:pos="4755"/>
          <w:tab w:val="right" w:pos="9070"/>
        </w:tabs>
        <w:jc w:val="left"/>
        <w:rPr>
          <w:rFonts w:ascii="宋体" w:cs="Arial"/>
          <w:kern w:val="0"/>
          <w:sz w:val="18"/>
          <w:szCs w:val="18"/>
        </w:rPr>
      </w:pPr>
    </w:p>
    <w:p>
      <w:pPr>
        <w:pStyle w:val="41"/>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18</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ascii="仿宋" w:hAnsi="仿宋" w:eastAsia="仿宋"/>
          <w:b/>
          <w:sz w:val="36"/>
          <w:szCs w:val="36"/>
        </w:rPr>
        <w:br w:type="page"/>
      </w: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19</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pP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106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0517980"/>
    <w:multiLevelType w:val="multilevel"/>
    <w:tmpl w:val="50517980"/>
    <w:lvl w:ilvl="0" w:tentative="0">
      <w:start w:val="7"/>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53966095"/>
    <w:multiLevelType w:val="multilevel"/>
    <w:tmpl w:val="53966095"/>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5F534888"/>
    <w:multiLevelType w:val="multilevel"/>
    <w:tmpl w:val="5F534888"/>
    <w:lvl w:ilvl="0" w:tentative="0">
      <w:start w:val="1"/>
      <w:numFmt w:val="bullet"/>
      <w:pStyle w:val="981"/>
      <w:lvlText w:val=""/>
      <w:lvlJc w:val="left"/>
      <w:pPr>
        <w:ind w:left="6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4945FB8"/>
    <w:multiLevelType w:val="multilevel"/>
    <w:tmpl w:val="64945FB8"/>
    <w:lvl w:ilvl="0" w:tentative="0">
      <w:start w:val="4"/>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9">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0">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7A5818B4"/>
    <w:multiLevelType w:val="singleLevel"/>
    <w:tmpl w:val="7A5818B4"/>
    <w:lvl w:ilvl="0" w:tentative="0">
      <w:start w:val="10"/>
      <w:numFmt w:val="decimal"/>
      <w:lvlText w:val="%1."/>
      <w:lvlJc w:val="left"/>
      <w:pPr>
        <w:tabs>
          <w:tab w:val="left" w:pos="312"/>
        </w:tabs>
      </w:p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3"/>
  </w:num>
  <w:num w:numId="8">
    <w:abstractNumId w:val="21"/>
  </w:num>
  <w:num w:numId="9">
    <w:abstractNumId w:val="30"/>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6"/>
  </w:num>
  <w:num w:numId="15">
    <w:abstractNumId w:val="18"/>
  </w:num>
  <w:num w:numId="16">
    <w:abstractNumId w:val="15"/>
  </w:num>
  <w:num w:numId="17">
    <w:abstractNumId w:val="4"/>
  </w:num>
  <w:num w:numId="18">
    <w:abstractNumId w:val="24"/>
  </w:num>
  <w:num w:numId="19">
    <w:abstractNumId w:val="6"/>
  </w:num>
  <w:num w:numId="20">
    <w:abstractNumId w:val="13"/>
  </w:num>
  <w:num w:numId="21">
    <w:abstractNumId w:val="11"/>
  </w:num>
  <w:num w:numId="22">
    <w:abstractNumId w:val="19"/>
  </w:num>
  <w:num w:numId="23">
    <w:abstractNumId w:val="7"/>
  </w:num>
  <w:num w:numId="24">
    <w:abstractNumId w:val="32"/>
  </w:num>
  <w:num w:numId="25">
    <w:abstractNumId w:val="3"/>
  </w:num>
  <w:num w:numId="26">
    <w:abstractNumId w:val="29"/>
  </w:num>
  <w:num w:numId="27">
    <w:abstractNumId w:val="20"/>
  </w:num>
  <w:num w:numId="28">
    <w:abstractNumId w:val="10"/>
  </w:num>
  <w:num w:numId="29">
    <w:abstractNumId w:val="25"/>
  </w:num>
  <w:num w:numId="30">
    <w:abstractNumId w:val="27"/>
  </w:num>
  <w:num w:numId="31">
    <w:abstractNumId w:val="31"/>
  </w:num>
  <w:num w:numId="32">
    <w:abstractNumId w:val="34"/>
  </w:num>
  <w:num w:numId="33">
    <w:abstractNumId w:val="23"/>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54C"/>
    <w:rsid w:val="00011F26"/>
    <w:rsid w:val="00027C35"/>
    <w:rsid w:val="00027C43"/>
    <w:rsid w:val="000558DD"/>
    <w:rsid w:val="0005715E"/>
    <w:rsid w:val="00067C0B"/>
    <w:rsid w:val="000761E3"/>
    <w:rsid w:val="00077CB2"/>
    <w:rsid w:val="000869A0"/>
    <w:rsid w:val="00090337"/>
    <w:rsid w:val="00093C30"/>
    <w:rsid w:val="00094C22"/>
    <w:rsid w:val="00097B32"/>
    <w:rsid w:val="000A0C44"/>
    <w:rsid w:val="000E67D3"/>
    <w:rsid w:val="000F7EE7"/>
    <w:rsid w:val="00106319"/>
    <w:rsid w:val="00107339"/>
    <w:rsid w:val="0011294A"/>
    <w:rsid w:val="0012017A"/>
    <w:rsid w:val="00122BE2"/>
    <w:rsid w:val="0012623F"/>
    <w:rsid w:val="00137556"/>
    <w:rsid w:val="0014543F"/>
    <w:rsid w:val="00146404"/>
    <w:rsid w:val="00150DAE"/>
    <w:rsid w:val="00154DE9"/>
    <w:rsid w:val="00154E34"/>
    <w:rsid w:val="00162FF4"/>
    <w:rsid w:val="0016687B"/>
    <w:rsid w:val="0017520E"/>
    <w:rsid w:val="001817FD"/>
    <w:rsid w:val="0019410D"/>
    <w:rsid w:val="001A46E4"/>
    <w:rsid w:val="001B3980"/>
    <w:rsid w:val="001D0E9A"/>
    <w:rsid w:val="001D4E39"/>
    <w:rsid w:val="001E31FD"/>
    <w:rsid w:val="001E414A"/>
    <w:rsid w:val="00212302"/>
    <w:rsid w:val="00215FE1"/>
    <w:rsid w:val="00235230"/>
    <w:rsid w:val="0026018F"/>
    <w:rsid w:val="002641A2"/>
    <w:rsid w:val="0027352A"/>
    <w:rsid w:val="00277F9B"/>
    <w:rsid w:val="002828E7"/>
    <w:rsid w:val="002A7CE7"/>
    <w:rsid w:val="002C0058"/>
    <w:rsid w:val="002C2B8B"/>
    <w:rsid w:val="002F2E60"/>
    <w:rsid w:val="00317A1E"/>
    <w:rsid w:val="003325FB"/>
    <w:rsid w:val="003329BE"/>
    <w:rsid w:val="0034148E"/>
    <w:rsid w:val="00342A34"/>
    <w:rsid w:val="00344912"/>
    <w:rsid w:val="00360F0E"/>
    <w:rsid w:val="0036152B"/>
    <w:rsid w:val="00385C93"/>
    <w:rsid w:val="003A0E93"/>
    <w:rsid w:val="003C09C0"/>
    <w:rsid w:val="003C3D38"/>
    <w:rsid w:val="003C6E81"/>
    <w:rsid w:val="003D360E"/>
    <w:rsid w:val="003D653B"/>
    <w:rsid w:val="003E2398"/>
    <w:rsid w:val="003E3F11"/>
    <w:rsid w:val="003F6688"/>
    <w:rsid w:val="003F7362"/>
    <w:rsid w:val="003F7F23"/>
    <w:rsid w:val="00407842"/>
    <w:rsid w:val="00407987"/>
    <w:rsid w:val="00411BA0"/>
    <w:rsid w:val="00443AA3"/>
    <w:rsid w:val="00473394"/>
    <w:rsid w:val="004825F5"/>
    <w:rsid w:val="0048376B"/>
    <w:rsid w:val="0049675C"/>
    <w:rsid w:val="004A290E"/>
    <w:rsid w:val="004A5B3C"/>
    <w:rsid w:val="004A5C90"/>
    <w:rsid w:val="004B659A"/>
    <w:rsid w:val="004C0111"/>
    <w:rsid w:val="004C6130"/>
    <w:rsid w:val="005041FC"/>
    <w:rsid w:val="005145F8"/>
    <w:rsid w:val="00553015"/>
    <w:rsid w:val="005648AE"/>
    <w:rsid w:val="00572BCB"/>
    <w:rsid w:val="005825D8"/>
    <w:rsid w:val="005855C1"/>
    <w:rsid w:val="00590AF8"/>
    <w:rsid w:val="005B70EA"/>
    <w:rsid w:val="005B7985"/>
    <w:rsid w:val="005C254C"/>
    <w:rsid w:val="005D1EAF"/>
    <w:rsid w:val="005D263A"/>
    <w:rsid w:val="005F1705"/>
    <w:rsid w:val="005F25FA"/>
    <w:rsid w:val="006111E0"/>
    <w:rsid w:val="006228C9"/>
    <w:rsid w:val="006326F3"/>
    <w:rsid w:val="00635E67"/>
    <w:rsid w:val="00642B82"/>
    <w:rsid w:val="00647E42"/>
    <w:rsid w:val="006540D2"/>
    <w:rsid w:val="0065516D"/>
    <w:rsid w:val="006A0A89"/>
    <w:rsid w:val="006A75FB"/>
    <w:rsid w:val="006B0911"/>
    <w:rsid w:val="006B13B7"/>
    <w:rsid w:val="006B2E5D"/>
    <w:rsid w:val="006C0BD8"/>
    <w:rsid w:val="006D7075"/>
    <w:rsid w:val="006E1042"/>
    <w:rsid w:val="006E782C"/>
    <w:rsid w:val="006F2BA9"/>
    <w:rsid w:val="006F3E5C"/>
    <w:rsid w:val="00721C7D"/>
    <w:rsid w:val="007456F9"/>
    <w:rsid w:val="00756C25"/>
    <w:rsid w:val="00763A4D"/>
    <w:rsid w:val="00776685"/>
    <w:rsid w:val="007827F7"/>
    <w:rsid w:val="0079512C"/>
    <w:rsid w:val="007B0264"/>
    <w:rsid w:val="007B33D8"/>
    <w:rsid w:val="007B39CD"/>
    <w:rsid w:val="007B3D1A"/>
    <w:rsid w:val="007B697B"/>
    <w:rsid w:val="007C0648"/>
    <w:rsid w:val="007F1C18"/>
    <w:rsid w:val="007F4708"/>
    <w:rsid w:val="007F673D"/>
    <w:rsid w:val="008010EC"/>
    <w:rsid w:val="00803731"/>
    <w:rsid w:val="008048E5"/>
    <w:rsid w:val="008058FE"/>
    <w:rsid w:val="008062F2"/>
    <w:rsid w:val="00807BF9"/>
    <w:rsid w:val="008139C8"/>
    <w:rsid w:val="00814262"/>
    <w:rsid w:val="00816520"/>
    <w:rsid w:val="00821D8F"/>
    <w:rsid w:val="0084546F"/>
    <w:rsid w:val="00856E3D"/>
    <w:rsid w:val="00857AAB"/>
    <w:rsid w:val="008735B0"/>
    <w:rsid w:val="00881ED1"/>
    <w:rsid w:val="00884032"/>
    <w:rsid w:val="00892675"/>
    <w:rsid w:val="008B789C"/>
    <w:rsid w:val="008C5CC6"/>
    <w:rsid w:val="008E1B9C"/>
    <w:rsid w:val="008F6F56"/>
    <w:rsid w:val="009020F3"/>
    <w:rsid w:val="00902C2A"/>
    <w:rsid w:val="00927C0F"/>
    <w:rsid w:val="00932213"/>
    <w:rsid w:val="0093516E"/>
    <w:rsid w:val="00935B2B"/>
    <w:rsid w:val="009412E7"/>
    <w:rsid w:val="009475A8"/>
    <w:rsid w:val="00966169"/>
    <w:rsid w:val="00967842"/>
    <w:rsid w:val="00983B9D"/>
    <w:rsid w:val="009A098E"/>
    <w:rsid w:val="009A1F91"/>
    <w:rsid w:val="009A31CC"/>
    <w:rsid w:val="009C10A1"/>
    <w:rsid w:val="009C11B4"/>
    <w:rsid w:val="009C5B7F"/>
    <w:rsid w:val="009D3237"/>
    <w:rsid w:val="009E16C1"/>
    <w:rsid w:val="009E537A"/>
    <w:rsid w:val="009F00A7"/>
    <w:rsid w:val="00A2541C"/>
    <w:rsid w:val="00A45A96"/>
    <w:rsid w:val="00A51F2B"/>
    <w:rsid w:val="00A66EA1"/>
    <w:rsid w:val="00A73F25"/>
    <w:rsid w:val="00A76567"/>
    <w:rsid w:val="00A8293F"/>
    <w:rsid w:val="00A9015D"/>
    <w:rsid w:val="00AA06E8"/>
    <w:rsid w:val="00AA3F35"/>
    <w:rsid w:val="00AC7ADA"/>
    <w:rsid w:val="00AD2CC9"/>
    <w:rsid w:val="00AD31D5"/>
    <w:rsid w:val="00AE108B"/>
    <w:rsid w:val="00AE1438"/>
    <w:rsid w:val="00AE38A5"/>
    <w:rsid w:val="00AE7939"/>
    <w:rsid w:val="00AF0810"/>
    <w:rsid w:val="00B06CDB"/>
    <w:rsid w:val="00B314E1"/>
    <w:rsid w:val="00B32EBF"/>
    <w:rsid w:val="00B4243E"/>
    <w:rsid w:val="00B52739"/>
    <w:rsid w:val="00B53BD6"/>
    <w:rsid w:val="00B72616"/>
    <w:rsid w:val="00B81671"/>
    <w:rsid w:val="00BB04E9"/>
    <w:rsid w:val="00BB32FC"/>
    <w:rsid w:val="00BB7101"/>
    <w:rsid w:val="00BC424A"/>
    <w:rsid w:val="00BD5BD6"/>
    <w:rsid w:val="00BE56D1"/>
    <w:rsid w:val="00BF76D9"/>
    <w:rsid w:val="00C21114"/>
    <w:rsid w:val="00C22B7F"/>
    <w:rsid w:val="00C373E2"/>
    <w:rsid w:val="00C37614"/>
    <w:rsid w:val="00C42BF5"/>
    <w:rsid w:val="00C50CB8"/>
    <w:rsid w:val="00C71DBA"/>
    <w:rsid w:val="00C8441C"/>
    <w:rsid w:val="00CA40A9"/>
    <w:rsid w:val="00CA5D65"/>
    <w:rsid w:val="00CB10A0"/>
    <w:rsid w:val="00CB2420"/>
    <w:rsid w:val="00CC16EA"/>
    <w:rsid w:val="00CD6786"/>
    <w:rsid w:val="00CD7E3B"/>
    <w:rsid w:val="00CF7379"/>
    <w:rsid w:val="00D03467"/>
    <w:rsid w:val="00D06379"/>
    <w:rsid w:val="00D34D4C"/>
    <w:rsid w:val="00D44872"/>
    <w:rsid w:val="00D6308C"/>
    <w:rsid w:val="00D67996"/>
    <w:rsid w:val="00D96106"/>
    <w:rsid w:val="00D96A0C"/>
    <w:rsid w:val="00DA11B7"/>
    <w:rsid w:val="00DA29C9"/>
    <w:rsid w:val="00DB219B"/>
    <w:rsid w:val="00DD7B8C"/>
    <w:rsid w:val="00E05EDB"/>
    <w:rsid w:val="00E067E5"/>
    <w:rsid w:val="00E201D7"/>
    <w:rsid w:val="00E46FFF"/>
    <w:rsid w:val="00EA67ED"/>
    <w:rsid w:val="00EB408E"/>
    <w:rsid w:val="00EB4162"/>
    <w:rsid w:val="00EB669E"/>
    <w:rsid w:val="00EC58A7"/>
    <w:rsid w:val="00ED4653"/>
    <w:rsid w:val="00EE6377"/>
    <w:rsid w:val="00EF085D"/>
    <w:rsid w:val="00EF1BE1"/>
    <w:rsid w:val="00F211C0"/>
    <w:rsid w:val="00F26784"/>
    <w:rsid w:val="00F65755"/>
    <w:rsid w:val="00F66C93"/>
    <w:rsid w:val="00F755C8"/>
    <w:rsid w:val="00FA5512"/>
    <w:rsid w:val="00FB463D"/>
    <w:rsid w:val="00FC29AB"/>
    <w:rsid w:val="00FC4EAB"/>
    <w:rsid w:val="00FD55EC"/>
    <w:rsid w:val="00FD7182"/>
    <w:rsid w:val="00FD72A0"/>
    <w:rsid w:val="00FE7535"/>
    <w:rsid w:val="00FF3F20"/>
    <w:rsid w:val="011C546E"/>
    <w:rsid w:val="0147516C"/>
    <w:rsid w:val="02744354"/>
    <w:rsid w:val="028B10E0"/>
    <w:rsid w:val="03933C84"/>
    <w:rsid w:val="03B3376C"/>
    <w:rsid w:val="043D7403"/>
    <w:rsid w:val="04481BEF"/>
    <w:rsid w:val="05286C5C"/>
    <w:rsid w:val="05B02463"/>
    <w:rsid w:val="05F31065"/>
    <w:rsid w:val="0664528B"/>
    <w:rsid w:val="070A4100"/>
    <w:rsid w:val="073F6B17"/>
    <w:rsid w:val="08491653"/>
    <w:rsid w:val="086F614F"/>
    <w:rsid w:val="087B2FDF"/>
    <w:rsid w:val="08A252A6"/>
    <w:rsid w:val="0AB06869"/>
    <w:rsid w:val="0B1179FA"/>
    <w:rsid w:val="0B670B18"/>
    <w:rsid w:val="0B9A130A"/>
    <w:rsid w:val="0BCB2764"/>
    <w:rsid w:val="0BED3902"/>
    <w:rsid w:val="0BF97D4F"/>
    <w:rsid w:val="0CBB09AA"/>
    <w:rsid w:val="0D495E17"/>
    <w:rsid w:val="0E9A1008"/>
    <w:rsid w:val="0E9D100B"/>
    <w:rsid w:val="0EBB5F9C"/>
    <w:rsid w:val="0FA64613"/>
    <w:rsid w:val="104A764D"/>
    <w:rsid w:val="10906298"/>
    <w:rsid w:val="109074BD"/>
    <w:rsid w:val="10FF162C"/>
    <w:rsid w:val="11476630"/>
    <w:rsid w:val="121D2E95"/>
    <w:rsid w:val="12CF6E75"/>
    <w:rsid w:val="136C771A"/>
    <w:rsid w:val="144B6889"/>
    <w:rsid w:val="15195F66"/>
    <w:rsid w:val="155F5D26"/>
    <w:rsid w:val="157E67A9"/>
    <w:rsid w:val="163B11FB"/>
    <w:rsid w:val="172C7B6B"/>
    <w:rsid w:val="175341EC"/>
    <w:rsid w:val="1828072D"/>
    <w:rsid w:val="187E6991"/>
    <w:rsid w:val="1F0623EB"/>
    <w:rsid w:val="1F385027"/>
    <w:rsid w:val="201C3673"/>
    <w:rsid w:val="20486EB0"/>
    <w:rsid w:val="20D72C6B"/>
    <w:rsid w:val="21D30254"/>
    <w:rsid w:val="22610926"/>
    <w:rsid w:val="22731EF1"/>
    <w:rsid w:val="2292252C"/>
    <w:rsid w:val="26A632A5"/>
    <w:rsid w:val="26E26D0D"/>
    <w:rsid w:val="27F5006D"/>
    <w:rsid w:val="28001E14"/>
    <w:rsid w:val="283D5DD0"/>
    <w:rsid w:val="298F31DD"/>
    <w:rsid w:val="2B8011C3"/>
    <w:rsid w:val="2FF65780"/>
    <w:rsid w:val="32177E66"/>
    <w:rsid w:val="33501EBC"/>
    <w:rsid w:val="37BF1E48"/>
    <w:rsid w:val="383360A6"/>
    <w:rsid w:val="38E43AAD"/>
    <w:rsid w:val="394F7A84"/>
    <w:rsid w:val="3968202E"/>
    <w:rsid w:val="39A9547B"/>
    <w:rsid w:val="3AF62F6E"/>
    <w:rsid w:val="3B2E0AFF"/>
    <w:rsid w:val="3B5A029B"/>
    <w:rsid w:val="3BF31A27"/>
    <w:rsid w:val="3CA179E0"/>
    <w:rsid w:val="3FDE0F63"/>
    <w:rsid w:val="404D27E7"/>
    <w:rsid w:val="413475CD"/>
    <w:rsid w:val="41E26F48"/>
    <w:rsid w:val="4269128C"/>
    <w:rsid w:val="43135BA1"/>
    <w:rsid w:val="434308E0"/>
    <w:rsid w:val="441E6876"/>
    <w:rsid w:val="44C22560"/>
    <w:rsid w:val="45C80354"/>
    <w:rsid w:val="46BB4C61"/>
    <w:rsid w:val="46CA18EC"/>
    <w:rsid w:val="46FE6DA0"/>
    <w:rsid w:val="47D4105D"/>
    <w:rsid w:val="48125BF1"/>
    <w:rsid w:val="4BC845BA"/>
    <w:rsid w:val="4C0F0439"/>
    <w:rsid w:val="4C24104C"/>
    <w:rsid w:val="4D444EE2"/>
    <w:rsid w:val="4E4A4A27"/>
    <w:rsid w:val="4E944B48"/>
    <w:rsid w:val="50620517"/>
    <w:rsid w:val="50622232"/>
    <w:rsid w:val="5096018A"/>
    <w:rsid w:val="510014C0"/>
    <w:rsid w:val="51763831"/>
    <w:rsid w:val="51EE1595"/>
    <w:rsid w:val="52DE06D5"/>
    <w:rsid w:val="52EA4E0E"/>
    <w:rsid w:val="531C0235"/>
    <w:rsid w:val="55EA2050"/>
    <w:rsid w:val="56060A9C"/>
    <w:rsid w:val="567A623C"/>
    <w:rsid w:val="57D612D4"/>
    <w:rsid w:val="58FE314D"/>
    <w:rsid w:val="59BC2AF5"/>
    <w:rsid w:val="59E0153C"/>
    <w:rsid w:val="5A622445"/>
    <w:rsid w:val="5B3C2B2B"/>
    <w:rsid w:val="5B4120C3"/>
    <w:rsid w:val="5B6F1659"/>
    <w:rsid w:val="5DB44A35"/>
    <w:rsid w:val="5E285FAD"/>
    <w:rsid w:val="5E634138"/>
    <w:rsid w:val="5EAD45B5"/>
    <w:rsid w:val="5F212A85"/>
    <w:rsid w:val="60146252"/>
    <w:rsid w:val="60D52403"/>
    <w:rsid w:val="61A22EF3"/>
    <w:rsid w:val="61A81ADA"/>
    <w:rsid w:val="61E12671"/>
    <w:rsid w:val="61FA12B8"/>
    <w:rsid w:val="62605C3B"/>
    <w:rsid w:val="62DA335F"/>
    <w:rsid w:val="631B3C3E"/>
    <w:rsid w:val="6355569A"/>
    <w:rsid w:val="63EB7FC5"/>
    <w:rsid w:val="64551B8E"/>
    <w:rsid w:val="64906E31"/>
    <w:rsid w:val="64992302"/>
    <w:rsid w:val="64BC3D95"/>
    <w:rsid w:val="650872EE"/>
    <w:rsid w:val="651B0D0A"/>
    <w:rsid w:val="65452047"/>
    <w:rsid w:val="67413905"/>
    <w:rsid w:val="6796356D"/>
    <w:rsid w:val="687F0E69"/>
    <w:rsid w:val="699D4E89"/>
    <w:rsid w:val="69A01D46"/>
    <w:rsid w:val="69CE2957"/>
    <w:rsid w:val="6AB246FD"/>
    <w:rsid w:val="6B411F98"/>
    <w:rsid w:val="6C071A63"/>
    <w:rsid w:val="6D90706A"/>
    <w:rsid w:val="6DC608C8"/>
    <w:rsid w:val="6E157B81"/>
    <w:rsid w:val="6E946BF8"/>
    <w:rsid w:val="6EE45EFC"/>
    <w:rsid w:val="6F201FBF"/>
    <w:rsid w:val="6F6F5722"/>
    <w:rsid w:val="700C2CB9"/>
    <w:rsid w:val="70CA115B"/>
    <w:rsid w:val="7157011A"/>
    <w:rsid w:val="722217A9"/>
    <w:rsid w:val="72393BF5"/>
    <w:rsid w:val="767C6C5F"/>
    <w:rsid w:val="76BE4146"/>
    <w:rsid w:val="76C22869"/>
    <w:rsid w:val="76F7160C"/>
    <w:rsid w:val="789E775C"/>
    <w:rsid w:val="7A4B5E5F"/>
    <w:rsid w:val="7BE61E1D"/>
    <w:rsid w:val="7C4C4A95"/>
    <w:rsid w:val="7D1968F8"/>
    <w:rsid w:val="7DB9769F"/>
    <w:rsid w:val="7E407BFD"/>
    <w:rsid w:val="7E907B94"/>
    <w:rsid w:val="7F106973"/>
    <w:rsid w:val="7FA81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nhideWhenUsed="0" w:uiPriority="0" w:semiHidden="0"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iPriority="99" w:name="Placeholder Text"/>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229"/>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4"/>
    <w:qFormat/>
    <w:uiPriority w:val="9"/>
    <w:pPr>
      <w:keepNext/>
      <w:keepLines/>
      <w:spacing w:before="260" w:after="260" w:line="416" w:lineRule="auto"/>
      <w:outlineLvl w:val="2"/>
    </w:pPr>
    <w:rPr>
      <w:b/>
      <w:bCs/>
      <w:sz w:val="32"/>
      <w:szCs w:val="32"/>
    </w:rPr>
  </w:style>
  <w:style w:type="paragraph" w:styleId="7">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qFormat/>
    <w:uiPriority w:val="0"/>
  </w:style>
  <w:style w:type="table" w:default="1" w:styleId="59">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964"/>
    <w:semiHidden/>
    <w:unhideWhenUsed/>
    <w:qFormat/>
    <w:uiPriority w:val="99"/>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link w:val="86"/>
    <w:semiHidden/>
    <w:unhideWhenUsed/>
    <w:qFormat/>
    <w:uiPriority w:val="99"/>
    <w:pPr>
      <w:spacing w:line="200" w:lineRule="exact"/>
      <w:ind w:firstLine="301"/>
    </w:pPr>
    <w:rPr>
      <w:rFonts w:ascii="宋体" w:hAnsi="Courier New"/>
      <w:spacing w:val="-4"/>
      <w:sz w:val="18"/>
      <w:szCs w:val="20"/>
    </w:rPr>
  </w:style>
  <w:style w:type="paragraph" w:styleId="13">
    <w:name w:val="List 3"/>
    <w:basedOn w:val="1"/>
    <w:semiHidden/>
    <w:unhideWhenUsed/>
    <w:qFormat/>
    <w:uiPriority w:val="99"/>
    <w:pPr>
      <w:ind w:left="100" w:leftChars="400" w:hanging="200" w:hangingChars="200"/>
    </w:pPr>
    <w:rPr>
      <w:rFonts w:ascii="Times New Roman" w:hAnsi="Times New Roman"/>
      <w:szCs w:val="20"/>
    </w:rPr>
  </w:style>
  <w:style w:type="paragraph" w:styleId="14">
    <w:name w:val="toc 7"/>
    <w:basedOn w:val="1"/>
    <w:next w:val="1"/>
    <w:unhideWhenUsed/>
    <w:qFormat/>
    <w:uiPriority w:val="39"/>
    <w:pPr>
      <w:ind w:left="1260"/>
      <w:jc w:val="left"/>
    </w:pPr>
    <w:rPr>
      <w:rFonts w:ascii="Times New Roman" w:hAnsi="Times New Roman"/>
      <w:sz w:val="18"/>
      <w:szCs w:val="18"/>
    </w:rPr>
  </w:style>
  <w:style w:type="paragraph" w:styleId="15">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6">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7">
    <w:name w:val="List Bullet 4"/>
    <w:basedOn w:val="1"/>
    <w:semiHidden/>
    <w:unhideWhenUsed/>
    <w:qFormat/>
    <w:uiPriority w:val="99"/>
    <w:pPr>
      <w:numPr>
        <w:ilvl w:val="0"/>
        <w:numId w:val="2"/>
      </w:numPr>
    </w:pPr>
    <w:rPr>
      <w:rFonts w:ascii="Times New Roman" w:hAnsi="Times New Roman"/>
      <w:szCs w:val="24"/>
    </w:rPr>
  </w:style>
  <w:style w:type="paragraph" w:styleId="18">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372"/>
    <w:unhideWhenUsed/>
    <w:qFormat/>
    <w:uiPriority w:val="99"/>
    <w:pPr>
      <w:ind w:firstLine="420"/>
    </w:pPr>
    <w:rPr>
      <w:szCs w:val="20"/>
    </w:rPr>
  </w:style>
  <w:style w:type="paragraph" w:styleId="20">
    <w:name w:val="caption"/>
    <w:basedOn w:val="1"/>
    <w:next w:val="1"/>
    <w:link w:val="107"/>
    <w:semiHidden/>
    <w:unhideWhenUsed/>
    <w:qFormat/>
    <w:uiPriority w:val="35"/>
    <w:pPr>
      <w:spacing w:before="152" w:after="160"/>
    </w:pPr>
    <w:rPr>
      <w:rFonts w:ascii="Arial" w:hAnsi="Arial" w:eastAsia="黑体"/>
      <w:sz w:val="20"/>
      <w:szCs w:val="20"/>
    </w:rPr>
  </w:style>
  <w:style w:type="paragraph" w:styleId="21">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81"/>
    <w:semiHidden/>
    <w:unhideWhenUsed/>
    <w:qFormat/>
    <w:uiPriority w:val="99"/>
    <w:rPr>
      <w:rFonts w:ascii="宋体"/>
      <w:sz w:val="18"/>
      <w:szCs w:val="18"/>
    </w:rPr>
  </w:style>
  <w:style w:type="paragraph" w:styleId="23">
    <w:name w:val="annotation text"/>
    <w:basedOn w:val="1"/>
    <w:link w:val="82"/>
    <w:semiHidden/>
    <w:unhideWhenUsed/>
    <w:qFormat/>
    <w:uiPriority w:val="99"/>
    <w:pPr>
      <w:jc w:val="left"/>
    </w:pPr>
  </w:style>
  <w:style w:type="paragraph" w:styleId="24">
    <w:name w:val="Salutation"/>
    <w:basedOn w:val="1"/>
    <w:next w:val="1"/>
    <w:link w:val="83"/>
    <w:semiHidden/>
    <w:unhideWhenUsed/>
    <w:qFormat/>
    <w:uiPriority w:val="99"/>
    <w:rPr>
      <w:rFonts w:ascii="宋体" w:hAnsi="Times New Roman"/>
      <w:b/>
      <w:sz w:val="28"/>
      <w:szCs w:val="20"/>
    </w:rPr>
  </w:style>
  <w:style w:type="paragraph" w:styleId="25">
    <w:name w:val="Body Text 3"/>
    <w:basedOn w:val="1"/>
    <w:link w:val="84"/>
    <w:semiHidden/>
    <w:unhideWhenUsed/>
    <w:qFormat/>
    <w:uiPriority w:val="99"/>
    <w:pPr>
      <w:snapToGrid w:val="0"/>
      <w:spacing w:before="50" w:after="50"/>
    </w:pPr>
    <w:rPr>
      <w:rFonts w:ascii="Times New Roman" w:hAnsi="宋体" w:eastAsia="仿宋_GB2312"/>
      <w:b/>
      <w:bCs/>
      <w:sz w:val="24"/>
      <w:szCs w:val="20"/>
    </w:rPr>
  </w:style>
  <w:style w:type="paragraph" w:styleId="26">
    <w:name w:val="Body Text"/>
    <w:basedOn w:val="1"/>
    <w:link w:val="85"/>
    <w:qFormat/>
    <w:uiPriority w:val="0"/>
    <w:pPr>
      <w:spacing w:after="120"/>
    </w:pPr>
    <w:rPr>
      <w:sz w:val="28"/>
      <w:szCs w:val="24"/>
    </w:rPr>
  </w:style>
  <w:style w:type="paragraph" w:styleId="27">
    <w:name w:val="List Number 3"/>
    <w:basedOn w:val="1"/>
    <w:semiHidden/>
    <w:unhideWhenUsed/>
    <w:qFormat/>
    <w:uiPriority w:val="99"/>
    <w:pPr>
      <w:numPr>
        <w:ilvl w:val="0"/>
        <w:numId w:val="3"/>
      </w:numPr>
    </w:pPr>
    <w:rPr>
      <w:rFonts w:ascii="Times New Roman" w:hAnsi="Times New Roman"/>
      <w:szCs w:val="24"/>
    </w:rPr>
  </w:style>
  <w:style w:type="paragraph" w:styleId="28">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9">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30">
    <w:name w:val="toc 5"/>
    <w:basedOn w:val="1"/>
    <w:next w:val="1"/>
    <w:unhideWhenUsed/>
    <w:qFormat/>
    <w:uiPriority w:val="39"/>
    <w:pPr>
      <w:spacing w:afterLines="50"/>
      <w:ind w:left="840"/>
      <w:jc w:val="left"/>
    </w:pPr>
    <w:rPr>
      <w:rFonts w:ascii="Times New Roman" w:hAnsi="Times New Roman"/>
      <w:snapToGrid w:val="0"/>
      <w:kern w:val="0"/>
      <w:sz w:val="18"/>
      <w:szCs w:val="18"/>
    </w:rPr>
  </w:style>
  <w:style w:type="paragraph" w:styleId="31">
    <w:name w:val="toc 3"/>
    <w:basedOn w:val="1"/>
    <w:next w:val="1"/>
    <w:unhideWhenUsed/>
    <w:qFormat/>
    <w:uiPriority w:val="39"/>
    <w:pPr>
      <w:ind w:left="840" w:leftChars="400"/>
    </w:pPr>
  </w:style>
  <w:style w:type="paragraph" w:styleId="32">
    <w:name w:val="Plain Text"/>
    <w:basedOn w:val="1"/>
    <w:link w:val="87"/>
    <w:qFormat/>
    <w:uiPriority w:val="0"/>
    <w:pPr>
      <w:spacing w:beforeLines="50" w:afterLines="50" w:line="400" w:lineRule="exact"/>
    </w:pPr>
    <w:rPr>
      <w:rFonts w:ascii="宋体" w:hAnsi="Courier New"/>
      <w:sz w:val="24"/>
      <w:szCs w:val="24"/>
    </w:rPr>
  </w:style>
  <w:style w:type="paragraph" w:styleId="33">
    <w:name w:val="List Bullet 5"/>
    <w:basedOn w:val="1"/>
    <w:semiHidden/>
    <w:unhideWhenUsed/>
    <w:qFormat/>
    <w:uiPriority w:val="99"/>
    <w:pPr>
      <w:numPr>
        <w:ilvl w:val="0"/>
        <w:numId w:val="4"/>
      </w:numPr>
    </w:pPr>
    <w:rPr>
      <w:rFonts w:ascii="Times New Roman" w:hAnsi="Times New Roman"/>
      <w:szCs w:val="24"/>
    </w:rPr>
  </w:style>
  <w:style w:type="paragraph" w:styleId="34">
    <w:name w:val="toc 8"/>
    <w:basedOn w:val="1"/>
    <w:next w:val="1"/>
    <w:unhideWhenUsed/>
    <w:qFormat/>
    <w:uiPriority w:val="39"/>
    <w:pPr>
      <w:spacing w:afterLines="50"/>
      <w:ind w:left="1470"/>
      <w:jc w:val="left"/>
    </w:pPr>
    <w:rPr>
      <w:rFonts w:ascii="Times New Roman" w:hAnsi="Times New Roman"/>
      <w:snapToGrid w:val="0"/>
      <w:kern w:val="0"/>
      <w:sz w:val="18"/>
      <w:szCs w:val="18"/>
    </w:rPr>
  </w:style>
  <w:style w:type="paragraph" w:styleId="35">
    <w:name w:val="Date"/>
    <w:basedOn w:val="1"/>
    <w:next w:val="1"/>
    <w:link w:val="88"/>
    <w:semiHidden/>
    <w:unhideWhenUsed/>
    <w:qFormat/>
    <w:uiPriority w:val="99"/>
    <w:pPr>
      <w:ind w:left="2500" w:leftChars="2500"/>
    </w:pPr>
    <w:rPr>
      <w:rFonts w:eastAsia="楷体_GB2312"/>
      <w:sz w:val="32"/>
      <w:szCs w:val="20"/>
    </w:rPr>
  </w:style>
  <w:style w:type="paragraph" w:styleId="36">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1"/>
    <w:semiHidden/>
    <w:unhideWhenUsed/>
    <w:qFormat/>
    <w:uiPriority w:val="99"/>
    <w:rPr>
      <w:sz w:val="18"/>
      <w:szCs w:val="18"/>
    </w:rPr>
  </w:style>
  <w:style w:type="paragraph" w:styleId="39">
    <w:name w:val="footer"/>
    <w:basedOn w:val="1"/>
    <w:link w:val="245"/>
    <w:qFormat/>
    <w:uiPriority w:val="0"/>
    <w:pPr>
      <w:tabs>
        <w:tab w:val="center" w:pos="4153"/>
        <w:tab w:val="right" w:pos="8306"/>
      </w:tabs>
      <w:snapToGrid w:val="0"/>
      <w:jc w:val="left"/>
    </w:pPr>
    <w:rPr>
      <w:sz w:val="18"/>
      <w:szCs w:val="18"/>
    </w:rPr>
  </w:style>
  <w:style w:type="paragraph" w:styleId="40">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unhideWhenUsed/>
    <w:qFormat/>
    <w:uiPriority w:val="39"/>
    <w:pPr>
      <w:spacing w:before="240" w:after="240"/>
    </w:pPr>
    <w:rPr>
      <w:rFonts w:ascii="Times New Roman" w:hAnsi="Times New Roman" w:eastAsia="仿宋"/>
      <w:sz w:val="36"/>
      <w:szCs w:val="24"/>
    </w:rPr>
  </w:style>
  <w:style w:type="paragraph" w:styleId="42">
    <w:name w:val="toc 4"/>
    <w:basedOn w:val="1"/>
    <w:next w:val="1"/>
    <w:unhideWhenUsed/>
    <w:qFormat/>
    <w:uiPriority w:val="39"/>
    <w:pPr>
      <w:ind w:left="1260" w:leftChars="600"/>
    </w:pPr>
  </w:style>
  <w:style w:type="paragraph" w:styleId="43">
    <w:name w:val="Subtitle"/>
    <w:basedOn w:val="1"/>
    <w:link w:val="94"/>
    <w:qFormat/>
    <w:uiPriority w:val="11"/>
    <w:pPr>
      <w:spacing w:afterLines="50"/>
      <w:jc w:val="center"/>
    </w:pPr>
    <w:rPr>
      <w:rFonts w:ascii="Times New Roman" w:hAnsi="Times New Roman" w:eastAsia="Times New Roman"/>
      <w:sz w:val="18"/>
      <w:szCs w:val="18"/>
    </w:rPr>
  </w:style>
  <w:style w:type="paragraph" w:styleId="44">
    <w:name w:val="List"/>
    <w:basedOn w:val="1"/>
    <w:semiHidden/>
    <w:unhideWhenUsed/>
    <w:qFormat/>
    <w:uiPriority w:val="99"/>
    <w:pPr>
      <w:ind w:left="200" w:hanging="200" w:hangingChars="200"/>
    </w:pPr>
    <w:rPr>
      <w:rFonts w:ascii="Times New Roman" w:hAnsi="Times New Roman"/>
      <w:sz w:val="28"/>
      <w:szCs w:val="24"/>
    </w:rPr>
  </w:style>
  <w:style w:type="paragraph" w:styleId="45">
    <w:name w:val="footnote text"/>
    <w:basedOn w:val="1"/>
    <w:link w:val="95"/>
    <w:semiHidden/>
    <w:unhideWhenUsed/>
    <w:qFormat/>
    <w:uiPriority w:val="99"/>
    <w:pPr>
      <w:snapToGrid w:val="0"/>
      <w:jc w:val="left"/>
    </w:pPr>
    <w:rPr>
      <w:sz w:val="18"/>
      <w:szCs w:val="18"/>
    </w:rPr>
  </w:style>
  <w:style w:type="paragraph" w:styleId="46">
    <w:name w:val="toc 6"/>
    <w:basedOn w:val="1"/>
    <w:next w:val="1"/>
    <w:unhideWhenUsed/>
    <w:qFormat/>
    <w:uiPriority w:val="39"/>
    <w:pPr>
      <w:ind w:left="1050"/>
      <w:jc w:val="left"/>
    </w:pPr>
    <w:rPr>
      <w:rFonts w:ascii="Times New Roman" w:hAnsi="Times New Roman"/>
      <w:sz w:val="18"/>
      <w:szCs w:val="18"/>
    </w:rPr>
  </w:style>
  <w:style w:type="paragraph" w:styleId="47">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unhideWhenUsed/>
    <w:qFormat/>
    <w:uiPriority w:val="39"/>
    <w:pPr>
      <w:ind w:left="1680"/>
      <w:jc w:val="left"/>
    </w:pPr>
    <w:rPr>
      <w:rFonts w:ascii="Times New Roman" w:hAnsi="Times New Roman"/>
      <w:sz w:val="18"/>
      <w:szCs w:val="18"/>
    </w:rPr>
  </w:style>
  <w:style w:type="paragraph" w:styleId="51">
    <w:name w:val="Body Text 2"/>
    <w:basedOn w:val="1"/>
    <w:link w:val="97"/>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8"/>
    <w:semiHidden/>
    <w:unhideWhenUsed/>
    <w:qFormat/>
    <w:uiPriority w:val="99"/>
    <w:rPr>
      <w:rFonts w:ascii="Courier New" w:hAnsi="Courier New"/>
      <w:sz w:val="20"/>
      <w:szCs w:val="20"/>
    </w:rPr>
  </w:style>
  <w:style w:type="paragraph" w:styleId="5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semiHidden/>
    <w:unhideWhenUsed/>
    <w:qFormat/>
    <w:uiPriority w:val="99"/>
    <w:rPr>
      <w:rFonts w:ascii="Times New Roman" w:hAnsi="Times New Roman"/>
      <w:szCs w:val="20"/>
    </w:rPr>
  </w:style>
  <w:style w:type="paragraph" w:styleId="56">
    <w:name w:val="Title"/>
    <w:basedOn w:val="1"/>
    <w:next w:val="1"/>
    <w:link w:val="99"/>
    <w:qFormat/>
    <w:uiPriority w:val="10"/>
    <w:pPr>
      <w:spacing w:before="240" w:after="60"/>
      <w:jc w:val="center"/>
      <w:outlineLvl w:val="0"/>
    </w:pPr>
    <w:rPr>
      <w:rFonts w:ascii="Arial" w:hAnsi="Arial"/>
      <w:b/>
      <w:bCs/>
      <w:sz w:val="32"/>
      <w:szCs w:val="32"/>
    </w:rPr>
  </w:style>
  <w:style w:type="paragraph" w:styleId="57">
    <w:name w:val="annotation subject"/>
    <w:basedOn w:val="23"/>
    <w:next w:val="23"/>
    <w:link w:val="963"/>
    <w:semiHidden/>
    <w:unhideWhenUsed/>
    <w:qFormat/>
    <w:uiPriority w:val="99"/>
    <w:rPr>
      <w:b/>
      <w:bCs/>
    </w:rPr>
  </w:style>
  <w:style w:type="paragraph" w:styleId="58">
    <w:name w:val="Body Text First Indent"/>
    <w:basedOn w:val="26"/>
    <w:link w:val="102"/>
    <w:qFormat/>
    <w:uiPriority w:val="0"/>
    <w:pPr>
      <w:ind w:firstLine="420" w:firstLineChars="100"/>
    </w:pPr>
    <w:rPr>
      <w:sz w:val="21"/>
      <w:szCs w:val="22"/>
    </w:rPr>
  </w:style>
  <w:style w:type="table" w:styleId="60">
    <w:name w:val="Table Grid"/>
    <w:basedOn w:val="5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unhideWhenUsed/>
    <w:qFormat/>
    <w:uiPriority w:val="99"/>
    <w:rPr>
      <w:color w:val="800080"/>
      <w:u w:val="single"/>
    </w:rPr>
  </w:style>
  <w:style w:type="character" w:styleId="68">
    <w:name w:val="Emphasis"/>
    <w:qFormat/>
    <w:uiPriority w:val="20"/>
    <w:rPr>
      <w:color w:val="CC0033"/>
    </w:rPr>
  </w:style>
  <w:style w:type="character" w:styleId="69">
    <w:name w:val="Hyperlink"/>
    <w:unhideWhenUsed/>
    <w:qFormat/>
    <w:uiPriority w:val="99"/>
    <w:rPr>
      <w:color w:val="0000FF"/>
      <w:u w:val="single"/>
    </w:rPr>
  </w:style>
  <w:style w:type="character" w:styleId="70">
    <w:name w:val="annotation reference"/>
    <w:semiHidden/>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6"/>
    <w:qFormat/>
    <w:uiPriority w:val="9"/>
    <w:rPr>
      <w:rFonts w:ascii="Calibri" w:hAnsi="Calibri" w:eastAsia="宋体" w:cs="Times New Roman"/>
      <w:b/>
      <w:bCs/>
      <w:sz w:val="32"/>
      <w:szCs w:val="32"/>
    </w:rPr>
  </w:style>
  <w:style w:type="character" w:customStyle="1" w:styleId="75">
    <w:name w:val="标题 4 字符"/>
    <w:basedOn w:val="64"/>
    <w:link w:val="7"/>
    <w:qFormat/>
    <w:uiPriority w:val="0"/>
    <w:rPr>
      <w:rFonts w:ascii="Arial" w:hAnsi="Arial" w:eastAsia="黑体" w:cs="Times New Roman"/>
      <w:b/>
      <w:bCs/>
      <w:sz w:val="28"/>
      <w:szCs w:val="28"/>
    </w:rPr>
  </w:style>
  <w:style w:type="character" w:customStyle="1" w:styleId="76">
    <w:name w:val="标题 5 字符"/>
    <w:basedOn w:val="64"/>
    <w:link w:val="8"/>
    <w:qFormat/>
    <w:uiPriority w:val="0"/>
    <w:rPr>
      <w:rFonts w:ascii="Calibri" w:hAnsi="Calibri" w:eastAsia="宋体" w:cs="Times New Roman"/>
      <w:b/>
      <w:bCs/>
      <w:sz w:val="28"/>
      <w:szCs w:val="28"/>
    </w:rPr>
  </w:style>
  <w:style w:type="character" w:customStyle="1" w:styleId="77">
    <w:name w:val="标题 6 字符"/>
    <w:basedOn w:val="64"/>
    <w:link w:val="9"/>
    <w:qFormat/>
    <w:uiPriority w:val="0"/>
    <w:rPr>
      <w:rFonts w:ascii="Arial" w:hAnsi="Arial" w:eastAsia="黑体" w:cs="Times New Roman"/>
      <w:b/>
      <w:bCs/>
      <w:sz w:val="24"/>
      <w:szCs w:val="24"/>
    </w:rPr>
  </w:style>
  <w:style w:type="character" w:customStyle="1" w:styleId="78">
    <w:name w:val="标题 7 字符"/>
    <w:basedOn w:val="64"/>
    <w:link w:val="10"/>
    <w:qFormat/>
    <w:uiPriority w:val="0"/>
    <w:rPr>
      <w:rFonts w:ascii="Calibri" w:hAnsi="Calibri" w:eastAsia="宋体" w:cs="Times New Roman"/>
      <w:b/>
      <w:bCs/>
      <w:sz w:val="24"/>
      <w:szCs w:val="24"/>
    </w:rPr>
  </w:style>
  <w:style w:type="character" w:customStyle="1" w:styleId="79">
    <w:name w:val="标题 8 字符"/>
    <w:basedOn w:val="64"/>
    <w:link w:val="11"/>
    <w:qFormat/>
    <w:uiPriority w:val="0"/>
    <w:rPr>
      <w:rFonts w:ascii="Cambria" w:hAnsi="Cambria" w:eastAsia="宋体" w:cs="Times New Roman"/>
      <w:sz w:val="24"/>
      <w:szCs w:val="24"/>
    </w:rPr>
  </w:style>
  <w:style w:type="character" w:customStyle="1" w:styleId="80">
    <w:name w:val="标题 9 字符"/>
    <w:basedOn w:val="64"/>
    <w:link w:val="12"/>
    <w:qFormat/>
    <w:uiPriority w:val="0"/>
    <w:rPr>
      <w:rFonts w:ascii="Cambria" w:hAnsi="Cambria" w:eastAsia="宋体" w:cs="Times New Roman"/>
      <w:szCs w:val="21"/>
    </w:rPr>
  </w:style>
  <w:style w:type="character" w:customStyle="1" w:styleId="81">
    <w:name w:val="文档结构图 字符"/>
    <w:basedOn w:val="64"/>
    <w:link w:val="22"/>
    <w:qFormat/>
    <w:uiPriority w:val="99"/>
    <w:rPr>
      <w:rFonts w:ascii="宋体" w:hAnsi="Calibri" w:eastAsia="宋体" w:cs="Times New Roman"/>
      <w:sz w:val="18"/>
      <w:szCs w:val="18"/>
    </w:rPr>
  </w:style>
  <w:style w:type="character" w:customStyle="1" w:styleId="82">
    <w:name w:val="批注文字 字符1"/>
    <w:basedOn w:val="64"/>
    <w:link w:val="23"/>
    <w:qFormat/>
    <w:uiPriority w:val="99"/>
    <w:rPr>
      <w:rFonts w:ascii="Calibri" w:hAnsi="Calibri" w:eastAsia="宋体" w:cs="Times New Roman"/>
    </w:rPr>
  </w:style>
  <w:style w:type="character" w:customStyle="1" w:styleId="83">
    <w:name w:val="称呼 字符"/>
    <w:basedOn w:val="64"/>
    <w:link w:val="24"/>
    <w:qFormat/>
    <w:uiPriority w:val="0"/>
    <w:rPr>
      <w:rFonts w:ascii="宋体" w:hAnsi="Times New Roman" w:eastAsia="宋体" w:cs="Times New Roman"/>
      <w:b/>
      <w:sz w:val="28"/>
      <w:szCs w:val="20"/>
    </w:rPr>
  </w:style>
  <w:style w:type="character" w:customStyle="1" w:styleId="84">
    <w:name w:val="正文文本 3 字符"/>
    <w:basedOn w:val="64"/>
    <w:link w:val="25"/>
    <w:qFormat/>
    <w:uiPriority w:val="0"/>
    <w:rPr>
      <w:rFonts w:ascii="Times New Roman" w:hAnsi="宋体" w:eastAsia="仿宋_GB2312" w:cs="Times New Roman"/>
      <w:b/>
      <w:bCs/>
      <w:sz w:val="24"/>
      <w:szCs w:val="20"/>
    </w:rPr>
  </w:style>
  <w:style w:type="character" w:customStyle="1" w:styleId="85">
    <w:name w:val="正文文本 字符1"/>
    <w:basedOn w:val="64"/>
    <w:link w:val="26"/>
    <w:qFormat/>
    <w:uiPriority w:val="0"/>
    <w:rPr>
      <w:rFonts w:ascii="Calibri" w:hAnsi="Calibri" w:eastAsia="宋体" w:cs="Times New Roman"/>
      <w:sz w:val="28"/>
      <w:szCs w:val="24"/>
    </w:rPr>
  </w:style>
  <w:style w:type="character" w:customStyle="1" w:styleId="86">
    <w:name w:val="正文文本缩进 字符1"/>
    <w:basedOn w:val="64"/>
    <w:link w:val="3"/>
    <w:qFormat/>
    <w:uiPriority w:val="0"/>
    <w:rPr>
      <w:rFonts w:ascii="宋体" w:hAnsi="Courier New" w:eastAsia="宋体" w:cs="Times New Roman"/>
      <w:spacing w:val="-4"/>
      <w:sz w:val="18"/>
      <w:szCs w:val="20"/>
    </w:rPr>
  </w:style>
  <w:style w:type="character" w:customStyle="1" w:styleId="87">
    <w:name w:val="纯文本 字符"/>
    <w:basedOn w:val="64"/>
    <w:link w:val="32"/>
    <w:qFormat/>
    <w:uiPriority w:val="0"/>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0"/>
    <w:rPr>
      <w:rFonts w:ascii="仿宋_GB2312" w:hAnsi="宋体" w:eastAsia="宋体" w:cs="Times New Roman"/>
      <w:b/>
      <w:bCs/>
      <w:color w:val="000000"/>
      <w:sz w:val="24"/>
      <w:szCs w:val="24"/>
    </w:rPr>
  </w:style>
  <w:style w:type="character" w:customStyle="1" w:styleId="90">
    <w:name w:val="尾注文本 字符"/>
    <w:basedOn w:val="64"/>
    <w:link w:val="37"/>
    <w:qFormat/>
    <w:uiPriority w:val="0"/>
    <w:rPr>
      <w:rFonts w:ascii="宋体" w:hAnsi="Calibri" w:eastAsia="宋体" w:cs="Times New Roman"/>
      <w:snapToGrid w:val="0"/>
      <w:kern w:val="0"/>
      <w:szCs w:val="20"/>
    </w:rPr>
  </w:style>
  <w:style w:type="character" w:customStyle="1" w:styleId="91">
    <w:name w:val="批注框文本 字符"/>
    <w:basedOn w:val="64"/>
    <w:link w:val="38"/>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0"/>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3"/>
    <w:next w:val="23"/>
    <w:link w:val="100"/>
    <w:qFormat/>
    <w:uiPriority w:val="99"/>
    <w:rPr>
      <w:b/>
      <w:bCs/>
    </w:rPr>
  </w:style>
  <w:style w:type="character" w:customStyle="1" w:styleId="102">
    <w:name w:val="正文首行缩进 字符"/>
    <w:basedOn w:val="85"/>
    <w:link w:val="58"/>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20"/>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20"/>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7"/>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34"/>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10"/>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5"/>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9"/>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9"/>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semiHidden/>
    <w:unhideWhenUsed/>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7"/>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9"/>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0"/>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5"/>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7"/>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6"/>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3"/>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20"/>
    <w:qFormat/>
    <w:uiPriority w:val="0"/>
    <w:pPr>
      <w:spacing w:beforeLines="50" w:afterLines="50"/>
      <w:jc w:val="center"/>
    </w:pPr>
    <w:rPr>
      <w:rFonts w:ascii="Times New Roman" w:hAnsi="Times New Roman"/>
      <w:kern w:val="0"/>
      <w:sz w:val="24"/>
      <w:szCs w:val="24"/>
    </w:rPr>
  </w:style>
  <w:style w:type="paragraph" w:styleId="424">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0"/>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7"/>
    <w:qFormat/>
    <w:uiPriority w:val="0"/>
    <w:pPr>
      <w:numPr>
        <w:ilvl w:val="1"/>
        <w:numId w:val="5"/>
      </w:numPr>
      <w:tabs>
        <w:tab w:val="left" w:pos="2040"/>
      </w:tabs>
      <w:spacing w:after="120"/>
      <w:ind w:left="0" w:firstLine="0"/>
    </w:pPr>
  </w:style>
  <w:style w:type="paragraph" w:customStyle="1" w:styleId="436">
    <w:name w:val="样式 标题 4 + 段后: 0.5 行"/>
    <w:basedOn w:val="7"/>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5"/>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5"/>
    <w:next w:val="6"/>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2"/>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6"/>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2"/>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6"/>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9"/>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3"/>
    <w:next w:val="23"/>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5"/>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6"/>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4"/>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8"/>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6"/>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5"/>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9"/>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5"/>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9"/>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4"/>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5"/>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5"/>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6"/>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7"/>
    <w:next w:val="7"/>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8"/>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4"/>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6"/>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6"/>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5"/>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8"/>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8"/>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5"/>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6"/>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6"/>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9"/>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5"/>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6"/>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5"/>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7"/>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8"/>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6"/>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2"/>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3"/>
    <w:next w:val="23"/>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4"/>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7"/>
    <w:qFormat/>
    <w:uiPriority w:val="99"/>
    <w:rPr>
      <w:rFonts w:ascii="Calibri" w:hAnsi="Calibri" w:eastAsia="宋体" w:cs="Times New Roman"/>
      <w:b/>
      <w:bCs/>
    </w:rPr>
  </w:style>
  <w:style w:type="character" w:customStyle="1" w:styleId="964">
    <w:name w:val="正文首行缩进 2 字符"/>
    <w:basedOn w:val="86"/>
    <w:link w:val="2"/>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4"/>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paragraph" w:customStyle="1" w:styleId="981">
    <w:name w:val="项目标号"/>
    <w:basedOn w:val="1"/>
    <w:next w:val="1"/>
    <w:qFormat/>
    <w:uiPriority w:val="0"/>
    <w:pPr>
      <w:numPr>
        <w:ilvl w:val="0"/>
        <w:numId w:val="30"/>
      </w:numPr>
      <w:ind w:left="0" w:firstLine="0" w:firstLineChars="0"/>
      <w:jc w:val="left"/>
    </w:pPr>
    <w:rPr>
      <w:rFonts w:ascii="Arial" w:hAnsi="Arial" w:cs="宋体" w:eastAsiaTheme="minorEastAsia"/>
      <w:szCs w:val="20"/>
    </w:rPr>
  </w:style>
  <w:style w:type="paragraph" w:customStyle="1" w:styleId="982">
    <w:name w:val="Body Text First Indent1"/>
    <w:basedOn w:val="26"/>
    <w:qFormat/>
    <w:uiPriority w:val="0"/>
    <w:pPr>
      <w:spacing w:line="312" w:lineRule="auto"/>
      <w:ind w:firstLine="420"/>
    </w:pPr>
    <w:rPr>
      <w:rFonts w:ascii="Calibri" w:hAnsi="Calibri" w:eastAsia="宋体" w:cs="Times New Roman"/>
      <w:sz w:val="32"/>
      <w:szCs w:val="24"/>
    </w:rPr>
  </w:style>
  <w:style w:type="paragraph" w:customStyle="1" w:styleId="983">
    <w:name w:val="*正文"/>
    <w:basedOn w:val="1"/>
    <w:qFormat/>
    <w:uiPriority w:val="0"/>
    <w:pPr>
      <w:spacing w:line="360" w:lineRule="auto"/>
      <w:ind w:firstLine="482" w:firstLineChars="0"/>
    </w:pPr>
    <w:rPr>
      <w:rFonts w:ascii="宋体" w:hAnsi="宋体" w:eastAsia="仿宋" w:cs="仿宋_GB2312"/>
      <w:sz w:val="28"/>
      <w:szCs w:val="20"/>
    </w:rPr>
  </w:style>
  <w:style w:type="paragraph" w:customStyle="1" w:styleId="984">
    <w:name w:val="WPSOffice手动目录 1"/>
    <w:qFormat/>
    <w:uiPriority w:val="0"/>
    <w:rPr>
      <w:rFonts w:ascii="Calibri" w:hAnsi="Calibri" w:eastAsia="宋体" w:cs="Times New Roman"/>
      <w:lang w:val="en-US" w:eastAsia="zh-CN" w:bidi="ar-SA"/>
    </w:rPr>
  </w:style>
  <w:style w:type="paragraph" w:customStyle="1" w:styleId="985">
    <w:name w:val="_Style 984"/>
    <w:basedOn w:val="4"/>
    <w:next w:val="1"/>
    <w:qFormat/>
    <w:uiPriority w:val="39"/>
    <w:pPr>
      <w:keepNext/>
      <w:keepLines/>
      <w:widowControl/>
      <w:numPr>
        <w:ilvl w:val="0"/>
        <w:numId w:val="0"/>
      </w:numPr>
      <w:autoSpaceDE/>
      <w:autoSpaceDN/>
      <w:adjustRightInd/>
      <w:spacing w:before="480" w:after="0" w:line="276" w:lineRule="auto"/>
      <w:jc w:val="left"/>
      <w:outlineLvl w:val="9"/>
    </w:pPr>
    <w:rPr>
      <w:rFonts w:ascii="等线 Light" w:hAnsi="等线 Light" w:eastAsia="等线 Light" w:cs="Times New Roman"/>
      <w:b w:val="0"/>
      <w:bCs w:val="0"/>
      <w:color w:val="2F5496"/>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60369</Words>
  <Characters>67913</Characters>
  <Lines>0</Lines>
  <Paragraphs>0</Paragraphs>
  <TotalTime>0</TotalTime>
  <ScaleCrop>false</ScaleCrop>
  <LinksUpToDate>false</LinksUpToDate>
  <CharactersWithSpaces>70380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2022-05-14T08:34:00Z</dcterms:created>
  <dc:creator>tta</dc:creator>
  <cp:lastModifiedBy>yang</cp:lastModifiedBy>
  <cp:lastPrinted>2021-01-25T02:12:00Z</cp:lastPrinted>
  <dcterms:modified xsi:type="dcterms:W3CDTF">2022-07-04T01:01:05Z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7566C328CFC84544B6866612E8650035</vt:lpwstr>
  </property>
</Properties>
</file>