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bCs w:val="0"/>
          <w:sz w:val="44"/>
          <w:szCs w:val="44"/>
          <w:lang w:val="en-US"/>
        </w:rPr>
      </w:pPr>
      <w:bookmarkStart w:id="0" w:name="PO_15528_PM002_1"/>
      <w:bookmarkEnd w:id="0"/>
      <w:r>
        <w:rPr>
          <w:rFonts w:hint="eastAsia" w:ascii="宋体" w:hAnsi="宋体" w:eastAsia="宋体" w:cs="宋体"/>
          <w:b/>
          <w:bCs w:val="0"/>
          <w:kern w:val="2"/>
          <w:sz w:val="44"/>
          <w:szCs w:val="44"/>
          <w:lang w:val="en-US" w:eastAsia="zh-CN" w:bidi="ar"/>
        </w:rPr>
        <w:t>浙江省委办公厅综合服务中心设备系统改造项目</w:t>
      </w: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sz w:val="36"/>
          <w:szCs w:val="36"/>
          <w:lang w:val="en-US"/>
        </w:rPr>
      </w:pPr>
    </w:p>
    <w:p>
      <w:pPr>
        <w:keepNext w:val="0"/>
        <w:keepLines w:val="0"/>
        <w:widowControl w:val="0"/>
        <w:suppressLineNumbers w:val="0"/>
        <w:spacing w:before="240" w:beforeLines="100" w:beforeAutospacing="0" w:after="0" w:afterAutospacing="0" w:line="360" w:lineRule="auto"/>
        <w:ind w:left="0" w:right="-108"/>
        <w:jc w:val="center"/>
        <w:rPr>
          <w:rFonts w:hint="eastAsia" w:ascii="宋体" w:hAnsi="宋体" w:eastAsia="宋体" w:cs="宋体"/>
          <w:b/>
          <w:spacing w:val="40"/>
          <w:sz w:val="84"/>
          <w:szCs w:val="84"/>
          <w:lang w:val="en-US"/>
        </w:rPr>
      </w:pPr>
      <w:r>
        <w:rPr>
          <w:rFonts w:hint="eastAsia" w:ascii="宋体" w:hAnsi="宋体" w:eastAsia="宋体" w:cs="宋体"/>
          <w:kern w:val="2"/>
          <w:sz w:val="36"/>
          <w:szCs w:val="36"/>
          <w:lang w:val="en-US" w:eastAsia="zh-CN" w:bidi="ar"/>
        </w:rPr>
        <w:t>项目编号：</w:t>
      </w:r>
      <w:bookmarkStart w:id="1" w:name="PO_15528_PM001"/>
      <w:bookmarkEnd w:id="1"/>
      <w:r>
        <w:rPr>
          <w:rFonts w:hint="eastAsia" w:ascii="宋体" w:hAnsi="宋体" w:eastAsia="宋体" w:cs="宋体"/>
          <w:kern w:val="2"/>
          <w:sz w:val="36"/>
          <w:szCs w:val="36"/>
          <w:lang w:val="en-US" w:eastAsia="zh-CN" w:bidi="ar"/>
        </w:rPr>
        <w:t>ZZCG2022F-GK-168</w:t>
      </w:r>
    </w:p>
    <w:p>
      <w:pPr>
        <w:keepNext w:val="0"/>
        <w:keepLines w:val="0"/>
        <w:widowControl w:val="0"/>
        <w:suppressLineNumbers w:val="0"/>
        <w:spacing w:before="240" w:beforeLines="10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spacing w:val="40"/>
          <w:sz w:val="84"/>
          <w:szCs w:val="84"/>
          <w:lang w:val="en-US"/>
        </w:rPr>
      </w:pPr>
      <w:r>
        <w:rPr>
          <w:rFonts w:hint="eastAsia" w:ascii="宋体" w:hAnsi="宋体" w:eastAsia="宋体" w:cs="宋体"/>
          <w:b/>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sz w:val="32"/>
          <w:szCs w:val="32"/>
          <w:lang w:val="en-US"/>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采购单位：浙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int="eastAsia" w:ascii="宋体" w:hAnsi="宋体" w:eastAsia="宋体" w:cs="宋体"/>
          <w:sz w:val="36"/>
          <w:szCs w:val="36"/>
          <w:lang w:val="en-US"/>
        </w:rPr>
      </w:pPr>
      <w:r>
        <w:rPr>
          <w:rFonts w:hint="eastAsia" w:ascii="宋体" w:hAnsi="宋体" w:eastAsia="宋体" w:cs="宋体"/>
          <w:kern w:val="2"/>
          <w:sz w:val="36"/>
          <w:szCs w:val="36"/>
          <w:lang w:val="en-US" w:eastAsia="zh-CN" w:bidi="ar"/>
        </w:rPr>
        <w:t>地    址：杭州市环城北路305号耀江发展中心</w:t>
      </w:r>
    </w:p>
    <w:p>
      <w:pPr>
        <w:keepNext w:val="0"/>
        <w:keepLines w:val="0"/>
        <w:widowControl w:val="0"/>
        <w:suppressLineNumbers w:val="0"/>
        <w:spacing w:before="0" w:beforeAutospacing="0" w:after="0" w:afterAutospacing="0" w:line="500" w:lineRule="exact"/>
        <w:ind w:left="0" w:right="-108" w:firstLine="3755" w:firstLineChars="850"/>
        <w:jc w:val="both"/>
        <w:rPr>
          <w:rFonts w:hAnsi="宋体"/>
          <w:b/>
          <w:sz w:val="36"/>
          <w:szCs w:val="36"/>
          <w:lang w:val="en-US"/>
        </w:rPr>
      </w:pPr>
      <w:r>
        <w:rPr>
          <w:rFonts w:hint="default" w:ascii="Calibri" w:hAnsi="宋体" w:eastAsia="宋体" w:cs="Times New Roman"/>
          <w:b/>
          <w:sz w:val="44"/>
          <w:szCs w:val="44"/>
          <w:lang w:val="en-US" w:eastAsia="zh-CN" w:bidi="ar"/>
        </w:rPr>
        <w:br w:type="page"/>
      </w:r>
      <w:r>
        <w:rPr>
          <w:rFonts w:hint="eastAsia" w:ascii="宋体" w:hAnsi="宋体" w:eastAsia="宋体" w:cs="宋体"/>
          <w:b/>
          <w:kern w:val="2"/>
          <w:sz w:val="36"/>
          <w:szCs w:val="36"/>
          <w:lang w:val="en-US" w:eastAsia="zh-CN" w:bidi="ar"/>
        </w:rPr>
        <w:t>目录</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sz w:val="32"/>
          <w:szCs w:val="32"/>
          <w:lang w:val="en-US"/>
        </w:rPr>
      </w:pPr>
      <w:r>
        <w:rPr>
          <w:rFonts w:hint="eastAsia" w:ascii="宋体" w:hAnsi="宋体" w:eastAsia="仿宋_GB2312" w:cs="Times New Roman"/>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"_Toc496796635"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_Toc496796635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"_Toc496796636"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第二章投标人须知</w:t>
      </w:r>
      <w:r>
        <w:rPr>
          <w:rStyle w:val="69"/>
          <w:u w:val="single"/>
          <w:lang w:val="en-US"/>
        </w:rPr>
        <w:tab/>
      </w:r>
      <w:r>
        <w:rPr>
          <w:rStyle w:val="69"/>
          <w:u w:val="single"/>
          <w:lang w:val="en-US"/>
        </w:rPr>
        <w:t>6</w:t>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"_Toc496796637"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_Toc496796637 \h </w:instrText>
      </w:r>
      <w:r>
        <w:rPr>
          <w:rStyle w:val="69"/>
          <w:u w:val="single"/>
          <w:lang w:val="en-US"/>
        </w:rPr>
        <w:fldChar w:fldCharType="separate"/>
      </w:r>
      <w:r>
        <w:rPr>
          <w:rStyle w:val="69"/>
          <w:u w:val="single"/>
          <w:lang w:val="en-US"/>
        </w:rPr>
        <w:t>23</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"_Toc496796638"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_Toc496796638 \h </w:instrText>
      </w:r>
      <w:r>
        <w:rPr>
          <w:rStyle w:val="69"/>
          <w:u w:val="single"/>
          <w:lang w:val="en-US"/>
        </w:rPr>
        <w:fldChar w:fldCharType="separate"/>
      </w:r>
      <w:r>
        <w:rPr>
          <w:rStyle w:val="69"/>
          <w:u w:val="single"/>
          <w:lang w:val="en-US"/>
        </w:rPr>
        <w:t>24</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"_Toc496796639"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_Toc496796639 \h </w:instrText>
      </w:r>
      <w:r>
        <w:rPr>
          <w:rStyle w:val="69"/>
          <w:u w:val="single"/>
          <w:lang w:val="en-US"/>
        </w:rPr>
        <w:fldChar w:fldCharType="separate"/>
      </w:r>
      <w:r>
        <w:rPr>
          <w:rStyle w:val="69"/>
          <w:u w:val="single"/>
          <w:lang w:val="en-US"/>
        </w:rPr>
        <w:t>25</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rPr>
          <w:rFonts w:hint="default" w:ascii="Calibri" w:hAnsi="Calibri" w:eastAsia="宋体" w:cs="Calibri"/>
          <w:sz w:val="21"/>
          <w:szCs w:val="21"/>
          <w:lang w:val="en-US"/>
        </w:rPr>
      </w:pPr>
      <w:r>
        <w:rPr>
          <w:rFonts w:hint="default" w:ascii="Times New Roman" w:hAnsi="Times New Roman" w:eastAsia="仿宋" w:cs="Times New Roman"/>
          <w:kern w:val="2"/>
          <w:sz w:val="36"/>
          <w:szCs w:val="36"/>
          <w:lang w:val="en-US" w:eastAsia="zh-CN" w:bidi="ar"/>
        </w:rPr>
        <w:fldChar w:fldCharType="begin"/>
      </w:r>
      <w:r>
        <w:rPr>
          <w:rFonts w:hint="default" w:ascii="Times New Roman" w:hAnsi="Times New Roman" w:eastAsia="仿宋" w:cs="Times New Roman"/>
          <w:kern w:val="2"/>
          <w:sz w:val="36"/>
          <w:szCs w:val="36"/>
          <w:lang w:val="en-US" w:eastAsia="zh-CN" w:bidi="ar"/>
        </w:rPr>
        <w:instrText xml:space="preserve"> HYPERLINK "file:///F:\\pooh\\E盘\\2022F\\省政府办公厅ZZCG2022F-GK-168\\终稿8.19.docx" \l "_Toc496796640" </w:instrText>
      </w:r>
      <w:r>
        <w:rPr>
          <w:rFonts w:hint="default" w:ascii="Times New Roman" w:hAnsi="Times New Roman" w:eastAsia="仿宋" w:cs="Times New Roman"/>
          <w:kern w:val="2"/>
          <w:sz w:val="36"/>
          <w:szCs w:val="36"/>
          <w:lang w:val="en-US" w:eastAsia="zh-CN" w:bidi="ar"/>
        </w:rPr>
        <w:fldChar w:fldCharType="separate"/>
      </w:r>
      <w:r>
        <w:rPr>
          <w:rStyle w:val="69"/>
          <w:rFonts w:hint="eastAsia" w:ascii="宋体" w:hAnsi="宋体" w:eastAsia="宋体" w:cs="宋体"/>
          <w:b/>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_Toc496796640 \h </w:instrText>
      </w:r>
      <w:r>
        <w:rPr>
          <w:rStyle w:val="69"/>
          <w:u w:val="single"/>
          <w:lang w:val="en-US"/>
        </w:rPr>
        <w:fldChar w:fldCharType="separate"/>
      </w:r>
      <w:r>
        <w:rPr>
          <w:rStyle w:val="69"/>
          <w:u w:val="single"/>
          <w:lang w:val="en-US"/>
        </w:rPr>
        <w:t>32</w:t>
      </w:r>
      <w:r>
        <w:rPr>
          <w:rStyle w:val="69"/>
          <w:u w:val="single"/>
          <w:lang w:val="en-US"/>
        </w:rPr>
        <w:fldChar w:fldCharType="end"/>
      </w:r>
      <w:r>
        <w:rPr>
          <w:rFonts w:hint="default" w:ascii="Times New Roman" w:hAnsi="Times New Roman" w:eastAsia="仿宋" w:cs="Times New Roman"/>
          <w:kern w:val="2"/>
          <w:sz w:val="36"/>
          <w:szCs w:val="36"/>
          <w:lang w:val="en-US" w:eastAsia="zh-CN" w:bidi="ar"/>
        </w:rPr>
        <w:fldChar w:fldCharType="end"/>
      </w:r>
    </w:p>
    <w:p>
      <w:pPr>
        <w:keepNext w:val="0"/>
        <w:keepLines w:val="0"/>
        <w:widowControl w:val="0"/>
        <w:suppressLineNumbers w:val="0"/>
        <w:spacing w:before="120" w:beforeLines="50" w:beforeAutospacing="0" w:after="0" w:afterAutospacing="0" w:line="480" w:lineRule="exact"/>
        <w:ind w:left="165" w:right="0"/>
        <w:jc w:val="both"/>
        <w:rPr>
          <w:rFonts w:hint="eastAsia" w:ascii="宋体" w:hAnsi="宋体" w:eastAsia="仿宋_GB2312" w:cs="宋体"/>
          <w:sz w:val="30"/>
          <w:szCs w:val="30"/>
          <w:lang w:val="en-US"/>
        </w:rPr>
      </w:pPr>
      <w:r>
        <w:rPr>
          <w:rFonts w:hint="eastAsia" w:ascii="宋体" w:hAnsi="宋体" w:eastAsia="仿宋_GB2312" w:cs="宋体"/>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firstLine="640"/>
        <w:jc w:val="center"/>
        <w:outlineLvl w:val="0"/>
        <w:rPr>
          <w:rFonts w:hAnsi="宋体"/>
          <w:b/>
          <w:sz w:val="36"/>
          <w:szCs w:val="36"/>
          <w:lang w:val="en-US"/>
        </w:rPr>
      </w:pPr>
      <w:r>
        <w:rPr>
          <w:rFonts w:hint="eastAsia" w:ascii="宋体" w:hAnsi="宋体" w:eastAsia="仿宋_GB2312" w:cs="Times New Roman"/>
          <w:sz w:val="32"/>
          <w:szCs w:val="32"/>
          <w:lang w:val="en-US" w:eastAsia="zh-CN" w:bidi="ar"/>
        </w:rPr>
        <w:br w:type="page"/>
      </w:r>
      <w:bookmarkStart w:id="2" w:name="_Toc496796635"/>
      <w:bookmarkEnd w:id="2"/>
      <w:r>
        <w:rPr>
          <w:rFonts w:hint="eastAsia" w:ascii="宋体" w:hAnsi="宋体" w:eastAsia="宋体" w:cs="Times New Roman"/>
          <w:b/>
          <w:kern w:val="2"/>
          <w:sz w:val="36"/>
          <w:szCs w:val="36"/>
          <w:lang w:val="en-US" w:eastAsia="zh-CN" w:bidi="ar"/>
        </w:rPr>
        <w:t>第一章  公开招标采购公告</w:t>
      </w:r>
    </w:p>
    <w:p>
      <w:pPr>
        <w:pStyle w:val="53"/>
        <w:keepNext w:val="0"/>
        <w:keepLines w:val="0"/>
        <w:widowControl w:val="0"/>
        <w:suppressLineNumbers w:val="0"/>
        <w:snapToGrid w:val="0"/>
        <w:spacing w:before="0" w:beforeAutospacing="1" w:after="0" w:afterAutospacing="0" w:line="460" w:lineRule="exact"/>
        <w:ind w:left="0" w:right="0" w:firstLine="560" w:firstLineChars="200"/>
        <w:jc w:val="both"/>
        <w:rPr>
          <w:rFonts w:hint="eastAsia" w:ascii="仿宋" w:hAnsi="仿宋" w:eastAsia="仿宋" w:cs="仿宋"/>
          <w:sz w:val="30"/>
          <w:szCs w:val="30"/>
          <w:lang w:val="en-US"/>
        </w:rPr>
      </w:pPr>
      <w:r>
        <w:rPr>
          <w:rFonts w:hint="eastAsia" w:ascii="仿宋" w:hAnsi="仿宋" w:eastAsia="仿宋" w:cs="仿宋"/>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sz w:val="30"/>
          <w:szCs w:val="30"/>
          <w:lang w:val="en-US"/>
        </w:rPr>
      </w:pPr>
      <w:r>
        <w:rPr>
          <w:rFonts w:hint="eastAsia" w:ascii="仿宋" w:hAnsi="仿宋" w:eastAsia="仿宋" w:cs="Arial"/>
          <w:kern w:val="2"/>
          <w:sz w:val="30"/>
          <w:szCs w:val="30"/>
          <w:lang w:val="en-US" w:eastAsia="zh-CN" w:bidi="ar"/>
        </w:rPr>
        <w:t>一、</w:t>
      </w:r>
      <w:r>
        <w:rPr>
          <w:rFonts w:hint="eastAsia" w:ascii="仿宋" w:hAnsi="仿宋" w:eastAsia="仿宋" w:cs="Arial"/>
          <w:b/>
          <w:kern w:val="2"/>
          <w:sz w:val="30"/>
          <w:szCs w:val="30"/>
          <w:lang w:val="en-US" w:eastAsia="zh-CN" w:bidi="ar"/>
        </w:rPr>
        <w:t>项目编号：</w:t>
      </w:r>
      <w:bookmarkStart w:id="3" w:name="PO_15528_PM001_1"/>
      <w:bookmarkEnd w:id="3"/>
      <w:r>
        <w:rPr>
          <w:rFonts w:hint="eastAsia" w:ascii="仿宋" w:hAnsi="仿宋" w:eastAsia="仿宋" w:cs="Arial"/>
          <w:b/>
          <w:kern w:val="2"/>
          <w:sz w:val="30"/>
          <w:szCs w:val="30"/>
          <w:lang w:val="en-US" w:eastAsia="zh-CN" w:bidi="ar"/>
        </w:rPr>
        <w:t>ZZCG2022F-GK-168</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二、</w:t>
      </w:r>
      <w:r>
        <w:rPr>
          <w:rFonts w:hint="eastAsia" w:ascii="仿宋" w:hAnsi="仿宋" w:eastAsia="仿宋" w:cs="Arial"/>
          <w:b/>
          <w:kern w:val="2"/>
          <w:sz w:val="28"/>
          <w:szCs w:val="28"/>
          <w:lang w:val="en-US" w:eastAsia="zh-CN" w:bidi="ar"/>
        </w:rPr>
        <w:t>公告期限：5个工作日</w:t>
      </w:r>
    </w:p>
    <w:p>
      <w:pPr>
        <w:keepNext w:val="0"/>
        <w:keepLines w:val="0"/>
        <w:widowControl w:val="0"/>
        <w:suppressLineNumbers w:val="0"/>
        <w:snapToGrid w:val="0"/>
        <w:spacing w:before="0" w:beforeAutospacing="0" w:after="120" w:afterLines="50" w:afterAutospacing="0" w:line="460" w:lineRule="exact"/>
        <w:ind w:left="0" w:right="0" w:firstLine="602" w:firstLineChars="200"/>
        <w:jc w:val="both"/>
        <w:rPr>
          <w:rFonts w:hint="eastAsia" w:ascii="仿宋" w:hAnsi="仿宋" w:eastAsia="仿宋" w:cs="Arial"/>
          <w:b/>
          <w:sz w:val="28"/>
          <w:szCs w:val="28"/>
          <w:lang w:val="en-US"/>
        </w:rPr>
      </w:pPr>
      <w:r>
        <w:rPr>
          <w:rFonts w:hint="eastAsia" w:ascii="仿宋" w:hAnsi="仿宋" w:eastAsia="仿宋" w:cs="Arial"/>
          <w:b/>
          <w:kern w:val="2"/>
          <w:sz w:val="30"/>
          <w:szCs w:val="30"/>
          <w:lang w:val="en-US" w:eastAsia="zh-CN" w:bidi="ar"/>
        </w:rPr>
        <w:t>三、</w:t>
      </w:r>
      <w:r>
        <w:rPr>
          <w:rFonts w:hint="eastAsia" w:ascii="仿宋" w:hAnsi="仿宋" w:eastAsia="仿宋" w:cs="Arial"/>
          <w:b/>
          <w:kern w:val="2"/>
          <w:sz w:val="28"/>
          <w:szCs w:val="28"/>
          <w:lang w:val="en-US" w:eastAsia="zh-CN" w:bidi="ar"/>
        </w:rPr>
        <w:t>采购项目内容、数量及预算</w:t>
      </w:r>
      <w:bookmarkStart w:id="4" w:name="PO_15528_PM004"/>
      <w:bookmarkEnd w:id="4"/>
      <w:r>
        <w:rPr>
          <w:rFonts w:hint="eastAsia" w:ascii="仿宋" w:hAnsi="仿宋" w:eastAsia="仿宋" w:cs="Arial"/>
          <w:b/>
          <w:kern w:val="2"/>
          <w:sz w:val="28"/>
          <w:szCs w:val="28"/>
          <w:lang w:val="en-US" w:eastAsia="zh-CN" w:bidi="ar"/>
        </w:rPr>
        <w:t xml:space="preserve"> </w:t>
      </w:r>
    </w:p>
    <w:tbl>
      <w:tblPr>
        <w:tblStyle w:val="60"/>
        <w:tblW w:w="9777" w:type="dxa"/>
        <w:jc w:val="center"/>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76"/>
        <w:gridCol w:w="1985"/>
        <w:gridCol w:w="1134"/>
        <w:gridCol w:w="850"/>
        <w:gridCol w:w="1700"/>
        <w:gridCol w:w="1275"/>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w:t>
            </w:r>
          </w:p>
        </w:tc>
        <w:tc>
          <w:tcPr>
            <w:tcW w:w="198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标项名称</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数量</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单位</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预算(万元)</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简要规格描述或标项基本概况介绍</w:t>
            </w:r>
          </w:p>
        </w:tc>
        <w:tc>
          <w:tcPr>
            <w:tcW w:w="15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198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省委办公厅综合服务中心数码印刷设备项目</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1140.5</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5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2</w:t>
            </w:r>
          </w:p>
        </w:tc>
        <w:tc>
          <w:tcPr>
            <w:tcW w:w="198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省委办公厅综合服务中心装订设备项目</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w:t>
            </w:r>
          </w:p>
        </w:tc>
        <w:tc>
          <w:tcPr>
            <w:tcW w:w="85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项</w:t>
            </w:r>
          </w:p>
        </w:tc>
        <w:tc>
          <w:tcPr>
            <w:tcW w:w="17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198</w:t>
            </w:r>
          </w:p>
        </w:tc>
        <w:tc>
          <w:tcPr>
            <w:tcW w:w="12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kern w:val="0"/>
                <w:sz w:val="28"/>
                <w:szCs w:val="28"/>
                <w:lang w:val="en-US"/>
              </w:rPr>
            </w:pPr>
            <w:r>
              <w:rPr>
                <w:rFonts w:hint="eastAsia" w:ascii="仿宋" w:hAnsi="仿宋" w:eastAsia="仿宋" w:cs="Arial"/>
                <w:b/>
                <w:kern w:val="0"/>
                <w:sz w:val="28"/>
                <w:szCs w:val="28"/>
                <w:lang w:val="en-US" w:eastAsia="zh-CN" w:bidi="ar"/>
              </w:rPr>
              <w:t>详见附件</w:t>
            </w:r>
          </w:p>
        </w:tc>
        <w:tc>
          <w:tcPr>
            <w:tcW w:w="15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 w:hAnsi="仿宋" w:eastAsia="仿宋" w:cs="Arial"/>
                <w:b/>
                <w:sz w:val="28"/>
                <w:szCs w:val="28"/>
                <w:lang w:val="en-US"/>
              </w:rPr>
            </w:pPr>
          </w:p>
        </w:tc>
      </w:tr>
    </w:tbl>
    <w:p>
      <w:pPr>
        <w:keepNext w:val="0"/>
        <w:keepLines w:val="0"/>
        <w:widowControl w:val="0"/>
        <w:suppressLineNumbers w:val="0"/>
        <w:snapToGrid w:val="0"/>
        <w:spacing w:before="0" w:beforeAutospacing="0" w:after="120" w:afterLines="50" w:afterAutospacing="0" w:line="460" w:lineRule="exact"/>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sz w:val="28"/>
          <w:szCs w:val="28"/>
          <w:lang w:val="en-US"/>
        </w:rPr>
      </w:pPr>
      <w:r>
        <w:rPr>
          <w:rFonts w:hint="eastAsia" w:ascii="仿宋" w:hAnsi="仿宋" w:eastAsia="仿宋" w:cs="Arial"/>
          <w:kern w:val="2"/>
          <w:sz w:val="28"/>
          <w:szCs w:val="28"/>
          <w:lang w:val="en-US" w:eastAsia="zh-CN" w:bidi="ar"/>
        </w:rPr>
        <w:t>符合《中华人民共和国政府采购法》第二十二条规定,且未被</w:t>
      </w:r>
      <w:r>
        <w:rPr>
          <w:rFonts w:hint="eastAsia" w:ascii="仿宋" w:hAnsi="仿宋" w:eastAsia="仿宋" w:cs="仿宋"/>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sz w:val="30"/>
          <w:szCs w:val="30"/>
          <w:lang w:val="en-US" w:eastAsia="zh-CN"/>
        </w:rPr>
      </w:pPr>
      <w:bookmarkStart w:id="5" w:name="PO_416_PM006"/>
      <w:bookmarkEnd w:id="5"/>
      <w:r>
        <w:rPr>
          <w:rFonts w:hint="eastAsia" w:ascii="仿宋" w:hAnsi="仿宋" w:eastAsia="仿宋" w:cs="Arial"/>
          <w:b/>
          <w:kern w:val="2"/>
          <w:sz w:val="30"/>
          <w:szCs w:val="30"/>
          <w:lang w:val="en-US" w:eastAsia="zh-CN" w:bidi="ar"/>
        </w:rPr>
        <w:t xml:space="preserve"> 投标人的特定条件：无</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bookmarkStart w:id="6" w:name="PO_15528_PM007"/>
      <w:bookmarkEnd w:id="6"/>
      <w:r>
        <w:rPr>
          <w:rFonts w:hint="eastAsia" w:ascii="宋体" w:hAnsi="宋体" w:eastAsia="宋体" w:cs="仿宋"/>
          <w:b/>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kern w:val="0"/>
          <w:sz w:val="28"/>
          <w:szCs w:val="28"/>
          <w:lang w:val="en-US"/>
        </w:rPr>
      </w:pPr>
      <w:r>
        <w:rPr>
          <w:rFonts w:hint="eastAsia" w:ascii="宋体" w:hAnsi="宋体" w:eastAsia="宋体" w:cs="宋体"/>
          <w:kern w:val="0"/>
          <w:sz w:val="28"/>
          <w:szCs w:val="28"/>
          <w:lang w:val="en-US" w:eastAsia="zh-CN" w:bidi="ar"/>
        </w:rPr>
        <w:t>1.获取时间：</w:t>
      </w:r>
      <w:r>
        <w:rPr>
          <w:rFonts w:hint="eastAsia" w:ascii="仿宋" w:hAnsi="仿宋" w:eastAsia="仿宋" w:cs="仿宋"/>
          <w:kern w:val="0"/>
          <w:sz w:val="30"/>
          <w:szCs w:val="30"/>
          <w:lang w:val="en-US" w:eastAsia="zh-CN" w:bidi="ar"/>
        </w:rPr>
        <w:t xml:space="preserve"> 至 </w:t>
      </w:r>
      <w:bookmarkStart w:id="7" w:name="PO_15528_PM009"/>
      <w:r>
        <w:rPr>
          <w:rFonts w:hint="eastAsia" w:ascii="仿宋" w:hAnsi="仿宋" w:eastAsia="仿宋" w:cs="仿宋"/>
          <w:kern w:val="0"/>
          <w:sz w:val="30"/>
          <w:szCs w:val="30"/>
          <w:lang w:val="en-US" w:eastAsia="zh-CN" w:bidi="ar"/>
        </w:rPr>
        <w:t>2022-09-13 09:00:00</w:t>
      </w:r>
      <w:bookmarkEnd w:id="7"/>
      <w:r>
        <w:rPr>
          <w:rFonts w:hint="eastAsia" w:ascii="仿宋" w:hAnsi="仿宋" w:eastAsia="仿宋" w:cs="仿宋"/>
          <w:kern w:val="0"/>
          <w:sz w:val="30"/>
          <w:szCs w:val="30"/>
          <w:lang w:val="en-US" w:eastAsia="zh-CN" w:bidi="ar"/>
        </w:rPr>
        <w:t xml:space="preserve"> </w:t>
      </w:r>
      <w:r>
        <w:rPr>
          <w:rFonts w:hint="eastAsia" w:ascii="宋体" w:hAnsi="宋体" w:eastAsia="宋体" w:cs="宋体"/>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宋体" w:hAnsi="宋体" w:eastAsia="宋体" w:cs="仿宋"/>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kern w:val="0"/>
          <w:sz w:val="28"/>
          <w:szCs w:val="28"/>
          <w:lang w:val="en-US"/>
        </w:rPr>
      </w:pPr>
      <w:r>
        <w:rPr>
          <w:rFonts w:hint="eastAsia" w:ascii="宋体" w:hAnsi="宋体" w:eastAsia="宋体" w:cs="仿宋"/>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kern w:val="0"/>
          <w:sz w:val="28"/>
          <w:szCs w:val="28"/>
          <w:lang w:val="en-US"/>
        </w:rPr>
      </w:pPr>
      <w:r>
        <w:rPr>
          <w:rFonts w:hint="eastAsia" w:ascii="宋体" w:hAnsi="宋体" w:eastAsia="宋体" w:cs="Arial"/>
          <w:b/>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2" w:firstLineChars="200"/>
        <w:jc w:val="both"/>
        <w:rPr>
          <w:rFonts w:hAnsi="宋体"/>
          <w:kern w:val="0"/>
          <w:sz w:val="28"/>
          <w:szCs w:val="28"/>
          <w:lang w:val="en-US"/>
        </w:rPr>
      </w:pPr>
      <w:r>
        <w:rPr>
          <w:rFonts w:hint="eastAsia" w:ascii="宋体" w:hAnsi="宋体" w:eastAsia="宋体" w:cs="Times New Roman"/>
          <w:b/>
          <w:kern w:val="0"/>
          <w:sz w:val="28"/>
          <w:szCs w:val="28"/>
          <w:lang w:val="en-US" w:eastAsia="zh-CN" w:bidi="ar"/>
        </w:rPr>
        <w:t>投标截止时间：</w:t>
      </w:r>
      <w:bookmarkStart w:id="8" w:name="PO_15528_PM015"/>
      <w:r>
        <w:rPr>
          <w:rFonts w:hint="eastAsia" w:cs="Times New Roman"/>
          <w:b/>
          <w:kern w:val="0"/>
          <w:sz w:val="28"/>
          <w:szCs w:val="28"/>
          <w:lang w:val="en-US" w:eastAsia="zh-CN" w:bidi="ar"/>
        </w:rPr>
        <w:t>2022-09-13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kern w:val="0"/>
          <w:sz w:val="28"/>
          <w:szCs w:val="28"/>
          <w:lang w:val="en-US" w:eastAsia="zh-CN" w:bidi="ar"/>
        </w:rPr>
        <w:t>。</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0" w:beforeLines="50" w:beforeAutospacing="0" w:after="0" w:afterAutospacing="0" w:line="500" w:lineRule="exact"/>
        <w:ind w:left="0" w:right="0" w:firstLine="560" w:firstLineChars="200"/>
        <w:jc w:val="both"/>
        <w:rPr>
          <w:rFonts w:hAnsi="宋体"/>
          <w:kern w:val="0"/>
          <w:sz w:val="28"/>
          <w:szCs w:val="28"/>
          <w:lang w:val="en-US"/>
        </w:rPr>
      </w:pPr>
      <w:r>
        <w:rPr>
          <w:rFonts w:hint="eastAsia" w:ascii="宋体" w:hAnsi="宋体" w:eastAsia="宋体" w:cs="Times New Roman"/>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b/>
          <w:bCs w:val="0"/>
          <w:kern w:val="0"/>
          <w:sz w:val="28"/>
          <w:szCs w:val="28"/>
          <w:lang w:val="en-US"/>
        </w:rPr>
      </w:pPr>
      <w:r>
        <w:rPr>
          <w:rFonts w:hint="eastAsia" w:ascii="宋体" w:hAnsi="宋体" w:eastAsia="宋体" w:cs="宋体"/>
          <w:kern w:val="0"/>
          <w:sz w:val="28"/>
          <w:szCs w:val="28"/>
          <w:lang w:val="en-US" w:eastAsia="zh-CN" w:bidi="ar"/>
        </w:rPr>
        <w:t>投标文件收件人：陶老师，联系方式：0571-88901836，收件地址：杭州市环城北路305号耀江发展中心三楼302会议室，收件时间：上午08：30-11:30，下午14:30-17:30（疫情期间仅接收邮寄方式递交的投标文件,因本大楼疫情管控，推荐使用中国邮政速递和顺丰快递）。</w:t>
      </w:r>
      <w:r>
        <w:rPr>
          <w:rFonts w:hint="eastAsia" w:ascii="宋体" w:hAnsi="宋体" w:eastAsia="宋体" w:cs="宋体"/>
          <w:b/>
          <w:bCs w:val="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本次招标将于</w:t>
      </w:r>
      <w:bookmarkStart w:id="9" w:name="PO_15528_PM015_1"/>
      <w:r>
        <w:rPr>
          <w:rFonts w:hint="eastAsia" w:ascii="宋体" w:hAnsi="宋体" w:cs="Arial"/>
          <w:b/>
          <w:kern w:val="2"/>
          <w:sz w:val="28"/>
          <w:szCs w:val="28"/>
          <w:lang w:val="en-US" w:eastAsia="zh-CN" w:bidi="ar"/>
        </w:rPr>
        <w:t>2022-09-13 09:00:00</w:t>
      </w:r>
      <w:bookmarkEnd w:id="9"/>
      <w:r>
        <w:rPr>
          <w:rFonts w:hint="eastAsia" w:ascii="宋体" w:hAnsi="宋体" w:eastAsia="宋体" w:cs="Arial"/>
          <w:b/>
          <w:kern w:val="2"/>
          <w:sz w:val="28"/>
          <w:szCs w:val="28"/>
          <w:lang w:val="en-US" w:eastAsia="zh-CN" w:bidi="ar"/>
        </w:rPr>
        <w:t xml:space="preserve"> 时整在</w:t>
      </w:r>
      <w:bookmarkStart w:id="10" w:name="PO_15528_PM016_1"/>
      <w:r>
        <w:rPr>
          <w:rFonts w:hint="eastAsia" w:ascii="宋体" w:hAnsi="宋体" w:cs="Arial"/>
          <w:b/>
          <w:kern w:val="2"/>
          <w:sz w:val="28"/>
          <w:szCs w:val="28"/>
          <w:lang w:val="en-US" w:eastAsia="zh-CN" w:bidi="ar"/>
        </w:rPr>
        <w:t>拱墅区杭州市环城北路305号耀江发展中心 202评标室（小）</w:t>
      </w:r>
      <w:bookmarkEnd w:id="10"/>
      <w:r>
        <w:rPr>
          <w:rFonts w:hint="eastAsia" w:ascii="宋体" w:hAnsi="宋体" w:eastAsia="宋体" w:cs="Arial"/>
          <w:b/>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本项目实行“不见面开评标”，投标人无须派人员到现场出席开标会议。</w:t>
      </w:r>
    </w:p>
    <w:tbl>
      <w:tblPr>
        <w:tblStyle w:val="60"/>
        <w:tblW w:w="8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1"/>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1"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开标现场咨询电话</w:t>
            </w: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201开标室（大）：0571-88907719</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202评标室（小）：0571-88907720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1"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jc w:val="both"/>
              <w:rPr>
                <w:rFonts w:hint="default" w:ascii="Times New Roman" w:hAnsi="Times New Roman" w:eastAsia="宋体"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3A（四楼）05评标室：0571-88907792</w:t>
            </w:r>
          </w:p>
        </w:tc>
        <w:tc>
          <w:tcPr>
            <w:tcW w:w="344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adjustRightInd w:val="0"/>
              <w:snapToGrid w:val="0"/>
              <w:spacing w:before="0" w:beforeLines="50" w:beforeAutospacing="0" w:after="0" w:afterAutospacing="0" w:line="500" w:lineRule="exact"/>
              <w:ind w:left="0" w:right="0"/>
              <w:jc w:val="both"/>
              <w:rPr>
                <w:rFonts w:hint="default" w:hAnsi="宋体"/>
                <w:kern w:val="0"/>
                <w:sz w:val="28"/>
                <w:szCs w:val="28"/>
                <w:lang w:val="en-US"/>
              </w:rPr>
            </w:pPr>
            <w:r>
              <w:rPr>
                <w:rFonts w:hint="eastAsia" w:ascii="宋体" w:hAnsi="宋体" w:eastAsia="宋体" w:cs="Times New Roman"/>
                <w:kern w:val="0"/>
                <w:sz w:val="28"/>
                <w:szCs w:val="28"/>
                <w:lang w:val="en-US" w:eastAsia="zh-CN" w:bidi="ar"/>
              </w:rPr>
              <w:t>3A（四楼）06开标室：0571-88907791</w:t>
            </w: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sz w:val="28"/>
          <w:szCs w:val="28"/>
          <w:lang w:val="en-US"/>
        </w:rPr>
      </w:pPr>
      <w:r>
        <w:rPr>
          <w:rFonts w:hint="eastAsia" w:ascii="宋体" w:hAnsi="宋体" w:eastAsia="宋体" w:cs="Arial"/>
          <w:b/>
          <w:kern w:val="2"/>
          <w:sz w:val="28"/>
          <w:szCs w:val="28"/>
          <w:lang w:val="en-US" w:eastAsia="zh-CN" w:bidi="ar"/>
        </w:rPr>
        <w:t>（一）网络地址：</w:t>
      </w:r>
      <w:r>
        <w:rPr>
          <w:rFonts w:hint="eastAsia" w:ascii="宋体" w:hAnsi="宋体" w:eastAsia="宋体" w:cs="仿宋"/>
          <w:kern w:val="2"/>
          <w:sz w:val="28"/>
          <w:szCs w:val="28"/>
          <w:lang w:val="en-US" w:eastAsia="zh-CN" w:bidi="ar"/>
        </w:rPr>
        <w:t xml:space="preserve">浙江政府采购网 </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（二）登录方法：</w:t>
      </w:r>
      <w:r>
        <w:rPr>
          <w:rFonts w:hint="eastAsia" w:ascii="宋体" w:hAnsi="宋体" w:eastAsia="宋体" w:cs="Arial"/>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sz w:val="28"/>
          <w:szCs w:val="28"/>
          <w:lang w:val="en-US"/>
        </w:rPr>
      </w:pPr>
      <w:r>
        <w:rPr>
          <w:rFonts w:hint="eastAsia" w:ascii="宋体" w:hAnsi="宋体" w:eastAsia="宋体" w:cs="Arial"/>
          <w:b/>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宋体" w:hAnsi="宋体" w:eastAsia="宋体" w:cs="Arial"/>
          <w:b/>
          <w:kern w:val="2"/>
          <w:sz w:val="28"/>
          <w:szCs w:val="28"/>
          <w:lang w:val="en-US" w:eastAsia="zh-CN" w:bidi="ar"/>
        </w:rPr>
        <w:t>（https://edu.zcygov.cn/live?utm=a0018.2ef5001f.0.0.1939d340e5db11ea867fb57c149ddb61）自行提前学习</w:t>
      </w:r>
      <w:r>
        <w:rPr>
          <w:rFonts w:hint="eastAsia" w:ascii="宋体" w:hAnsi="宋体" w:eastAsia="宋体" w:cs="Arial"/>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三楼（专业项目采购部）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项目保证金</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  幸</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0571-88907705</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0571-88907704</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一楼（服务大厅）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吴女士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pStyle w:val="53"/>
        <w:keepNext w:val="0"/>
        <w:keepLines w:val="0"/>
        <w:widowControl w:val="0"/>
        <w:suppressLineNumbers w:val="0"/>
        <w:spacing w:before="0" w:beforeAutospacing="0" w:after="0" w:afterAutospacing="0"/>
        <w:ind w:left="0" w:right="0" w:firstLine="480" w:firstLineChars="200"/>
        <w:jc w:val="both"/>
        <w:rPr>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十一、采购需求咨询</w:t>
      </w:r>
    </w:p>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sz w:val="30"/>
          <w:szCs w:val="30"/>
          <w:lang w:val="en-US"/>
        </w:rPr>
      </w:pPr>
      <w:bookmarkStart w:id="14" w:name="PO_15528_PM001384_1"/>
      <w:bookmarkEnd w:id="14"/>
      <w:r>
        <w:rPr>
          <w:rFonts w:hint="eastAsia" w:ascii="仿宋_GB2312" w:hAnsi="仿宋" w:eastAsia="仿宋_GB2312" w:cs="仿宋_GB2312"/>
          <w:kern w:val="2"/>
          <w:sz w:val="30"/>
          <w:szCs w:val="30"/>
          <w:lang w:val="en-US" w:eastAsia="zh-CN" w:bidi="ar"/>
        </w:rPr>
        <w:t xml:space="preserve"> </w:t>
      </w:r>
      <w:bookmarkStart w:id="15" w:name="PO_TDCUS_ITEM_PRC_TITLE_1_2"/>
      <w:bookmarkEnd w:id="15"/>
    </w:p>
    <w:p>
      <w:pPr>
        <w:keepNext w:val="0"/>
        <w:keepLines w:val="0"/>
        <w:widowControl w:val="0"/>
        <w:suppressLineNumbers w:val="0"/>
        <w:snapToGrid w:val="0"/>
        <w:spacing w:before="0" w:beforeAutospacing="0" w:after="0" w:afterAutospacing="0" w:line="440" w:lineRule="exact"/>
        <w:ind w:left="0" w:right="0" w:firstLine="600" w:firstLineChars="200"/>
        <w:jc w:val="left"/>
        <w:rPr>
          <w:rFonts w:hint="eastAsia" w:ascii="仿宋_GB2312" w:hAnsi="仿宋" w:eastAsia="仿宋_GB2312" w:cs="仿宋_GB2312"/>
          <w:sz w:val="30"/>
          <w:szCs w:val="30"/>
          <w:lang w:val="en-US"/>
        </w:rPr>
      </w:pPr>
      <w:bookmarkStart w:id="16" w:name="PO_TDCUS_ITEM_PRC_TITLE_1"/>
      <w:bookmarkEnd w:id="16"/>
      <w:r>
        <w:rPr>
          <w:rFonts w:hint="eastAsia" w:ascii="仿宋_GB2312" w:hAnsi="仿宋" w:eastAsia="仿宋_GB2312" w:cs="仿宋_GB2312"/>
          <w:kern w:val="2"/>
          <w:sz w:val="30"/>
          <w:szCs w:val="30"/>
          <w:lang w:val="en-US" w:eastAsia="zh-CN" w:bidi="ar"/>
        </w:rPr>
        <w:t>标项1-2：</w:t>
      </w:r>
    </w:p>
    <w:p>
      <w:pPr>
        <w:keepNext w:val="0"/>
        <w:keepLines w:val="0"/>
        <w:widowControl w:val="0"/>
        <w:suppressLineNumbers w:val="0"/>
        <w:snapToGrid w:val="0"/>
        <w:spacing w:before="0" w:beforeAutospacing="0" w:after="0" w:afterAutospacing="0" w:line="440" w:lineRule="exact"/>
        <w:ind w:left="0" w:right="0" w:firstLine="602" w:firstLineChars="200"/>
        <w:jc w:val="left"/>
        <w:rPr>
          <w:rFonts w:hint="eastAsia" w:ascii="仿宋" w:hAnsi="仿宋" w:eastAsia="仿宋" w:cs="Arial"/>
          <w:b/>
          <w:sz w:val="30"/>
          <w:szCs w:val="30"/>
          <w:lang w:val="en-US"/>
        </w:rPr>
      </w:pPr>
      <w:r>
        <w:rPr>
          <w:rFonts w:hint="eastAsia" w:ascii="仿宋" w:hAnsi="仿宋" w:eastAsia="仿宋" w:cs="Arial"/>
          <w:b/>
          <w:kern w:val="2"/>
          <w:sz w:val="30"/>
          <w:szCs w:val="30"/>
          <w:lang w:val="en-US" w:eastAsia="zh-CN" w:bidi="ar"/>
        </w:rPr>
        <w:t xml:space="preserve"> </w:t>
      </w:r>
    </w:p>
    <w:tbl>
      <w:tblPr>
        <w:tblStyle w:val="59"/>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8"/>
        <w:gridCol w:w="1499"/>
        <w:gridCol w:w="2267"/>
        <w:gridCol w:w="1992"/>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bookmarkStart w:id="17" w:name="PO_TDCUS_ITEM_PRC_TABLE_1_1"/>
            <w:bookmarkEnd w:id="17"/>
            <w:r>
              <w:rPr>
                <w:rFonts w:hint="eastAsia" w:ascii="宋体" w:hAnsi="宋体" w:eastAsia="宋体" w:cs="宋体"/>
                <w:b/>
                <w:kern w:val="2"/>
                <w:sz w:val="28"/>
                <w:szCs w:val="28"/>
                <w:lang w:val="en-US" w:eastAsia="zh-CN" w:bidi="ar"/>
              </w:rPr>
              <w:t>采购单位</w:t>
            </w:r>
          </w:p>
        </w:tc>
        <w:tc>
          <w:tcPr>
            <w:tcW w:w="7557"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中共浙江省委办公厅综合服务中心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地 址</w:t>
            </w:r>
          </w:p>
        </w:tc>
        <w:tc>
          <w:tcPr>
            <w:tcW w:w="7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浙江省杭州市西湖区省府路8号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咨询事项</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联系人</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联系方式</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传真</w:t>
            </w: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sz w:val="28"/>
                <w:szCs w:val="28"/>
                <w:lang w:val="en-US"/>
              </w:rPr>
            </w:pPr>
            <w:r>
              <w:rPr>
                <w:rFonts w:hint="eastAsia" w:ascii="宋体" w:hAnsi="宋体" w:eastAsia="宋体" w:cs="宋体"/>
                <w:b/>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采购需求等</w:t>
            </w:r>
          </w:p>
        </w:tc>
        <w:tc>
          <w:tcPr>
            <w:tcW w:w="14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梅俊腾</w:t>
            </w:r>
          </w:p>
        </w:tc>
        <w:tc>
          <w:tcPr>
            <w:tcW w:w="22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r>
              <w:rPr>
                <w:rFonts w:hint="eastAsia" w:ascii="宋体" w:hAnsi="宋体" w:eastAsia="宋体" w:cs="宋体"/>
                <w:kern w:val="2"/>
                <w:sz w:val="30"/>
                <w:szCs w:val="30"/>
                <w:lang w:val="en-US" w:eastAsia="zh-CN" w:bidi="ar"/>
              </w:rPr>
              <w:t>0571-87052693</w:t>
            </w:r>
          </w:p>
        </w:tc>
        <w:tc>
          <w:tcPr>
            <w:tcW w:w="199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sz w:val="24"/>
                <w:szCs w:val="24"/>
                <w:lang w:val="en-US"/>
              </w:rPr>
            </w:pPr>
          </w:p>
        </w:tc>
        <w:tc>
          <w:tcPr>
            <w:tcW w:w="17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sz w:val="24"/>
                <w:szCs w:val="24"/>
                <w:lang w:val="en-US"/>
              </w:rPr>
            </w:pPr>
          </w:p>
        </w:tc>
      </w:tr>
    </w:tbl>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 w:hAnsi="仿宋" w:eastAsia="仿宋" w:cs="Times New Roman"/>
          <w:b/>
          <w:sz w:val="36"/>
          <w:szCs w:val="36"/>
          <w:lang w:val="en-US" w:eastAsia="zh-CN" w:bidi="ar"/>
        </w:rPr>
        <w:br w:type="page"/>
      </w:r>
      <w:bookmarkStart w:id="18" w:name="_Toc496796636"/>
      <w:bookmarkEnd w:id="18"/>
      <w:r>
        <w:rPr>
          <w:rFonts w:hint="eastAsia" w:ascii="仿宋" w:hAnsi="仿宋" w:eastAsia="仿宋" w:cs="仿宋"/>
          <w:b/>
          <w:kern w:val="2"/>
          <w:sz w:val="36"/>
          <w:szCs w:val="36"/>
          <w:lang w:val="en-US" w:eastAsia="zh-CN" w:bidi="ar"/>
        </w:rPr>
        <w:t>第二章  投标人须知</w:t>
      </w:r>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1558"/>
        <w:gridCol w:w="737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内  容</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项目名称及数量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信用记录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中小企业预留份额情况</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根据《政府采购促进中小企业发展管理办法》财库〔2020〕46号文件的规定，本项目</w:t>
            </w:r>
            <w:r>
              <w:rPr>
                <w:rFonts w:hint="eastAsia" w:ascii="仿宋" w:hAnsi="仿宋" w:eastAsia="仿宋" w:cs="仿宋"/>
                <w:b/>
                <w:kern w:val="2"/>
                <w:sz w:val="24"/>
                <w:szCs w:val="24"/>
                <w:u w:val="single"/>
                <w:lang w:val="en-US" w:eastAsia="zh-CN" w:bidi="ar"/>
              </w:rPr>
              <w:t>不</w:t>
            </w:r>
            <w:r>
              <w:rPr>
                <w:rFonts w:hint="eastAsia" w:ascii="仿宋" w:hAnsi="仿宋" w:eastAsia="仿宋" w:cs="仿宋"/>
                <w:b/>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中小企业优惠措施</w:t>
            </w:r>
          </w:p>
        </w:tc>
        <w:tc>
          <w:tcPr>
            <w:tcW w:w="73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lang w:val="en-US" w:eastAsia="zh-CN" w:bidi="ar"/>
              </w:rPr>
              <w:t>项目属性：（货物类）</w:t>
            </w:r>
          </w:p>
          <w:p>
            <w:pPr>
              <w:pStyle w:val="53"/>
              <w:keepNext w:val="0"/>
              <w:keepLines w:val="0"/>
              <w:widowControl w:val="0"/>
              <w:numPr>
                <w:ilvl w:val="0"/>
                <w:numId w:val="30"/>
              </w:numPr>
              <w:suppressLineNumbers w:val="0"/>
              <w:snapToGrid w:val="0"/>
              <w:spacing w:before="0" w:beforeAutospacing="0" w:after="0" w:afterAutospacing="0" w:line="460" w:lineRule="exact"/>
              <w:ind w:left="960" w:right="0" w:hanging="360" w:firstLineChars="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bCs w:val="0"/>
                <w:sz w:val="24"/>
                <w:szCs w:val="21"/>
                <w:u w:val="single"/>
                <w:lang w:val="en-US"/>
              </w:rPr>
            </w:pPr>
            <w:r>
              <w:rPr>
                <w:rFonts w:hint="eastAsia" w:ascii="仿宋" w:hAnsi="仿宋" w:eastAsia="仿宋" w:cs="仿宋"/>
                <w:b/>
                <w:bCs w:val="0"/>
                <w:kern w:val="2"/>
                <w:sz w:val="24"/>
                <w:szCs w:val="24"/>
                <w:lang w:val="en-US" w:eastAsia="zh-CN" w:bidi="ar"/>
              </w:rPr>
              <w:t>采购标的：</w:t>
            </w:r>
            <w:r>
              <w:rPr>
                <w:rFonts w:hint="eastAsia" w:ascii="仿宋" w:hAnsi="仿宋" w:eastAsia="仿宋" w:cs="Times New Roman"/>
                <w:b/>
                <w:bCs w:val="0"/>
                <w:kern w:val="2"/>
                <w:sz w:val="24"/>
                <w:szCs w:val="24"/>
                <w:u w:val="single"/>
                <w:lang w:val="en-US" w:eastAsia="zh-CN" w:bidi="ar"/>
              </w:rPr>
              <w:t>浙江省委办公厅综合服务中心设备系统改造项目</w:t>
            </w:r>
            <w:r>
              <w:rPr>
                <w:rFonts w:hint="eastAsia" w:ascii="仿宋" w:hAnsi="仿宋" w:eastAsia="仿宋" w:cs="仿宋"/>
                <w:b/>
                <w:bCs w:val="0"/>
                <w:kern w:val="2"/>
                <w:sz w:val="24"/>
                <w:szCs w:val="24"/>
                <w:lang w:val="en-US" w:eastAsia="zh-CN" w:bidi="ar"/>
              </w:rPr>
              <w:t>，所属行业：</w:t>
            </w:r>
            <w:r>
              <w:rPr>
                <w:rFonts w:hint="eastAsia" w:ascii="仿宋" w:hAnsi="仿宋" w:eastAsia="仿宋" w:cs="仿宋"/>
                <w:b/>
                <w:bCs w:val="0"/>
                <w:kern w:val="2"/>
                <w:sz w:val="24"/>
                <w:szCs w:val="24"/>
                <w:u w:val="single"/>
                <w:lang w:val="en-US" w:eastAsia="zh-CN" w:bidi="ar"/>
              </w:rPr>
              <w:t>其他未列明行业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3.根据财库〔2020〕46号的相关规定，在评审时对符合本办法规定的小微企业报价给予</w:t>
            </w:r>
            <w:r>
              <w:rPr>
                <w:rFonts w:hint="eastAsia" w:ascii="宋体" w:hAnsi="宋体" w:eastAsia="仿宋" w:cs="宋体"/>
                <w:b/>
                <w:kern w:val="2"/>
                <w:sz w:val="24"/>
                <w:szCs w:val="24"/>
                <w:u w:val="single"/>
                <w:lang w:val="en-US" w:eastAsia="zh-CN" w:bidi="ar"/>
              </w:rPr>
              <w:t> </w:t>
            </w:r>
            <w:r>
              <w:rPr>
                <w:rFonts w:hint="eastAsia" w:ascii="仿宋" w:hAnsi="仿宋" w:eastAsia="仿宋" w:cs="仿宋"/>
                <w:b/>
                <w:kern w:val="2"/>
                <w:sz w:val="24"/>
                <w:szCs w:val="24"/>
                <w:u w:val="single"/>
                <w:lang w:val="en-US" w:eastAsia="zh-CN" w:bidi="ar"/>
              </w:rPr>
              <w:t xml:space="preserve"> 20%  </w:t>
            </w:r>
            <w:r>
              <w:rPr>
                <w:rFonts w:hint="eastAsia" w:ascii="仿宋" w:hAnsi="仿宋" w:eastAsia="仿宋" w:cs="仿宋"/>
                <w:b/>
                <w:kern w:val="2"/>
                <w:sz w:val="24"/>
                <w:szCs w:val="24"/>
                <w:lang w:val="en-US" w:eastAsia="zh-CN" w:bidi="ar"/>
              </w:rPr>
              <w:t>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sz w:val="24"/>
                <w:szCs w:val="24"/>
                <w:lang w:val="en-US"/>
              </w:rPr>
            </w:pPr>
            <w:r>
              <w:rPr>
                <w:rFonts w:hint="eastAsia" w:ascii="仿宋" w:hAnsi="仿宋" w:eastAsia="仿宋" w:cs="仿宋"/>
                <w:b/>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kern w:val="2"/>
                <w:sz w:val="24"/>
                <w:szCs w:val="24"/>
                <w:u w:val="single"/>
                <w:lang w:val="en-US" w:eastAsia="zh-CN" w:bidi="ar"/>
              </w:rPr>
              <w:t xml:space="preserve">  6%  </w:t>
            </w:r>
            <w:r>
              <w:rPr>
                <w:rFonts w:hint="eastAsia" w:ascii="仿宋" w:hAnsi="仿宋" w:eastAsia="仿宋" w:cs="仿宋"/>
                <w:b/>
                <w:kern w:val="2"/>
                <w:sz w:val="24"/>
                <w:szCs w:val="24"/>
                <w:lang w:val="en-US" w:eastAsia="zh-CN" w:bidi="ar"/>
              </w:rPr>
              <w:t>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政府采购节能环保产品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质疑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认为采购文件使自己的权益受到损害的，可以自获取采购文件之日或者采购公告期限届满之日（公告期限届满后获取采购文件的，以公告期限届满之日为准）起7个工作日内，对采购文件的评标内容及标准和需求以书面形式向采购人提出质疑，对其他内容的以书面形式向采购人和招标方提出质疑，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是否允许采购进口产品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19" w:name="PO_15528_PM042"/>
            <w:r>
              <w:rPr>
                <w:rFonts w:hint="eastAsia" w:ascii="仿宋" w:hAnsi="仿宋" w:eastAsia="仿宋" w:cs="仿宋"/>
                <w:kern w:val="2"/>
                <w:sz w:val="24"/>
                <w:szCs w:val="24"/>
                <w:lang w:val="en-US" w:eastAsia="zh-CN" w:bidi="ar"/>
              </w:rPr>
              <w:t>除标项1中高速彩色数字印刷设备允许为进口产品，其余都不允许采购进口产品</w:t>
            </w:r>
            <w:bookmarkEnd w:id="19"/>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是否允许转包与分包</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转包：否</w:t>
            </w:r>
          </w:p>
          <w:p>
            <w:pPr>
              <w:keepNext w:val="0"/>
              <w:keepLines w:val="0"/>
              <w:widowControl w:val="0"/>
              <w:suppressLineNumbers w:val="0"/>
              <w:snapToGrid w:val="0"/>
              <w:spacing w:before="0" w:beforeAutospacing="0" w:after="0" w:afterAutospacing="0" w:line="46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w:t>
            </w:r>
            <w:bookmarkStart w:id="20" w:name="PO_15528_PM044"/>
            <w:r>
              <w:rPr>
                <w:rFonts w:hint="eastAsia" w:ascii="仿宋" w:hAnsi="仿宋" w:eastAsia="仿宋" w:cs="仿宋"/>
                <w:kern w:val="2"/>
                <w:sz w:val="24"/>
                <w:szCs w:val="24"/>
                <w:lang w:val="en-US" w:eastAsia="zh-CN" w:bidi="ar"/>
              </w:rPr>
              <w:t>允许分包</w:t>
            </w:r>
            <w:bookmarkEnd w:id="20"/>
            <w:r>
              <w:rPr>
                <w:rFonts w:hint="eastAsia" w:ascii="仿宋" w:hAnsi="仿宋" w:eastAsia="仿宋" w:cs="仿宋"/>
                <w:kern w:val="2"/>
                <w:sz w:val="24"/>
                <w:szCs w:val="24"/>
                <w:lang w:val="en-US" w:eastAsia="zh-CN" w:bidi="ar"/>
              </w:rPr>
              <w:t>；非主体、非关键性工作允许分包，</w:t>
            </w:r>
          </w:p>
          <w:p>
            <w:pPr>
              <w:keepNext w:val="0"/>
              <w:keepLines w:val="0"/>
              <w:widowControl w:val="0"/>
              <w:suppressLineNumbers w:val="0"/>
              <w:snapToGrid w:val="0"/>
              <w:spacing w:before="0" w:beforeAutospacing="0" w:after="0" w:afterAutospacing="0" w:line="460" w:lineRule="exact"/>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分包内容为：彩色数字印刷设备。</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联合体投标</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1" w:name="PO_15528_PM007_1"/>
            <w:r>
              <w:rPr>
                <w:rFonts w:hint="eastAsia" w:ascii="仿宋" w:hAnsi="仿宋" w:eastAsia="仿宋" w:cs="仿宋"/>
                <w:kern w:val="2"/>
                <w:sz w:val="24"/>
                <w:szCs w:val="24"/>
                <w:lang w:val="en-US" w:eastAsia="zh-CN" w:bidi="ar"/>
              </w:rPr>
              <w:t>标项1-2:允许联合体投标;</w:t>
            </w:r>
            <w:bookmarkEnd w:id="21"/>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是否现场踏勘</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2" w:name="PO_15528_PM040"/>
            <w:r>
              <w:rPr>
                <w:rFonts w:hint="eastAsia" w:ascii="仿宋" w:hAnsi="仿宋" w:eastAsia="仿宋" w:cs="仿宋"/>
                <w:kern w:val="2"/>
                <w:sz w:val="24"/>
                <w:szCs w:val="24"/>
                <w:lang w:val="en-US" w:eastAsia="zh-CN" w:bidi="ar"/>
              </w:rPr>
              <w:t>不组织现场踏勘</w:t>
            </w:r>
            <w:bookmarkEnd w:id="22"/>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是否提供演示</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3" w:name="PO_1000000445_PM041"/>
            <w:r>
              <w:rPr>
                <w:rFonts w:hint="eastAsia" w:ascii="仿宋" w:hAnsi="仿宋" w:eastAsia="仿宋" w:cs="仿宋"/>
                <w:kern w:val="2"/>
                <w:sz w:val="24"/>
                <w:szCs w:val="24"/>
                <w:lang w:val="en-US" w:eastAsia="zh-CN" w:bidi="ar"/>
              </w:rPr>
              <w:t>不进行演示</w:t>
            </w:r>
            <w:bookmarkEnd w:id="23"/>
            <w:r>
              <w:rPr>
                <w:rFonts w:hint="eastAsia" w:ascii="仿宋" w:hAnsi="仿宋" w:eastAsia="仿宋" w:cs="仿宋"/>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是否提供样品</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bookmarkStart w:id="24" w:name="PO_1000000445_PM043"/>
            <w:r>
              <w:rPr>
                <w:rFonts w:hint="eastAsia" w:ascii="仿宋" w:hAnsi="仿宋" w:eastAsia="仿宋" w:cs="仿宋"/>
                <w:color w:val="000000"/>
                <w:kern w:val="2"/>
                <w:sz w:val="24"/>
                <w:szCs w:val="24"/>
                <w:lang w:val="en-US" w:eastAsia="zh-CN" w:bidi="ar"/>
              </w:rPr>
              <w:t>不要求提供样品</w:t>
            </w:r>
            <w:bookmarkEnd w:id="24"/>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投标文件组成</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投标文件均由资质文件、技术商务文件、报价文件组成。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电子交易平台登录方法</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第一步：供应商注册</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投标人应在投标前注册成为浙江政府采购网的正式供应商（注册网址：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"https://middle.zcygov.cn/v-settle-front/registry"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https://middle.zcygov.cn/v-settle-front/registry</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第二步：申请CA</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第三步：下载客户端</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"http://zfcg.czt.zj.gov.cn/bidClientTemplate/2019-09-24/12975.html"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http://zfcg.czt.zj.gov.cn/bidClientTemplate/2019-09-24/12975.html</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第四步：具体流程</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详见浙江省“电子交易/不见面开评标”学习专题（网址</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"https://edu.zcygov.cn/luban/e-biding"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https://edu.zcygov.cn/luban/e-biding</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投标文件的递交与接收</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中标结果公告</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中标供应商确定之日起2个工作日内，将在</w:t>
            </w:r>
            <w:r>
              <w:rPr>
                <w:rFonts w:hint="eastAsia" w:ascii="仿宋" w:hAnsi="仿宋" w:eastAsia="仿宋" w:cs="Arial"/>
                <w:kern w:val="2"/>
                <w:sz w:val="24"/>
                <w:szCs w:val="24"/>
                <w:lang w:val="en-US" w:eastAsia="zh-CN" w:bidi="ar"/>
              </w:rPr>
              <w:t>浙江省政府采购网(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"http://www.zjzfcg.gov.cn/new"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u w:val="single"/>
                <w:lang w:val="en-US"/>
              </w:rPr>
              <w:t>http://www.zjzfcg.gov.cn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1"/>
                <w:szCs w:val="21"/>
                <w:lang w:val="en-US" w:eastAsia="zh-CN" w:bidi="ar"/>
              </w:rPr>
              <w:t>)发布</w:t>
            </w:r>
            <w:r>
              <w:rPr>
                <w:rFonts w:hint="eastAsia" w:ascii="仿宋" w:hAnsi="仿宋" w:eastAsia="仿宋" w:cs="仿宋"/>
                <w:kern w:val="2"/>
                <w:sz w:val="24"/>
                <w:szCs w:val="24"/>
                <w:lang w:val="en-US" w:eastAsia="zh-CN" w:bidi="ar"/>
              </w:rPr>
              <w:t>中标公告</w:t>
            </w:r>
            <w:r>
              <w:rPr>
                <w:rFonts w:hint="eastAsia" w:ascii="仿宋" w:hAnsi="仿宋" w:eastAsia="仿宋" w:cs="仿宋"/>
                <w:b/>
                <w:kern w:val="2"/>
                <w:sz w:val="24"/>
                <w:szCs w:val="24"/>
                <w:lang w:val="en-US" w:eastAsia="zh-CN" w:bidi="ar"/>
              </w:rPr>
              <w:t>（中标人为中小企业的，其声明函将随中标结果同时公告）</w:t>
            </w:r>
            <w:r>
              <w:rPr>
                <w:rFonts w:hint="eastAsia" w:ascii="仿宋" w:hAnsi="仿宋" w:eastAsia="仿宋" w:cs="仿宋"/>
                <w:kern w:val="2"/>
                <w:sz w:val="24"/>
                <w:szCs w:val="24"/>
                <w:lang w:val="en-US" w:eastAsia="zh-CN" w:bidi="ar"/>
              </w:rPr>
              <w:t>，公告期限为1个工作日</w:t>
            </w:r>
            <w:r>
              <w:rPr>
                <w:rFonts w:hint="eastAsia" w:ascii="仿宋" w:hAnsi="仿宋" w:eastAsia="仿宋" w:cs="Arial"/>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履约保证金</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付款方式</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国库集中支付（采购人自行支付）详见各标项的商务要求表。</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投标文件有效期</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sz w:val="28"/>
                <w:szCs w:val="28"/>
                <w:lang w:val="en-US"/>
              </w:rPr>
            </w:pPr>
            <w:r>
              <w:rPr>
                <w:rFonts w:hint="eastAsia" w:ascii="仿宋" w:hAnsi="仿宋" w:eastAsia="仿宋" w:cs="Arial"/>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合同签订时间</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招标方代理费用</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解释权</w:t>
            </w:r>
          </w:p>
        </w:tc>
        <w:tc>
          <w:tcPr>
            <w:tcW w:w="7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_GB2312" w:cs="Times New Roman"/>
          <w:sz w:val="30"/>
          <w:szCs w:val="30"/>
          <w:lang w:val="en-US" w:eastAsia="zh-CN" w:bidi="ar"/>
        </w:rPr>
        <w:br w:type="page"/>
      </w:r>
      <w:r>
        <w:rPr>
          <w:rFonts w:hint="eastAsia" w:ascii="仿宋" w:hAnsi="仿宋" w:eastAsia="仿宋" w:cs="仿宋"/>
          <w:b/>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20" w:beforeLines="50" w:beforeAutospacing="0" w:after="0" w:afterAutospacing="0" w:line="460" w:lineRule="exact"/>
        <w:ind w:left="0" w:right="0" w:firstLine="408" w:firstLineChars="146"/>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1.如授权代表不是法定代表人，须有法定代表人出具的授权委托书</w:t>
      </w:r>
      <w:r>
        <w:rPr>
          <w:rFonts w:hint="eastAsia" w:ascii="仿宋" w:hAnsi="仿宋" w:eastAsia="仿宋" w:cs="仿宋"/>
          <w:b/>
          <w:kern w:val="2"/>
          <w:sz w:val="28"/>
          <w:szCs w:val="28"/>
          <w:lang w:val="en-US" w:eastAsia="zh-CN" w:bidi="ar"/>
        </w:rPr>
        <w:t>（格式见附件）。</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20" w:afterAutospacing="0" w:line="460" w:lineRule="exact"/>
        <w:ind w:left="2" w:leftChars="1"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（五）质疑</w:t>
      </w:r>
    </w:p>
    <w:p>
      <w:pPr>
        <w:keepNext w:val="0"/>
        <w:keepLines w:val="0"/>
        <w:widowControl/>
        <w:suppressLineNumbers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1.投标人认为招标过程或中标结果使自己的合法权益受到损害的，可以在中标结果公告期限届满之日起七个工作日内，以书面形式向招标方提出质疑。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2.质疑应当以书面形式提出，格式见《政府采购质疑和投诉办法》（财政部令第94号）附件范本，下载网址：浙江政府采购网(</w:t>
      </w:r>
      <w:r>
        <w:rPr>
          <w:rFonts w:hint="default" w:ascii="Calibri" w:hAnsi="Calibri" w:eastAsia="宋体" w:cs="Times New Roman"/>
          <w:kern w:val="2"/>
          <w:sz w:val="21"/>
          <w:szCs w:val="21"/>
          <w:lang w:val="en-US" w:eastAsia="zh-CN" w:bidi="ar"/>
        </w:rPr>
        <w:fldChar w:fldCharType="begin"/>
      </w:r>
      <w:r>
        <w:rPr>
          <w:rFonts w:hint="default" w:ascii="Calibri" w:hAnsi="Calibri" w:eastAsia="宋体" w:cs="Times New Roman"/>
          <w:kern w:val="2"/>
          <w:sz w:val="21"/>
          <w:szCs w:val="21"/>
          <w:lang w:val="en-US" w:eastAsia="zh-CN" w:bidi="ar"/>
        </w:rPr>
        <w:instrText xml:space="preserve"> HYPERLINK "http://zfcg.czt.zj.gov.cn/" </w:instrText>
      </w:r>
      <w:r>
        <w:rPr>
          <w:rFonts w:hint="default" w:ascii="Calibri" w:hAnsi="Calibri" w:eastAsia="宋体" w:cs="Times New Roman"/>
          <w:kern w:val="2"/>
          <w:sz w:val="21"/>
          <w:szCs w:val="21"/>
          <w:lang w:val="en-US" w:eastAsia="zh-CN" w:bidi="ar"/>
        </w:rPr>
        <w:fldChar w:fldCharType="separate"/>
      </w:r>
      <w:r>
        <w:rPr>
          <w:rStyle w:val="69"/>
          <w:rFonts w:hint="eastAsia" w:ascii="仿宋" w:hAnsi="仿宋" w:eastAsia="仿宋" w:cs="仿宋"/>
          <w:sz w:val="28"/>
          <w:szCs w:val="28"/>
          <w:u w:val="single"/>
          <w:lang w:val="en-US"/>
        </w:rPr>
        <w:t>http://zfcg.czt.zj.gov.cn/</w:t>
      </w:r>
      <w:r>
        <w:rPr>
          <w:rFonts w:hint="default" w:ascii="Calibri" w:hAnsi="Calibri" w:eastAsia="宋体" w:cs="Times New Roman"/>
          <w:kern w:val="2"/>
          <w:sz w:val="21"/>
          <w:szCs w:val="21"/>
          <w:lang w:val="en-US" w:eastAsia="zh-CN" w:bidi="ar"/>
        </w:rPr>
        <w:fldChar w:fldCharType="end"/>
      </w:r>
      <w:r>
        <w:rPr>
          <w:rFonts w:hint="eastAsia" w:ascii="仿宋" w:hAnsi="仿宋" w:eastAsia="仿宋" w:cs="仿宋"/>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（六）招标文件的澄清与修改 </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b/>
          <w:sz w:val="28"/>
          <w:szCs w:val="28"/>
          <w:lang w:val="en-US"/>
        </w:rPr>
      </w:pPr>
      <w:r>
        <w:rPr>
          <w:rFonts w:hint="eastAsia" w:ascii="仿宋" w:hAnsi="仿宋" w:eastAsia="仿宋" w:cs="仿宋"/>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kern w:val="2"/>
          <w:sz w:val="28"/>
          <w:szCs w:val="28"/>
          <w:lang w:val="en-US" w:eastAsia="zh-CN" w:bidi="ar"/>
        </w:rPr>
        <w:t>逾期提出招标方将不予受理。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（一）投标文件编制工具</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sz w:val="28"/>
          <w:szCs w:val="28"/>
          <w:u w:val="singl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电子投标文件每个标项由资质文件、技术商务文件、投标报价文件三部份组成，具体详见“第六章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（五）投标文件的有效期</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1.自投标截止日起90天内投标文件应保持有效。有效期不足的投标文件将作无效标处理。</w:t>
      </w:r>
    </w:p>
    <w:p>
      <w:pPr>
        <w:pStyle w:val="53"/>
        <w:keepNext w:val="0"/>
        <w:keepLines w:val="0"/>
        <w:widowControl w:val="0"/>
        <w:numPr>
          <w:ilvl w:val="0"/>
          <w:numId w:val="31"/>
        </w:numPr>
        <w:suppressLineNumbers w:val="0"/>
        <w:snapToGrid w:val="0"/>
        <w:spacing w:before="120" w:beforeLines="50" w:beforeAutospacing="0" w:after="12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20" w:beforeLines="50" w:beforeAutospacing="0" w:after="0" w:afterAutospacing="0" w:line="460" w:lineRule="exact"/>
        <w:ind w:left="0" w:right="0" w:firstLine="420" w:firstLineChars="15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54" w:firstLineChars="197"/>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20" w:beforeLines="50" w:beforeAutospacing="0" w:after="0" w:afterAutospacing="0" w:line="460" w:lineRule="exact"/>
        <w:ind w:left="0" w:right="0" w:firstLine="546" w:firstLineChars="195"/>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1.投标文件只允许有一个报价，投标报价应按招标文件中相关附表格式填报，该投标报价应与明细报价汇总相等，且不允许出现报价优惠等字样（明细出现“0”元，视同赠送，按无效标处理）。</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3.投标报价金额到元为止，如投标报价总价出现角、分，将被抹除。</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4.资质文件、技术商务文件中不得出现投标报价信息，否则按无效标处理。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1.不同投标人的投标文件由同一单位或者个人编制；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11.评标委员会认为投标人的报价明显低于其他通过符合性审查投标人的报价，有可能影响产品质量或者不能诚信履约，且不能证明其报价合理性的；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12.投标人不接受报价文件中修正后的报价的；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13.未按本章“二、投标文件的编制”第七点投标报价要求报价的；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14.投标文件含有采购人不能接受的附加条件的；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15.投标人被视为串通投标的；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16.不符合法律、法规和本招标文件规定的其他实质性要求的。</w:t>
      </w:r>
    </w:p>
    <w:p>
      <w:pPr>
        <w:pStyle w:val="53"/>
        <w:keepNext w:val="0"/>
        <w:keepLines w:val="0"/>
        <w:widowControl w:val="0"/>
        <w:suppressLineNumbers w:val="0"/>
        <w:snapToGrid w:val="0"/>
        <w:spacing w:before="0" w:beforeLines="50" w:beforeAutospacing="0" w:after="120" w:afterAutospacing="0" w:line="460" w:lineRule="exact"/>
        <w:ind w:left="757" w:leftChars="227" w:right="0" w:hanging="280" w:hangingChars="1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20" w:beforeLines="50" w:beforeAutospacing="0" w:after="0" w:afterAutospacing="0" w:line="50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三、开、评标程序及评标委员会的评审程序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（一）组织开标</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kern w:val="2"/>
          <w:sz w:val="28"/>
          <w:szCs w:val="28"/>
          <w:lang w:val="en-US" w:eastAsia="zh-CN" w:bidi="ar"/>
        </w:rPr>
        <w:t>均应当准时在线参加</w:t>
      </w:r>
      <w:r>
        <w:rPr>
          <w:rFonts w:hint="eastAsia" w:ascii="仿宋" w:hAnsi="仿宋" w:eastAsia="仿宋" w:cs="仿宋"/>
          <w:kern w:val="2"/>
          <w:sz w:val="28"/>
          <w:szCs w:val="28"/>
          <w:lang w:val="en-US" w:eastAsia="zh-CN" w:bidi="ar"/>
        </w:rPr>
        <w:t>，无关人员不得进入开标现场。</w:t>
      </w:r>
      <w:r>
        <w:rPr>
          <w:rFonts w:hint="eastAsia" w:ascii="仿宋" w:hAnsi="仿宋" w:eastAsia="仿宋" w:cs="仿宋"/>
          <w:b/>
          <w:kern w:val="2"/>
          <w:sz w:val="28"/>
          <w:szCs w:val="28"/>
          <w:lang w:val="en-US" w:eastAsia="zh-CN" w:bidi="ar"/>
        </w:rPr>
        <w:t>投标人如未准时在线参加的</w:t>
      </w:r>
      <w:r>
        <w:rPr>
          <w:rFonts w:hint="eastAsia" w:ascii="仿宋" w:hAnsi="仿宋" w:eastAsia="仿宋" w:cs="仿宋"/>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 落实工作场地、设施，检查录音录像采集设备运行情况，验证电子交易平台是否能正常登录。</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 开标由招标方主持，主持人介绍开标现场的人员情况，宣读递交投标文件的投标人名单、开标纪律、应当回避的情形等注意事项。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解密时限内未完成解密且按规定提供了备份投标文件的，招标方将拆封其备份投标文件，并导入电子交易平台。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（二）组织评标程序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sz w:val="28"/>
          <w:szCs w:val="28"/>
          <w:lang w:val="en-US"/>
        </w:rPr>
      </w:pPr>
      <w:r>
        <w:rPr>
          <w:rFonts w:hint="eastAsia" w:ascii="仿宋" w:hAnsi="仿宋" w:eastAsia="仿宋" w:cs="仿宋"/>
          <w:b/>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kern w:val="2"/>
          <w:sz w:val="28"/>
          <w:szCs w:val="28"/>
          <w:lang w:val="en-US" w:eastAsia="zh-CN" w:bidi="ar"/>
        </w:rPr>
        <w:t xml:space="preserve"> </w:t>
      </w:r>
      <w:r>
        <w:rPr>
          <w:rFonts w:hint="eastAsia" w:ascii="仿宋" w:hAnsi="仿宋" w:eastAsia="仿宋" w:cs="仿宋"/>
          <w:b/>
          <w:kern w:val="2"/>
          <w:sz w:val="28"/>
          <w:szCs w:val="28"/>
          <w:lang w:val="en-US" w:eastAsia="zh-CN" w:bidi="ar"/>
        </w:rPr>
        <w:tab/>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（三）评审程序</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1、在评审专家中推选评标委员会组长。</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20" w:beforeLines="50" w:beforeAutospacing="0" w:after="0" w:afterAutospacing="0" w:line="460" w:lineRule="exact"/>
        <w:ind w:left="0" w:right="0" w:firstLine="546" w:firstLineChars="195"/>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四、评审原则</w:t>
      </w:r>
    </w:p>
    <w:p>
      <w:pPr>
        <w:pStyle w:val="53"/>
        <w:keepNext w:val="0"/>
        <w:keepLines w:val="0"/>
        <w:widowControl w:val="0"/>
        <w:suppressLineNumbers w:val="0"/>
        <w:snapToGrid w:val="0"/>
        <w:spacing w:before="120" w:beforeLines="5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五、确定中标供应商的原则</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53"/>
        <w:keepNext w:val="0"/>
        <w:keepLines w:val="0"/>
        <w:widowControl w:val="0"/>
        <w:suppressLineNumbers w:val="0"/>
        <w:snapToGrid w:val="0"/>
        <w:spacing w:before="120" w:beforeLines="5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kern w:val="2"/>
          <w:sz w:val="28"/>
          <w:szCs w:val="28"/>
          <w:lang w:val="en-US" w:eastAsia="zh-CN" w:bidi="ar"/>
        </w:rPr>
        <w:t>。</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20" w:beforeLines="50" w:beforeAutospacing="0" w:after="0" w:afterAutospacing="0" w:line="460" w:lineRule="exact"/>
        <w:ind w:left="0" w:right="0" w:firstLine="548" w:firstLineChars="195"/>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（二）履约保证金</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20" w:beforeLines="50" w:beforeAutospacing="0" w:after="0" w:afterAutospacing="0" w:line="460" w:lineRule="exact"/>
        <w:ind w:left="0" w:right="0" w:firstLine="551" w:firstLineChars="197"/>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2.按合同约定办理履约保证金退还手续。</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240" w:beforeLines="100" w:beforeAutospacing="0" w:after="240" w:afterLines="100" w:afterAutospacing="0" w:line="360" w:lineRule="auto"/>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七、货款的结算</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240" w:beforeLines="100" w:beforeAutospacing="0" w:after="240" w:afterLines="10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20" w:beforeLines="50" w:beforeAutospacing="0" w:after="0" w:afterAutospacing="0" w:line="360" w:lineRule="auto"/>
        <w:ind w:left="0" w:right="0"/>
        <w:jc w:val="center"/>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firstLine="600" w:firstLineChars="20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sz w:val="36"/>
          <w:szCs w:val="36"/>
          <w:lang w:val="en-US" w:eastAsia="zh-CN" w:bidi="ar"/>
        </w:rPr>
        <w:br w:type="page"/>
      </w:r>
      <w:bookmarkStart w:id="25" w:name="_Toc496796637"/>
      <w:bookmarkEnd w:id="25"/>
      <w:r>
        <w:rPr>
          <w:rFonts w:hint="eastAsia" w:ascii="宋体" w:hAnsi="宋体" w:eastAsia="宋体" w:cs="Times New Roman"/>
          <w:b/>
          <w:kern w:val="2"/>
          <w:sz w:val="36"/>
          <w:szCs w:val="36"/>
          <w:lang w:val="en-US" w:eastAsia="zh-CN" w:bidi="ar"/>
        </w:rPr>
        <w:t>第三章  评标办法及评分标准</w:t>
      </w:r>
    </w:p>
    <w:p>
      <w:pPr>
        <w:keepNext w:val="0"/>
        <w:keepLines w:val="0"/>
        <w:widowControl w:val="0"/>
        <w:suppressLineNumbers w:val="0"/>
        <w:spacing w:before="120" w:beforeLines="50" w:beforeAutospacing="0" w:after="120" w:afterLines="5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一、总则</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pPr>
        <w:keepNext w:val="0"/>
        <w:keepLines w:val="0"/>
        <w:widowControl w:val="0"/>
        <w:suppressLineNumbers w:val="0"/>
        <w:spacing w:before="120" w:beforeLines="50" w:beforeAutospacing="0" w:after="120" w:afterLines="50" w:afterAutospacing="0" w:line="460" w:lineRule="exact"/>
        <w:ind w:left="0" w:right="0" w:firstLine="587" w:firstLineChars="195"/>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二、分值的计算</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20" w:beforeLines="50" w:beforeAutospacing="0" w:after="120" w:afterLines="50" w:afterAutospacing="0" w:line="460" w:lineRule="exact"/>
        <w:ind w:left="0" w:right="0" w:firstLine="495"/>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20" w:beforeLines="50" w:beforeAutospacing="0" w:after="120" w:afterLines="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投标人评标综合得分=价格分+(技术分+资信商务及其他分)</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460" w:lineRule="exact"/>
        <w:ind w:left="0" w:right="0" w:firstLine="602" w:firstLineChars="2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特别提醒：</w:t>
      </w:r>
      <w:r>
        <w:rPr>
          <w:rFonts w:hint="eastAsia" w:ascii="仿宋" w:hAnsi="仿宋" w:eastAsia="仿宋" w:cs="仿宋"/>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20" w:beforeLines="50" w:beforeAutospacing="0" w:after="120" w:afterLines="50" w:afterAutospacing="0" w:line="460" w:lineRule="exact"/>
        <w:ind w:left="0" w:right="0"/>
        <w:jc w:val="both"/>
        <w:rPr>
          <w:rFonts w:hint="eastAsia" w:ascii="仿宋" w:hAnsi="仿宋" w:eastAsia="宋体" w:cs="仿宋"/>
          <w:sz w:val="30"/>
          <w:szCs w:val="30"/>
          <w:lang w:val="en-US"/>
        </w:rPr>
      </w:pPr>
      <w:r>
        <w:rPr>
          <w:rFonts w:hint="eastAsia" w:ascii="仿宋" w:hAnsi="仿宋" w:eastAsia="宋体" w:cs="仿宋"/>
          <w:kern w:val="2"/>
          <w:sz w:val="30"/>
          <w:szCs w:val="30"/>
          <w:lang w:val="en-US" w:eastAsia="zh-CN" w:bidi="ar"/>
        </w:rPr>
        <w:t xml:space="preserve"> </w:t>
      </w:r>
    </w:p>
    <w:p>
      <w:pPr>
        <w:keepNext w:val="0"/>
        <w:keepLines w:val="0"/>
        <w:widowControl w:val="0"/>
        <w:suppressLineNumbers w:val="0"/>
        <w:spacing w:before="120" w:beforeLines="50" w:beforeAutospacing="0" w:after="120" w:afterLines="50" w:afterAutospacing="0" w:line="320" w:lineRule="exact"/>
        <w:ind w:left="0" w:right="0"/>
        <w:jc w:val="both"/>
        <w:rPr>
          <w:rFonts w:hint="eastAsia" w:ascii="仿宋" w:hAnsi="仿宋" w:eastAsia="仿宋_GB2312" w:cs="仿宋"/>
          <w:b/>
          <w:sz w:val="30"/>
          <w:szCs w:val="30"/>
          <w:lang w:val="en-US"/>
        </w:rPr>
      </w:pPr>
      <w:r>
        <w:rPr>
          <w:rFonts w:hint="eastAsia" w:ascii="仿宋" w:hAnsi="仿宋" w:eastAsia="仿宋_GB2312" w:cs="Times New Roman"/>
          <w:sz w:val="30"/>
          <w:szCs w:val="30"/>
          <w:lang w:val="en-US" w:eastAsia="zh-CN" w:bidi="ar"/>
        </w:rPr>
        <w:br w:type="page"/>
      </w:r>
      <w:r>
        <w:rPr>
          <w:rFonts w:hint="eastAsia" w:ascii="仿宋_GB2312" w:hAnsi="仿宋" w:eastAsia="仿宋_GB2312" w:cs="仿宋_GB2312"/>
          <w:b/>
          <w:kern w:val="2"/>
          <w:sz w:val="32"/>
          <w:szCs w:val="32"/>
          <w:lang w:val="en-US" w:eastAsia="zh-CN" w:bidi="ar"/>
        </w:rPr>
        <w:t>三、评标内容及标</w:t>
      </w:r>
      <w:r>
        <w:rPr>
          <w:rFonts w:hint="eastAsia" w:ascii="仿宋_GB2312" w:hAnsi="仿宋" w:eastAsia="仿宋_GB2312" w:cs="仿宋_GB2312"/>
          <w:b/>
          <w:kern w:val="2"/>
          <w:sz w:val="30"/>
          <w:szCs w:val="30"/>
          <w:lang w:val="en-US" w:eastAsia="zh-CN" w:bidi="ar"/>
        </w:rPr>
        <w:t>准</w:t>
      </w:r>
      <w:bookmarkStart w:id="26" w:name="_Toc496796638"/>
      <w:bookmarkEnd w:id="26"/>
    </w:p>
    <w:p>
      <w:pPr>
        <w:keepNext w:val="0"/>
        <w:keepLines w:val="0"/>
        <w:widowControl w:val="0"/>
        <w:suppressLineNumbers w:val="0"/>
        <w:spacing w:before="120" w:beforeLines="50" w:beforeAutospacing="0" w:after="120" w:afterLines="50" w:afterAutospacing="0" w:line="32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bookmarkStart w:id="27" w:name="PO_15528_PM051"/>
      <w:bookmarkEnd w:id="27"/>
      <w:r>
        <w:rPr>
          <w:rFonts w:hint="eastAsia" w:ascii="仿宋_GB2312" w:hAnsi="宋体" w:eastAsia="仿宋_GB2312" w:cs="仿宋_GB2312"/>
          <w:b/>
          <w:kern w:val="2"/>
          <w:sz w:val="32"/>
          <w:szCs w:val="32"/>
          <w:lang w:val="en-US" w:eastAsia="zh-CN" w:bidi="ar"/>
        </w:rPr>
        <w:t xml:space="preserve"> </w:t>
      </w:r>
      <w:bookmarkStart w:id="28" w:name="PO_TDCUS_ITEM_SM_TITLE_1_1"/>
      <w:bookmarkEnd w:id="28"/>
      <w:r>
        <w:rPr>
          <w:rFonts w:hint="eastAsia" w:ascii="仿宋_GB2312" w:hAnsi="宋体" w:eastAsia="仿宋_GB2312" w:cs="仿宋_GB2312"/>
          <w:b/>
          <w:kern w:val="2"/>
          <w:sz w:val="32"/>
          <w:szCs w:val="32"/>
          <w:lang w:val="en-US" w:eastAsia="zh-CN" w:bidi="ar"/>
        </w:rPr>
        <w:t>标项1-2的评分方法</w:t>
      </w:r>
      <w:bookmarkStart w:id="29" w:name="PO_TDCUS_ITEM_SM_TABLE_1_1"/>
      <w:bookmarkEnd w:id="29"/>
      <w:r>
        <w:rPr>
          <w:rFonts w:hint="eastAsia" w:ascii="仿宋_GB2312" w:hAnsi="宋体" w:eastAsia="仿宋_GB2312" w:cs="仿宋_GB2312"/>
          <w:b/>
          <w:kern w:val="2"/>
          <w:sz w:val="32"/>
          <w:szCs w:val="32"/>
          <w:lang w:val="en-US" w:eastAsia="zh-CN" w:bidi="ar"/>
        </w:rPr>
        <w:t xml:space="preserve"> </w:t>
      </w:r>
    </w:p>
    <w:tbl>
      <w:tblPr>
        <w:tblStyle w:val="60"/>
        <w:tblW w:w="85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242"/>
        <w:gridCol w:w="1702"/>
        <w:gridCol w:w="3973"/>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序号</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评分类型</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评分标准</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1</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报价</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(最低报价/投标报价)*最大分值</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1</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技术</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符合明确指标参数得35分。对非关键的性能指标及技术参数属负偏离或缺漏项的每项扣3分（若负偏或缺漏项5个及以上的按重大偏离处理）。</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2</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技术</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对性能指标、技术参数属正偏离或高配的、有先进程度的每项加1分（最高分为5分）。</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3</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技术</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w:t>
            </w:r>
            <w:r>
              <w:rPr>
                <w:rFonts w:hint="eastAsia" w:ascii="宋体" w:hAnsi="宋体" w:eastAsia="宋体" w:cs="宋体"/>
                <w:bCs/>
                <w:kern w:val="0"/>
                <w:sz w:val="32"/>
                <w:szCs w:val="32"/>
                <w:lang w:val="en-US" w:eastAsia="zh-CN" w:bidi="ar"/>
              </w:rPr>
              <w:t xml:space="preserve"> </w:t>
            </w:r>
            <w:r>
              <w:rPr>
                <w:rFonts w:hint="eastAsia" w:ascii="仿宋_GB2312" w:hAnsi="宋体" w:eastAsia="仿宋_GB2312" w:cs="仿宋_GB2312"/>
                <w:bCs/>
                <w:kern w:val="0"/>
                <w:sz w:val="32"/>
                <w:szCs w:val="32"/>
                <w:lang w:val="en-US" w:eastAsia="zh-CN" w:bidi="ar"/>
              </w:rPr>
              <w:t>节能产品认证证书或者证书的查询网址及截图的，得1分</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4</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商务资信</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项目维护计划（驻点人员安排，定期巡检，备品备件等情况）的有效性等</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商务资信</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售后服务的响应情况（对用户故障响应、处理等）</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6</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商务资信</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培训方案、计划的可行性及合理性</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7</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商务资信</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公司技术力量情况等</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8</w:t>
            </w:r>
          </w:p>
        </w:tc>
        <w:tc>
          <w:tcPr>
            <w:tcW w:w="17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商务资信</w:t>
            </w:r>
          </w:p>
        </w:tc>
        <w:tc>
          <w:tcPr>
            <w:tcW w:w="397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经验及业绩</w:t>
            </w:r>
          </w:p>
        </w:tc>
        <w:tc>
          <w:tcPr>
            <w:tcW w:w="161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Cs/>
                <w:kern w:val="0"/>
                <w:sz w:val="32"/>
                <w:szCs w:val="32"/>
                <w:lang w:val="en-US"/>
              </w:rPr>
            </w:pPr>
            <w:r>
              <w:rPr>
                <w:rFonts w:hint="eastAsia" w:ascii="仿宋_GB2312" w:hAnsi="宋体" w:eastAsia="仿宋_GB2312" w:cs="仿宋_GB2312"/>
                <w:bCs/>
                <w:kern w:val="0"/>
                <w:sz w:val="32"/>
                <w:szCs w:val="32"/>
                <w:lang w:val="en-US" w:eastAsia="zh-CN" w:bidi="ar"/>
              </w:rPr>
              <w:t>3</w:t>
            </w:r>
          </w:p>
        </w:tc>
      </w:tr>
    </w:tbl>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bookmarkStart w:id="30" w:name="PO_TDCUS_ITEM_SM_TITLE_2_1"/>
      <w:bookmarkEnd w:id="30"/>
    </w:p>
    <w:p>
      <w:pPr>
        <w:keepNext w:val="0"/>
        <w:keepLines w:val="0"/>
        <w:widowControl w:val="0"/>
        <w:suppressLineNumbers w:val="0"/>
        <w:spacing w:before="120" w:beforeLines="50" w:beforeAutospacing="0" w:after="120" w:afterLines="50" w:afterAutospacing="0" w:line="340" w:lineRule="exact"/>
        <w:ind w:left="0" w:right="0"/>
        <w:jc w:val="both"/>
        <w:rPr>
          <w:rFonts w:hint="eastAsia" w:ascii="仿宋_GB2312" w:hAnsi="宋体" w:eastAsia="仿宋_GB2312" w:cs="仿宋_GB2312"/>
          <w:b/>
          <w:sz w:val="32"/>
          <w:szCs w:val="32"/>
          <w:lang w:val="en-US"/>
        </w:rPr>
      </w:pPr>
      <w:r>
        <w:rPr>
          <w:rFonts w:hint="eastAsia" w:ascii="仿宋_GB2312" w:hAnsi="宋体" w:eastAsia="仿宋_GB2312" w:cs="仿宋_GB2312"/>
          <w:b/>
          <w:kern w:val="2"/>
          <w:sz w:val="32"/>
          <w:szCs w:val="32"/>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center"/>
        <w:outlineLvl w:val="0"/>
        <w:rPr>
          <w:rFonts w:hAnsi="宋体"/>
          <w:b/>
          <w:sz w:val="36"/>
          <w:szCs w:val="36"/>
          <w:lang w:val="en-US"/>
        </w:rPr>
      </w:pPr>
      <w:r>
        <w:rPr>
          <w:rFonts w:hint="eastAsia" w:ascii="宋体" w:hAnsi="宋体" w:eastAsia="宋体" w:cs="宋体"/>
          <w:b/>
          <w:kern w:val="2"/>
          <w:sz w:val="36"/>
          <w:szCs w:val="36"/>
          <w:lang w:val="en-US" w:eastAsia="zh-CN" w:bidi="ar"/>
        </w:rPr>
        <w:t>第四章招标需求</w:t>
      </w:r>
    </w:p>
    <w:p>
      <w:pPr>
        <w:keepNext w:val="0"/>
        <w:keepLines w:val="0"/>
        <w:widowControl w:val="0"/>
        <w:suppressLineNumbers w:val="0"/>
        <w:snapToGrid w:val="0"/>
        <w:spacing w:before="120" w:beforeLines="50" w:beforeAutospacing="0" w:after="120" w:afterLines="50" w:afterAutospacing="0"/>
        <w:ind w:left="0" w:right="0"/>
        <w:jc w:val="both"/>
        <w:rPr>
          <w:rFonts w:hint="eastAsia" w:ascii="宋体" w:hAnsi="宋体" w:eastAsia="宋体" w:cs="宋体"/>
          <w:b/>
          <w:spacing w:val="40"/>
          <w:kern w:val="0"/>
          <w:sz w:val="36"/>
          <w:szCs w:val="36"/>
          <w:lang w:val="en-US"/>
        </w:rPr>
      </w:pPr>
      <w:r>
        <w:rPr>
          <w:rFonts w:hint="eastAsia" w:ascii="宋体" w:hAnsi="宋体" w:eastAsia="宋体" w:cs="宋体"/>
          <w:b/>
          <w:spacing w:val="40"/>
          <w:kern w:val="0"/>
          <w:sz w:val="36"/>
          <w:szCs w:val="36"/>
          <w:lang w:val="en-US" w:eastAsia="zh-CN" w:bidi="ar"/>
        </w:rPr>
        <w:t xml:space="preserve"> </w:t>
      </w:r>
    </w:p>
    <w:p>
      <w:pPr>
        <w:keepNext w:val="0"/>
        <w:keepLines w:val="0"/>
        <w:widowControl w:val="0"/>
        <w:suppressLineNumbers w:val="0"/>
        <w:snapToGrid w:val="0"/>
        <w:spacing w:before="120" w:beforeLines="50" w:beforeAutospacing="0" w:after="120" w:afterLines="50" w:afterAutospacing="0"/>
        <w:ind w:left="0" w:right="0"/>
        <w:jc w:val="both"/>
        <w:rPr>
          <w:rFonts w:hint="eastAsia" w:ascii="仿宋" w:hAnsi="仿宋" w:eastAsia="仿宋" w:cs="仿宋"/>
          <w:b/>
          <w:spacing w:val="40"/>
          <w:kern w:val="0"/>
          <w:sz w:val="28"/>
          <w:szCs w:val="28"/>
          <w:lang w:val="en-US"/>
        </w:rPr>
      </w:pPr>
      <w:r>
        <w:rPr>
          <w:rFonts w:hint="eastAsia" w:ascii="仿宋" w:hAnsi="仿宋" w:eastAsia="仿宋" w:cs="仿宋"/>
          <w:b/>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sz w:val="30"/>
          <w:szCs w:val="30"/>
          <w:lang w:val="en-US"/>
        </w:rPr>
      </w:pPr>
      <w:r>
        <w:rPr>
          <w:rFonts w:hint="eastAsia" w:ascii="仿宋" w:hAnsi="仿宋" w:eastAsia="仿宋" w:cs="仿宋"/>
          <w:b/>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kern w:val="2"/>
          <w:sz w:val="30"/>
          <w:szCs w:val="30"/>
          <w:lang w:val="en-US" w:eastAsia="zh-CN" w:bidi="ar"/>
        </w:rPr>
        <w:t>。</w:t>
      </w:r>
    </w:p>
    <w:p>
      <w:pPr>
        <w:pStyle w:val="53"/>
        <w:widowControl/>
        <w:shd w:val="clear" w:fill="FDFAF5"/>
        <w:spacing w:before="0" w:beforeAutospacing="0" w:after="0" w:afterAutospacing="0" w:line="520" w:lineRule="atLeast"/>
        <w:ind w:left="0" w:right="0" w:firstLine="562" w:firstLineChars="200"/>
        <w:rPr>
          <w:rFonts w:hint="eastAsia" w:ascii="仿宋" w:hAnsi="仿宋" w:eastAsia="仿宋" w:cs="Times New Roman"/>
          <w:b/>
          <w:sz w:val="28"/>
          <w:szCs w:val="28"/>
          <w:shd w:val="clear" w:fill="FDFAF5"/>
          <w:lang w:val="en-US"/>
        </w:rPr>
      </w:pPr>
      <w:r>
        <w:rPr>
          <w:rFonts w:hint="eastAsia" w:ascii="仿宋" w:hAnsi="仿宋" w:eastAsia="仿宋" w:cs="Times New Roman"/>
          <w:b/>
          <w:sz w:val="28"/>
          <w:szCs w:val="28"/>
          <w:shd w:val="clear" w:fill="FDFAF5"/>
          <w:lang w:val="en-US"/>
        </w:rPr>
        <w:t>4.</w:t>
      </w:r>
      <w:r>
        <w:rPr>
          <w:rFonts w:hint="eastAsia" w:ascii="仿宋" w:hAnsi="仿宋" w:eastAsia="仿宋" w:cs="Times New Roman"/>
          <w:b/>
          <w:sz w:val="28"/>
          <w:szCs w:val="28"/>
          <w:shd w:val="clear" w:fill="FDFAF5"/>
          <w:lang w:eastAsia="zh-CN"/>
        </w:rPr>
        <w:t>采购人拟采购的产品属于政府强制采购节能品目的，（详见《关于印发节能产品政府采购品目清单的通知》财库〔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19</w:t>
      </w:r>
      <w:r>
        <w:rPr>
          <w:rFonts w:hint="eastAsia" w:ascii="仿宋" w:hAnsi="仿宋" w:eastAsia="仿宋" w:cs="Times New Roman"/>
          <w:b/>
          <w:sz w:val="28"/>
          <w:szCs w:val="28"/>
          <w:shd w:val="clear" w:fill="FDFAF5"/>
          <w:lang w:eastAsia="zh-CN"/>
        </w:rPr>
        <w:t>号），需按《财政部 发展改革委 生态环境部 市场监管总局 关于调整优化节能产品、环境标志产品政府采购执行机制的通知》财库〔</w:t>
      </w:r>
      <w:r>
        <w:rPr>
          <w:rFonts w:hint="eastAsia" w:ascii="仿宋" w:hAnsi="仿宋" w:eastAsia="仿宋" w:cs="Times New Roman"/>
          <w:b/>
          <w:sz w:val="28"/>
          <w:szCs w:val="28"/>
          <w:shd w:val="clear" w:fill="FDFAF5"/>
          <w:lang w:val="en-US"/>
        </w:rPr>
        <w:t>2019</w:t>
      </w:r>
      <w:r>
        <w:rPr>
          <w:rFonts w:hint="eastAsia" w:ascii="仿宋" w:hAnsi="仿宋" w:eastAsia="仿宋" w:cs="Times New Roman"/>
          <w:b/>
          <w:sz w:val="28"/>
          <w:szCs w:val="28"/>
          <w:shd w:val="clear" w:fill="FDFAF5"/>
          <w:lang w:eastAsia="zh-CN"/>
        </w:rPr>
        <w:t>〕</w:t>
      </w:r>
      <w:r>
        <w:rPr>
          <w:rFonts w:hint="eastAsia" w:ascii="仿宋" w:hAnsi="仿宋" w:eastAsia="仿宋" w:cs="Times New Roman"/>
          <w:b/>
          <w:sz w:val="28"/>
          <w:szCs w:val="28"/>
          <w:shd w:val="clear" w:fill="FDFAF5"/>
          <w:lang w:val="en-US"/>
        </w:rPr>
        <w:t>9</w:t>
      </w:r>
      <w:r>
        <w:rPr>
          <w:rFonts w:hint="eastAsia" w:ascii="仿宋" w:hAnsi="仿宋" w:eastAsia="仿宋" w:cs="Times New Roman"/>
          <w:b/>
          <w:sz w:val="28"/>
          <w:szCs w:val="28"/>
          <w:shd w:val="clear" w:fill="FDFAF5"/>
          <w:lang w:eastAsia="zh-CN"/>
        </w:rPr>
        <w:t>号要求执行，但无对应细化分类或节能清单中的产品无法满足工作需要的，采购人应当在详细需求中标明并说明理由，否则按照前附表第三点要求执行。</w:t>
      </w:r>
    </w:p>
    <w:p>
      <w:pPr>
        <w:pStyle w:val="53"/>
        <w:keepNext w:val="0"/>
        <w:keepLines w:val="0"/>
        <w:widowControl w:val="0"/>
        <w:suppressLineNumbers w:val="0"/>
        <w:spacing w:before="120" w:beforeLines="50" w:beforeAutospacing="0" w:after="0" w:afterAutospacing="0" w:line="360" w:lineRule="auto"/>
        <w:ind w:left="0" w:right="0"/>
        <w:jc w:val="both"/>
        <w:rPr>
          <w:rFonts w:hint="eastAsia" w:ascii="仿宋" w:hAnsi="仿宋" w:eastAsia="仿宋" w:cs="Arial"/>
          <w:b/>
          <w:sz w:val="28"/>
          <w:szCs w:val="28"/>
          <w:lang w:val="en-US"/>
        </w:rPr>
      </w:pPr>
      <w:bookmarkStart w:id="31" w:name="_Toc496796639"/>
      <w:bookmarkEnd w:id="31"/>
      <w:r>
        <w:rPr>
          <w:rFonts w:hint="eastAsia" w:ascii="仿宋" w:hAnsi="仿宋" w:eastAsia="仿宋" w:cs="Arial"/>
          <w:b/>
          <w:kern w:val="2"/>
          <w:sz w:val="28"/>
          <w:szCs w:val="28"/>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bookmarkStart w:id="32" w:name="PO_416_PM050"/>
      <w:bookmarkEnd w:id="32"/>
      <w:bookmarkStart w:id="33" w:name="PO_TDCUS_ITEM_PB_REQ_TITLE_1_0"/>
      <w:bookmarkEnd w:id="33"/>
    </w:p>
    <w:p>
      <w:pPr>
        <w:pStyle w:val="53"/>
        <w:keepNext w:val="0"/>
        <w:keepLines w:val="0"/>
        <w:widowControl w:val="0"/>
        <w:suppressLineNumbers w:val="0"/>
        <w:spacing w:before="120" w:beforeLines="50" w:beforeAutospacing="0" w:after="0" w:afterAutospacing="0" w:line="360" w:lineRule="auto"/>
        <w:ind w:left="0" w:right="0"/>
        <w:jc w:val="left"/>
        <w:outlineLvl w:val="0"/>
        <w:rPr>
          <w:rFonts w:ascii="宋体" w:hAnsi="宋体" w:eastAsia="宋体"/>
          <w:b/>
          <w:bCs w:val="0"/>
          <w:sz w:val="30"/>
          <w:szCs w:val="30"/>
          <w:lang w:val="en-US"/>
        </w:rPr>
      </w:pPr>
      <w:r>
        <w:rPr>
          <w:rFonts w:hint="eastAsia" w:ascii="宋体" w:hAnsi="宋体" w:eastAsia="宋体" w:cs="Times New Roman"/>
          <w:b/>
          <w:bCs w:val="0"/>
          <w:kern w:val="2"/>
          <w:sz w:val="30"/>
          <w:szCs w:val="30"/>
          <w:lang w:val="en-US" w:eastAsia="zh-CN" w:bidi="ar"/>
        </w:rPr>
        <w:t>标项一:</w:t>
      </w:r>
      <w:r>
        <w:rPr>
          <w:rFonts w:hint="eastAsia" w:ascii="仿宋" w:hAnsi="仿宋" w:eastAsia="仿宋" w:cs="Arial"/>
          <w:b/>
          <w:kern w:val="2"/>
          <w:sz w:val="28"/>
          <w:szCs w:val="28"/>
          <w:lang w:val="en-US" w:eastAsia="zh-CN" w:bidi="ar"/>
        </w:rPr>
        <w:t xml:space="preserve"> 省委办公厅综合服务中心数码印刷设备项目</w:t>
      </w:r>
    </w:p>
    <w:p>
      <w:pPr>
        <w:keepNext w:val="0"/>
        <w:keepLines w:val="0"/>
        <w:widowControl/>
        <w:suppressLineNumbers w:val="0"/>
        <w:snapToGrid w:val="0"/>
        <w:spacing w:before="120" w:beforeAutospacing="0" w:after="120" w:afterAutospacing="0" w:line="360" w:lineRule="auto"/>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一、项目清单</w:t>
      </w:r>
    </w:p>
    <w:tbl>
      <w:tblPr>
        <w:tblStyle w:val="59"/>
        <w:tblW w:w="7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76"/>
        <w:gridCol w:w="3706"/>
        <w:gridCol w:w="106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3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设备序号</w:t>
            </w:r>
          </w:p>
        </w:tc>
        <w:tc>
          <w:tcPr>
            <w:tcW w:w="3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标项名称</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数量</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3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连续纸双色喷墨印刷设备</w:t>
            </w:r>
            <w:r>
              <w:rPr>
                <w:rFonts w:hint="eastAsia" w:ascii="宋体" w:hAnsi="宋体" w:eastAsia="宋体" w:cs="宋体"/>
                <w:b/>
                <w:bCs w:val="0"/>
                <w:kern w:val="2"/>
                <w:sz w:val="28"/>
                <w:szCs w:val="28"/>
                <w:lang w:val="en-US" w:eastAsia="zh-CN" w:bidi="ar"/>
              </w:rPr>
              <w:t>（核心产品）</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w:t>
            </w:r>
          </w:p>
        </w:tc>
        <w:tc>
          <w:tcPr>
            <w:tcW w:w="3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单张纸彩色喷墨印刷设备</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w:t>
            </w:r>
          </w:p>
        </w:tc>
        <w:tc>
          <w:tcPr>
            <w:tcW w:w="37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高速彩色数字印刷设备</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3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3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彩色数字印刷设备</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套</w:t>
            </w:r>
          </w:p>
        </w:tc>
      </w:tr>
    </w:tbl>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p>
    <w:p>
      <w:pPr>
        <w:keepNext w:val="0"/>
        <w:keepLines w:val="0"/>
        <w:widowControl/>
        <w:suppressLineNumbers w:val="0"/>
        <w:snapToGrid w:val="0"/>
        <w:spacing w:before="0" w:beforeAutospacing="0" w:after="0" w:afterAutospacing="0" w:line="360" w:lineRule="auto"/>
        <w:ind w:left="0" w:right="0" w:firstLine="600" w:firstLineChars="200"/>
        <w:jc w:val="both"/>
        <w:rPr>
          <w:rFonts w:hint="eastAsia" w:ascii="宋体" w:hAnsi="宋体" w:eastAsia="宋体" w:cs="宋体"/>
          <w:sz w:val="30"/>
          <w:szCs w:val="30"/>
          <w:lang w:val="en-US"/>
        </w:rPr>
      </w:pPr>
      <w:r>
        <w:rPr>
          <w:rFonts w:hint="eastAsia" w:ascii="宋体" w:hAnsi="宋体" w:eastAsia="宋体" w:cs="宋体"/>
          <w:kern w:val="2"/>
          <w:sz w:val="30"/>
          <w:szCs w:val="30"/>
          <w:lang w:val="en-US" w:eastAsia="zh-CN" w:bidi="ar"/>
        </w:rPr>
        <w:t>二、设备技术参数</w:t>
      </w:r>
    </w:p>
    <w:p>
      <w:pPr>
        <w:pStyle w:val="53"/>
        <w:keepNext w:val="0"/>
        <w:keepLines w:val="0"/>
        <w:widowControl w:val="0"/>
        <w:suppressLineNumbers w:val="0"/>
        <w:spacing w:before="120" w:beforeLines="50" w:beforeAutospacing="0" w:after="0" w:afterAutospacing="0" w:line="360" w:lineRule="auto"/>
        <w:ind w:left="0" w:right="0" w:firstLine="600" w:firstLineChars="200"/>
        <w:jc w:val="both"/>
        <w:outlineLvl w:val="0"/>
        <w:rPr>
          <w:rFonts w:ascii="宋体" w:hAnsi="宋体" w:eastAsia="宋体"/>
          <w:sz w:val="30"/>
          <w:szCs w:val="30"/>
          <w:lang w:val="en-US"/>
        </w:rPr>
      </w:pPr>
      <w:r>
        <w:rPr>
          <w:rFonts w:hint="eastAsia" w:ascii="宋体" w:hAnsi="宋体" w:eastAsia="宋体" w:cs="Times New Roman"/>
          <w:kern w:val="2"/>
          <w:sz w:val="30"/>
          <w:szCs w:val="30"/>
          <w:lang w:val="en-US" w:eastAsia="zh-CN" w:bidi="ar"/>
        </w:rPr>
        <w:t>（一）硬件部分</w:t>
      </w: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设备一：连续纸双色喷墨印刷设备技术参数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b/>
          <w:bCs w:val="0"/>
          <w:sz w:val="32"/>
          <w:szCs w:val="32"/>
          <w:lang w:val="en-US"/>
        </w:rPr>
      </w:pPr>
      <w:r>
        <w:rPr>
          <w:rFonts w:hint="eastAsia" w:ascii="仿宋" w:hAnsi="仿宋" w:eastAsia="仿宋" w:cs="Times New Roman"/>
          <w:kern w:val="2"/>
          <w:sz w:val="32"/>
          <w:szCs w:val="32"/>
          <w:lang w:val="en-US" w:eastAsia="zh-CN" w:bidi="ar"/>
        </w:rPr>
        <w:t>设备类型：高速双色双面喷墨轮转数字印刷系统</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1、▲最大卷筒纸走纸宽度≥560mm。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2、最大印刷宽度≥540mm，最高印刷速度≥95米/分。</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3、最高印刷分辨率≥600×600 dpi（2bit），最小喷墨墨滴≤5pl。</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4、纸张类型和范围：胶版纸、轻型纸、轻质纸、喷墨纸；纸张克重范围：45-165克。</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5、需具备自动翻转功能实现双面同时印刷。</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6、需具备缺墨提醒和不停机加墨功能及全自动的喷头清洁维护功能。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双色墨水类型，一种为黑色，一种为专色金光红，其中金光红颜色需要和国内传统党政机关红头文件颜色一致。（设备供货前须提供实际金光红颜色的生产样张，此样张将作为中标方装机后的验收标准样。如实际生产样张与招标文件要求不符，采购人将追究中标方违约责任）。</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8、▲需具备喷墨印刷主机和裁切系统的全自动连线功能，连线裁切系统的速度与喷墨印刷系统相匹配。连线运行速度≥95米/分，满足产能需求及紧急业务生产能力。</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9、▲裁切系统包括缓冲单元、裁切单元、堆叠单元、传送单元等，各单元应具备较好的衔接性和匹配性。</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10、裁切系统和印刷主机通过缓冲单元连接实现全自动连线功能，直接成书芯，需具备稳定的错本堆叠功能。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11、裁切系统生产速度≥130米/分。</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12、裁切系统单本堆叠最高厚度≥250mm。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13、裁切系统最大错位距离≥15mm。</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14、裁切系统的裁切宽度范围在140mm-560mm之间。</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15、裁切系统的裁切长度范围在90mm-495mm之间。      </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16、配置空压机一台、稳压电源一台、UPS电源一台，配置最大功率≥1.2KW的工业加湿机两台；配置额定输入功率≥4.9KW的工业除湿机一台；匹配硬件的印前操作软件一套。</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17、对设备摆放场地进行场地修整。</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18、配置服务器：Intel Xeon 5218 2.3GHz，32G DDR4内存，4TB硬盘，NVS315显卡。</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19、无缝衔接现有方正畅流工作流程管理系统，兼容方正主流排版软件[投标人提供加盖公章的适配证明文件（复印件或扫描件）]。</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20、配置设备维修工具一套。</w:t>
      </w:r>
    </w:p>
    <w:p>
      <w:pPr>
        <w:keepNext w:val="0"/>
        <w:keepLines w:val="0"/>
        <w:widowControl/>
        <w:suppressLineNumbers w:val="0"/>
        <w:spacing w:before="0" w:beforeAutospacing="0" w:after="0" w:afterAutospacing="0" w:line="360" w:lineRule="auto"/>
        <w:ind w:left="0" w:right="0" w:firstLine="640" w:firstLineChars="200"/>
        <w:jc w:val="both"/>
        <w:textAlignment w:val="center"/>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21、提供设备调试服务。</w:t>
      </w:r>
    </w:p>
    <w:p>
      <w:pPr>
        <w:pStyle w:val="53"/>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设备二：单张纸彩色喷墨印刷设备技术参数</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打印类型：线型喷墨全彩打印系统</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▲墨水类型：水性颜料墨(青色、洋红色、黄色、黑色)</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1、最大月印量≥100万印。</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2、打印速度：≥150页A4/分钟，≥88页A3/分钟，单双面同速。</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3、最高打印分辨率≥ 600×600 dpi。</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4、预热时间：≤120秒，能快速启动并完成打印。</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5、首张打印时间：≤5.5秒。</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6、主机内存/硬盘：4.5 GB RAM / 32 GB SSD + 1TB硬盘。</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7、支持手送长纸打印：≥330×1200 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8、标配纸盒纸张尺寸：105×148mm-297×420 mm，纸张克重：52-360g/m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w:t>
      </w:r>
    </w:p>
    <w:p>
      <w:pPr>
        <w:pStyle w:val="53"/>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9、大容量纸盒纸张尺寸：105×148mm-330.2×487.7 mm，纸张克重：75-360g/m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10、墨水填充量：≥1300ml (C/M/Y/K)。</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11、配置真空吸附大容量纸库，容量≥4880张80克纸。</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12、配备滚动式推车，单个堆叠容量≥5000张80克纸。</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13、无缝衔接现有方正畅流工作流程管理系统，兼容方正主流排版软件[投标人提供加盖公章的适配证明文件（复印件或扫描件）]。</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14、具备热风加热烘干系统。</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15、提供无VOC检测报告，字迹耐久性报告和中国强制性产品认证证书。</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16、配置设备维修工具一套。</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17、提供设备搬迁移机调试服务。</w:t>
      </w:r>
    </w:p>
    <w:p>
      <w:pPr>
        <w:pStyle w:val="53"/>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设备三：高速彩色数字印刷设备技术参数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w:t>
      </w:r>
      <w:r>
        <w:rPr>
          <w:rFonts w:hint="eastAsia" w:ascii="宋体" w:hAnsi="宋体" w:eastAsia="宋体" w:cs="宋体"/>
          <w:b/>
          <w:bCs w:val="0"/>
          <w:kern w:val="2"/>
          <w:sz w:val="24"/>
          <w:szCs w:val="24"/>
          <w:lang w:val="zh-CN" w:eastAsia="zh-CN" w:bidi="ar"/>
        </w:rPr>
        <w:t>▲</w:t>
      </w:r>
      <w:r>
        <w:rPr>
          <w:rFonts w:hint="eastAsia" w:ascii="仿宋_GB2312" w:hAnsi="Calibri" w:eastAsia="仿宋_GB2312" w:cs="仿宋_GB2312"/>
          <w:kern w:val="2"/>
          <w:sz w:val="32"/>
          <w:szCs w:val="32"/>
          <w:lang w:val="en-US" w:eastAsia="zh-CN" w:bidi="ar"/>
        </w:rPr>
        <w:t>标配五通道彩色印刷（支持可扩展至六通道），支持五色碳粉静电印刷（四色采用CMYK印刷，第五色配置政府金光红专色印刷），满足五色在同面一次性印刷。</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2、四色图像印刷速度≥120页A4/分钟，印刷速度不受纸张克重影响。</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3、彩色图像印刷分辨率≥2400</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2400 dpi,支持1200</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1200 dpi-10BIT RIP渲染技术。</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4、承印纸张克重范围为52至360g/m</w:t>
      </w:r>
      <w:r>
        <w:rPr>
          <w:rFonts w:hint="eastAsia" w:ascii="仿宋_GB2312" w:hAnsi="Calibri" w:eastAsia="仿宋_GB2312" w:cs="仿宋_GB2312"/>
          <w:kern w:val="2"/>
          <w:sz w:val="32"/>
          <w:szCs w:val="32"/>
          <w:vertAlign w:val="superscript"/>
          <w:lang w:val="en-US" w:eastAsia="zh-CN" w:bidi="ar"/>
        </w:rPr>
        <w:t>2</w:t>
      </w:r>
      <w:r>
        <w:rPr>
          <w:rFonts w:hint="eastAsia" w:ascii="仿宋_GB2312" w:hAnsi="Calibri" w:eastAsia="仿宋_GB2312" w:cs="仿宋_GB2312"/>
          <w:kern w:val="2"/>
          <w:sz w:val="32"/>
          <w:szCs w:val="32"/>
          <w:lang w:val="en-US" w:eastAsia="zh-CN" w:bidi="ar"/>
        </w:rPr>
        <w:t>，自动双面打印。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5、纸盒进纸可承印纸张尺寸为：最小进纸尺寸≤98</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148mm,最大进纸尺寸≥330</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1200mm。</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6、配置横幅进纸装置，支持最大进纸尺寸≥330</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1200mm。自动双面印刷最大进纸尺寸≥330</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729mm。</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7、配置加长型大容量纸盒，普通尺寸纸张总容量≥8000页90克纸，1200mm长纸总容量≥800页90克纸。所有纸盒均支持各类承印物，并配置手动送纸盘。</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8、纸盒采用真空吸附式进纸，传感器监控多张进纸。</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9、搭载大型散热装置，防止堆叠纸张粘连，避免纸张卷曲褶皱。</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10、配备专业的色彩管理服务器及I1Pro分光光度计。</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11、配备大容量堆叠器，电子分页堆叠张数≥5000张，配备堆纸小推车。</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12、提供国产中标麒麟操作系统打印驱动程序。支持中文界面，生命周期内升级。</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13、兼容方正主流排版系统、国产永中office办公软件，支持所有主流页面描述格式或图像格式（TIFF、JPG、EPS、PS、PDF、OFD等）。</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14、配置国产品牌高性能印前处理计算机工作站：CPU：i7-107000 8核16线程2.9GHz；内存：8G；硬盘128G+1T；光驱：DVD-RW，显示器：21.5英寸，windows10专业版中文操作系统。</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15、配置设备电流稳压系统一套。</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16、配置电源滤波集成装置：电源高性能低泄漏滤波器（1路220V/50A，双线，尺寸：L490mm</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W180mm</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H120mm，屏蔽效能满足BMB2,BMB5标准的C级要求，PLF2-50DR）；地线滤波器（单线，50A,尺寸：L600mm</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W180mm</w:t>
      </w:r>
      <w:r>
        <w:rPr>
          <w:rFonts w:hint="eastAsia" w:ascii="仿宋" w:hAnsi="仿宋" w:eastAsia="仿宋" w:cs="仿宋"/>
          <w:kern w:val="2"/>
          <w:sz w:val="32"/>
          <w:szCs w:val="32"/>
          <w:lang w:val="en-US" w:eastAsia="zh-CN" w:bidi="ar"/>
        </w:rPr>
        <w:t>×</w:t>
      </w:r>
      <w:r>
        <w:rPr>
          <w:rFonts w:hint="eastAsia" w:ascii="仿宋_GB2312" w:hAnsi="Calibri" w:eastAsia="仿宋_GB2312" w:cs="仿宋_GB2312"/>
          <w:kern w:val="2"/>
          <w:sz w:val="32"/>
          <w:szCs w:val="32"/>
          <w:lang w:val="en-US" w:eastAsia="zh-CN" w:bidi="ar"/>
        </w:rPr>
        <w:t>H150mm，屏蔽效能满足BMB2,BMB5标准的C级要求，PLF-50）。</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17、配置光电转换设备两套。</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18、提供设备搬迁移机调试服务。</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19、配置设备维修工具一套。</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_GB2312" w:eastAsia="仿宋_GB2312" w:cs="仿宋_GB2312"/>
          <w:sz w:val="32"/>
          <w:szCs w:val="32"/>
          <w:lang w:val="en-US"/>
        </w:rPr>
      </w:pPr>
      <w:r>
        <w:rPr>
          <w:rFonts w:hint="eastAsia" w:ascii="仿宋_GB2312" w:hAnsi="Calibri" w:eastAsia="仿宋_GB2312" w:cs="仿宋_GB2312"/>
          <w:kern w:val="2"/>
          <w:sz w:val="32"/>
          <w:szCs w:val="32"/>
          <w:lang w:val="en-US" w:eastAsia="zh-CN" w:bidi="ar"/>
        </w:rPr>
        <w:t>20、配置工业加湿器一台。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Times New Roman"/>
          <w:sz w:val="32"/>
          <w:szCs w:val="32"/>
          <w:lang w:val="en-US"/>
        </w:rPr>
      </w:pP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设备四：彩色数字印刷设备技术参数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w:t>
      </w:r>
      <w:r>
        <w:rPr>
          <w:rFonts w:hint="eastAsia" w:ascii="宋体" w:hAnsi="宋体" w:eastAsia="宋体" w:cs="宋体"/>
          <w:b/>
          <w:bCs w:val="0"/>
          <w:kern w:val="2"/>
          <w:sz w:val="24"/>
          <w:szCs w:val="24"/>
          <w:lang w:val="zh-CN" w:eastAsia="zh-CN" w:bidi="ar"/>
        </w:rPr>
        <w:t>▲</w:t>
      </w:r>
      <w:r>
        <w:rPr>
          <w:rFonts w:hint="eastAsia" w:ascii="仿宋" w:hAnsi="仿宋" w:eastAsia="仿宋" w:cs="仿宋"/>
          <w:kern w:val="2"/>
          <w:sz w:val="32"/>
          <w:szCs w:val="32"/>
          <w:lang w:val="en-US" w:eastAsia="zh-CN" w:bidi="ar"/>
        </w:rPr>
        <w:t>工作模式：5鼓干式静电转印系统，带有内部转印带，无油带式定影。</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2、色彩模式：CMYK+X（金光红+透明色+白色+荧光粉红+荧光绿色+荧光黄+专金色+专银色）第五色选配。</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3、输出速度：黑白/全彩≥85ppm(A4)，≥49ppm(A3)。</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4、打印分辨率≥2400×2400 dpi。</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5、纸张容量：主机纸张容量≥2500张80克纸，配置大容量进纸盒且支持设备最大纸张容量≥4400张80克纸，长纸纸库≥500张80克纸。</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6、纸张尺寸：100×148mm–330mm×487mm。</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7、长纸模式：≥330×760mm长纸打印功能。</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8、纸张重量：52-360g/m</w:t>
      </w:r>
      <w:r>
        <w:rPr>
          <w:rFonts w:hint="eastAsia" w:ascii="仿宋" w:hAnsi="仿宋" w:eastAsia="仿宋" w:cs="仿宋"/>
          <w:kern w:val="2"/>
          <w:sz w:val="32"/>
          <w:szCs w:val="32"/>
          <w:vertAlign w:val="superscript"/>
          <w:lang w:val="en-US" w:eastAsia="zh-CN" w:bidi="ar"/>
        </w:rPr>
        <w:t>2</w:t>
      </w:r>
      <w:r>
        <w:rPr>
          <w:rFonts w:hint="eastAsia" w:ascii="仿宋" w:hAnsi="仿宋" w:eastAsia="仿宋" w:cs="仿宋"/>
          <w:kern w:val="2"/>
          <w:sz w:val="32"/>
          <w:szCs w:val="32"/>
          <w:lang w:val="en-US" w:eastAsia="zh-CN" w:bidi="ar"/>
        </w:rPr>
        <w:t>，自动双面打印。</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9、纸张类型：支持涂层纸，预印纸、OHP（透明胶片）、硫酸纸、无碳复写纸、金属卡纸，合成材料、磁性贴等多种媒介的生产和应用。</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10、fiery打印控制器：Intel i5-6500 3.6GHz 内存8GB HDD 1TB。</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11、标配堆叠容量≥5000张80克纸小推车式收纸。</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12、无缝衔接现有方正畅流工作流程管理系统，兼容方正主流排版软件[投标人提供加盖公章的适配证明文件（复印件或扫描件）]。</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13、设备全套尺寸≤3500mm×900mm。</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14、采用液态冷循环系统，保持显影仓（显影单元和定影单元）温度稳定，提高色彩输出的稳定性。</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15、提供中国强制性产品认证证书。</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16、配置设备维修工具一套。</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17、提供设备搬迁移机调试服务。</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p>
    <w:p>
      <w:pPr>
        <w:pStyle w:val="53"/>
        <w:keepNext w:val="0"/>
        <w:keepLines w:val="0"/>
        <w:widowControl w:val="0"/>
        <w:suppressLineNumbers w:val="0"/>
        <w:spacing w:before="120" w:beforeLines="50" w:beforeAutospacing="0" w:after="0" w:afterAutospacing="0" w:line="360" w:lineRule="auto"/>
        <w:ind w:left="0" w:right="0" w:firstLine="600" w:firstLineChars="200"/>
        <w:jc w:val="both"/>
        <w:outlineLvl w:val="0"/>
        <w:rPr>
          <w:rFonts w:ascii="宋体" w:hAnsi="宋体" w:eastAsia="宋体"/>
          <w:sz w:val="30"/>
          <w:szCs w:val="30"/>
          <w:lang w:val="en-US"/>
        </w:rPr>
      </w:pPr>
      <w:r>
        <w:rPr>
          <w:rFonts w:hint="eastAsia" w:ascii="宋体" w:hAnsi="宋体" w:eastAsia="宋体" w:cs="Times New Roman"/>
          <w:kern w:val="2"/>
          <w:sz w:val="30"/>
          <w:szCs w:val="30"/>
          <w:lang w:val="en-US" w:eastAsia="zh-CN" w:bidi="ar"/>
        </w:rPr>
        <w:t>（二）配套软件部分</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1、在原两套方正畅流基础上增加设备2-4的3个彩色数码设备接口。</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2、流程软件需为国产品牌，具有自主知识产权，（提供软件著作权证书扫描件或复印件，供货前须再提供盖章的证书复印件）。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3、全中文操作界面，流程化正版软件，需具备作业监控系统，具备文件检查功能，具备备份、恢复环境设置资源，包括设置原文件路径，图片路径，补字库路径等。</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数字化工作流程研发方面，所投软件的生产厂家具有独立的研发团队，有产品升级和维护保障，研发体系具有CMMI3（软件能力成熟度模型集成认证）资质证书。（投标文件中须提供该证书扫描件或复印件，供货前须再提供盖章的证书复印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5、控制软件为国产软件，可以自定义作业传票，规范化参数设置、印刷折手、打印参数设置全部实现流程式处理，输出一次性完成，并可实现模版重复调用的功能。</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6、具备PDF&amp;JDF数字化流程软件，须为模块化设计，具有可扩展性。</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为方便操作和应用，需要为Client/Server结构，支持局域网内建立多客户端，支持所有计算机操作可并行工作，服务器流程软件的所有管理功能，可以在任何一台网络上的电脑上进行远程控制和管理，客户端数量≥10个。</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软件需要具备使用账号对操作者进行管理和角色分配的功能，操作者根据权限的不同角色的不同，执行不同的操作，为确保系统的安全性，界面必须可以实时记录监控各个账号所做的任一项操作，确保系统的安全性。</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9、软件须为具备数字印刷系统专用流程软件的最新版本，支持TIFF、PDF、EPS、PS、PRN、S2、PS2、S72、JPG、PRN、DOC、XLS、PPT等文件格式，可以直接读取Microsoft office、wps office等众多文件格式，RIP速度快，可高速处理大型数据流文件。不允许通过第三方软件转换格式后打印，避免转换出错情况。</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10、需要支持自由拼版功能，对尺寸不规则文件进行手工拼大版处理，对折手后的大版结果进行微调整。</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11、需要具备印刷折手功能模块，可以实现自定义模板功能，支持平订、角订、骑马订、堆叠订、锁线胶订等折手模块，可自定义非标准尺寸、复杂折手等功能。必须支持自定义标记和预显功能，方便操作和检查。</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12、需要支持智能标记的功能，可以实现标记根据小页布局智能添加，方便操作，容易实现，需要具备对标记管理的功能。</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13、可以实现对源文件里包含的各种来源的图形、图像进行精确的色彩转换。将源文件中的不同色彩转换成统一的符合印刷的色彩标准。确保印刷时色彩还原的准确性。</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14、可以支持尺寸及色彩不符合规范的文件无需通过前段排版软件进行相关修改，在流程中即可完成操作。</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15、数码设备输出参数需支持对分辨率、网目数、颜色模式、字体线宽调整、渐变质量选择、缩放与旋转等进行选择调整；对纸张尺寸、打印范围、进纸盒的选择、插页的设置、打印份数控制、打印位移调整、装订、输出顺序等进行选择调整；对输出质量的线性化控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16、需要支持软硬件一体化，软件处理后的文件可在指定设备输出，保证输出的安全。</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17、需具有作业正背偏移功能，从而实现作业的精确套准，弥补硬件的套准误差。</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18、流程需具有插页功能，实现作业的混合打印生产。</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19、配置有独立知识产权的正版中文专用CID字库；全面支持各种中西文单字节、双字节、特殊符号、具备包含公安部二代身份证项目使用的人名、地名的大字符集字库，以及各种特殊符号和公式。（投标文件中须提供CID字库著作权证书扫描件或复印件，供货前须再提供盖章的证书复印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20、为确保兼容性，要求配置的字库与数字化工作流程保持品牌一致，或直接内嵌成模块。（投标文件中须提供加盖公章的字库兼容性证明文件）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21、需具有可设定位置的自动打号功能，自由设定多位置打号进程，支持对起始号、号码位数、号码位置、号码透明、逆序等自定义设置；支持对号码前缀、后缀字体和间距的设置；以上设置可以保存为模板随时调用，并支持专用的打号字体。</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22、可支持可变数据功能模块。自动生成一维、二维码，可以实现文字、图像、条码、号码等可变数据编辑打印，支持多种数据库数据直接导入读取功能。具备作业存储、模板功能、自动化操作输出，可以保存自定义作业传票，方便日后重复使用，随时调用，可以避免重复设置参数。</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23、支持将转化后的PDF文件进行合并，组成一个连续页的PDF，便于存储和携带，且必须支持文件重命名个性化导出。</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24、具备色彩管理校正功能，支持流程内色彩模式转换，支持数字印刷校色功能。专业的色彩管理功能，可定制的个性化色彩管理服务模式；可提供校色向导工具，流程数据资源备份与恢复。支持模拟专色、分色输出。</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25、可拓展支持具备流程软件驱动CTP的功能，可扩展衔接光敏和热敏CTP。（提供加盖公章的可扩展性证明文件）。</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26、可支持自动在文件增加一维条码打印。</w:t>
      </w:r>
    </w:p>
    <w:p>
      <w:pPr>
        <w:pStyle w:val="53"/>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27、能够满足公章管理的功能，在流程内即可操作在打印时可以对公章的使用时间和次数进行双重控制，增加公章使用的安全性，实现三级管理，超级管理员、调度员、操作员，多级控制加强公章使用的安全性，公章打印必须支持多重效果。例如红压黑以透黑，可以灵活选择。</w:t>
      </w:r>
    </w:p>
    <w:p>
      <w:pPr>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28、流程软件提供终身维护，需要具备可升级扩展性。</w:t>
      </w:r>
    </w:p>
    <w:p>
      <w:pPr>
        <w:keepNext w:val="0"/>
        <w:keepLines w:val="0"/>
        <w:widowControl/>
        <w:suppressLineNumbers w:val="0"/>
        <w:snapToGrid w:val="0"/>
        <w:spacing w:before="0" w:beforeAutospacing="0" w:after="0" w:afterAutospacing="0" w:line="360" w:lineRule="auto"/>
        <w:ind w:left="0" w:right="0" w:firstLine="562" w:firstLineChars="20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三、投标要求</w:t>
      </w:r>
    </w:p>
    <w:p>
      <w:pPr>
        <w:keepNext w:val="0"/>
        <w:keepLines w:val="0"/>
        <w:widowControl/>
        <w:suppressLineNumbers w:val="0"/>
        <w:snapToGri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vertAlign w:val="baseline"/>
          <w:lang w:val="en-US"/>
        </w:rPr>
      </w:pPr>
      <w:r>
        <w:rPr>
          <w:rFonts w:hint="eastAsia" w:ascii="仿宋" w:hAnsi="仿宋" w:eastAsia="仿宋" w:cs="仿宋"/>
          <w:kern w:val="2"/>
          <w:sz w:val="32"/>
          <w:szCs w:val="32"/>
          <w:vertAlign w:val="baseline"/>
          <w:lang w:val="en-US" w:eastAsia="zh-CN" w:bidi="ar"/>
        </w:rPr>
        <w:t>1、因工作任务需要，所投产品中的</w:t>
      </w:r>
      <w:bookmarkStart w:id="34" w:name="_Hlk58578478"/>
      <w:r>
        <w:rPr>
          <w:rFonts w:hint="eastAsia" w:ascii="仿宋" w:hAnsi="仿宋" w:eastAsia="仿宋" w:cs="仿宋"/>
          <w:kern w:val="2"/>
          <w:sz w:val="32"/>
          <w:szCs w:val="32"/>
          <w:vertAlign w:val="baseline"/>
          <w:lang w:val="en-US" w:eastAsia="zh-CN" w:bidi="ar"/>
        </w:rPr>
        <w:t>连续纸双色喷墨印刷设备、单张纸彩色喷墨印刷设备、高速彩色数字印刷设备、彩色数字印刷设备在签订正式合同后，中标人应在15个工作日内完成供货。送货到指定地点，并负责安装调试至可正常使用状态。</w:t>
      </w:r>
      <w:bookmarkEnd w:id="34"/>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2、本项目的所有软、硬件(如线缆、管线、软件、硬件、模块等，包括未列出而系统实施又必需的软件、硬件)需配齐以构成一套完整实用系统，如有任何遗漏，由中标人补齐。</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3、投标方案中的硬件设备如需使用特别接头、插座等，由投标人提供。</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4、投标总价应包括运抵交货地点的运费及安装调试费等（包括设备吊装）。</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所投产品需为原厂全新产品，2021年6月后生产的符合国家技术规格和质量标准的出厂合格产品，通过国家有关部门检测合格的原产地产品，未曾开箱使用；设备安装调试完毕后，能在其功能范围内保障用户的系统安全、稳定运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6、投标产品的主要部件、备件、附件和耗材的供应至少保障10年以上。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7、如涉及到场地布局需要进行调整，投标人还需提供相应的设备搬移服务承诺。</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本次招标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9、验收条件：1）开箱验收：清点设备装箱内容符合装箱单所列并符合招标文件要求和承诺书承诺；2）开机验收：设备应通电开机后进行所规定时间的试验运行后方可验收。</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应详细列明投标设备的所有技术指标（包括所投设备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keepNext w:val="0"/>
        <w:keepLines w:val="0"/>
        <w:widowControl/>
        <w:suppressLineNumbers w:val="0"/>
        <w:snapToGrid w:val="0"/>
        <w:spacing w:before="0" w:beforeAutospacing="0" w:after="0" w:afterAutospacing="0" w:line="360" w:lineRule="auto"/>
        <w:ind w:left="0" w:right="0" w:firstLine="562" w:firstLineChars="200"/>
        <w:jc w:val="both"/>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四、售后服务及其他要求</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1、签订合同后，设备交付前，中标供应商须提供产品质量保证函，不接受非正规渠道货物等产品投标。</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2、验收合格之日起计，质保期1年，设备安装调试完毕后，为用户提供全面的培训，投标文件中请提供详细培训方案。</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3、提供终身维修。因保密要求，所有进入使用单位的耗材和机器零部件采用“只进不出”的管理方式。</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在设备整个使用期内，投标供应商应确保设备的正常使用，在接到采购人维修要求后应立即作出回应，当系统的软硬件出现故障时，投标供应商应承诺在工作日或非工作时间1小时内响应并提出解决方案，4小时之内到现场对故障进行处理。满足7×24小时售后服务响应。所有耗材及维修时更换的零部件应确保原厂正品。</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5、签订保密协议。如有需要对设备进行的保密检测，中标人必须积极配合采购人完成对设备进行的保密检测工作。 </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6、为保证服务质量，标书中售后服务方需提供甲方项目投标产品生产厂家对本项目的售后服务承诺函原件（售后服务自设备验收合格之日起，至少10年）。</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7、标书中须提供所投产品的合法来源渠道证明文件（包括但不限于销售协议、代理协议等）。</w:t>
      </w:r>
    </w:p>
    <w:p>
      <w:pPr>
        <w:pStyle w:val="53"/>
        <w:keepNext w:val="0"/>
        <w:keepLines w:val="0"/>
        <w:widowControl/>
        <w:suppressLineNumbers w:val="0"/>
        <w:snapToGrid w:val="0"/>
        <w:spacing w:before="0" w:beforeAutospacing="0" w:after="0" w:afterAutospacing="0" w:line="360" w:lineRule="auto"/>
        <w:ind w:left="0" w:right="0" w:firstLine="562" w:firstLineChars="200"/>
        <w:jc w:val="both"/>
        <w:rPr>
          <w:rFonts w:hint="eastAsia" w:ascii="仿宋" w:hAnsi="仿宋" w:eastAsia="仿宋" w:cs="Times New Roman"/>
          <w:b/>
          <w:bCs w:val="0"/>
          <w:sz w:val="28"/>
          <w:szCs w:val="28"/>
          <w:lang w:val="en-US"/>
        </w:rPr>
      </w:pPr>
      <w:r>
        <w:rPr>
          <w:rFonts w:hint="eastAsia" w:ascii="仿宋" w:hAnsi="仿宋" w:eastAsia="仿宋" w:cs="Times New Roman"/>
          <w:b/>
          <w:bCs w:val="0"/>
          <w:kern w:val="2"/>
          <w:sz w:val="28"/>
          <w:szCs w:val="28"/>
          <w:lang w:val="en-US" w:eastAsia="zh-CN" w:bidi="ar"/>
        </w:rPr>
        <w:t>五、投标说明</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b/>
          <w:sz w:val="28"/>
          <w:szCs w:val="28"/>
          <w:lang w:val="en-US"/>
        </w:rPr>
      </w:pPr>
      <w:r>
        <w:rPr>
          <w:rFonts w:hint="eastAsia" w:ascii="仿宋" w:hAnsi="仿宋" w:eastAsia="仿宋" w:cs="仿宋"/>
          <w:kern w:val="2"/>
          <w:sz w:val="32"/>
          <w:szCs w:val="32"/>
          <w:lang w:val="en-US" w:eastAsia="zh-CN" w:bidi="ar"/>
        </w:rPr>
        <w:t>1、如投标产品标的物的实际性能与投标文件中的技术响应不符，采购方有权拒绝签定合同。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2、验收要求：设备到货安装调试完成后，需经国家安全、保密部门保密检测合格，方能出具验收合格报告。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3、项目的工作内容及成果</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文档的提交应覆盖以下内容，电子文档是成果不可分割的部分。要求如下文档：</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 项目实施前：需求分析报告；设计方案、设计说明书；项目实施计划；</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 项目实施期间：项目实施工作单、故障诊断及排除记录、项目实施过程中衍生的其它相关资料；</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 项目实施后：试运行和自测报告、故障诊断与排除手册、工作总结报告；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 培训期间：培训计划、用户使用手册、管理员使用手册；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 其他需要提交的材料。</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p>
    <w:p>
      <w:pPr>
        <w:pStyle w:val="53"/>
        <w:keepNext w:val="0"/>
        <w:keepLines w:val="0"/>
        <w:widowControl/>
        <w:suppressLineNumbers w:val="0"/>
        <w:snapToGrid w:val="0"/>
        <w:spacing w:before="0" w:beforeAutospacing="0" w:after="0" w:afterAutospacing="0" w:line="360" w:lineRule="auto"/>
        <w:ind w:left="0" w:right="0" w:firstLine="602" w:firstLineChars="20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商务要求表</w:t>
      </w:r>
    </w:p>
    <w:tbl>
      <w:tblPr>
        <w:tblStyle w:val="59"/>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5"/>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▲项目工期（交货期）及地点</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Times New Roman"/>
                <w:kern w:val="2"/>
                <w:sz w:val="28"/>
                <w:szCs w:val="28"/>
                <w:lang w:val="en-US" w:eastAsia="zh-CN" w:bidi="ar"/>
              </w:rPr>
              <w:t>所投产品中的设备序号1—4产品在签订正式合同后，中标人应在15个工作日内完成供货。</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交货地点：浙江省杭州市省府路8号。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▲付款条件（明确是否需要履约保证金）</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1、合同签订后5个工作日内，乙方向甲方以转账方式（转账/汇票/支票/银行保函/商业保函等非现金形式）缴纳合同价1%的履约保证金。合同履行完毕且验收合格后，履约保证金无息原路退还。</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b/>
                <w:bCs w:val="0"/>
                <w:sz w:val="28"/>
                <w:szCs w:val="28"/>
                <w:lang w:val="en-US"/>
              </w:rPr>
            </w:pPr>
            <w:r>
              <w:rPr>
                <w:rFonts w:hint="eastAsia" w:ascii="宋体" w:hAnsi="宋体" w:eastAsia="宋体" w:cs="Times New Roman"/>
                <w:kern w:val="2"/>
                <w:sz w:val="28"/>
                <w:szCs w:val="28"/>
                <w:lang w:val="en-US" w:eastAsia="zh-CN" w:bidi="ar"/>
              </w:rPr>
              <w:t>2、合同签订后甲方支付合同总价的40%，货到现场安装调试试运行，验收合格后甲方支付合同总价的60%。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违约责任及争议解决方式</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服务</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项目维护计划</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1、详细的项目实施方案，实施进度方案的可行性、合理性（1分）。</w:t>
            </w:r>
          </w:p>
          <w:p>
            <w:pPr>
              <w:keepNext w:val="0"/>
              <w:keepLines w:val="0"/>
              <w:widowControl/>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宋体"/>
                <w:kern w:val="2"/>
                <w:sz w:val="28"/>
                <w:szCs w:val="28"/>
                <w:lang w:val="en-US" w:eastAsia="zh-CN" w:bidi="ar"/>
              </w:rPr>
              <w:t>2、项目组人员专业素质、技术能力、专业分布、经验等情况，</w:t>
            </w:r>
            <w:r>
              <w:rPr>
                <w:rFonts w:hint="eastAsia" w:ascii="宋体" w:hAnsi="宋体" w:eastAsia="宋体" w:cs="Times New Roman"/>
                <w:kern w:val="2"/>
                <w:sz w:val="28"/>
                <w:szCs w:val="28"/>
                <w:lang w:val="en-US" w:eastAsia="zh-CN" w:bidi="ar"/>
              </w:rPr>
              <w:t>数量是否充足，配置是否合理等（1分）。</w:t>
            </w:r>
          </w:p>
          <w:p>
            <w:pPr>
              <w:keepNext w:val="0"/>
              <w:keepLines w:val="0"/>
              <w:widowControl/>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3、是否具有类似项目安装/维保经验，项目组人员资质、工作履历，提供相应证书及证明（1分）。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Times New Roman"/>
                <w:kern w:val="2"/>
                <w:sz w:val="28"/>
                <w:szCs w:val="28"/>
                <w:lang w:val="en-US" w:eastAsia="zh-CN" w:bidi="ar"/>
              </w:rPr>
              <w:t>4、投标供应商对所投产品的部分常用耗材和易损零配件</w:t>
            </w:r>
            <w:r>
              <w:rPr>
                <w:rFonts w:hint="eastAsia" w:ascii="宋体" w:hAnsi="宋体" w:eastAsia="宋体" w:cs="宋体"/>
                <w:kern w:val="2"/>
                <w:sz w:val="28"/>
                <w:szCs w:val="28"/>
                <w:lang w:val="en-US" w:eastAsia="zh-CN" w:bidi="ar"/>
              </w:rPr>
              <w:t>在中国有生产基地或在中国有零配件仓储基地</w:t>
            </w:r>
            <w:r>
              <w:rPr>
                <w:rFonts w:hint="eastAsia" w:ascii="宋体" w:hAnsi="宋体" w:eastAsia="宋体" w:cs="Times New Roman"/>
                <w:kern w:val="2"/>
                <w:sz w:val="28"/>
                <w:szCs w:val="28"/>
                <w:lang w:val="en-US" w:eastAsia="zh-CN" w:bidi="ar"/>
              </w:rPr>
              <w:t>，提供相关证明材料（2分）。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响应情况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pacing w:before="0" w:beforeAutospacing="0" w:after="0" w:afterAutospacing="0" w:line="34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1、投标供应商</w:t>
            </w:r>
            <w:r>
              <w:rPr>
                <w:rFonts w:hint="eastAsia" w:ascii="宋体" w:hAnsi="宋体" w:eastAsia="宋体" w:cs="宋体"/>
                <w:kern w:val="2"/>
                <w:sz w:val="28"/>
                <w:szCs w:val="28"/>
                <w:lang w:val="en-US" w:eastAsia="zh-CN" w:bidi="ar"/>
              </w:rPr>
              <w:t>提供设备终身维修。因保密要求，所有进入使用单位的耗材和机器零部件采用“只进不出”的管理方式</w:t>
            </w:r>
            <w:r>
              <w:rPr>
                <w:rFonts w:hint="eastAsia" w:ascii="宋体" w:hAnsi="宋体" w:eastAsia="宋体" w:cs="Times New Roman"/>
                <w:kern w:val="2"/>
                <w:sz w:val="28"/>
                <w:szCs w:val="28"/>
                <w:lang w:val="en-US" w:eastAsia="zh-CN" w:bidi="ar"/>
              </w:rPr>
              <w:t>（1分）。</w:t>
            </w:r>
          </w:p>
          <w:p>
            <w:pPr>
              <w:pStyle w:val="53"/>
              <w:keepNext w:val="0"/>
              <w:keepLines w:val="0"/>
              <w:widowControl w:val="0"/>
              <w:suppressLineNumbers w:val="0"/>
              <w:spacing w:before="0" w:beforeAutospacing="0" w:after="0" w:afterAutospacing="0" w:line="340" w:lineRule="exact"/>
              <w:ind w:left="0" w:right="0" w:firstLine="560" w:firstLineChars="200"/>
              <w:jc w:val="both"/>
              <w:rPr>
                <w:rFonts w:hint="eastAsia" w:ascii="宋体" w:hAnsi="宋体" w:eastAsia="宋体" w:cs="Times New Roman"/>
                <w:sz w:val="28"/>
                <w:szCs w:val="28"/>
                <w:lang w:val="en-US"/>
              </w:rPr>
            </w:pPr>
            <w:r>
              <w:rPr>
                <w:rFonts w:hint="eastAsia" w:ascii="宋体" w:hAnsi="宋体" w:eastAsia="宋体" w:cs="宋体"/>
                <w:kern w:val="2"/>
                <w:sz w:val="28"/>
                <w:szCs w:val="28"/>
                <w:lang w:val="en-US" w:eastAsia="zh-CN" w:bidi="ar"/>
              </w:rPr>
              <w:t>2、在设备整个使用期内，所有耗材及维修时更换的零部件应确保原厂正品</w:t>
            </w:r>
            <w:r>
              <w:rPr>
                <w:rFonts w:hint="eastAsia" w:ascii="宋体" w:hAnsi="宋体" w:eastAsia="宋体" w:cs="Times New Roman"/>
                <w:kern w:val="2"/>
                <w:sz w:val="28"/>
                <w:szCs w:val="28"/>
                <w:lang w:val="en-US" w:eastAsia="zh-CN" w:bidi="ar"/>
              </w:rPr>
              <w:t>，</w:t>
            </w:r>
            <w:r>
              <w:rPr>
                <w:rFonts w:hint="eastAsia" w:ascii="宋体" w:hAnsi="宋体" w:eastAsia="宋体" w:cs="宋体"/>
                <w:kern w:val="2"/>
                <w:sz w:val="28"/>
                <w:szCs w:val="28"/>
                <w:lang w:val="en-US" w:eastAsia="zh-CN" w:bidi="ar"/>
              </w:rPr>
              <w:t>满足7×24小时售后服务响应。投标供应商应确保设备的正常使用，在接到采购人维修要求后应立即作出回应，当系统的软硬件出现故障时，投标供应商应承诺在工作日或非工作时间1小时内响应并提出解决方案，4小时之内到现场对故障进行处理。（提供4小时内常规问题解决方案,包括但不限于售后服务工程师常驻点到采购方的交通时间、诊断问题时间、更换零件时零件物流时间、售后服务工程师的人数和社保证明等，满足得3分，不满足不得分）（3分）</w:t>
            </w:r>
          </w:p>
          <w:p>
            <w:pPr>
              <w:pStyle w:val="53"/>
              <w:keepNext w:val="0"/>
              <w:keepLines w:val="0"/>
              <w:widowControl w:val="0"/>
              <w:suppressLineNumbers w:val="0"/>
              <w:spacing w:before="0" w:beforeAutospacing="0" w:after="0" w:afterAutospacing="0" w:line="340" w:lineRule="exact"/>
              <w:ind w:left="0" w:right="0" w:firstLine="560" w:firstLineChars="200"/>
              <w:jc w:val="both"/>
              <w:rPr>
                <w:rFonts w:hint="eastAsia" w:ascii="宋体" w:hAnsi="宋体" w:eastAsia="宋体" w:cs="宋体"/>
                <w:b/>
                <w:sz w:val="28"/>
                <w:szCs w:val="28"/>
                <w:lang w:val="en-US"/>
              </w:rPr>
            </w:pPr>
            <w:r>
              <w:rPr>
                <w:rFonts w:hint="eastAsia" w:ascii="宋体" w:hAnsi="宋体" w:eastAsia="宋体" w:cs="宋体"/>
                <w:kern w:val="2"/>
                <w:sz w:val="28"/>
                <w:szCs w:val="28"/>
                <w:lang w:val="en-US" w:eastAsia="zh-CN" w:bidi="ar"/>
              </w:rPr>
              <w:t>3、标书中须提供所投产品的合法来源渠道证明文件（包括但不限于销售协议、代理协议等）（1分）。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技术培训</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1、为保证服务质量，售后技术人员需经过生产厂家专业技术培训，并提供培训证书（1分）。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2、标书中售后服务方需提供甲方项目投标产品生产厂家对本项目的售后服务承诺函原件（售后服务自设备验收合格之日起，至少10年）（3分）。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3、设备安装完毕后，为用户提供全面的培训，根据提供的详细技术培训计划方案打分。（1分）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履约能力</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1、连续纸双色喷墨设备厂商具有自主创新能力，并提供高新技术企业认证证书复印件或扫描件，并加盖投标人公章证明材料（2分）。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2、连续纸双色喷墨设备各项参数指标符合国家新闻出版广电总局印发的《生产型数字印刷机认定指标（2017年）》，提供相关权威机构出具的真实证明文件复印件（3分）。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经验或业绩要求</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Times New Roman"/>
                <w:kern w:val="2"/>
                <w:sz w:val="28"/>
                <w:szCs w:val="28"/>
                <w:lang w:val="en-US" w:eastAsia="zh-CN" w:bidi="ar"/>
              </w:rPr>
              <w:t>提供自2019年1月1日以来同类型政府采购业绩合同的，每提供一个得1分，最高得3分（以合同签订时间为准，提供采购合同或发票加盖公章）。</w:t>
            </w:r>
          </w:p>
        </w:tc>
      </w:tr>
    </w:tbl>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53"/>
        <w:keepNext w:val="0"/>
        <w:keepLines w:val="0"/>
        <w:widowControl w:val="0"/>
        <w:suppressLineNumbers w:val="0"/>
        <w:spacing w:before="0" w:beforeAutospacing="0" w:after="0" w:afterAutospacing="0"/>
        <w:ind w:left="0" w:right="0" w:firstLine="420" w:firstLineChars="200"/>
        <w:jc w:val="both"/>
        <w:rPr>
          <w:lang w:val="en-US"/>
        </w:rPr>
      </w:pPr>
      <w:r>
        <w:rPr>
          <w:rFonts w:hint="default" w:ascii="Calibri" w:hAnsi="Calibri" w:eastAsia="宋体" w:cs="Times New Roman"/>
          <w:sz w:val="21"/>
          <w:szCs w:val="21"/>
          <w:lang w:val="en-US" w:eastAsia="zh-CN" w:bidi="ar"/>
        </w:rPr>
        <w:br w:type="page"/>
      </w:r>
    </w:p>
    <w:p>
      <w:pPr>
        <w:pStyle w:val="53"/>
        <w:keepNext w:val="0"/>
        <w:keepLines w:val="0"/>
        <w:widowControl w:val="0"/>
        <w:suppressLineNumbers w:val="0"/>
        <w:spacing w:before="120" w:beforeLines="50" w:beforeAutospacing="0" w:after="0" w:afterAutospacing="0" w:line="360" w:lineRule="auto"/>
        <w:ind w:left="0" w:right="0"/>
        <w:jc w:val="left"/>
        <w:outlineLvl w:val="0"/>
        <w:rPr>
          <w:rFonts w:hint="eastAsia" w:ascii="仿宋" w:hAnsi="仿宋" w:eastAsia="仿宋" w:cs="Arial"/>
          <w:b/>
          <w:sz w:val="28"/>
          <w:szCs w:val="28"/>
          <w:lang w:val="en-US"/>
        </w:rPr>
      </w:pPr>
      <w:r>
        <w:rPr>
          <w:rFonts w:hint="eastAsia" w:ascii="仿宋" w:hAnsi="仿宋" w:eastAsia="仿宋" w:cs="Arial"/>
          <w:b/>
          <w:bCs w:val="0"/>
          <w:kern w:val="2"/>
          <w:sz w:val="32"/>
          <w:szCs w:val="32"/>
          <w:lang w:val="en-US" w:eastAsia="zh-CN" w:bidi="ar"/>
        </w:rPr>
        <w:t>标项二:</w:t>
      </w:r>
      <w:r>
        <w:rPr>
          <w:rFonts w:hint="eastAsia" w:ascii="仿宋" w:hAnsi="仿宋" w:eastAsia="仿宋" w:cs="Arial"/>
          <w:b/>
          <w:kern w:val="2"/>
          <w:sz w:val="28"/>
          <w:szCs w:val="28"/>
          <w:lang w:val="en-US" w:eastAsia="zh-CN" w:bidi="ar"/>
        </w:rPr>
        <w:t xml:space="preserve"> 省委办公厅综合服务中心装订设备项目</w:t>
      </w:r>
    </w:p>
    <w:p>
      <w:pPr>
        <w:pStyle w:val="53"/>
        <w:keepNext w:val="0"/>
        <w:keepLines w:val="0"/>
        <w:widowControl w:val="0"/>
        <w:suppressLineNumbers w:val="0"/>
        <w:spacing w:before="120" w:beforeLines="50" w:beforeAutospacing="0" w:after="0" w:afterAutospacing="0" w:line="360" w:lineRule="auto"/>
        <w:ind w:left="0" w:right="0"/>
        <w:jc w:val="left"/>
        <w:outlineLvl w:val="0"/>
        <w:rPr>
          <w:rFonts w:hint="eastAsia" w:ascii="方正小标宋_GBK" w:hAnsi="仿宋" w:eastAsia="方正小标宋_GBK" w:cs="Arial"/>
          <w:b/>
          <w:bCs w:val="0"/>
          <w:sz w:val="32"/>
          <w:szCs w:val="32"/>
          <w:lang w:val="en-US"/>
        </w:rPr>
      </w:pPr>
      <w:r>
        <w:rPr>
          <w:rFonts w:hint="eastAsia" w:ascii="仿宋" w:hAnsi="仿宋" w:eastAsia="仿宋" w:cs="Arial"/>
          <w:b/>
          <w:bCs w:val="0"/>
          <w:kern w:val="2"/>
          <w:sz w:val="32"/>
          <w:szCs w:val="32"/>
          <w:lang w:val="en-US" w:eastAsia="zh-CN" w:bidi="ar"/>
        </w:rPr>
        <w:t>一、项目清单</w:t>
      </w:r>
    </w:p>
    <w:tbl>
      <w:tblPr>
        <w:tblStyle w:val="59"/>
        <w:tblW w:w="7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62"/>
        <w:gridCol w:w="3422"/>
        <w:gridCol w:w="106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30" w:hRule="atLeast"/>
          <w:jc w:val="center"/>
        </w:trPr>
        <w:tc>
          <w:tcPr>
            <w:tcW w:w="16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设备序号</w:t>
            </w:r>
          </w:p>
        </w:tc>
        <w:tc>
          <w:tcPr>
            <w:tcW w:w="34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标项名称</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数量</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6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w:t>
            </w:r>
          </w:p>
        </w:tc>
        <w:tc>
          <w:tcPr>
            <w:tcW w:w="34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数码单页装订设备</w:t>
            </w:r>
            <w:r>
              <w:rPr>
                <w:rFonts w:hint="eastAsia" w:ascii="仿宋_GB2312" w:hAnsi="宋体" w:eastAsia="仿宋_GB2312" w:cs="仿宋_GB2312"/>
                <w:b/>
                <w:bCs w:val="0"/>
                <w:kern w:val="2"/>
                <w:sz w:val="28"/>
                <w:szCs w:val="28"/>
                <w:lang w:val="en-US" w:eastAsia="zh-CN" w:bidi="ar"/>
              </w:rPr>
              <w:t>（核心产品）</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1</w:t>
            </w:r>
          </w:p>
        </w:tc>
        <w:tc>
          <w:tcPr>
            <w:tcW w:w="122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20" w:afterLines="50" w:afterAutospacing="0" w:line="460" w:lineRule="exact"/>
              <w:ind w:left="0" w:right="0"/>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套</w:t>
            </w:r>
          </w:p>
        </w:tc>
      </w:tr>
    </w:tbl>
    <w:p>
      <w:pPr>
        <w:keepNext w:val="0"/>
        <w:keepLines w:val="0"/>
        <w:widowControl/>
        <w:suppressLineNumbers w:val="0"/>
        <w:snapToGrid w:val="0"/>
        <w:spacing w:before="0" w:beforeAutospacing="0" w:after="0" w:afterAutospacing="0" w:line="360" w:lineRule="auto"/>
        <w:ind w:left="0" w:right="0" w:firstLine="562" w:firstLineChars="200"/>
        <w:jc w:val="both"/>
        <w:rPr>
          <w:rFonts w:hint="eastAsia" w:ascii="仿宋" w:hAnsi="仿宋" w:eastAsia="仿宋" w:cs="仿宋"/>
          <w:b/>
          <w:bCs w:val="0"/>
          <w:sz w:val="28"/>
          <w:szCs w:val="28"/>
          <w:lang w:val="en-US"/>
        </w:rPr>
      </w:pPr>
    </w:p>
    <w:p>
      <w:pPr>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二、设备技术参数</w:t>
      </w: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设备一：数码单页装订设备技术参数</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1、▲具备一张A3+插入一张或者多张A4+的混合装订方式。</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2、具备多张A3+插入一张A4+的混合装订方式。</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3、具备2张A3+的粘页装订方式。</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4、设备使用冷胶自动喷胶系统，环保无异味，开机即可工作，无需热机，维护简单。</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5、▲具备一张或者多张A4+的纸张能够插在一张或者多张A3+纸张折页后的正中间位置。</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6、具有中文界面的彩色触摸屏，尺寸≥12寸，相关设置简单易用，输入数据机器即可自动调节，生产过程中无需专人操作，自动化程度高，产品质量优异。</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7、设备具备双自动飞达进纸。</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8、具备自动压痕功能。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9、具备自动折页功能。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10、具备成品自动压平功能。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11、设备具有图像识别纠错系统，能够对文件进行文字和图像识别与纠错。</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12、A3+飞达进纸尺寸：≥305×435mm，A4+进纸飞达尺寸：≥305×217mm。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13、▲运行速度：≥1000册/小时（6p）。</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14、飞达具备超声波双张检测功能。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15、A4+插页数量：≥6张。</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16、自维护胶头，避免堵塞与清洗。</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17、喷胶位置调整精度：≤0.1mm。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18、具备成品书堆叠系统，能够指定份数堆叠。</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19、具备计数生产功能。</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20、飞达进纸高度：≥80mm。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21、尺寸转换时间：≤10分钟。</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22、胶罐容量：≥10L。</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23、胶罐采用密封式胶罐。</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24、标配整纸平台。</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25、具备全透明化的封闭操作结构设计，便于安全生产和监控生产。</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26、设备占地面积≤2600mm×1600mm。</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27、配备静音螺杆空压机，能够满足粘页机的用气需求。</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28、空压机功率≥11kw。</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29、空压机排气量≥0.85m</w:t>
      </w:r>
      <w:r>
        <w:rPr>
          <w:rFonts w:hint="eastAsia" w:ascii="仿宋" w:hAnsi="仿宋" w:eastAsia="仿宋" w:cs="仿宋"/>
          <w:kern w:val="2"/>
          <w:sz w:val="32"/>
          <w:szCs w:val="32"/>
          <w:vertAlign w:val="superscript"/>
          <w:lang w:val="en-US" w:eastAsia="zh-CN" w:bidi="ar"/>
        </w:rPr>
        <w:t>3</w:t>
      </w:r>
      <w:r>
        <w:rPr>
          <w:rFonts w:hint="eastAsia" w:ascii="仿宋" w:hAnsi="仿宋" w:eastAsia="仿宋" w:cs="仿宋"/>
          <w:kern w:val="2"/>
          <w:sz w:val="32"/>
          <w:szCs w:val="32"/>
          <w:lang w:val="en-US" w:eastAsia="zh-CN" w:bidi="ar"/>
        </w:rPr>
        <w:t>/min。</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30、空压机压力≥1.0Mpa。</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31、空压机噪音dB（A）：≤67±3。</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32、空压机出气口尺寸：G3/4〞。</w:t>
      </w:r>
    </w:p>
    <w:p>
      <w:pPr>
        <w:pStyle w:val="53"/>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33、配置设备维修工具一套。</w:t>
      </w:r>
    </w:p>
    <w:p>
      <w:pPr>
        <w:keepNext w:val="0"/>
        <w:keepLines w:val="0"/>
        <w:widowControl w:val="0"/>
        <w:suppressLineNumbers w:val="0"/>
        <w:spacing w:before="0" w:beforeAutospacing="0" w:after="0" w:afterAutospacing="0" w:line="360" w:lineRule="auto"/>
        <w:ind w:left="220" w:right="0" w:firstLine="42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34、自合同签订后5年内提供一次设备搬移和调试服务。</w:t>
      </w:r>
    </w:p>
    <w:p>
      <w:pPr>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三、投标要求</w:t>
      </w:r>
    </w:p>
    <w:p>
      <w:pPr>
        <w:keepNext w:val="0"/>
        <w:keepLines w:val="0"/>
        <w:widowControl/>
        <w:suppressLineNumbers w:val="0"/>
        <w:snapToGrid w:val="0"/>
        <w:spacing w:before="0" w:beforeAutospacing="0" w:after="0" w:afterAutospacing="0" w:line="360" w:lineRule="auto"/>
        <w:ind w:left="0" w:right="0" w:firstLine="640" w:firstLineChars="200"/>
        <w:jc w:val="both"/>
        <w:textAlignment w:val="baseline"/>
        <w:rPr>
          <w:rFonts w:hint="eastAsia" w:ascii="仿宋" w:hAnsi="仿宋" w:eastAsia="仿宋" w:cs="仿宋"/>
          <w:sz w:val="32"/>
          <w:szCs w:val="32"/>
          <w:vertAlign w:val="baseline"/>
          <w:lang w:val="en-US"/>
        </w:rPr>
      </w:pPr>
      <w:r>
        <w:rPr>
          <w:rFonts w:hint="eastAsia" w:ascii="仿宋" w:hAnsi="仿宋" w:eastAsia="仿宋" w:cs="仿宋"/>
          <w:kern w:val="2"/>
          <w:sz w:val="32"/>
          <w:szCs w:val="32"/>
          <w:vertAlign w:val="baseline"/>
          <w:lang w:val="en-US" w:eastAsia="zh-CN" w:bidi="ar"/>
        </w:rPr>
        <w:t>1、因工作任务需要，所投产品中的数码单页装订设备在签订正式合同后，中标人应在5个工作日内完成供货。送货到指定地点，并负责安装调试至可正常使用状态。</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2、本项目的所有软、硬件(如线缆、管线、软件、硬件、模块等，包括未列出而系统实施又必需的软件、硬件)需配齐以构成一套完整实用系统，如有任何遗漏，由中标人补齐。</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3、投标方案中的硬件设备如需使用特别接头、插座等，由投标人提供。</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4、投标总价应包括运抵交货地点的运费及安装调试费等（包括设备吊装）。</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5、所投产品需为原厂全新产品，2022年1月后生产的符合国家技术规格和质量标准的出厂合格产品，通过国家有关部门检测合格的原产地产品，未曾开箱使用；设备安装调试完毕后，能在其功能范围内保障用户的系统安全、稳定运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6、投标产品的主要部件、备件、附件和耗材的供应至少保障10年以上。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7、如涉及到场地布局需要进行调整，投标人还需提供相应的设备搬移服务承诺。</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本次招标的供货除包括上述设备外，还应包括随机的辅助设备、专用电线电缆、随机软件、技术资料（包括操作手册、使用指南、维修指南和含维修网点在内的服务手册等）、设备运行所必需的随机消耗材料，相应的技术服务与质量保证。</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9、验收条件：1）开箱验收：清点设备装箱内容符合装箱单所列并符合招标文件要求和承诺书承诺；2）开机验收：设备应通电开机后进行所规定时间的试验运行后方可验收。</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10、应详细列明投标设备的所有技术指标（包括所投设备的品牌、规格型号、详细配置、主要技术参数、随机软件等），明确表示该项指标所涉及的软硬件是标准配置还是选择配置。同时还须包括产品说明书或产品主要技术资料和性能的详细描述，产品制造、安装、验收标准，详细的交货时所配文件清单、主要部件明细表（包括品牌、制造厂名和主要技术参数）等，任何含糊不清的表述对评标结果的影响将是投标人的责任。</w:t>
      </w:r>
    </w:p>
    <w:p>
      <w:pPr>
        <w:keepNext w:val="0"/>
        <w:keepLines w:val="0"/>
        <w:widowControl/>
        <w:suppressLineNumbers w:val="0"/>
        <w:snapToGrid w:val="0"/>
        <w:spacing w:before="0" w:beforeAutospacing="0" w:after="0" w:afterAutospacing="0" w:line="360" w:lineRule="auto"/>
        <w:ind w:left="0" w:right="0"/>
        <w:jc w:val="both"/>
        <w:rPr>
          <w:rFonts w:hint="eastAsia" w:ascii="仿宋" w:hAnsi="仿宋" w:eastAsia="仿宋" w:cs="仿宋"/>
          <w:b/>
          <w:bCs w:val="0"/>
          <w:sz w:val="32"/>
          <w:szCs w:val="32"/>
          <w:lang w:val="en-US"/>
        </w:rPr>
      </w:pPr>
      <w:r>
        <w:rPr>
          <w:rFonts w:hint="eastAsia" w:ascii="仿宋" w:hAnsi="仿宋" w:eastAsia="仿宋" w:cs="仿宋"/>
          <w:b/>
          <w:bCs w:val="0"/>
          <w:kern w:val="2"/>
          <w:sz w:val="28"/>
          <w:szCs w:val="28"/>
          <w:lang w:val="en-US" w:eastAsia="zh-CN" w:bidi="ar"/>
        </w:rPr>
        <w:t xml:space="preserve">   </w:t>
      </w:r>
      <w:r>
        <w:rPr>
          <w:rFonts w:hint="eastAsia" w:ascii="仿宋" w:hAnsi="仿宋" w:eastAsia="仿宋" w:cs="仿宋"/>
          <w:b/>
          <w:bCs w:val="0"/>
          <w:kern w:val="2"/>
          <w:sz w:val="32"/>
          <w:szCs w:val="32"/>
          <w:lang w:val="en-US" w:eastAsia="zh-CN" w:bidi="ar"/>
        </w:rPr>
        <w:t xml:space="preserve">  四、售后服务及其他要求</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1、签订合同后，设备交付前，中标供应商须提供产品质量保证函，不接受非正规渠道货物等产品投标。</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2、质保期1年，自验收合格之日起计。设备安装调试完毕后，为用户提供全面的培训，投标文件中请提供详细培训方案。</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3、提供终身维修。因保密要求，所有进入使用单位的耗材和机器零部件采用“只进不出”的管理方式。</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在设备整个使用期内，投标供应商应确保设备的正常使用，在接到采购人维修要求后应立即作出回应。投标供应商应提供7×24小时的售后服务,在接到采购人故障报修电话后，须在8小时内赶到现场处置。在保修期内，不管设备是否出现故障，中标人每个月对设备使用情况电话回访一次，或上门对设备进行免费保养维护。</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5、签订保密协议。如有需要对设备进行的保密检测，中标人必须积极配合采购人完成对设备进行的保密检测工作。 </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6、投标供应商针对本项目需指定专人负责维修（人员应相对固定，并与采购人签订保密协议，如有变动，需提前备案）。</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7、为保证服务质量，标书中投标方需提供投标产品生产厂家或者中国总代理对本项目的售后服务承诺函原件（售后服务自设备验收合格之日起，至少10年）。</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8、标书中须提供所投产品的合法来源渠道证明文件（包括但不限于销售协议、代理协议等）。</w:t>
      </w:r>
    </w:p>
    <w:p>
      <w:pPr>
        <w:pStyle w:val="53"/>
        <w:keepNext w:val="0"/>
        <w:keepLines w:val="0"/>
        <w:widowControl/>
        <w:suppressLineNumbers w:val="0"/>
        <w:snapToGrid w:val="0"/>
        <w:spacing w:before="0" w:beforeAutospacing="0" w:after="0" w:afterAutospacing="0" w:line="360" w:lineRule="auto"/>
        <w:ind w:left="0" w:right="0" w:firstLine="643" w:firstLineChars="200"/>
        <w:jc w:val="both"/>
        <w:rPr>
          <w:rFonts w:hint="eastAsia" w:ascii="仿宋" w:hAnsi="仿宋" w:eastAsia="仿宋" w:cs="仿宋"/>
          <w:b/>
          <w:bCs w:val="0"/>
          <w:sz w:val="32"/>
          <w:szCs w:val="32"/>
          <w:lang w:val="en-US"/>
        </w:rPr>
      </w:pPr>
      <w:r>
        <w:rPr>
          <w:rFonts w:hint="eastAsia" w:ascii="仿宋" w:hAnsi="仿宋" w:eastAsia="仿宋" w:cs="仿宋"/>
          <w:b/>
          <w:bCs w:val="0"/>
          <w:kern w:val="2"/>
          <w:sz w:val="32"/>
          <w:szCs w:val="32"/>
          <w:lang w:val="en-US" w:eastAsia="zh-CN" w:bidi="ar"/>
        </w:rPr>
        <w:t>五、投标说明</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1、如投标产品标的物的实际性能与投标文件中的技术响应不符，采购方有权拒绝签定合同。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2、验收要求：设备到货安装调试完成后，需经国家安全、保密部门保密检测合格，方能出具验收合格报告。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3、项目的工作内容及成果</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文档的提交应覆盖以下内容，电子文档是成果不可分割的部分。要求提交如下文档：</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 项目实施前：需求分析报告；设计方案、设计说明书；项目实施计划；</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 项目实施期间：项目实施工作单、故障诊断及排除记录、项目实施过程中衍生的其它相关资料；</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 项目实施后：试运行和自测报告、故障诊断与排除手册、工作总结报告；</w:t>
      </w:r>
    </w:p>
    <w:p>
      <w:pPr>
        <w:pStyle w:val="53"/>
        <w:keepNext w:val="0"/>
        <w:keepLines w:val="0"/>
        <w:widowControl/>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4） 培训期间：培训计划、用户使用手册、管理员使用手册；</w:t>
      </w:r>
    </w:p>
    <w:p>
      <w:pPr>
        <w:pStyle w:val="53"/>
        <w:keepNext w:val="0"/>
        <w:keepLines w:val="0"/>
        <w:widowControl/>
        <w:suppressLineNumbers w:val="0"/>
        <w:snapToGrid w:val="0"/>
        <w:spacing w:before="0" w:beforeAutospacing="0" w:after="0" w:afterAutospacing="0" w:line="360" w:lineRule="auto"/>
        <w:ind w:left="0" w:right="0" w:firstLine="640" w:firstLineChars="200"/>
        <w:jc w:val="both"/>
      </w:pPr>
      <w:r>
        <w:rPr>
          <w:rFonts w:hint="eastAsia" w:ascii="仿宋" w:hAnsi="仿宋" w:eastAsia="仿宋" w:cs="仿宋"/>
          <w:kern w:val="2"/>
          <w:sz w:val="32"/>
          <w:szCs w:val="32"/>
          <w:lang w:val="en-US" w:eastAsia="zh-CN" w:bidi="ar"/>
        </w:rPr>
        <w:t>5） 其他需要提交的材料。</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商务要求表</w:t>
      </w:r>
    </w:p>
    <w:tbl>
      <w:tblPr>
        <w:tblStyle w:val="59"/>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75"/>
        <w:gridCol w:w="1306"/>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▲项目工期（交货期）及地点</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Times New Roman"/>
                <w:kern w:val="2"/>
                <w:sz w:val="28"/>
                <w:szCs w:val="28"/>
                <w:lang w:val="en-US" w:eastAsia="zh-CN" w:bidi="ar"/>
              </w:rPr>
              <w:t>所投产品中的设备序号1产品在签订正式合同后，中标人应在5个工作日内完成供货。</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交货地点：浙江省杭州市省府路8号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▲付款条件（明确是否需要履约保证金）</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1、合同签订后5个工作日内，乙方向甲方以转账方式（转账/汇票/支票/银行保函/商业保函等非现金形式）缴纳合同价1%的履约保证金。合同履行完毕且验收合格后，履约保证金无息原路退还。</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b/>
                <w:bCs w:val="0"/>
                <w:sz w:val="28"/>
                <w:szCs w:val="28"/>
                <w:lang w:val="en-US"/>
              </w:rPr>
            </w:pPr>
            <w:r>
              <w:rPr>
                <w:rFonts w:hint="eastAsia" w:ascii="宋体" w:hAnsi="宋体" w:eastAsia="宋体" w:cs="Times New Roman"/>
                <w:kern w:val="2"/>
                <w:sz w:val="28"/>
                <w:szCs w:val="28"/>
                <w:lang w:val="en-US" w:eastAsia="zh-CN" w:bidi="ar"/>
              </w:rPr>
              <w:t>2、合同签订后甲方支付合同总价40%的货款，货到现场安装调试验收合格后甲方支付剩余合同总价60%的货款。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198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违约责任及争议解决方式</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售</w:t>
            </w:r>
          </w:p>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后</w:t>
            </w:r>
          </w:p>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服务</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项目维护计划</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340" w:lineRule="exact"/>
              <w:ind w:left="0" w:right="84" w:rightChars="4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1、详细的项目实施方案，实施进度方案的可行性、合理性（1分）。</w:t>
            </w:r>
          </w:p>
          <w:p>
            <w:pPr>
              <w:keepNext w:val="0"/>
              <w:keepLines w:val="0"/>
              <w:widowControl/>
              <w:suppressLineNumbers w:val="0"/>
              <w:snapToGrid w:val="0"/>
              <w:spacing w:before="0" w:beforeAutospacing="0" w:after="0" w:afterAutospacing="0" w:line="340" w:lineRule="exact"/>
              <w:ind w:left="0" w:right="84" w:rightChars="40"/>
              <w:jc w:val="both"/>
              <w:rPr>
                <w:rFonts w:hint="eastAsia" w:ascii="宋体" w:hAnsi="宋体" w:eastAsia="宋体" w:cs="Times New Roman"/>
                <w:sz w:val="28"/>
                <w:szCs w:val="28"/>
                <w:lang w:val="en-US"/>
              </w:rPr>
            </w:pPr>
            <w:r>
              <w:rPr>
                <w:rFonts w:hint="eastAsia" w:ascii="宋体" w:hAnsi="宋体" w:eastAsia="宋体" w:cs="宋体"/>
                <w:kern w:val="2"/>
                <w:sz w:val="28"/>
                <w:szCs w:val="28"/>
                <w:lang w:val="en-US" w:eastAsia="zh-CN" w:bidi="ar"/>
              </w:rPr>
              <w:t>2、项目组人员专业素质、技术能力、专业分布、经验等情况，</w:t>
            </w:r>
            <w:r>
              <w:rPr>
                <w:rFonts w:hint="eastAsia" w:ascii="宋体" w:hAnsi="宋体" w:eastAsia="宋体" w:cs="Times New Roman"/>
                <w:kern w:val="2"/>
                <w:sz w:val="28"/>
                <w:szCs w:val="28"/>
                <w:lang w:val="en-US" w:eastAsia="zh-CN" w:bidi="ar"/>
              </w:rPr>
              <w:t>数量是否充足，配置是否合理等（1分）。</w:t>
            </w:r>
          </w:p>
          <w:p>
            <w:pPr>
              <w:keepNext w:val="0"/>
              <w:keepLines w:val="0"/>
              <w:widowControl/>
              <w:suppressLineNumbers w:val="0"/>
              <w:snapToGrid w:val="0"/>
              <w:spacing w:before="0" w:beforeAutospacing="0" w:after="0" w:afterAutospacing="0" w:line="340" w:lineRule="exact"/>
              <w:ind w:left="0" w:right="84" w:rightChars="4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3、项目组人员是否具有类似项目安装/维保经验，项目组人员资质、工作履历，提供相应证书及证明（1分）。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Times New Roman"/>
                <w:kern w:val="2"/>
                <w:sz w:val="28"/>
                <w:szCs w:val="28"/>
                <w:lang w:val="en-US" w:eastAsia="zh-CN" w:bidi="ar"/>
              </w:rPr>
              <w:t>4、投标供应商对所投产品的部分常用耗材和易损零配件在公司内应有备品备件，提供公司近两年相关设备购买耗材和零配件记录等证明材料（2分）。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响应情况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1、投标供应商</w:t>
            </w:r>
            <w:r>
              <w:rPr>
                <w:rFonts w:hint="eastAsia" w:ascii="宋体" w:hAnsi="宋体" w:eastAsia="宋体" w:cs="宋体"/>
                <w:kern w:val="2"/>
                <w:sz w:val="28"/>
                <w:szCs w:val="28"/>
                <w:lang w:val="en-US" w:eastAsia="zh-CN" w:bidi="ar"/>
              </w:rPr>
              <w:t>提供设备终身维修。因保密要求，所有进入使用单位的耗材和机器零部件采用“只进不出”的管理方式</w:t>
            </w:r>
            <w:r>
              <w:rPr>
                <w:rFonts w:hint="eastAsia" w:ascii="宋体" w:hAnsi="宋体" w:eastAsia="宋体" w:cs="Times New Roman"/>
                <w:kern w:val="2"/>
                <w:sz w:val="28"/>
                <w:szCs w:val="28"/>
                <w:lang w:val="en-US" w:eastAsia="zh-CN" w:bidi="ar"/>
              </w:rPr>
              <w:t>（1分）。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宋体"/>
                <w:kern w:val="2"/>
                <w:sz w:val="28"/>
                <w:szCs w:val="28"/>
                <w:lang w:val="en-US" w:eastAsia="zh-CN" w:bidi="ar"/>
              </w:rPr>
              <w:t>2、在设备整个使用期内，投标供应商应确保设备的正常使用，在接到采购人维修要求后应立即作出回应。投标供应商应提供7×24小时的售后服务,在接到采购人故障报修电话后，须在8小时内赶到现场处置。在保修期内，不管设备是否出现故障，中标人每个月对设备使用情况电话回访一次，或上门对设备进行免费保养维护。所有耗材及维修时更换的零部件应确保是原厂正品</w:t>
            </w:r>
            <w:r>
              <w:rPr>
                <w:rFonts w:hint="eastAsia" w:ascii="宋体" w:hAnsi="宋体" w:eastAsia="宋体" w:cs="Times New Roman"/>
                <w:kern w:val="2"/>
                <w:sz w:val="28"/>
                <w:szCs w:val="28"/>
                <w:lang w:val="en-US" w:eastAsia="zh-CN" w:bidi="ar"/>
              </w:rPr>
              <w:t>（1分）。</w:t>
            </w:r>
          </w:p>
          <w:p>
            <w:pPr>
              <w:pStyle w:val="53"/>
              <w:keepNext w:val="0"/>
              <w:keepLines w:val="0"/>
              <w:widowControl w:val="0"/>
              <w:suppressLineNumbers w:val="0"/>
              <w:spacing w:before="0" w:beforeAutospacing="0" w:after="0" w:afterAutospacing="0" w:line="34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3、标书中须提供所投产品的合法来源渠道证明文件（包括但不限于销售协议、代理协议等）（3分）。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技术培训</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Times New Roman"/>
                <w:kern w:val="2"/>
                <w:sz w:val="28"/>
                <w:szCs w:val="28"/>
                <w:lang w:val="en-US" w:eastAsia="zh-CN" w:bidi="ar"/>
              </w:rPr>
              <w:t>1、为保证服务质量，售后技术人员需经过生产厂家专业技术培训，并提供培训证书，每提供一个加1分，最高为2分（2分）。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Times New Roman"/>
                <w:sz w:val="28"/>
                <w:szCs w:val="28"/>
                <w:lang w:val="en-US"/>
              </w:rPr>
            </w:pPr>
            <w:r>
              <w:rPr>
                <w:rFonts w:hint="eastAsia" w:ascii="宋体" w:hAnsi="宋体" w:eastAsia="宋体" w:cs="Times New Roman"/>
                <w:kern w:val="2"/>
                <w:sz w:val="28"/>
                <w:szCs w:val="28"/>
                <w:lang w:val="en-US" w:eastAsia="zh-CN" w:bidi="ar"/>
              </w:rPr>
              <w:t>2、标书中售后服务方需提供甲方项目投标产品生产厂家或者中国总代理对本项目的售后服务承诺函原件（售后服务自设备验收合格之日起，至少10年）（2分）。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sz w:val="28"/>
                <w:szCs w:val="28"/>
                <w:lang w:val="en-US"/>
              </w:rPr>
            </w:pPr>
            <w:r>
              <w:rPr>
                <w:rFonts w:hint="eastAsia" w:ascii="宋体" w:hAnsi="宋体" w:eastAsia="宋体" w:cs="Times New Roman"/>
                <w:kern w:val="2"/>
                <w:sz w:val="28"/>
                <w:szCs w:val="28"/>
                <w:lang w:val="en-US" w:eastAsia="zh-CN" w:bidi="ar"/>
              </w:rPr>
              <w:t>3、设备安装完毕后，为用户提供全面的培训，根据提供的详细技术培训计划方案打分。（1分）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履约能力</w:t>
            </w: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投标人技术力量情况</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Times New Roman"/>
                <w:kern w:val="2"/>
                <w:sz w:val="28"/>
                <w:szCs w:val="28"/>
                <w:lang w:val="en-US" w:eastAsia="zh-CN" w:bidi="ar"/>
              </w:rPr>
              <w:t>投标供应商或设备厂商维修工程师应在4人以上，并提供在该公司（或设备总代理商）近三个月的社保缴纳证明材料（5分）。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1" w:hRule="atLeast"/>
        </w:trPr>
        <w:tc>
          <w:tcPr>
            <w:tcW w:w="6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3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b/>
                <w:bCs w:val="0"/>
                <w:sz w:val="28"/>
                <w:szCs w:val="28"/>
                <w:lang w:val="en-US"/>
              </w:rPr>
            </w:pPr>
            <w:r>
              <w:rPr>
                <w:rFonts w:hint="eastAsia" w:ascii="宋体" w:hAnsi="宋体" w:eastAsia="宋体" w:cs="仿宋_GB2312"/>
                <w:b/>
                <w:bCs w:val="0"/>
                <w:kern w:val="2"/>
                <w:sz w:val="28"/>
                <w:szCs w:val="28"/>
                <w:lang w:val="en-US" w:eastAsia="zh-CN" w:bidi="ar"/>
              </w:rPr>
              <w:t>经验或业绩要求</w:t>
            </w:r>
          </w:p>
        </w:tc>
        <w:tc>
          <w:tcPr>
            <w:tcW w:w="67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40" w:lineRule="exact"/>
              <w:ind w:left="0" w:right="0"/>
              <w:jc w:val="both"/>
              <w:rPr>
                <w:rFonts w:hint="eastAsia" w:ascii="宋体" w:hAnsi="宋体" w:eastAsia="宋体" w:cs="仿宋_GB2312"/>
                <w:sz w:val="28"/>
                <w:szCs w:val="28"/>
                <w:lang w:val="en-US"/>
              </w:rPr>
            </w:pPr>
            <w:r>
              <w:rPr>
                <w:rFonts w:hint="eastAsia" w:ascii="宋体" w:hAnsi="宋体" w:eastAsia="宋体" w:cs="Times New Roman"/>
                <w:kern w:val="2"/>
                <w:sz w:val="28"/>
                <w:szCs w:val="28"/>
                <w:lang w:val="en-US" w:eastAsia="zh-CN" w:bidi="ar"/>
              </w:rPr>
              <w:t>提供自2021年1月1日以来同类型政府采购业绩合同的，每提供一个得1分，最高得3分（以合同签订时间为准，提供采购合同或发票加盖公章）。</w:t>
            </w:r>
          </w:p>
        </w:tc>
      </w:tr>
    </w:tbl>
    <w:p>
      <w:pPr>
        <w:pStyle w:val="53"/>
        <w:keepNext w:val="0"/>
        <w:keepLines w:val="0"/>
        <w:widowControl w:val="0"/>
        <w:suppressLineNumbers w:val="0"/>
        <w:spacing w:before="120" w:beforeLines="50" w:beforeAutospacing="0" w:after="0" w:afterAutospacing="0" w:line="360" w:lineRule="auto"/>
        <w:ind w:left="0" w:right="0"/>
        <w:jc w:val="left"/>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int="eastAsia" w:ascii="仿宋" w:hAnsi="仿宋" w:eastAsia="仿宋" w:cs="仿宋"/>
          <w:b/>
          <w:spacing w:val="30"/>
          <w:sz w:val="28"/>
          <w:szCs w:val="28"/>
          <w:lang w:val="en-US"/>
        </w:rPr>
      </w:pP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outlineLvl w:val="1"/>
        <w:rPr>
          <w:rFonts w:hint="eastAsia" w:ascii="仿宋" w:hAnsi="仿宋" w:eastAsia="仿宋" w:cs="仿宋"/>
          <w:b/>
          <w:spacing w:val="30"/>
          <w:sz w:val="28"/>
          <w:szCs w:val="28"/>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keepNext w:val="0"/>
        <w:keepLines w:val="0"/>
        <w:widowControl w:val="0"/>
        <w:suppressLineNumbers w:val="0"/>
        <w:spacing w:before="0" w:beforeAutospacing="0" w:after="240" w:afterLines="100" w:afterAutospacing="0" w:line="340" w:lineRule="exact"/>
        <w:ind w:left="0" w:right="0"/>
        <w:jc w:val="both"/>
        <w:rPr>
          <w:rFonts w:hAnsi="宋体"/>
          <w:b/>
          <w:sz w:val="36"/>
          <w:szCs w:val="36"/>
          <w:lang w:val="en-US"/>
        </w:rPr>
      </w:pPr>
      <w:r>
        <w:rPr>
          <w:rFonts w:hint="default" w:ascii="Calibri" w:hAnsi="宋体" w:eastAsia="宋体" w:cs="Times New Roman"/>
          <w:b/>
          <w:kern w:val="2"/>
          <w:sz w:val="36"/>
          <w:szCs w:val="36"/>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宋体" w:hAnsi="宋体" w:eastAsia="宋体" w:cs="Times New Roman"/>
          <w:b/>
          <w:kern w:val="2"/>
          <w:sz w:val="36"/>
          <w:szCs w:val="36"/>
          <w:lang w:val="en-US" w:eastAsia="zh-CN" w:bidi="ar"/>
        </w:rPr>
        <w:t>第五章  浙江省政府采购合同主要条款指引</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甲方</w:t>
      </w:r>
      <w:r>
        <w:rPr>
          <w:rFonts w:hint="eastAsia" w:ascii="仿宋" w:hAnsi="仿宋" w:eastAsia="仿宋" w:cs="仿宋"/>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sz w:val="30"/>
          <w:szCs w:val="30"/>
          <w:lang w:val="en-US"/>
        </w:rPr>
      </w:pPr>
      <w:r>
        <w:rPr>
          <w:rFonts w:hint="eastAsia" w:ascii="仿宋" w:hAnsi="仿宋" w:eastAsia="仿宋" w:cs="仿宋"/>
          <w:b/>
          <w:kern w:val="2"/>
          <w:sz w:val="30"/>
          <w:szCs w:val="30"/>
          <w:lang w:val="en-US" w:eastAsia="zh-CN" w:bidi="ar"/>
        </w:rPr>
        <w:t>乙方</w:t>
      </w:r>
      <w:r>
        <w:rPr>
          <w:rFonts w:hint="eastAsia" w:ascii="仿宋" w:hAnsi="仿宋" w:eastAsia="仿宋" w:cs="仿宋"/>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金额单位：元 </w:t>
      </w:r>
    </w:p>
    <w:tbl>
      <w:tblPr>
        <w:tblStyle w:val="59"/>
        <w:tblW w:w="913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1"/>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项目名称</w:t>
            </w:r>
          </w:p>
        </w:tc>
        <w:tc>
          <w:tcPr>
            <w:tcW w:w="3241"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32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57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1"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3"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0" w:afterAutospacing="0" w:line="460" w:lineRule="exact"/>
        <w:ind w:left="-178" w:leftChars="-85"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sz w:val="30"/>
          <w:szCs w:val="30"/>
          <w:u w:val="single"/>
          <w:lang w:val="en-US"/>
        </w:rPr>
      </w:pPr>
      <w:r>
        <w:rPr>
          <w:rFonts w:hint="eastAsia" w:ascii="仿宋" w:hAnsi="仿宋" w:eastAsia="仿宋" w:cs="仿宋"/>
          <w:b/>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u w:val="single"/>
          <w:lang w:val="en-US"/>
        </w:rPr>
      </w:pPr>
      <w:r>
        <w:rPr>
          <w:rFonts w:hint="eastAsia" w:ascii="仿宋" w:hAnsi="仿宋" w:eastAsia="仿宋" w:cs="仿宋"/>
          <w:kern w:val="0"/>
          <w:sz w:val="30"/>
          <w:szCs w:val="30"/>
          <w:lang w:val="en-US" w:eastAsia="zh-CN" w:bidi="ar"/>
        </w:rPr>
        <w:t>允许分包部分</w:t>
      </w:r>
      <w:r>
        <w:rPr>
          <w:rFonts w:hint="eastAsia" w:ascii="仿宋" w:hAnsi="仿宋" w:eastAsia="仿宋" w:cs="仿宋"/>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八、货款支付</w:t>
      </w:r>
    </w:p>
    <w:p>
      <w:pPr>
        <w:keepNext w:val="0"/>
        <w:keepLines w:val="0"/>
        <w:widowControl w:val="0"/>
        <w:suppressLineNumbers w:val="0"/>
        <w:snapToGrid w:val="0"/>
        <w:spacing w:before="0" w:beforeAutospacing="0" w:after="0" w:afterAutospacing="0" w:line="34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付款方式：</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1、合同签订后5个工作日内，乙方向甲方以转账方式（转账/汇票/支票/银行保函/商业保函等非现金形式）缴纳合同价1%的履约保证金。合同履行完毕且验收合格后，履约保证金无息原路退还。</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2、合同签订后甲方支付合同总价40%的货款，货到现场安装调试验收合格后甲方支付剩余合同总价60%的货款。</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kern w:val="0"/>
          <w:sz w:val="30"/>
          <w:szCs w:val="30"/>
          <w:lang w:val="en-US"/>
        </w:rPr>
      </w:pPr>
      <w:r>
        <w:rPr>
          <w:rFonts w:hint="eastAsia" w:ascii="仿宋" w:hAnsi="仿宋" w:eastAsia="仿宋" w:cs="仿宋"/>
          <w:b/>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kern w:val="0"/>
          <w:sz w:val="30"/>
          <w:szCs w:val="30"/>
          <w:lang w:val="en-US"/>
        </w:rPr>
      </w:pPr>
      <w:r>
        <w:rPr>
          <w:rFonts w:hint="eastAsia" w:ascii="仿宋" w:hAnsi="仿宋" w:eastAsia="仿宋" w:cs="仿宋"/>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kern w:val="0"/>
          <w:sz w:val="30"/>
          <w:szCs w:val="30"/>
          <w:lang w:val="en-US"/>
        </w:rPr>
      </w:pPr>
      <w:r>
        <w:rPr>
          <w:rFonts w:hint="eastAsia" w:ascii="仿宋" w:hAnsi="仿宋" w:eastAsia="仿宋" w:cs="仿宋"/>
          <w:b/>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2.</w:t>
      </w:r>
      <w:r>
        <w:rPr>
          <w:rFonts w:hint="eastAsia" w:ascii="仿宋" w:hAnsi="仿宋" w:eastAsia="仿宋" w:cs="仿宋"/>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sz w:val="30"/>
          <w:szCs w:val="30"/>
          <w:lang w:val="en-US"/>
        </w:rPr>
      </w:pPr>
      <w:r>
        <w:rPr>
          <w:rFonts w:hint="eastAsia" w:ascii="仿宋" w:hAnsi="仿宋" w:eastAsia="仿宋" w:cs="仿宋"/>
          <w:b/>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0" w:afterAutospacing="0" w:line="460" w:lineRule="exact"/>
        <w:ind w:left="2" w:leftChars="1"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sz w:val="36"/>
          <w:szCs w:val="36"/>
          <w:lang w:val="en-US"/>
        </w:rPr>
      </w:pPr>
      <w:r>
        <w:rPr>
          <w:rFonts w:hint="eastAsia" w:ascii="仿宋_GB2312" w:hAnsi="Courier New" w:eastAsia="仿宋_GB2312" w:cs="Times New Roman"/>
          <w:kern w:val="0"/>
          <w:sz w:val="30"/>
          <w:szCs w:val="30"/>
          <w:lang w:val="en-US" w:eastAsia="zh-CN" w:bidi="ar"/>
        </w:rPr>
        <w:br w:type="page"/>
      </w:r>
      <w:bookmarkStart w:id="35" w:name="_Toc496796640"/>
      <w:bookmarkEnd w:id="35"/>
      <w:r>
        <w:rPr>
          <w:rFonts w:hint="eastAsia" w:ascii="宋体" w:hAnsi="宋体" w:eastAsia="宋体" w:cs="Times New Roman"/>
          <w:b/>
          <w:kern w:val="2"/>
          <w:sz w:val="36"/>
          <w:szCs w:val="36"/>
          <w:lang w:val="en-US" w:eastAsia="zh-CN" w:bidi="ar"/>
        </w:rPr>
        <w:t>第六章  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sz w:val="36"/>
          <w:szCs w:val="36"/>
          <w:lang w:val="en-US"/>
        </w:rPr>
      </w:pPr>
      <w:r>
        <w:rPr>
          <w:rFonts w:hint="eastAsia" w:ascii="宋体" w:hAnsi="宋体" w:eastAsia="仿宋_GB2312" w:cs="Times New Roman"/>
          <w:b/>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ind w:left="0" w:right="150"/>
        <w:jc w:val="righ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bookmarkStart w:id="36" w:name="PO_1000000445_PM002_2"/>
      <w:bookmarkEnd w:id="36"/>
      <w:r>
        <w:rPr>
          <w:rFonts w:hint="eastAsia" w:ascii="仿宋" w:hAnsi="仿宋" w:eastAsia="仿宋" w:cs="仿宋"/>
          <w:b/>
          <w:color w:val="000000"/>
          <w:spacing w:val="40"/>
          <w:kern w:val="2"/>
          <w:sz w:val="52"/>
          <w:szCs w:val="52"/>
          <w:lang w:val="en-US" w:eastAsia="zh-CN" w:bidi="ar"/>
        </w:rPr>
        <w:t>浙江省委办公厅综合服务中心设备系统改造项目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37" w:name="PO_15528_PM001_2"/>
      <w:bookmarkEnd w:id="37"/>
      <w:r>
        <w:rPr>
          <w:rFonts w:hint="eastAsia" w:ascii="仿宋" w:hAnsi="仿宋" w:eastAsia="仿宋" w:cs="仿宋"/>
          <w:kern w:val="2"/>
          <w:sz w:val="36"/>
          <w:szCs w:val="36"/>
          <w:lang w:val="en-US" w:eastAsia="zh-CN" w:bidi="ar"/>
        </w:rPr>
        <w:t>ZZCG2022F-GK-168（标项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质</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r>
        <w:rPr>
          <w:rFonts w:hint="eastAsia" w:ascii="仿宋" w:hAnsi="仿宋" w:eastAsia="仿宋" w:cs="仿宋"/>
          <w:b/>
          <w:kern w:val="2"/>
          <w:sz w:val="36"/>
          <w:szCs w:val="36"/>
          <w:lang w:val="en-US" w:eastAsia="zh-CN" w:bidi="ar"/>
        </w:rPr>
        <w:t>1、资质文件目录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（1）投标声明书 (格式见附件2，含重大违法记录声明)；</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（2）法定代表人授权委托书(格式见附件3)；</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（4）联合投标协议书（若需要，格式见附件4）;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（5）联合投标授权委托书（若需要，格式见附件5）;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（6）分包意向协议（若需要，格式见附件6）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1" w:after="0" w:afterAutospacing="1"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系中华人民共和国合法企业，经营地址</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的法定代表人，我方愿意参加贵方组织的</w:t>
      </w:r>
      <w:r>
        <w:rPr>
          <w:rFonts w:hint="eastAsia" w:ascii="仿宋" w:hAnsi="仿宋" w:eastAsia="仿宋" w:cs="仿宋"/>
          <w:kern w:val="2"/>
          <w:sz w:val="30"/>
          <w:szCs w:val="30"/>
          <w:u w:val="single"/>
          <w:lang w:val="en-US" w:eastAsia="zh-CN" w:bidi="ar"/>
        </w:rPr>
        <w:t>（招标项目名称）（编号为</w:t>
      </w:r>
      <w:bookmarkStart w:id="38" w:name="PO_15528_PM001_3"/>
      <w:bookmarkEnd w:id="38"/>
      <w:r>
        <w:rPr>
          <w:rFonts w:hint="eastAsia" w:ascii="仿宋" w:hAnsi="仿宋" w:eastAsia="仿宋" w:cs="仿宋"/>
          <w:kern w:val="2"/>
          <w:sz w:val="30"/>
          <w:szCs w:val="30"/>
          <w:u w:val="single"/>
          <w:lang w:val="en-US" w:eastAsia="zh-CN" w:bidi="ar"/>
        </w:rPr>
        <w:t>ZZCG2022F-GK-168）</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1.我方已详细审查全部招标文件，同意招标文件的各项要求，包括疫情期间采取的各项应急开标措施。</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6.我方承诺已经具备参与政府采购活动的资格条件并且没有税收缴纳、社会保障等方面的失信记录。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为授权代表，以我方的名义参加项目编号：</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项目名称：</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传真：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职务：</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line="360" w:lineRule="auto"/>
        <w:ind w:left="0" w:right="0" w:firstLine="762" w:firstLineChars="20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 组织实施的编号为号的招标活动联合进行投标之事宜，达成如下协议：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为主办人进行投标，并按照招标文件的规定分别提交资格文件。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602" w:firstLineChars="20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与签订的《联合投标协议书》的内容，主办人的法定代表人现授权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为联合投标代理人，代理人在投标、开标、评标、合同谈判过程中所签署的一切文件和处理与这有关的一切事务， 联合投标各方均予以认可并遵守。</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特此委托。</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授权人（签名）：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420" w:leftChars="200" w:right="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567" w:firstLineChars="189"/>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1" w:after="120" w:afterAutospacing="0" w:line="400" w:lineRule="exact"/>
        <w:ind w:left="420" w:leftChars="200" w:right="0" w:firstLine="420" w:firstLineChars="200"/>
        <w:jc w:val="both"/>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附件7</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39" w:name="PO_1000000445_PM002"/>
      <w:bookmarkEnd w:id="39"/>
      <w:r>
        <w:rPr>
          <w:rFonts w:hint="eastAsia" w:ascii="仿宋" w:hAnsi="仿宋" w:eastAsia="仿宋" w:cs="仿宋"/>
          <w:b/>
          <w:color w:val="000000"/>
          <w:spacing w:val="40"/>
          <w:kern w:val="2"/>
          <w:sz w:val="52"/>
          <w:szCs w:val="52"/>
          <w:lang w:val="en-US" w:eastAsia="zh-CN" w:bidi="ar"/>
        </w:rPr>
        <w:t>浙江省委办公厅综合服务中心设备系统改造项目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0" w:name="PO_15528_PM001_4"/>
      <w:bookmarkEnd w:id="40"/>
      <w:r>
        <w:rPr>
          <w:rFonts w:hint="eastAsia" w:ascii="仿宋" w:hAnsi="仿宋" w:eastAsia="仿宋" w:cs="仿宋"/>
          <w:kern w:val="2"/>
          <w:sz w:val="36"/>
          <w:szCs w:val="36"/>
          <w:lang w:val="en-US" w:eastAsia="zh-CN" w:bidi="ar"/>
        </w:rPr>
        <w:t>ZZCG2022F-GK-168（标项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sz w:val="36"/>
          <w:szCs w:val="36"/>
          <w:lang w:val="en-US" w:eastAsia="zh-CN" w:bidi="ar"/>
        </w:rPr>
        <w:br w:type="page"/>
      </w:r>
      <w:r>
        <w:rPr>
          <w:rFonts w:hint="eastAsia" w:ascii="仿宋" w:hAnsi="仿宋" w:eastAsia="仿宋" w:cs="仿宋"/>
          <w:kern w:val="2"/>
          <w:sz w:val="36"/>
          <w:szCs w:val="36"/>
          <w:lang w:val="en-US" w:eastAsia="zh-CN" w:bidi="ar"/>
        </w:rPr>
        <w:t>2、</w:t>
      </w:r>
      <w:r>
        <w:rPr>
          <w:rFonts w:hint="eastAsia" w:ascii="仿宋" w:hAnsi="仿宋" w:eastAsia="仿宋" w:cs="仿宋"/>
          <w:b/>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kern w:val="0"/>
          <w:sz w:val="30"/>
          <w:szCs w:val="30"/>
          <w:u w:val="single"/>
          <w:lang w:val="en-US"/>
        </w:rPr>
      </w:pPr>
      <w:r>
        <w:rPr>
          <w:rFonts w:hint="eastAsia" w:ascii="仿宋" w:hAnsi="仿宋" w:eastAsia="仿宋" w:cs="仿宋"/>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3"/>
        <w:gridCol w:w="1679"/>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6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服务类</w:t>
      </w:r>
    </w:p>
    <w:tbl>
      <w:tblPr>
        <w:tblStyle w:val="59"/>
        <w:tblW w:w="9045"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4"/>
        <w:gridCol w:w="2830"/>
        <w:gridCol w:w="2830"/>
        <w:gridCol w:w="283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序号</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服务内容</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服务人员数量</w:t>
            </w: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sz w:val="30"/>
                <w:szCs w:val="30"/>
                <w:lang w:val="en-US"/>
              </w:rPr>
            </w:pPr>
          </w:p>
        </w:tc>
        <w:tc>
          <w:tcPr>
            <w:tcW w:w="283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pacing w:val="20"/>
          <w:sz w:val="30"/>
          <w:szCs w:val="30"/>
          <w:lang w:val="en-US" w:eastAsia="zh-CN" w:bidi="ar"/>
        </w:rPr>
        <w:br w:type="page"/>
      </w:r>
      <w:r>
        <w:rPr>
          <w:rFonts w:hint="eastAsia" w:ascii="仿宋" w:hAnsi="仿宋" w:eastAsia="仿宋" w:cs="仿宋"/>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spacing w:val="40"/>
          <w:kern w:val="0"/>
          <w:sz w:val="36"/>
          <w:szCs w:val="36"/>
          <w:lang w:val="en-US"/>
        </w:rPr>
      </w:pPr>
      <w:r>
        <w:rPr>
          <w:rFonts w:hint="eastAsia" w:ascii="仿宋" w:hAnsi="仿宋" w:eastAsia="仿宋" w:cs="仿宋"/>
          <w:b/>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2"/>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219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197"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kern w:val="0"/>
          <w:sz w:val="30"/>
          <w:szCs w:val="30"/>
          <w:lang w:val="en-US"/>
        </w:rPr>
      </w:pPr>
      <w:r>
        <w:rPr>
          <w:rFonts w:hint="eastAsia" w:ascii="仿宋" w:hAnsi="仿宋" w:eastAsia="仿宋" w:cs="仿宋"/>
          <w:b/>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kern w:val="0"/>
          <w:sz w:val="36"/>
          <w:szCs w:val="36"/>
          <w:lang w:val="en-US"/>
        </w:rPr>
      </w:pPr>
      <w:r>
        <w:rPr>
          <w:rFonts w:hint="eastAsia" w:ascii="仿宋" w:hAnsi="仿宋" w:eastAsia="仿宋" w:cs="仿宋"/>
          <w:b/>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531"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职务</w:t>
            </w:r>
          </w:p>
        </w:tc>
        <w:tc>
          <w:tcPr>
            <w:tcW w:w="166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编号</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参加本单位工作时间</w:t>
            </w:r>
          </w:p>
        </w:tc>
        <w:tc>
          <w:tcPr>
            <w:tcW w:w="18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50" w:afterAutospacing="0" w:line="460" w:lineRule="exact"/>
              <w:ind w:left="5250" w:leftChars="250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p>
        </w:tc>
        <w:tc>
          <w:tcPr>
            <w:tcW w:w="166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c>
          <w:tcPr>
            <w:tcW w:w="18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spacing w:val="20"/>
          <w:sz w:val="30"/>
          <w:szCs w:val="30"/>
          <w:u w:val="single"/>
          <w:lang w:val="en-US"/>
        </w:rPr>
      </w:pPr>
      <w:r>
        <w:rPr>
          <w:rFonts w:hint="eastAsia" w:ascii="仿宋" w:hAnsi="仿宋" w:eastAsia="仿宋" w:cs="仿宋"/>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sz w:val="32"/>
          <w:szCs w:val="32"/>
          <w:lang w:val="en-US"/>
        </w:rPr>
      </w:pPr>
      <w:r>
        <w:rPr>
          <w:rFonts w:hint="eastAsia" w:ascii="仿宋" w:hAnsi="仿宋" w:eastAsia="仿宋" w:cs="仿宋"/>
          <w:b/>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              标项：</w:t>
      </w:r>
    </w:p>
    <w:tbl>
      <w:tblPr>
        <w:tblStyle w:val="59"/>
        <w:tblW w:w="8758"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8"/>
        <w:gridCol w:w="1259"/>
        <w:gridCol w:w="301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w:t>
            </w:r>
          </w:p>
        </w:tc>
        <w:tc>
          <w:tcPr>
            <w:tcW w:w="269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响应</w:t>
            </w:r>
          </w:p>
        </w:tc>
        <w:tc>
          <w:tcPr>
            <w:tcW w:w="3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供货时间（项目工期）及地点</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付款条件</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违约责任及争议解决方式</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项目维护计划</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响应情况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技术培训</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公司技术力量情况</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经验或业绩要求</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w:t>
            </w:r>
          </w:p>
        </w:tc>
        <w:tc>
          <w:tcPr>
            <w:tcW w:w="26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lang w:val="en-US"/>
              </w:rPr>
            </w:pPr>
          </w:p>
        </w:tc>
        <w:tc>
          <w:tcPr>
            <w:tcW w:w="30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授权代表签名：               日期：</w:t>
      </w:r>
    </w:p>
    <w:p>
      <w:pPr>
        <w:rPr>
          <w:rFonts w:hint="eastAsia" w:ascii="仿宋" w:hAnsi="仿宋" w:eastAsia="仿宋" w:cs="Times New Roman"/>
          <w:sz w:val="30"/>
          <w:szCs w:val="30"/>
          <w:lang w:val="en-US" w:eastAsia="zh-CN" w:bidi="ar"/>
        </w:rPr>
        <w:sectPr>
          <w:headerReference r:id="rId3" w:type="default"/>
          <w:footerReference r:id="rId4" w:type="default"/>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p>
    <w:tbl>
      <w:tblPr>
        <w:tblStyle w:val="59"/>
        <w:tblW w:w="1395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6"/>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kern w:val="0"/>
          <w:sz w:val="30"/>
          <w:szCs w:val="30"/>
          <w:lang w:val="en-US"/>
        </w:rPr>
      </w:pPr>
      <w:r>
        <w:rPr>
          <w:rFonts w:hint="eastAsia" w:ascii="仿宋" w:hAnsi="仿宋" w:eastAsia="仿宋" w:cs="仿宋"/>
          <w:kern w:val="2"/>
          <w:sz w:val="30"/>
          <w:szCs w:val="30"/>
          <w:lang w:val="en-US" w:eastAsia="zh-CN" w:bidi="ar"/>
        </w:rPr>
        <w:t>授权代表签名：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时  间：</w:t>
      </w:r>
    </w:p>
    <w:p>
      <w:pPr>
        <w:rPr>
          <w:rFonts w:hint="eastAsia" w:ascii="仿宋" w:hAnsi="仿宋" w:eastAsia="仿宋" w:cs="Times New Roman"/>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附件14</w:t>
      </w: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FF0000"/>
          <w:spacing w:val="40"/>
          <w:sz w:val="52"/>
          <w:szCs w:val="52"/>
          <w:lang w:val="en-US"/>
        </w:rPr>
      </w:pPr>
      <w:bookmarkStart w:id="41" w:name="PO_1000000445_PM002_1"/>
      <w:bookmarkEnd w:id="41"/>
      <w:r>
        <w:rPr>
          <w:rFonts w:hint="eastAsia" w:ascii="仿宋" w:hAnsi="仿宋" w:eastAsia="仿宋" w:cs="仿宋"/>
          <w:b/>
          <w:color w:val="000000"/>
          <w:spacing w:val="40"/>
          <w:kern w:val="2"/>
          <w:sz w:val="52"/>
          <w:szCs w:val="52"/>
          <w:lang w:val="en-US" w:eastAsia="zh-CN" w:bidi="ar"/>
        </w:rPr>
        <w:t>浙江省委办公厅综合服务中心设备系统改造项目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项目编号：</w:t>
      </w:r>
      <w:bookmarkStart w:id="42" w:name="PO_1000000445_PM001"/>
      <w:bookmarkEnd w:id="42"/>
      <w:r>
        <w:rPr>
          <w:rFonts w:hint="eastAsia" w:ascii="仿宋" w:hAnsi="仿宋" w:eastAsia="仿宋" w:cs="仿宋"/>
          <w:b/>
          <w:color w:val="000000"/>
          <w:kern w:val="2"/>
          <w:sz w:val="36"/>
          <w:szCs w:val="36"/>
          <w:lang w:val="en-US" w:eastAsia="zh-CN" w:bidi="ar"/>
        </w:rPr>
        <w:t>ZZCG2022F-GK-168</w:t>
      </w:r>
      <w:r>
        <w:rPr>
          <w:rFonts w:hint="eastAsia" w:ascii="仿宋" w:hAnsi="仿宋" w:eastAsia="仿宋" w:cs="仿宋"/>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spacing w:val="40"/>
          <w:sz w:val="84"/>
          <w:szCs w:val="84"/>
          <w:lang w:val="en-US"/>
        </w:rPr>
      </w:pPr>
      <w:r>
        <w:rPr>
          <w:rFonts w:hint="eastAsia" w:ascii="仿宋" w:hAnsi="仿宋" w:eastAsia="仿宋" w:cs="仿宋"/>
          <w:b/>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sz w:val="36"/>
          <w:szCs w:val="36"/>
          <w:lang w:val="en-US"/>
        </w:rPr>
      </w:pPr>
      <w:r>
        <w:rPr>
          <w:rFonts w:hint="eastAsia" w:ascii="仿宋" w:hAnsi="仿宋" w:eastAsia="仿宋" w:cs="仿宋"/>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0" w:beforeAutospacing="1" w:after="0" w:afterAutospacing="1"/>
        <w:ind w:left="0" w:leftChars="0" w:right="0"/>
        <w:jc w:val="both"/>
        <w:rPr>
          <w:rFonts w:hint="eastAsia" w:ascii="仿宋" w:hAnsi="仿宋" w:eastAsia="仿宋" w:cs="仿宋"/>
          <w:b/>
          <w:sz w:val="36"/>
          <w:szCs w:val="36"/>
          <w:lang w:val="en-US"/>
        </w:rPr>
      </w:pPr>
      <w:r>
        <w:rPr>
          <w:rFonts w:hint="eastAsia" w:ascii="仿宋" w:hAnsi="仿宋" w:eastAsia="仿宋" w:cs="Times New Roman"/>
          <w:kern w:val="0"/>
          <w:sz w:val="36"/>
          <w:szCs w:val="36"/>
          <w:lang w:val="en-US" w:eastAsia="zh-CN" w:bidi="ar"/>
        </w:rPr>
        <w:br w:type="page"/>
      </w:r>
      <w:r>
        <w:rPr>
          <w:rFonts w:hint="eastAsia" w:ascii="仿宋" w:hAnsi="仿宋" w:eastAsia="仿宋" w:cs="仿宋"/>
          <w:kern w:val="2"/>
          <w:sz w:val="36"/>
          <w:szCs w:val="36"/>
          <w:lang w:val="en-US" w:eastAsia="zh-CN" w:bidi="ar"/>
        </w:rPr>
        <w:t>3、</w:t>
      </w:r>
      <w:r>
        <w:rPr>
          <w:rFonts w:hint="eastAsia" w:ascii="仿宋" w:hAnsi="仿宋" w:eastAsia="仿宋" w:cs="仿宋"/>
          <w:b/>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（1）开标一览表（见附件15）；</w:t>
      </w:r>
    </w:p>
    <w:p>
      <w:pPr>
        <w:pStyle w:val="53"/>
        <w:keepNext w:val="0"/>
        <w:keepLines w:val="0"/>
        <w:widowControl w:val="0"/>
        <w:suppressLineNumbers w:val="0"/>
        <w:snapToGrid w:val="0"/>
        <w:spacing w:before="0" w:beforeAutospacing="1" w:after="0" w:afterAutospacing="1" w:line="460" w:lineRule="exact"/>
        <w:ind w:left="0" w:leftChars="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sz w:val="36"/>
          <w:szCs w:val="36"/>
          <w:lang w:val="en-US"/>
        </w:rPr>
      </w:pPr>
      <w:bookmarkStart w:id="43" w:name="_GoBack"/>
      <w:bookmarkEnd w:id="43"/>
      <w:r>
        <w:rPr>
          <w:rFonts w:hint="eastAsia" w:ascii="仿宋" w:hAnsi="仿宋" w:eastAsia="仿宋" w:cs="Times New Roman"/>
          <w:kern w:val="0"/>
          <w:sz w:val="30"/>
          <w:szCs w:val="30"/>
          <w:lang w:val="en-US" w:eastAsia="zh-CN" w:bidi="ar"/>
        </w:rPr>
        <w:br w:type="page"/>
      </w:r>
      <w:r>
        <w:rPr>
          <w:rFonts w:hint="eastAsia" w:ascii="仿宋" w:hAnsi="仿宋" w:eastAsia="仿宋" w:cs="仿宋"/>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1"/>
                <w:szCs w:val="21"/>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4</w:t>
            </w:r>
            <w:r>
              <w:rPr>
                <w:rFonts w:hint="eastAsia" w:ascii="仿宋" w:hAnsi="仿宋" w:eastAsia="仿宋" w:cs="仿宋"/>
                <w:b/>
                <w:kern w:val="2"/>
                <w:sz w:val="24"/>
                <w:szCs w:val="24"/>
                <w:lang w:val="en-US" w:eastAsia="zh-CN" w:bidi="ar"/>
              </w:rPr>
              <w:t>.开标时，招标方在电子交易平台公开投标人的报价信息，投标人对报价信息进行确认。投标人对报价信息不予确认的不影响后续评标过程。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lang w:val="en-US"/>
              </w:rPr>
            </w:pPr>
            <w:r>
              <w:rPr>
                <w:rFonts w:hint="eastAsia" w:ascii="仿宋" w:hAnsi="仿宋" w:eastAsia="仿宋" w:cs="仿宋"/>
                <w:b/>
                <w:kern w:val="2"/>
                <w:sz w:val="21"/>
                <w:szCs w:val="21"/>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13"/>
                <w:szCs w:val="13"/>
                <w:lang w:val="en-US"/>
              </w:rPr>
            </w:pPr>
            <w:r>
              <w:rPr>
                <w:rFonts w:hint="eastAsia" w:ascii="仿宋" w:hAnsi="仿宋" w:eastAsia="仿宋" w:cs="仿宋"/>
                <w:b/>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4.开标时，招标方在电子交易平台公开投标人的报价信息，投标人对报价信息进行确认。投标人对报价信息不予确认的不影响后续评标过程。</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sz w:val="36"/>
          <w:szCs w:val="36"/>
          <w:lang w:val="en-US"/>
        </w:rPr>
      </w:pPr>
      <w:r>
        <w:rPr>
          <w:rFonts w:hint="eastAsia" w:ascii="宋体" w:hAnsi="宋体" w:eastAsia="宋体" w:cs="Times New Roman"/>
          <w:b/>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投标人全称（公章）：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8"/>
          <w:szCs w:val="28"/>
          <w:u w:val="single"/>
          <w:lang w:val="en-US"/>
        </w:rPr>
      </w:pPr>
      <w:r>
        <w:rPr>
          <w:rFonts w:hint="eastAsia" w:ascii="仿宋" w:hAnsi="仿宋" w:eastAsia="仿宋" w:cs="仿宋"/>
          <w:kern w:val="2"/>
          <w:sz w:val="28"/>
          <w:szCs w:val="28"/>
          <w:lang w:val="en-US" w:eastAsia="zh-CN" w:bidi="ar"/>
        </w:rPr>
        <w:t>招标编号及标项：</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sz w:val="24"/>
          <w:szCs w:val="24"/>
          <w:u w:val="single"/>
          <w:lang w:val="en-US"/>
        </w:rPr>
      </w:pPr>
      <w:r>
        <w:rPr>
          <w:rFonts w:hint="eastAsia" w:ascii="仿宋" w:hAnsi="仿宋" w:eastAsia="仿宋" w:cs="仿宋"/>
          <w:b/>
          <w:kern w:val="2"/>
          <w:sz w:val="24"/>
          <w:szCs w:val="24"/>
          <w:u w:val="single"/>
          <w:lang w:val="en-US" w:eastAsia="zh-CN" w:bidi="ar"/>
        </w:rPr>
        <w:t xml:space="preserve"> </w:t>
      </w:r>
    </w:p>
    <w:tbl>
      <w:tblPr>
        <w:tblStyle w:val="59"/>
        <w:tblW w:w="904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宋体" w:hAnsi="宋体" w:eastAsia="宋体" w:cs="宋体"/>
                <w:kern w:val="0"/>
                <w:sz w:val="24"/>
                <w:szCs w:val="24"/>
                <w:lang w:val="en-US" w:eastAsia="zh-CN" w:bidi="ar"/>
              </w:rPr>
              <w:t>工程项目名称</w:t>
            </w:r>
          </w:p>
        </w:tc>
        <w:tc>
          <w:tcPr>
            <w:tcW w:w="997"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施工工期</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7"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Calibri"/>
                <w:kern w:val="2"/>
                <w:sz w:val="21"/>
                <w:szCs w:val="22"/>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7" w:hRule="atLeast"/>
        </w:trPr>
        <w:tc>
          <w:tcPr>
            <w:tcW w:w="1096"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85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1" w:hRule="atLeast"/>
        </w:trPr>
        <w:tc>
          <w:tcPr>
            <w:tcW w:w="904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sz w:val="24"/>
                <w:szCs w:val="24"/>
                <w:lang w:val="en-US"/>
              </w:rPr>
            </w:pPr>
            <w:r>
              <w:rPr>
                <w:rFonts w:hint="eastAsia" w:ascii="仿宋" w:hAnsi="仿宋" w:eastAsia="仿宋" w:cs="仿宋"/>
                <w:b/>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备注</w:t>
            </w:r>
          </w:p>
        </w:tc>
        <w:tc>
          <w:tcPr>
            <w:tcW w:w="8512"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3.报价中不允许出现报价优惠等字样（明细出现“0”元，视同赠送）,投标总价合计金额应与明细报价汇总相等。</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sz w:val="24"/>
                <w:szCs w:val="24"/>
                <w:lang w:val="en-US"/>
              </w:rPr>
            </w:pPr>
            <w:r>
              <w:rPr>
                <w:rFonts w:hint="eastAsia" w:ascii="仿宋" w:hAnsi="仿宋" w:eastAsia="仿宋" w:cs="仿宋"/>
                <w:b/>
                <w:kern w:val="2"/>
                <w:sz w:val="24"/>
                <w:szCs w:val="24"/>
                <w:lang w:val="en-US" w:eastAsia="zh-CN" w:bidi="ar"/>
              </w:rPr>
              <w:t>4.</w:t>
            </w:r>
            <w:r>
              <w:rPr>
                <w:rFonts w:hint="eastAsia" w:ascii="仿宋" w:hAnsi="仿宋" w:eastAsia="仿宋" w:cs="仿宋"/>
                <w:kern w:val="2"/>
                <w:sz w:val="24"/>
                <w:szCs w:val="24"/>
                <w:lang w:val="en-US" w:eastAsia="zh-CN" w:bidi="ar"/>
              </w:rPr>
              <w:t>开标时，现场工作人员当众拆封，并宣布投标人名称、投标总价合计金额。</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授权代表签名：</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kern w:val="0"/>
          <w:sz w:val="18"/>
          <w:szCs w:val="18"/>
          <w:lang w:val="en-US"/>
        </w:rPr>
      </w:pPr>
      <w:r>
        <w:rPr>
          <w:rFonts w:hint="eastAsia" w:ascii="宋体" w:hAnsi="Calibri" w:eastAsia="宋体" w:cs="Arial"/>
          <w:kern w:val="0"/>
          <w:sz w:val="18"/>
          <w:szCs w:val="18"/>
          <w:lang w:val="en-US" w:eastAsia="zh-CN" w:bidi="ar"/>
        </w:rPr>
        <w:t xml:space="preserve"> </w:t>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p>
    <w:p>
      <w:pPr>
        <w:keepNext w:val="0"/>
        <w:keepLines w:val="0"/>
        <w:widowControl w:val="0"/>
        <w:suppressLineNumbers w:val="0"/>
        <w:snapToGrid w:val="0"/>
        <w:spacing w:before="0" w:beforeAutospacing="0" w:after="0" w:afterAutospacing="0" w:line="312" w:lineRule="auto"/>
        <w:ind w:left="0" w:right="0" w:firstLine="753" w:firstLineChars="25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left"/>
        <w:rPr>
          <w:rFonts w:hint="eastAsia" w:ascii="仿宋" w:hAnsi="仿宋" w:eastAsia="仿宋" w:cs="仿宋"/>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1"/>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0" w:beforeAutospacing="0" w:after="0" w:afterAutospacing="0"/>
        <w:ind w:left="0" w:right="0" w:firstLine="480" w:firstLineChars="200"/>
        <w:jc w:val="both"/>
        <w:rPr>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10022FF" w:usb1="C000E47F" w:usb2="00000029" w:usb3="00000000" w:csb0="200001DF" w:csb1="20000000"/>
  </w:font>
  <w:font w:name="方正小标宋_GBK">
    <w:altName w:val="hakuyoxingshu7000"/>
    <w:panose1 w:val="00000000000000000000"/>
    <w:charset w:val="86"/>
    <w:family w:val="auto"/>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hakuyoxingshu7000">
    <w:panose1 w:val="02000600000000000000"/>
    <w:charset w:val="86"/>
    <w:family w:val="auto"/>
    <w:pitch w:val="default"/>
    <w:sig w:usb0="FFFFFFFF" w:usb1="E9FFFFFF" w:usb2="0000003F" w:usb3="00000000" w:csb0="603F00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57</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65F0080"/>
    <w:multiLevelType w:val="multilevel"/>
    <w:tmpl w:val="265F0080"/>
    <w:lvl w:ilvl="0" w:tentative="0">
      <w:start w:val="1"/>
      <w:numFmt w:val="decimal"/>
      <w:lvlText w:val="%1."/>
      <w:lvlJc w:val="left"/>
      <w:pPr>
        <w:ind w:left="960" w:hanging="360"/>
      </w:pPr>
      <w:rPr>
        <w:rFonts w:hint="default" w:ascii="Times New Roman" w:hAnsi="Times New Roman" w:cs="Times New Roman"/>
      </w:rPr>
    </w:lvl>
    <w:lvl w:ilvl="1" w:tentative="0">
      <w:start w:val="1"/>
      <w:numFmt w:val="lowerLetter"/>
      <w:lvlText w:val="%2)"/>
      <w:lvlJc w:val="left"/>
      <w:pPr>
        <w:ind w:left="1440" w:hanging="420"/>
      </w:pPr>
      <w:rPr>
        <w:rFonts w:hint="default" w:ascii="Times New Roman" w:hAnsi="Times New Roman" w:cs="Times New Roman"/>
      </w:rPr>
    </w:lvl>
    <w:lvl w:ilvl="2" w:tentative="0">
      <w:start w:val="1"/>
      <w:numFmt w:val="lowerRoman"/>
      <w:lvlText w:val="%3."/>
      <w:lvlJc w:val="right"/>
      <w:pPr>
        <w:ind w:left="1860" w:hanging="420"/>
      </w:pPr>
      <w:rPr>
        <w:rFonts w:hint="default" w:ascii="Times New Roman" w:hAnsi="Times New Roman" w:cs="Times New Roman"/>
      </w:rPr>
    </w:lvl>
    <w:lvl w:ilvl="3" w:tentative="0">
      <w:start w:val="1"/>
      <w:numFmt w:val="decimal"/>
      <w:lvlText w:val="%4."/>
      <w:lvlJc w:val="left"/>
      <w:pPr>
        <w:ind w:left="2280" w:hanging="420"/>
      </w:pPr>
      <w:rPr>
        <w:rFonts w:hint="default" w:ascii="Times New Roman" w:hAnsi="Times New Roman" w:cs="Times New Roman"/>
      </w:rPr>
    </w:lvl>
    <w:lvl w:ilvl="4" w:tentative="0">
      <w:start w:val="1"/>
      <w:numFmt w:val="lowerLetter"/>
      <w:lvlText w:val="%5)"/>
      <w:lvlJc w:val="left"/>
      <w:pPr>
        <w:ind w:left="2700" w:hanging="420"/>
      </w:pPr>
      <w:rPr>
        <w:rFonts w:hint="default" w:ascii="Times New Roman" w:hAnsi="Times New Roman" w:cs="Times New Roman"/>
      </w:rPr>
    </w:lvl>
    <w:lvl w:ilvl="5" w:tentative="0">
      <w:start w:val="1"/>
      <w:numFmt w:val="lowerRoman"/>
      <w:lvlText w:val="%6."/>
      <w:lvlJc w:val="right"/>
      <w:pPr>
        <w:ind w:left="3120" w:hanging="420"/>
      </w:pPr>
      <w:rPr>
        <w:rFonts w:hint="default" w:ascii="Times New Roman" w:hAnsi="Times New Roman" w:cs="Times New Roman"/>
      </w:rPr>
    </w:lvl>
    <w:lvl w:ilvl="6" w:tentative="0">
      <w:start w:val="1"/>
      <w:numFmt w:val="decimal"/>
      <w:lvlText w:val="%7."/>
      <w:lvlJc w:val="left"/>
      <w:pPr>
        <w:ind w:left="3540" w:hanging="420"/>
      </w:pPr>
      <w:rPr>
        <w:rFonts w:hint="default" w:ascii="Times New Roman" w:hAnsi="Times New Roman" w:cs="Times New Roman"/>
      </w:rPr>
    </w:lvl>
    <w:lvl w:ilvl="7" w:tentative="0">
      <w:start w:val="1"/>
      <w:numFmt w:val="lowerLetter"/>
      <w:lvlText w:val="%8)"/>
      <w:lvlJc w:val="left"/>
      <w:pPr>
        <w:ind w:left="3960" w:hanging="420"/>
      </w:pPr>
      <w:rPr>
        <w:rFonts w:hint="default" w:ascii="Times New Roman" w:hAnsi="Times New Roman" w:cs="Times New Roman"/>
      </w:rPr>
    </w:lvl>
    <w:lvl w:ilvl="8" w:tentative="0">
      <w:start w:val="1"/>
      <w:numFmt w:val="lowerRoman"/>
      <w:lvlText w:val="%9."/>
      <w:lvlJc w:val="right"/>
      <w:pPr>
        <w:ind w:left="4380" w:hanging="420"/>
      </w:pPr>
      <w:rPr>
        <w:rFonts w:hint="default" w:ascii="Times New Roman" w:hAnsi="Times New Roman" w:cs="Times New Roman"/>
      </w:r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361D120"/>
    <w:multiLevelType w:val="multilevel"/>
    <w:tmpl w:val="6361D120"/>
    <w:lvl w:ilvl="0" w:tentative="0">
      <w:start w:val="1"/>
      <w:numFmt w:val="decimal"/>
      <w:lvlText w:val="%1."/>
      <w:lvlJc w:val="left"/>
      <w:pPr>
        <w:tabs>
          <w:tab w:val="left" w:pos="360"/>
        </w:tabs>
        <w:ind w:left="360" w:hanging="360" w:hangingChars="20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7">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8">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8"/>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9"/>
  </w:num>
  <w:num w:numId="16">
    <w:abstractNumId w:val="16"/>
  </w:num>
  <w:num w:numId="17">
    <w:abstractNumId w:val="4"/>
  </w:num>
  <w:num w:numId="18">
    <w:abstractNumId w:val="23"/>
  </w:num>
  <w:num w:numId="19">
    <w:abstractNumId w:val="6"/>
  </w:num>
  <w:num w:numId="20">
    <w:abstractNumId w:val="14"/>
  </w:num>
  <w:num w:numId="21">
    <w:abstractNumId w:val="11"/>
  </w:num>
  <w:num w:numId="22">
    <w:abstractNumId w:val="20"/>
  </w:num>
  <w:num w:numId="23">
    <w:abstractNumId w:val="7"/>
  </w:num>
  <w:num w:numId="24">
    <w:abstractNumId w:val="29"/>
  </w:num>
  <w:num w:numId="25">
    <w:abstractNumId w:val="3"/>
  </w:num>
  <w:num w:numId="26">
    <w:abstractNumId w:val="27"/>
  </w:num>
  <w:num w:numId="27">
    <w:abstractNumId w:val="21"/>
  </w:num>
  <w:num w:numId="28">
    <w:abstractNumId w:val="10"/>
  </w:num>
  <w:num w:numId="29">
    <w:abstractNumId w:val="24"/>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17A"/>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56F9"/>
    <w:rsid w:val="0079512C"/>
    <w:rsid w:val="007B33D8"/>
    <w:rsid w:val="007B39CD"/>
    <w:rsid w:val="008010EC"/>
    <w:rsid w:val="008139C8"/>
    <w:rsid w:val="00831259"/>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122D46C2"/>
    <w:rsid w:val="2C382C45"/>
    <w:rsid w:val="582F0E04"/>
    <w:rsid w:val="68E30BE0"/>
    <w:rsid w:val="770C3DE2"/>
    <w:rsid w:val="7EE13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qFormat="1"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qFormat="1" w:uiPriority="99" w:name="List 2"/>
    <w:lsdException w:qFormat="1"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qFormat="1"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9"/>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29"/>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5"/>
    <w:semiHidden/>
    <w:unhideWhenUsed/>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6"/>
    <w:semiHidden/>
    <w:unhideWhenUsed/>
    <w:qFormat/>
    <w:uiPriority w:val="9"/>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7"/>
    <w:semiHidden/>
    <w:unhideWhenUsed/>
    <w:qFormat/>
    <w:uiPriority w:val="9"/>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8"/>
    <w:semiHidden/>
    <w:unhideWhenUsed/>
    <w:qFormat/>
    <w:uiPriority w:val="9"/>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79"/>
    <w:semiHidden/>
    <w:unhideWhenUsed/>
    <w:qFormat/>
    <w:uiPriority w:val="9"/>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0"/>
    <w:semiHidden/>
    <w:unhideWhenUsed/>
    <w:qFormat/>
    <w:uiPriority w:val="9"/>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uiPriority w:val="1"/>
  </w:style>
  <w:style w:type="table" w:default="1" w:styleId="59">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Normal Indent"/>
    <w:basedOn w:val="1"/>
    <w:link w:val="989"/>
    <w:semiHidden/>
    <w:unhideWhenUsed/>
    <w:uiPriority w:val="99"/>
    <w:pPr>
      <w:ind w:firstLine="420"/>
    </w:pPr>
    <w:rPr>
      <w:szCs w:val="20"/>
    </w:rPr>
  </w:style>
  <w:style w:type="paragraph" w:styleId="12">
    <w:name w:val="List 3"/>
    <w:basedOn w:val="1"/>
    <w:semiHidden/>
    <w:unhideWhenUsed/>
    <w:qFormat/>
    <w:uiPriority w:val="99"/>
    <w:pPr>
      <w:ind w:left="100" w:leftChars="400" w:hanging="200" w:hangingChars="200"/>
    </w:pPr>
    <w:rPr>
      <w:rFonts w:ascii="Times New Roman" w:hAnsi="Times New Roman"/>
      <w:szCs w:val="20"/>
    </w:rPr>
  </w:style>
  <w:style w:type="paragraph" w:styleId="13">
    <w:name w:val="toc 7"/>
    <w:basedOn w:val="1"/>
    <w:next w:val="1"/>
    <w:semiHidden/>
    <w:unhideWhenUsed/>
    <w:qFormat/>
    <w:uiPriority w:val="39"/>
    <w:pPr>
      <w:ind w:left="1260"/>
      <w:jc w:val="left"/>
    </w:pPr>
    <w:rPr>
      <w:rFonts w:ascii="Times New Roman" w:hAnsi="Times New Roman"/>
      <w:sz w:val="18"/>
      <w:szCs w:val="18"/>
    </w:rPr>
  </w:style>
  <w:style w:type="paragraph" w:styleId="14">
    <w:name w:val="List Number 2"/>
    <w:basedOn w:val="1"/>
    <w:semiHidden/>
    <w:unhideWhenUsed/>
    <w:qFormat/>
    <w:uiPriority w:val="99"/>
    <w:pPr>
      <w:tabs>
        <w:tab w:val="left" w:pos="432"/>
        <w:tab w:val="left" w:pos="567"/>
      </w:tabs>
      <w:ind w:left="432" w:hanging="432"/>
    </w:pPr>
    <w:rPr>
      <w:rFonts w:ascii="Times New Roman" w:hAnsi="Times New Roman"/>
      <w:sz w:val="28"/>
      <w:szCs w:val="20"/>
    </w:rPr>
  </w:style>
  <w:style w:type="paragraph" w:styleId="15">
    <w:name w:val="table of authorities"/>
    <w:basedOn w:val="1"/>
    <w:next w:val="1"/>
    <w:semiHidden/>
    <w:unhideWhenUsed/>
    <w:uiPriority w:val="99"/>
    <w:pPr>
      <w:numPr>
        <w:ilvl w:val="0"/>
        <w:numId w:val="1"/>
      </w:numPr>
      <w:ind w:left="200" w:leftChars="200"/>
    </w:pPr>
    <w:rPr>
      <w:rFonts w:ascii="Times New Roman" w:hAnsi="Times New Roman"/>
      <w:sz w:val="18"/>
      <w:szCs w:val="24"/>
    </w:rPr>
  </w:style>
  <w:style w:type="paragraph" w:styleId="16">
    <w:name w:val="List Bullet 4"/>
    <w:basedOn w:val="1"/>
    <w:semiHidden/>
    <w:unhideWhenUsed/>
    <w:uiPriority w:val="99"/>
    <w:pPr>
      <w:numPr>
        <w:ilvl w:val="0"/>
        <w:numId w:val="2"/>
      </w:numPr>
    </w:pPr>
    <w:rPr>
      <w:rFonts w:ascii="Times New Roman" w:hAnsi="Times New Roman"/>
      <w:szCs w:val="24"/>
    </w:rPr>
  </w:style>
  <w:style w:type="paragraph" w:styleId="17">
    <w:name w:val="List Number"/>
    <w:basedOn w:val="1"/>
    <w:semiHidden/>
    <w:unhideWhenUsed/>
    <w:qFormat/>
    <w:uiPriority w:val="99"/>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caption"/>
    <w:basedOn w:val="1"/>
    <w:next w:val="1"/>
    <w:link w:val="107"/>
    <w:semiHidden/>
    <w:unhideWhenUsed/>
    <w:qFormat/>
    <w:uiPriority w:val="35"/>
    <w:pPr>
      <w:spacing w:before="152" w:after="160"/>
    </w:pPr>
    <w:rPr>
      <w:rFonts w:ascii="Arial" w:hAnsi="Arial" w:eastAsia="黑体"/>
      <w:sz w:val="20"/>
      <w:szCs w:val="20"/>
    </w:rPr>
  </w:style>
  <w:style w:type="paragraph" w:styleId="19">
    <w:name w:val="List Bullet"/>
    <w:basedOn w:val="1"/>
    <w:semiHidden/>
    <w:unhideWhenUsed/>
    <w:uiPriority w:val="99"/>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semiHidden/>
    <w:unhideWhenUsed/>
    <w:uiPriority w:val="99"/>
    <w:rPr>
      <w:rFonts w:ascii="宋体"/>
      <w:sz w:val="18"/>
      <w:szCs w:val="18"/>
    </w:rPr>
  </w:style>
  <w:style w:type="paragraph" w:styleId="21">
    <w:name w:val="annotation text"/>
    <w:basedOn w:val="1"/>
    <w:link w:val="993"/>
    <w:semiHidden/>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22">
    <w:name w:val="Salutation"/>
    <w:basedOn w:val="1"/>
    <w:next w:val="1"/>
    <w:link w:val="83"/>
    <w:semiHidden/>
    <w:unhideWhenUsed/>
    <w:uiPriority w:val="99"/>
    <w:rPr>
      <w:rFonts w:ascii="宋体" w:hAnsi="Times New Roman"/>
      <w:b/>
      <w:sz w:val="28"/>
      <w:szCs w:val="20"/>
    </w:rPr>
  </w:style>
  <w:style w:type="paragraph" w:styleId="23">
    <w:name w:val="Body Text 3"/>
    <w:basedOn w:val="1"/>
    <w:link w:val="990"/>
    <w:semiHidden/>
    <w:unhideWhenUsed/>
    <w:uiPriority w:val="99"/>
    <w:pPr>
      <w:snapToGrid w:val="0"/>
      <w:spacing w:before="50" w:after="50"/>
    </w:pPr>
    <w:rPr>
      <w:rFonts w:ascii="Times New Roman" w:hAnsi="宋体" w:eastAsia="仿宋_GB2312"/>
      <w:b/>
      <w:bCs/>
      <w:sz w:val="24"/>
      <w:szCs w:val="20"/>
    </w:rPr>
  </w:style>
  <w:style w:type="paragraph" w:styleId="24">
    <w:name w:val="Body Text"/>
    <w:basedOn w:val="1"/>
    <w:link w:val="85"/>
    <w:semiHidden/>
    <w:unhideWhenUsed/>
    <w:uiPriority w:val="99"/>
    <w:pPr>
      <w:spacing w:after="120"/>
    </w:pPr>
    <w:rPr>
      <w:sz w:val="28"/>
      <w:szCs w:val="24"/>
    </w:rPr>
  </w:style>
  <w:style w:type="paragraph" w:styleId="25">
    <w:name w:val="Body Text Indent"/>
    <w:basedOn w:val="1"/>
    <w:link w:val="987"/>
    <w:semiHidden/>
    <w:unhideWhenUsed/>
    <w:uiPriority w:val="99"/>
    <w:pPr>
      <w:spacing w:line="200" w:lineRule="exact"/>
      <w:ind w:firstLine="301"/>
    </w:pPr>
    <w:rPr>
      <w:rFonts w:ascii="宋体" w:hAnsi="Courier New"/>
      <w:spacing w:val="-4"/>
      <w:sz w:val="18"/>
      <w:szCs w:val="20"/>
    </w:rPr>
  </w:style>
  <w:style w:type="paragraph" w:styleId="26">
    <w:name w:val="List Number 3"/>
    <w:basedOn w:val="1"/>
    <w:semiHidden/>
    <w:unhideWhenUsed/>
    <w:uiPriority w:val="99"/>
    <w:pPr>
      <w:numPr>
        <w:ilvl w:val="0"/>
        <w:numId w:val="3"/>
      </w:numPr>
    </w:pPr>
    <w:rPr>
      <w:rFonts w:ascii="Times New Roman" w:hAnsi="Times New Roman"/>
      <w:szCs w:val="24"/>
    </w:rPr>
  </w:style>
  <w:style w:type="paragraph" w:styleId="27">
    <w:name w:val="List 2"/>
    <w:basedOn w:val="1"/>
    <w:semiHidden/>
    <w:unhideWhenUsed/>
    <w:qFormat/>
    <w:uiPriority w:val="99"/>
    <w:pPr>
      <w:ind w:left="100" w:leftChars="200" w:hanging="200" w:hangingChars="200"/>
    </w:pPr>
    <w:rPr>
      <w:rFonts w:ascii="Times New Roman" w:hAnsi="Times New Roman"/>
      <w:sz w:val="28"/>
      <w:szCs w:val="24"/>
    </w:rPr>
  </w:style>
  <w:style w:type="paragraph" w:styleId="28">
    <w:name w:val="List Bullet 2"/>
    <w:basedOn w:val="1"/>
    <w:semiHidden/>
    <w:unhideWhenUsed/>
    <w:uiPriority w:val="99"/>
    <w:pPr>
      <w:tabs>
        <w:tab w:val="left" w:pos="780"/>
      </w:tabs>
      <w:ind w:left="780" w:leftChars="200" w:hanging="360" w:hangingChars="200"/>
    </w:pPr>
    <w:rPr>
      <w:rFonts w:ascii="Times New Roman" w:hAnsi="Times New Roman"/>
      <w:szCs w:val="24"/>
    </w:rPr>
  </w:style>
  <w:style w:type="paragraph" w:styleId="29">
    <w:name w:val="toc 5"/>
    <w:basedOn w:val="1"/>
    <w:next w:val="1"/>
    <w:semiHidden/>
    <w:unhideWhenUsed/>
    <w:uiPriority w:val="39"/>
    <w:pPr>
      <w:spacing w:afterLines="50"/>
      <w:ind w:left="840"/>
      <w:jc w:val="left"/>
    </w:pPr>
    <w:rPr>
      <w:rFonts w:ascii="Times New Roman" w:hAnsi="Times New Roman"/>
      <w:snapToGrid w:val="0"/>
      <w:kern w:val="0"/>
      <w:sz w:val="18"/>
      <w:szCs w:val="18"/>
    </w:rPr>
  </w:style>
  <w:style w:type="paragraph" w:styleId="30">
    <w:name w:val="toc 3"/>
    <w:basedOn w:val="1"/>
    <w:next w:val="1"/>
    <w:semiHidden/>
    <w:unhideWhenUsed/>
    <w:uiPriority w:val="39"/>
    <w:pPr>
      <w:ind w:left="840" w:leftChars="400"/>
    </w:pPr>
  </w:style>
  <w:style w:type="paragraph" w:styleId="31">
    <w:name w:val="Plain Text"/>
    <w:basedOn w:val="1"/>
    <w:link w:val="981"/>
    <w:semiHidden/>
    <w:unhideWhenUsed/>
    <w:qFormat/>
    <w:uiPriority w:val="0"/>
    <w:pPr>
      <w:spacing w:beforeLines="50" w:afterLines="50" w:line="400" w:lineRule="exact"/>
    </w:pPr>
    <w:rPr>
      <w:rFonts w:ascii="宋体" w:hAnsi="Courier New"/>
      <w:sz w:val="24"/>
      <w:szCs w:val="24"/>
    </w:rPr>
  </w:style>
  <w:style w:type="paragraph" w:styleId="32">
    <w:name w:val="List Bullet 5"/>
    <w:basedOn w:val="1"/>
    <w:semiHidden/>
    <w:unhideWhenUsed/>
    <w:uiPriority w:val="99"/>
    <w:pPr>
      <w:numPr>
        <w:ilvl w:val="0"/>
        <w:numId w:val="4"/>
      </w:numPr>
    </w:pPr>
    <w:rPr>
      <w:rFonts w:ascii="Times New Roman" w:hAnsi="Times New Roman"/>
      <w:szCs w:val="24"/>
    </w:rPr>
  </w:style>
  <w:style w:type="paragraph" w:styleId="33">
    <w:name w:val="toc 8"/>
    <w:basedOn w:val="1"/>
    <w:next w:val="1"/>
    <w:semiHidden/>
    <w:unhideWhenUsed/>
    <w:uiPriority w:val="39"/>
    <w:pPr>
      <w:spacing w:afterLines="50"/>
      <w:ind w:left="1470"/>
      <w:jc w:val="left"/>
    </w:pPr>
    <w:rPr>
      <w:rFonts w:ascii="Times New Roman" w:hAnsi="Times New Roman"/>
      <w:snapToGrid w:val="0"/>
      <w:kern w:val="0"/>
      <w:sz w:val="18"/>
      <w:szCs w:val="18"/>
    </w:rPr>
  </w:style>
  <w:style w:type="paragraph" w:styleId="34">
    <w:name w:val="Date"/>
    <w:basedOn w:val="1"/>
    <w:next w:val="1"/>
    <w:link w:val="986"/>
    <w:semiHidden/>
    <w:unhideWhenUsed/>
    <w:uiPriority w:val="99"/>
    <w:pPr>
      <w:ind w:left="2500" w:leftChars="2500"/>
    </w:pPr>
    <w:rPr>
      <w:rFonts w:eastAsia="楷体_GB2312"/>
      <w:sz w:val="32"/>
      <w:szCs w:val="20"/>
    </w:rPr>
  </w:style>
  <w:style w:type="paragraph" w:styleId="35">
    <w:name w:val="Body Text Indent 2"/>
    <w:basedOn w:val="1"/>
    <w:link w:val="89"/>
    <w:semiHidden/>
    <w:unhideWhenUsed/>
    <w:uiPriority w:val="99"/>
    <w:pPr>
      <w:snapToGrid w:val="0"/>
      <w:ind w:firstLine="542" w:firstLineChars="225"/>
    </w:pPr>
    <w:rPr>
      <w:rFonts w:ascii="仿宋_GB2312" w:hAnsi="宋体"/>
      <w:b/>
      <w:bCs/>
      <w:color w:val="000000"/>
      <w:sz w:val="24"/>
      <w:szCs w:val="24"/>
    </w:rPr>
  </w:style>
  <w:style w:type="paragraph" w:styleId="36">
    <w:name w:val="endnote text"/>
    <w:basedOn w:val="1"/>
    <w:link w:val="90"/>
    <w:semiHidden/>
    <w:unhideWhenUsed/>
    <w:uiPriority w:val="99"/>
    <w:pPr>
      <w:numPr>
        <w:ilvl w:val="0"/>
        <w:numId w:val="5"/>
      </w:numPr>
      <w:snapToGrid w:val="0"/>
      <w:spacing w:afterLines="50"/>
      <w:jc w:val="left"/>
    </w:pPr>
    <w:rPr>
      <w:rFonts w:ascii="宋体"/>
      <w:snapToGrid w:val="0"/>
      <w:kern w:val="0"/>
      <w:szCs w:val="20"/>
    </w:rPr>
  </w:style>
  <w:style w:type="paragraph" w:styleId="37">
    <w:name w:val="Balloon Text"/>
    <w:basedOn w:val="1"/>
    <w:link w:val="983"/>
    <w:semiHidden/>
    <w:unhideWhenUsed/>
    <w:qFormat/>
    <w:uiPriority w:val="99"/>
    <w:rPr>
      <w:sz w:val="18"/>
      <w:szCs w:val="18"/>
    </w:rPr>
  </w:style>
  <w:style w:type="paragraph" w:styleId="38">
    <w:name w:val="footer"/>
    <w:basedOn w:val="1"/>
    <w:link w:val="245"/>
    <w:semiHidden/>
    <w:unhideWhenUsed/>
    <w:uiPriority w:val="99"/>
    <w:pPr>
      <w:tabs>
        <w:tab w:val="center" w:pos="4153"/>
        <w:tab w:val="right" w:pos="8306"/>
      </w:tabs>
      <w:snapToGrid w:val="0"/>
      <w:jc w:val="left"/>
    </w:pPr>
    <w:rPr>
      <w:sz w:val="18"/>
      <w:szCs w:val="18"/>
    </w:rPr>
  </w:style>
  <w:style w:type="paragraph" w:styleId="39">
    <w:name w:val="header"/>
    <w:basedOn w:val="1"/>
    <w:link w:val="37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semiHidden/>
    <w:unhideWhenUsed/>
    <w:uiPriority w:val="39"/>
    <w:pPr>
      <w:spacing w:before="240" w:after="240"/>
    </w:pPr>
    <w:rPr>
      <w:rFonts w:ascii="Times New Roman" w:hAnsi="Times New Roman" w:eastAsia="仿宋"/>
      <w:sz w:val="36"/>
      <w:szCs w:val="24"/>
    </w:rPr>
  </w:style>
  <w:style w:type="paragraph" w:styleId="41">
    <w:name w:val="toc 4"/>
    <w:basedOn w:val="1"/>
    <w:next w:val="1"/>
    <w:semiHidden/>
    <w:unhideWhenUsed/>
    <w:qFormat/>
    <w:uiPriority w:val="39"/>
    <w:pPr>
      <w:ind w:left="1260" w:leftChars="600"/>
    </w:pPr>
  </w:style>
  <w:style w:type="paragraph" w:styleId="42">
    <w:name w:val="Subtitle"/>
    <w:basedOn w:val="1"/>
    <w:link w:val="94"/>
    <w:qFormat/>
    <w:uiPriority w:val="11"/>
    <w:pPr>
      <w:spacing w:afterLines="50"/>
      <w:jc w:val="center"/>
    </w:pPr>
    <w:rPr>
      <w:rFonts w:ascii="Times New Roman" w:hAnsi="Times New Roman" w:eastAsia="Times New Roman"/>
      <w:sz w:val="18"/>
      <w:szCs w:val="18"/>
    </w:rPr>
  </w:style>
  <w:style w:type="paragraph" w:styleId="43">
    <w:name w:val="List"/>
    <w:basedOn w:val="1"/>
    <w:semiHidden/>
    <w:unhideWhenUsed/>
    <w:uiPriority w:val="99"/>
    <w:pPr>
      <w:ind w:left="200" w:hanging="200" w:hangingChars="200"/>
    </w:pPr>
    <w:rPr>
      <w:rFonts w:ascii="Times New Roman" w:hAnsi="Times New Roman"/>
      <w:sz w:val="28"/>
      <w:szCs w:val="24"/>
    </w:rPr>
  </w:style>
  <w:style w:type="paragraph" w:styleId="44">
    <w:name w:val="footnote text"/>
    <w:basedOn w:val="1"/>
    <w:link w:val="95"/>
    <w:semiHidden/>
    <w:unhideWhenUsed/>
    <w:uiPriority w:val="99"/>
    <w:pPr>
      <w:snapToGrid w:val="0"/>
      <w:jc w:val="left"/>
    </w:pPr>
    <w:rPr>
      <w:sz w:val="18"/>
      <w:szCs w:val="18"/>
    </w:rPr>
  </w:style>
  <w:style w:type="paragraph" w:styleId="45">
    <w:name w:val="toc 6"/>
    <w:basedOn w:val="1"/>
    <w:next w:val="1"/>
    <w:semiHidden/>
    <w:unhideWhenUsed/>
    <w:uiPriority w:val="39"/>
    <w:pPr>
      <w:ind w:left="1050"/>
      <w:jc w:val="left"/>
    </w:pPr>
    <w:rPr>
      <w:rFonts w:ascii="Times New Roman" w:hAnsi="Times New Roman"/>
      <w:sz w:val="18"/>
      <w:szCs w:val="18"/>
    </w:rPr>
  </w:style>
  <w:style w:type="paragraph" w:styleId="46">
    <w:name w:val="Body Text Indent 3"/>
    <w:basedOn w:val="1"/>
    <w:link w:val="96"/>
    <w:semiHidden/>
    <w:unhideWhenUsed/>
    <w:uiPriority w:val="99"/>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semiHidden/>
    <w:unhideWhenUsed/>
    <w:qFormat/>
    <w:uiPriority w:val="99"/>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semiHidden/>
    <w:unhideWhenUsed/>
    <w:qFormat/>
    <w:uiPriority w:val="39"/>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semiHidden/>
    <w:unhideWhenUsed/>
    <w:uiPriority w:val="39"/>
    <w:pPr>
      <w:ind w:left="1680"/>
      <w:jc w:val="left"/>
    </w:pPr>
    <w:rPr>
      <w:rFonts w:ascii="Times New Roman" w:hAnsi="Times New Roman"/>
      <w:sz w:val="18"/>
      <w:szCs w:val="18"/>
    </w:rPr>
  </w:style>
  <w:style w:type="paragraph" w:styleId="50">
    <w:name w:val="Body Text 2"/>
    <w:basedOn w:val="1"/>
    <w:link w:val="985"/>
    <w:semiHidden/>
    <w:unhideWhenUsed/>
    <w:uiPriority w:val="99"/>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semiHidden/>
    <w:unhideWhenUsed/>
    <w:qFormat/>
    <w:uiPriority w:val="99"/>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semiHidden/>
    <w:unhideWhenUsed/>
    <w:qFormat/>
    <w:uiPriority w:val="99"/>
    <w:rPr>
      <w:rFonts w:ascii="Courier New" w:hAnsi="Courier New"/>
      <w:sz w:val="20"/>
      <w:szCs w:val="20"/>
    </w:rPr>
  </w:style>
  <w:style w:type="paragraph" w:styleId="53">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semiHidden/>
    <w:unhideWhenUsed/>
    <w:uiPriority w:val="99"/>
    <w:rPr>
      <w:rFonts w:ascii="Times New Roman" w:hAnsi="Times New Roman"/>
      <w:szCs w:val="20"/>
    </w:rPr>
  </w:style>
  <w:style w:type="paragraph" w:styleId="55">
    <w:name w:val="Title"/>
    <w:basedOn w:val="1"/>
    <w:link w:val="99"/>
    <w:qFormat/>
    <w:uiPriority w:val="10"/>
    <w:pPr>
      <w:spacing w:before="240" w:after="60"/>
      <w:jc w:val="center"/>
      <w:outlineLvl w:val="0"/>
    </w:pPr>
    <w:rPr>
      <w:rFonts w:ascii="Arial" w:hAnsi="Arial"/>
      <w:b/>
      <w:bCs/>
      <w:sz w:val="32"/>
      <w:szCs w:val="32"/>
    </w:rPr>
  </w:style>
  <w:style w:type="paragraph" w:styleId="56">
    <w:name w:val="annotation subject"/>
    <w:basedOn w:val="21"/>
    <w:next w:val="21"/>
    <w:link w:val="963"/>
    <w:semiHidden/>
    <w:unhideWhenUsed/>
    <w:uiPriority w:val="99"/>
    <w:rPr>
      <w:b/>
      <w:bCs/>
    </w:rPr>
  </w:style>
  <w:style w:type="paragraph" w:styleId="57">
    <w:name w:val="Body Text First Indent"/>
    <w:basedOn w:val="24"/>
    <w:link w:val="102"/>
    <w:semiHidden/>
    <w:unhideWhenUsed/>
    <w:uiPriority w:val="99"/>
    <w:pPr>
      <w:ind w:firstLine="420" w:firstLineChars="100"/>
    </w:pPr>
    <w:rPr>
      <w:sz w:val="21"/>
      <w:szCs w:val="22"/>
    </w:rPr>
  </w:style>
  <w:style w:type="paragraph" w:styleId="58">
    <w:name w:val="Body Text First Indent 2"/>
    <w:basedOn w:val="25"/>
    <w:link w:val="964"/>
    <w:semiHidden/>
    <w:unhideWhenUsed/>
    <w:uiPriority w:val="99"/>
    <w:pPr>
      <w:spacing w:after="120" w:line="240" w:lineRule="auto"/>
      <w:ind w:left="420" w:leftChars="200" w:firstLine="420" w:firstLineChars="200"/>
    </w:pPr>
    <w:rPr>
      <w:rFonts w:ascii="Times New Roman" w:hAnsi="Times New Roman"/>
      <w:spacing w:val="0"/>
      <w:sz w:val="21"/>
    </w:rPr>
  </w:style>
  <w:style w:type="table" w:styleId="60">
    <w:name w:val="Table Grid"/>
    <w:basedOn w:val="59"/>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99"/>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22"/>
    <w:rPr>
      <w:b/>
      <w:bCs/>
    </w:rPr>
  </w:style>
  <w:style w:type="character" w:styleId="66">
    <w:name w:val="page number"/>
    <w:basedOn w:val="64"/>
    <w:semiHidden/>
    <w:unhideWhenUsed/>
    <w:uiPriority w:val="99"/>
  </w:style>
  <w:style w:type="character" w:styleId="67">
    <w:name w:val="FollowedHyperlink"/>
    <w:semiHidden/>
    <w:unhideWhenUsed/>
    <w:uiPriority w:val="99"/>
    <w:rPr>
      <w:color w:val="800080"/>
      <w:u w:val="single"/>
    </w:rPr>
  </w:style>
  <w:style w:type="character" w:styleId="68">
    <w:name w:val="Emphasis"/>
    <w:qFormat/>
    <w:uiPriority w:val="20"/>
    <w:rPr>
      <w:color w:val="CC0033"/>
    </w:rPr>
  </w:style>
  <w:style w:type="character" w:styleId="69">
    <w:name w:val="Hyperlink"/>
    <w:semiHidden/>
    <w:unhideWhenUsed/>
    <w:qFormat/>
    <w:uiPriority w:val="99"/>
    <w:rPr>
      <w:color w:val="0000FF"/>
      <w:u w:val="single"/>
    </w:rPr>
  </w:style>
  <w:style w:type="character" w:styleId="70">
    <w:name w:val="annotation reference"/>
    <w:semiHidden/>
    <w:unhideWhenUsed/>
    <w:uiPriority w:val="99"/>
    <w:rPr>
      <w:sz w:val="21"/>
      <w:szCs w:val="21"/>
    </w:rPr>
  </w:style>
  <w:style w:type="character" w:styleId="71">
    <w:name w:val="footnote reference"/>
    <w:semiHidden/>
    <w:unhideWhenUsed/>
    <w:uiPriority w:val="99"/>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5"/>
    <w:qFormat/>
    <w:uiPriority w:val="9"/>
    <w:rPr>
      <w:rFonts w:ascii="Calibri" w:hAnsi="Calibri" w:eastAsia="宋体" w:cs="Times New Roman"/>
      <w:b/>
      <w:bCs/>
      <w:sz w:val="32"/>
      <w:szCs w:val="32"/>
    </w:rPr>
  </w:style>
  <w:style w:type="character" w:customStyle="1" w:styleId="75">
    <w:name w:val="标题 4 字符"/>
    <w:basedOn w:val="64"/>
    <w:link w:val="6"/>
    <w:qFormat/>
    <w:uiPriority w:val="0"/>
    <w:rPr>
      <w:rFonts w:ascii="Arial" w:hAnsi="Arial" w:eastAsia="黑体" w:cs="Times New Roman"/>
      <w:b/>
      <w:bCs/>
      <w:sz w:val="28"/>
      <w:szCs w:val="28"/>
    </w:rPr>
  </w:style>
  <w:style w:type="character" w:customStyle="1" w:styleId="76">
    <w:name w:val="标题 5 字符"/>
    <w:basedOn w:val="64"/>
    <w:link w:val="7"/>
    <w:qFormat/>
    <w:uiPriority w:val="0"/>
    <w:rPr>
      <w:rFonts w:ascii="Calibri" w:hAnsi="Calibri" w:eastAsia="宋体" w:cs="Times New Roman"/>
      <w:b/>
      <w:bCs/>
      <w:sz w:val="28"/>
      <w:szCs w:val="28"/>
    </w:rPr>
  </w:style>
  <w:style w:type="character" w:customStyle="1" w:styleId="77">
    <w:name w:val="标题 6 字符"/>
    <w:basedOn w:val="64"/>
    <w:link w:val="8"/>
    <w:qFormat/>
    <w:uiPriority w:val="0"/>
    <w:rPr>
      <w:rFonts w:ascii="Arial" w:hAnsi="Arial" w:eastAsia="黑体" w:cs="Times New Roman"/>
      <w:b/>
      <w:bCs/>
      <w:sz w:val="24"/>
      <w:szCs w:val="24"/>
    </w:rPr>
  </w:style>
  <w:style w:type="character" w:customStyle="1" w:styleId="78">
    <w:name w:val="标题 7 字符"/>
    <w:basedOn w:val="64"/>
    <w:link w:val="9"/>
    <w:qFormat/>
    <w:uiPriority w:val="0"/>
    <w:rPr>
      <w:rFonts w:ascii="Calibri" w:hAnsi="Calibri" w:eastAsia="宋体" w:cs="Times New Roman"/>
      <w:b/>
      <w:bCs/>
      <w:sz w:val="24"/>
      <w:szCs w:val="24"/>
    </w:rPr>
  </w:style>
  <w:style w:type="character" w:customStyle="1" w:styleId="79">
    <w:name w:val="标题 8 字符"/>
    <w:basedOn w:val="64"/>
    <w:link w:val="10"/>
    <w:qFormat/>
    <w:uiPriority w:val="0"/>
    <w:rPr>
      <w:rFonts w:ascii="Cambria" w:hAnsi="Cambria" w:eastAsia="宋体" w:cs="Times New Roman"/>
      <w:sz w:val="24"/>
      <w:szCs w:val="24"/>
    </w:rPr>
  </w:style>
  <w:style w:type="character" w:customStyle="1" w:styleId="80">
    <w:name w:val="标题 9 字符"/>
    <w:basedOn w:val="64"/>
    <w:link w:val="11"/>
    <w:qFormat/>
    <w:uiPriority w:val="0"/>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0"/>
    <w:rPr>
      <w:rFonts w:ascii="宋体" w:hAnsi="Times New Roman" w:eastAsia="宋体" w:cs="Times New Roman"/>
      <w:b/>
      <w:sz w:val="28"/>
      <w:szCs w:val="20"/>
    </w:rPr>
  </w:style>
  <w:style w:type="character" w:customStyle="1" w:styleId="84">
    <w:name w:val="正文文本 3 字符"/>
    <w:basedOn w:val="64"/>
    <w:link w:val="23"/>
    <w:qFormat/>
    <w:uiPriority w:val="0"/>
    <w:rPr>
      <w:rFonts w:ascii="Times New Roman" w:hAnsi="宋体" w:eastAsia="仿宋_GB2312" w:cs="Times New Roman"/>
      <w:b/>
      <w:bCs/>
      <w:sz w:val="24"/>
      <w:szCs w:val="20"/>
    </w:rPr>
  </w:style>
  <w:style w:type="character" w:customStyle="1" w:styleId="85">
    <w:name w:val="正文文本 字符1"/>
    <w:basedOn w:val="64"/>
    <w:link w:val="24"/>
    <w:qFormat/>
    <w:uiPriority w:val="0"/>
    <w:rPr>
      <w:rFonts w:ascii="Calibri" w:hAnsi="Calibri" w:eastAsia="宋体" w:cs="Times New Roman"/>
      <w:sz w:val="28"/>
      <w:szCs w:val="24"/>
    </w:rPr>
  </w:style>
  <w:style w:type="character" w:customStyle="1" w:styleId="86">
    <w:name w:val="正文文本缩进 字符1"/>
    <w:basedOn w:val="64"/>
    <w:link w:val="25"/>
    <w:qFormat/>
    <w:uiPriority w:val="0"/>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0"/>
    <w:rPr>
      <w:rFonts w:ascii="仿宋_GB2312" w:hAnsi="宋体" w:eastAsia="宋体" w:cs="Times New Roman"/>
      <w:b/>
      <w:bCs/>
      <w:color w:val="000000"/>
      <w:sz w:val="24"/>
      <w:szCs w:val="24"/>
    </w:rPr>
  </w:style>
  <w:style w:type="character" w:customStyle="1" w:styleId="90">
    <w:name w:val="尾注文本 字符"/>
    <w:basedOn w:val="64"/>
    <w:link w:val="36"/>
    <w:qFormat/>
    <w:uiPriority w:val="0"/>
    <w:rPr>
      <w:rFonts w:ascii="宋体" w:hAnsi="Calibri" w:eastAsia="宋体" w:cs="Times New Roman"/>
      <w:snapToGrid w:val="0"/>
      <w:kern w:val="0"/>
      <w:szCs w:val="20"/>
    </w:rPr>
  </w:style>
  <w:style w:type="character" w:customStyle="1" w:styleId="91">
    <w:name w:val="批注框文本 字符"/>
    <w:basedOn w:val="64"/>
    <w:link w:val="37"/>
    <w:qFormat/>
    <w:uiPriority w:val="0"/>
    <w:rPr>
      <w:rFonts w:ascii="Calibri" w:hAnsi="Calibri" w:eastAsia="宋体" w:cs="Times New Roman"/>
      <w:sz w:val="18"/>
      <w:szCs w:val="18"/>
    </w:rPr>
  </w:style>
  <w:style w:type="character" w:customStyle="1" w:styleId="92">
    <w:name w:val="页脚 Char"/>
    <w:basedOn w:val="64"/>
    <w:link w:val="38"/>
    <w:qFormat/>
    <w:uiPriority w:val="0"/>
    <w:rPr>
      <w:rFonts w:ascii="Calibri" w:hAnsi="Calibri" w:eastAsia="宋体" w:cs="Times New Roman"/>
      <w:sz w:val="18"/>
      <w:szCs w:val="18"/>
    </w:rPr>
  </w:style>
  <w:style w:type="character" w:customStyle="1" w:styleId="93">
    <w:name w:val="页眉 Char"/>
    <w:basedOn w:val="64"/>
    <w:link w:val="39"/>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0"/>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0"/>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0"/>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0"/>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6"/>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0"/>
    <w:rPr>
      <w:rFonts w:ascii="Arial" w:hAnsi="Arial"/>
      <w:sz w:val="18"/>
      <w:szCs w:val="18"/>
    </w:rPr>
  </w:style>
  <w:style w:type="paragraph" w:customStyle="1" w:styleId="213">
    <w:name w:val="Item List in Table"/>
    <w:link w:val="212"/>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9"/>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4"/>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0"/>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0"/>
    <w:rPr>
      <w:rFonts w:ascii="Calibri" w:hAnsi="Calibri"/>
      <w:sz w:val="24"/>
      <w:szCs w:val="24"/>
    </w:rPr>
  </w:style>
  <w:style w:type="paragraph" w:customStyle="1" w:styleId="254">
    <w:name w:val="正文4"/>
    <w:basedOn w:val="1"/>
    <w:link w:val="253"/>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0"/>
    <w:rPr>
      <w:rFonts w:ascii="仿宋" w:hAnsi="仿宋" w:eastAsia="仿宋"/>
      <w:sz w:val="28"/>
      <w:szCs w:val="21"/>
    </w:rPr>
  </w:style>
  <w:style w:type="paragraph" w:customStyle="1" w:styleId="263">
    <w:name w:val="列表1、"/>
    <w:basedOn w:val="126"/>
    <w:link w:val="262"/>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2"/>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6"/>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2"/>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5"/>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0"/>
    <w:pPr>
      <w:ind w:firstLine="562"/>
    </w:pPr>
    <w:rPr>
      <w:rFonts w:ascii="仿宋_GB2312" w:eastAsia="仿宋_GB2312"/>
      <w:b/>
      <w:sz w:val="28"/>
      <w:szCs w:val="28"/>
    </w:rPr>
  </w:style>
  <w:style w:type="paragraph" w:customStyle="1" w:styleId="423">
    <w:name w:val="图名"/>
    <w:basedOn w:val="18"/>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6"/>
    <w:qFormat/>
    <w:uiPriority w:val="0"/>
    <w:pPr>
      <w:numPr>
        <w:ilvl w:val="1"/>
        <w:numId w:val="5"/>
      </w:numPr>
      <w:tabs>
        <w:tab w:val="left" w:pos="2040"/>
      </w:tabs>
      <w:spacing w:after="120"/>
      <w:ind w:left="0" w:firstLine="0"/>
    </w:pPr>
  </w:style>
  <w:style w:type="paragraph" w:customStyle="1" w:styleId="436">
    <w:name w:val="样式 标题 4 + 段后: 0.5 行"/>
    <w:basedOn w:val="6"/>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2"/>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3"/>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4"/>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3"/>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2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2"/>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4"/>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2"/>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3"/>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4"/>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4"/>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5"/>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5"/>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5"/>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2"/>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4"/>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0"/>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7"/>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1"/>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uiPriority w:val="99"/>
    <w:rPr>
      <w:rFonts w:ascii="Arial" w:hAnsi="Arial" w:eastAsia="宋体" w:cs="Arial"/>
      <w:vanish/>
      <w:sz w:val="16"/>
      <w:szCs w:val="16"/>
    </w:rPr>
  </w:style>
  <w:style w:type="character" w:customStyle="1" w:styleId="902">
    <w:name w:val="z-窗体顶端 Char1"/>
    <w:basedOn w:val="64"/>
    <w:semiHidden/>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0"/>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uiPriority w:val="0"/>
  </w:style>
  <w:style w:type="character" w:customStyle="1" w:styleId="981">
    <w:name w:val="纯文本 Char"/>
    <w:basedOn w:val="64"/>
    <w:link w:val="31"/>
    <w:qFormat/>
    <w:uiPriority w:val="0"/>
    <w:rPr>
      <w:rFonts w:ascii="宋体" w:hAnsi="Courier New" w:eastAsia="宋体" w:cs="Times New Roman"/>
      <w:kern w:val="2"/>
      <w:sz w:val="24"/>
      <w:szCs w:val="24"/>
      <w:lang w:val="en-US" w:eastAsia="zh-CN" w:bidi="ar-SA"/>
    </w:rPr>
  </w:style>
  <w:style w:type="character" w:customStyle="1" w:styleId="982">
    <w:name w:val="10"/>
    <w:basedOn w:val="64"/>
    <w:uiPriority w:val="0"/>
    <w:rPr>
      <w:rFonts w:hint="default" w:ascii="Calibri" w:hAnsi="Calibri" w:cs="Calibri"/>
    </w:rPr>
  </w:style>
  <w:style w:type="character" w:customStyle="1" w:styleId="983">
    <w:name w:val="批注框文本 Char"/>
    <w:basedOn w:val="64"/>
    <w:link w:val="37"/>
    <w:uiPriority w:val="0"/>
    <w:rPr>
      <w:rFonts w:hint="default" w:ascii="Calibri" w:hAnsi="Calibri" w:eastAsia="宋体" w:cs="Times New Roman"/>
      <w:sz w:val="18"/>
      <w:szCs w:val="18"/>
    </w:rPr>
  </w:style>
  <w:style w:type="character" w:customStyle="1" w:styleId="984">
    <w:name w:val="16"/>
    <w:basedOn w:val="64"/>
    <w:uiPriority w:val="0"/>
    <w:rPr>
      <w:rFonts w:hint="default" w:ascii="Calibri" w:hAnsi="Calibri" w:cs="Calibri"/>
    </w:rPr>
  </w:style>
  <w:style w:type="character" w:customStyle="1" w:styleId="985">
    <w:name w:val="正文文本 2 Char"/>
    <w:basedOn w:val="64"/>
    <w:link w:val="50"/>
    <w:uiPriority w:val="0"/>
    <w:rPr>
      <w:rFonts w:hint="eastAsia" w:ascii="宋体" w:hAnsi="宋体" w:eastAsia="宋体" w:cs="Times New Roman"/>
      <w:color w:val="000000"/>
      <w:sz w:val="24"/>
      <w:szCs w:val="24"/>
    </w:rPr>
  </w:style>
  <w:style w:type="character" w:customStyle="1" w:styleId="986">
    <w:name w:val="日期 Char"/>
    <w:basedOn w:val="64"/>
    <w:link w:val="34"/>
    <w:uiPriority w:val="0"/>
    <w:rPr>
      <w:rFonts w:hint="default" w:ascii="Calibri" w:hAnsi="Calibri" w:eastAsia="楷体_GB2312" w:cs="Times New Roman"/>
      <w:sz w:val="32"/>
      <w:szCs w:val="32"/>
    </w:rPr>
  </w:style>
  <w:style w:type="character" w:customStyle="1" w:styleId="987">
    <w:name w:val="正文文本缩进 Char"/>
    <w:basedOn w:val="64"/>
    <w:link w:val="25"/>
    <w:uiPriority w:val="0"/>
    <w:rPr>
      <w:rFonts w:hint="eastAsia" w:ascii="宋体" w:hAnsi="Courier New" w:eastAsia="宋体" w:cs="Times New Roman"/>
      <w:spacing w:val="-4"/>
      <w:sz w:val="18"/>
      <w:szCs w:val="18"/>
    </w:rPr>
  </w:style>
  <w:style w:type="character" w:customStyle="1" w:styleId="988">
    <w:name w:val="纯文本 Char2"/>
    <w:basedOn w:val="64"/>
    <w:uiPriority w:val="0"/>
    <w:rPr>
      <w:rFonts w:hint="eastAsia" w:ascii="宋体" w:hAnsi="Courier New" w:eastAsia="宋体" w:cs="Times New Roman"/>
      <w:sz w:val="24"/>
      <w:szCs w:val="24"/>
    </w:rPr>
  </w:style>
  <w:style w:type="character" w:customStyle="1" w:styleId="989">
    <w:name w:val="正文缩进 Char"/>
    <w:basedOn w:val="64"/>
    <w:link w:val="2"/>
    <w:uiPriority w:val="0"/>
    <w:rPr>
      <w:rFonts w:hint="default" w:ascii="Calibri" w:hAnsi="Calibri" w:eastAsia="宋体" w:cs="Times New Roman"/>
      <w:szCs w:val="21"/>
    </w:rPr>
  </w:style>
  <w:style w:type="character" w:customStyle="1" w:styleId="990">
    <w:name w:val="正文文本 3 Char"/>
    <w:basedOn w:val="64"/>
    <w:link w:val="23"/>
    <w:uiPriority w:val="0"/>
    <w:rPr>
      <w:rFonts w:hint="default" w:ascii="Times New Roman" w:hAnsi="宋体" w:eastAsia="仿宋_GB2312" w:cs="Times New Roman"/>
      <w:b/>
      <w:sz w:val="24"/>
      <w:szCs w:val="24"/>
    </w:rPr>
  </w:style>
  <w:style w:type="character" w:customStyle="1" w:styleId="991">
    <w:name w:val="列出段落 Char"/>
    <w:basedOn w:val="64"/>
    <w:uiPriority w:val="0"/>
  </w:style>
  <w:style w:type="paragraph" w:customStyle="1" w:styleId="992">
    <w:name w:val="msolistparagraph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 w:type="character" w:customStyle="1" w:styleId="993">
    <w:name w:val="批注文字 Char"/>
    <w:basedOn w:val="64"/>
    <w:link w:val="21"/>
    <w:uiPriority w:val="0"/>
    <w:rPr>
      <w:rFonts w:hint="default" w:ascii="Calibri" w:hAnsi="Calibri" w:eastAsia="宋体" w:cs="Times New Roman"/>
      <w:szCs w:val="21"/>
    </w:rPr>
  </w:style>
  <w:style w:type="character" w:customStyle="1" w:styleId="994">
    <w:name w:val="纯文本 Char3"/>
    <w:basedOn w:val="64"/>
    <w:uiPriority w:val="0"/>
    <w:rPr>
      <w:rFonts w:hint="eastAsia" w:ascii="宋体" w:hAnsi="Courier New"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84</Pages>
  <Words>31986</Words>
  <Characters>34094</Characters>
  <Lines>1</Lines>
  <Paragraphs>1</Paragraphs>
  <TotalTime>4</TotalTime>
  <ScaleCrop>false</ScaleCrop>
  <LinksUpToDate>false</LinksUpToDate>
  <CharactersWithSpaces>36408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2022-08-15T04:39:00Z</dcterms:created>
  <dc:creator>admin</dc:creator>
  <cp:lastModifiedBy>Administrator</cp:lastModifiedBy>
  <cp:lastPrinted>2021-01-25T02:12:00Z</cp:lastPrinted>
  <dcterms:modified xsi:type="dcterms:W3CDTF">2022-08-19T08:30:19Z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